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1D2ED">
      <w:pPr>
        <w:widowControl/>
        <w:jc w:val="center"/>
        <w:rPr>
          <w:rFonts w:ascii="Times New Roman" w:hAnsi="Times New Roman" w:eastAsia="方正小标宋简体" w:cs="Times New Roman"/>
          <w:sz w:val="32"/>
          <w:szCs w:val="32"/>
        </w:rPr>
      </w:pPr>
      <w:bookmarkStart w:id="0" w:name="_Hlk9544796"/>
    </w:p>
    <w:p w14:paraId="6CD64FE0">
      <w:pPr>
        <w:widowControl/>
        <w:jc w:val="center"/>
        <w:rPr>
          <w:rFonts w:ascii="Times New Roman" w:hAnsi="Times New Roman" w:eastAsia="方正小标宋简体" w:cs="Times New Roman"/>
          <w:sz w:val="32"/>
          <w:szCs w:val="32"/>
        </w:rPr>
      </w:pPr>
    </w:p>
    <w:p w14:paraId="11E8B141">
      <w:pPr>
        <w:pStyle w:val="2"/>
        <w:ind w:firstLine="560"/>
        <w:rPr>
          <w:rFonts w:ascii="Times New Roman" w:hAnsi="Times New Roman" w:eastAsia="方正小标宋简体" w:cs="Times New Roman"/>
          <w:snapToGrid w:val="0"/>
          <w:kern w:val="0"/>
          <w:sz w:val="28"/>
          <w:szCs w:val="28"/>
        </w:rPr>
      </w:pPr>
    </w:p>
    <w:p w14:paraId="0C972714">
      <w:pPr>
        <w:rPr>
          <w:rFonts w:ascii="Times New Roman" w:hAnsi="Times New Roman" w:cs="Times New Roman"/>
        </w:rPr>
      </w:pPr>
    </w:p>
    <w:p w14:paraId="00D4473C">
      <w:pPr>
        <w:tabs>
          <w:tab w:val="left" w:pos="315"/>
          <w:tab w:val="left" w:pos="8820"/>
        </w:tabs>
        <w:spacing w:before="156" w:beforeLines="50" w:after="156" w:afterLines="50"/>
        <w:ind w:right="265" w:rightChars="126"/>
        <w:jc w:val="center"/>
        <w:rPr>
          <w:rFonts w:ascii="Times New Roman" w:hAnsi="Times New Roman" w:cs="Times New Roman"/>
          <w:b/>
          <w:bCs/>
          <w:sz w:val="96"/>
          <w:szCs w:val="96"/>
        </w:rPr>
      </w:pPr>
      <w:r>
        <w:rPr>
          <w:rFonts w:ascii="Times New Roman" w:hAnsi="Times New Roman" w:eastAsia="黑体" w:cs="Times New Roman"/>
          <w:sz w:val="72"/>
          <w:szCs w:val="72"/>
        </w:rPr>
        <w:t>招 标 文 件</w:t>
      </w:r>
    </w:p>
    <w:p w14:paraId="6B549923">
      <w:pPr>
        <w:tabs>
          <w:tab w:val="left" w:pos="315"/>
          <w:tab w:val="left" w:pos="8820"/>
        </w:tabs>
        <w:spacing w:before="312" w:beforeLines="100" w:after="156" w:afterLines="50" w:line="500" w:lineRule="exact"/>
        <w:ind w:right="267" w:rightChars="127"/>
        <w:jc w:val="center"/>
        <w:rPr>
          <w:rFonts w:ascii="Times New Roman" w:hAnsi="Times New Roman" w:cs="Times New Roman"/>
          <w:b/>
          <w:bCs/>
          <w:sz w:val="52"/>
          <w:szCs w:val="52"/>
        </w:rPr>
      </w:pPr>
      <w:r>
        <w:rPr>
          <w:rFonts w:ascii="Times New Roman" w:hAnsi="Times New Roman" w:cs="Times New Roman"/>
          <w:b/>
          <w:bCs/>
          <w:sz w:val="52"/>
          <w:szCs w:val="52"/>
        </w:rPr>
        <w:t>（</w:t>
      </w:r>
      <w:r>
        <w:rPr>
          <w:rFonts w:hint="eastAsia" w:ascii="Times New Roman" w:hAnsi="Times New Roman" w:cs="Times New Roman"/>
          <w:b/>
          <w:bCs/>
          <w:sz w:val="52"/>
          <w:szCs w:val="52"/>
        </w:rPr>
        <w:t>货物</w:t>
      </w:r>
      <w:r>
        <w:rPr>
          <w:rFonts w:ascii="Times New Roman" w:hAnsi="Times New Roman" w:cs="Times New Roman"/>
          <w:b/>
          <w:bCs/>
          <w:sz w:val="52"/>
          <w:szCs w:val="52"/>
        </w:rPr>
        <w:t>类）</w:t>
      </w:r>
    </w:p>
    <w:p w14:paraId="60564D91">
      <w:pPr>
        <w:tabs>
          <w:tab w:val="left" w:pos="315"/>
          <w:tab w:val="left" w:pos="8820"/>
        </w:tabs>
        <w:spacing w:before="312" w:beforeLines="100" w:after="156" w:afterLines="50" w:line="500" w:lineRule="exact"/>
        <w:ind w:right="267" w:rightChars="127"/>
        <w:jc w:val="center"/>
        <w:rPr>
          <w:rFonts w:ascii="Times New Roman" w:hAnsi="Times New Roman" w:cs="Times New Roman"/>
          <w:b/>
          <w:bCs/>
          <w:sz w:val="52"/>
          <w:szCs w:val="52"/>
        </w:rPr>
      </w:pPr>
    </w:p>
    <w:p w14:paraId="77DB051D">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rPr>
      </w:pPr>
    </w:p>
    <w:p w14:paraId="1D8627FD">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rPr>
      </w:pPr>
    </w:p>
    <w:p w14:paraId="7707BA17">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rPr>
      </w:pPr>
    </w:p>
    <w:p w14:paraId="13036E02">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rPr>
      </w:pPr>
      <w:r>
        <w:rPr>
          <w:rFonts w:ascii="Times New Roman" w:hAnsi="Times New Roman" w:cs="Times New Roman"/>
          <w:b/>
          <w:spacing w:val="20"/>
          <w:kern w:val="0"/>
          <w:sz w:val="32"/>
          <w:szCs w:val="32"/>
        </w:rPr>
        <w:t>项目名称：</w:t>
      </w:r>
      <w:r>
        <w:rPr>
          <w:rFonts w:hint="eastAsia" w:ascii="Times New Roman" w:hAnsi="Times New Roman" w:cs="Times New Roman"/>
          <w:b/>
          <w:spacing w:val="20"/>
          <w:kern w:val="0"/>
          <w:sz w:val="32"/>
          <w:szCs w:val="32"/>
          <w:u w:val="single"/>
          <w:lang w:eastAsia="zh-CN"/>
        </w:rPr>
        <w:t>望湖城</w:t>
      </w:r>
      <w:r>
        <w:rPr>
          <w:rFonts w:hint="eastAsia" w:ascii="Times New Roman" w:hAnsi="Times New Roman" w:cs="Times New Roman"/>
          <w:b/>
          <w:spacing w:val="20"/>
          <w:kern w:val="0"/>
          <w:sz w:val="32"/>
          <w:szCs w:val="32"/>
          <w:u w:val="single"/>
          <w:lang w:val="en-US" w:eastAsia="zh-CN"/>
        </w:rPr>
        <w:t>公共文化空间</w:t>
      </w:r>
      <w:r>
        <w:rPr>
          <w:rFonts w:hint="eastAsia" w:ascii="Times New Roman" w:hAnsi="Times New Roman" w:cs="Times New Roman"/>
          <w:b/>
          <w:spacing w:val="20"/>
          <w:kern w:val="0"/>
          <w:sz w:val="32"/>
          <w:szCs w:val="32"/>
          <w:u w:val="single"/>
          <w:lang w:eastAsia="zh-CN"/>
        </w:rPr>
        <w:t>智能化设备采购</w:t>
      </w:r>
      <w:r>
        <w:rPr>
          <w:rFonts w:hint="eastAsia" w:ascii="Times New Roman" w:hAnsi="Times New Roman" w:cs="Times New Roman"/>
          <w:b/>
          <w:spacing w:val="20"/>
          <w:kern w:val="0"/>
          <w:sz w:val="32"/>
          <w:szCs w:val="32"/>
          <w:u w:val="single"/>
        </w:rPr>
        <w:t xml:space="preserve"> </w:t>
      </w:r>
    </w:p>
    <w:p w14:paraId="6D17FBC4">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u w:val="single"/>
        </w:rPr>
      </w:pPr>
      <w:r>
        <w:rPr>
          <w:rFonts w:ascii="Times New Roman" w:hAnsi="Times New Roman" w:cs="Times New Roman"/>
          <w:b/>
          <w:spacing w:val="20"/>
          <w:kern w:val="0"/>
          <w:sz w:val="32"/>
          <w:szCs w:val="32"/>
        </w:rPr>
        <w:t>项目编号：</w:t>
      </w:r>
      <w:r>
        <w:rPr>
          <w:rFonts w:hint="eastAsia" w:ascii="Times New Roman" w:hAnsi="Times New Roman" w:cs="Times New Roman"/>
          <w:b/>
          <w:spacing w:val="20"/>
          <w:kern w:val="0"/>
          <w:sz w:val="32"/>
          <w:szCs w:val="32"/>
          <w:u w:val="single"/>
        </w:rPr>
        <w:t xml:space="preserve"> </w:t>
      </w:r>
      <w:r>
        <w:rPr>
          <w:rFonts w:ascii="Times New Roman" w:hAnsi="Times New Roman" w:cs="Times New Roman"/>
          <w:b/>
          <w:spacing w:val="20"/>
          <w:kern w:val="0"/>
          <w:sz w:val="32"/>
          <w:szCs w:val="32"/>
          <w:u w:val="single"/>
        </w:rPr>
        <w:t xml:space="preserve"> </w:t>
      </w:r>
      <w:r>
        <w:rPr>
          <w:rFonts w:hint="eastAsia" w:ascii="Times New Roman" w:hAnsi="Times New Roman" w:cs="Times New Roman"/>
          <w:b/>
          <w:spacing w:val="20"/>
          <w:kern w:val="0"/>
          <w:sz w:val="32"/>
          <w:szCs w:val="32"/>
          <w:u w:val="single"/>
        </w:rPr>
        <w:t xml:space="preserve"> JSCM-ZTB-202</w:t>
      </w:r>
      <w:r>
        <w:rPr>
          <w:rFonts w:hint="eastAsia" w:ascii="Times New Roman" w:hAnsi="Times New Roman" w:cs="Times New Roman"/>
          <w:b/>
          <w:spacing w:val="20"/>
          <w:kern w:val="0"/>
          <w:sz w:val="32"/>
          <w:szCs w:val="32"/>
          <w:u w:val="single"/>
          <w:lang w:val="en-US" w:eastAsia="zh-CN"/>
        </w:rPr>
        <w:t>4</w:t>
      </w:r>
      <w:r>
        <w:rPr>
          <w:rFonts w:hint="eastAsia" w:ascii="Times New Roman" w:hAnsi="Times New Roman" w:cs="Times New Roman"/>
          <w:b/>
          <w:spacing w:val="20"/>
          <w:kern w:val="0"/>
          <w:sz w:val="32"/>
          <w:szCs w:val="32"/>
          <w:u w:val="single"/>
        </w:rPr>
        <w:t>-0</w:t>
      </w:r>
      <w:r>
        <w:rPr>
          <w:rFonts w:hint="eastAsia" w:ascii="Times New Roman" w:hAnsi="Times New Roman" w:cs="Times New Roman"/>
          <w:b/>
          <w:spacing w:val="20"/>
          <w:kern w:val="0"/>
          <w:sz w:val="32"/>
          <w:szCs w:val="32"/>
          <w:u w:val="single"/>
          <w:lang w:val="en-US" w:eastAsia="zh-CN"/>
        </w:rPr>
        <w:t>2</w:t>
      </w:r>
      <w:r>
        <w:rPr>
          <w:rFonts w:ascii="Times New Roman" w:hAnsi="Times New Roman" w:cs="Times New Roman"/>
          <w:b/>
          <w:spacing w:val="20"/>
          <w:kern w:val="0"/>
          <w:sz w:val="32"/>
          <w:szCs w:val="32"/>
          <w:u w:val="single"/>
        </w:rPr>
        <w:t xml:space="preserve">     </w:t>
      </w:r>
    </w:p>
    <w:p w14:paraId="556CBC2C">
      <w:pPr>
        <w:tabs>
          <w:tab w:val="left" w:pos="2410"/>
        </w:tabs>
        <w:autoSpaceDE w:val="0"/>
        <w:autoSpaceDN w:val="0"/>
        <w:adjustRightInd w:val="0"/>
        <w:snapToGrid w:val="0"/>
        <w:spacing w:line="360" w:lineRule="auto"/>
        <w:ind w:firstLine="723" w:firstLineChars="200"/>
        <w:rPr>
          <w:rFonts w:hint="eastAsia" w:ascii="Times New Roman" w:hAnsi="Times New Roman" w:eastAsia="宋体" w:cs="Times New Roman"/>
          <w:b/>
          <w:spacing w:val="20"/>
          <w:kern w:val="0"/>
          <w:sz w:val="32"/>
          <w:szCs w:val="32"/>
          <w:u w:val="single"/>
          <w:lang w:eastAsia="zh-CN"/>
        </w:rPr>
      </w:pPr>
      <w:r>
        <w:rPr>
          <w:rFonts w:ascii="Times New Roman" w:hAnsi="Times New Roman" w:cs="Times New Roman"/>
          <w:b/>
          <w:spacing w:val="20"/>
          <w:kern w:val="0"/>
          <w:sz w:val="32"/>
          <w:szCs w:val="32"/>
        </w:rPr>
        <w:t>招标人：</w:t>
      </w:r>
      <w:r>
        <w:rPr>
          <w:rFonts w:hint="eastAsia" w:ascii="Times New Roman" w:hAnsi="Times New Roman" w:cs="Times New Roman"/>
          <w:b/>
          <w:spacing w:val="20"/>
          <w:kern w:val="0"/>
          <w:sz w:val="32"/>
          <w:szCs w:val="32"/>
          <w:u w:val="single"/>
          <w:lang w:eastAsia="zh-CN"/>
        </w:rPr>
        <w:t>合肥滨湖时光教育管理有限公司</w:t>
      </w:r>
    </w:p>
    <w:p w14:paraId="63B78ACE">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u w:val="single"/>
        </w:rPr>
      </w:pPr>
    </w:p>
    <w:p w14:paraId="41EA66EC">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u w:val="single"/>
        </w:rPr>
      </w:pPr>
    </w:p>
    <w:p w14:paraId="68BBD9EC">
      <w:pPr>
        <w:tabs>
          <w:tab w:val="left" w:pos="315"/>
          <w:tab w:val="left" w:pos="8820"/>
        </w:tabs>
        <w:spacing w:before="312" w:beforeLines="100" w:after="156" w:afterLines="50" w:line="500" w:lineRule="exact"/>
        <w:ind w:right="267" w:rightChars="127"/>
        <w:jc w:val="center"/>
        <w:rPr>
          <w:rFonts w:ascii="Times New Roman" w:hAnsi="Times New Roman" w:cs="Times New Roman"/>
          <w:b/>
          <w:sz w:val="36"/>
        </w:rPr>
      </w:pPr>
      <w:r>
        <w:rPr>
          <w:rFonts w:hint="eastAsia" w:ascii="Times New Roman" w:hAnsi="Times New Roman" w:cs="Times New Roman"/>
          <w:b/>
          <w:sz w:val="36"/>
          <w:u w:val="single"/>
        </w:rPr>
        <w:t xml:space="preserve"> </w:t>
      </w:r>
      <w:r>
        <w:rPr>
          <w:rFonts w:ascii="Times New Roman" w:hAnsi="Times New Roman" w:cs="Times New Roman"/>
          <w:b/>
          <w:sz w:val="36"/>
          <w:u w:val="single"/>
        </w:rPr>
        <w:t>202</w:t>
      </w:r>
      <w:r>
        <w:rPr>
          <w:rFonts w:hint="eastAsia" w:ascii="Times New Roman" w:hAnsi="Times New Roman" w:cs="Times New Roman"/>
          <w:b/>
          <w:sz w:val="36"/>
          <w:u w:val="single"/>
          <w:lang w:val="en-US" w:eastAsia="zh-CN"/>
        </w:rPr>
        <w:t>4</w:t>
      </w:r>
      <w:r>
        <w:rPr>
          <w:rFonts w:ascii="Times New Roman" w:hAnsi="Times New Roman" w:cs="Times New Roman"/>
          <w:b/>
          <w:sz w:val="36"/>
        </w:rPr>
        <w:t>年</w:t>
      </w:r>
      <w:r>
        <w:rPr>
          <w:rFonts w:hint="eastAsia" w:ascii="Times New Roman" w:hAnsi="Times New Roman" w:cs="Times New Roman"/>
          <w:b/>
          <w:sz w:val="36"/>
          <w:u w:val="single"/>
        </w:rPr>
        <w:t xml:space="preserve"> </w:t>
      </w:r>
      <w:r>
        <w:rPr>
          <w:rFonts w:hint="eastAsia" w:ascii="Times New Roman" w:hAnsi="Times New Roman" w:cs="Times New Roman"/>
          <w:b/>
          <w:sz w:val="36"/>
          <w:u w:val="single"/>
          <w:lang w:val="en-US" w:eastAsia="zh-CN"/>
        </w:rPr>
        <w:t>8</w:t>
      </w:r>
      <w:r>
        <w:rPr>
          <w:rFonts w:hint="eastAsia" w:ascii="Times New Roman" w:hAnsi="Times New Roman" w:cs="Times New Roman"/>
          <w:b/>
          <w:sz w:val="36"/>
          <w:u w:val="single"/>
        </w:rPr>
        <w:t xml:space="preserve"> </w:t>
      </w:r>
      <w:r>
        <w:rPr>
          <w:rFonts w:ascii="Times New Roman" w:hAnsi="Times New Roman" w:cs="Times New Roman"/>
          <w:b/>
          <w:sz w:val="36"/>
        </w:rPr>
        <w:t>月</w:t>
      </w:r>
    </w:p>
    <w:bookmarkEnd w:id="0"/>
    <w:p w14:paraId="5F6175C6">
      <w:pPr>
        <w:tabs>
          <w:tab w:val="left" w:pos="315"/>
          <w:tab w:val="left" w:pos="8820"/>
        </w:tabs>
        <w:spacing w:before="312" w:beforeLines="100" w:after="156" w:afterLines="50" w:line="500" w:lineRule="exact"/>
        <w:ind w:right="267" w:rightChars="127"/>
        <w:rPr>
          <w:rFonts w:ascii="Times New Roman" w:hAnsi="Times New Roman" w:cs="Times New Roman"/>
          <w:b/>
          <w:sz w:val="28"/>
        </w:rPr>
        <w:sectPr>
          <w:footerReference r:id="rId3" w:type="default"/>
          <w:pgSz w:w="11906" w:h="16838"/>
          <w:pgMar w:top="1417" w:right="1417" w:bottom="1417" w:left="1417" w:header="851" w:footer="992" w:gutter="0"/>
          <w:pgNumType w:start="1"/>
          <w:cols w:space="720" w:num="1"/>
          <w:docGrid w:type="lines" w:linePitch="312" w:charSpace="0"/>
        </w:sectPr>
      </w:pPr>
    </w:p>
    <w:p w14:paraId="6A71137E">
      <w:pPr>
        <w:tabs>
          <w:tab w:val="left" w:pos="2410"/>
        </w:tabs>
        <w:autoSpaceDE w:val="0"/>
        <w:autoSpaceDN w:val="0"/>
        <w:adjustRightInd w:val="0"/>
        <w:snapToGrid w:val="0"/>
        <w:spacing w:line="360" w:lineRule="auto"/>
        <w:jc w:val="center"/>
        <w:rPr>
          <w:rFonts w:ascii="Times New Roman" w:hAnsi="Times New Roman" w:cs="Times New Roman"/>
          <w:b/>
          <w:sz w:val="28"/>
        </w:rPr>
      </w:pPr>
      <w:r>
        <w:rPr>
          <w:rFonts w:ascii="Times New Roman" w:hAnsi="Times New Roman" w:cs="Times New Roman"/>
          <w:b/>
          <w:sz w:val="28"/>
        </w:rPr>
        <w:t>目  录</w:t>
      </w:r>
    </w:p>
    <w:p w14:paraId="62205332">
      <w:pPr>
        <w:pStyle w:val="34"/>
        <w:tabs>
          <w:tab w:val="right" w:leader="dot" w:pos="9072"/>
        </w:tabs>
        <w:rPr>
          <w:rFonts w:ascii="Times New Roman" w:hAnsi="Times New Roman" w:cs="Times New Roman"/>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fldChar w:fldCharType="begin"/>
      </w:r>
      <w:r>
        <w:instrText xml:space="preserve"> HYPERLINK \l "_Toc13708" </w:instrText>
      </w:r>
      <w:r>
        <w:fldChar w:fldCharType="separate"/>
      </w:r>
      <w:r>
        <w:rPr>
          <w:rFonts w:ascii="Times New Roman" w:hAnsi="Times New Roman" w:cs="Times New Roman"/>
        </w:rPr>
        <w:t>第一章  投标邀请（招标公告）</w:t>
      </w:r>
      <w:r>
        <w:rPr>
          <w:rFonts w:ascii="Times New Roman" w:hAnsi="Times New Roman" w:cs="Times New Roman"/>
        </w:rPr>
        <w:tab/>
      </w:r>
      <w:r>
        <w:rPr>
          <w:rFonts w:ascii="Times New Roman" w:hAnsi="Times New Roman" w:cs="Times New Roman"/>
        </w:rPr>
        <w:fldChar w:fldCharType="end"/>
      </w:r>
    </w:p>
    <w:p w14:paraId="5BF0FD7A">
      <w:pPr>
        <w:pStyle w:val="34"/>
        <w:tabs>
          <w:tab w:val="right" w:leader="dot" w:pos="9072"/>
        </w:tabs>
        <w:rPr>
          <w:rFonts w:ascii="Times New Roman" w:hAnsi="Times New Roman" w:cs="Times New Roman"/>
        </w:rPr>
      </w:pPr>
      <w:r>
        <w:fldChar w:fldCharType="begin"/>
      </w:r>
      <w:r>
        <w:instrText xml:space="preserve"> HYPERLINK \l "_Toc19060" </w:instrText>
      </w:r>
      <w:r>
        <w:fldChar w:fldCharType="separate"/>
      </w:r>
      <w:r>
        <w:rPr>
          <w:rFonts w:ascii="Times New Roman" w:hAnsi="Times New Roman" w:cs="Times New Roman"/>
        </w:rPr>
        <w:t>第二章  投标人须知</w:t>
      </w:r>
      <w:r>
        <w:rPr>
          <w:rFonts w:ascii="Times New Roman" w:hAnsi="Times New Roman" w:cs="Times New Roman"/>
        </w:rPr>
        <w:tab/>
      </w:r>
      <w:r>
        <w:rPr>
          <w:rFonts w:ascii="Times New Roman" w:hAnsi="Times New Roman" w:cs="Times New Roman"/>
        </w:rPr>
        <w:fldChar w:fldCharType="end"/>
      </w:r>
    </w:p>
    <w:p w14:paraId="7EB49DF8">
      <w:pPr>
        <w:pStyle w:val="34"/>
        <w:tabs>
          <w:tab w:val="right" w:leader="dot" w:pos="9072"/>
        </w:tabs>
        <w:rPr>
          <w:rFonts w:ascii="Times New Roman" w:hAnsi="Times New Roman" w:cs="Times New Roman"/>
          <w:szCs w:val="24"/>
        </w:rPr>
      </w:pPr>
      <w:r>
        <w:fldChar w:fldCharType="begin"/>
      </w:r>
      <w:r>
        <w:instrText xml:space="preserve"> HYPERLINK \l "_Toc27373" </w:instrText>
      </w:r>
      <w:r>
        <w:fldChar w:fldCharType="separate"/>
      </w:r>
      <w:r>
        <w:rPr>
          <w:rFonts w:ascii="Times New Roman" w:hAnsi="Times New Roman" w:cs="Times New Roman"/>
        </w:rPr>
        <w:t>第</w:t>
      </w:r>
      <w:r>
        <w:rPr>
          <w:rFonts w:hint="eastAsia" w:ascii="Times New Roman" w:hAnsi="Times New Roman" w:cs="Times New Roman"/>
        </w:rPr>
        <w:t>三</w:t>
      </w:r>
      <w:r>
        <w:rPr>
          <w:rFonts w:ascii="Times New Roman" w:hAnsi="Times New Roman" w:cs="Times New Roman"/>
        </w:rPr>
        <w:t xml:space="preserve">章  </w:t>
      </w:r>
      <w:r>
        <w:rPr>
          <w:rFonts w:hint="eastAsia" w:ascii="Times New Roman" w:hAnsi="Times New Roman" w:cs="Times New Roman"/>
        </w:rPr>
        <w:t>招标</w:t>
      </w:r>
      <w:r>
        <w:rPr>
          <w:rFonts w:ascii="Times New Roman" w:hAnsi="Times New Roman" w:cs="Times New Roman"/>
        </w:rPr>
        <w:t>要求</w:t>
      </w:r>
      <w:r>
        <w:rPr>
          <w:rFonts w:ascii="Times New Roman" w:hAnsi="Times New Roman" w:cs="Times New Roman"/>
        </w:rPr>
        <w:tab/>
      </w:r>
      <w:r>
        <w:rPr>
          <w:rFonts w:ascii="Times New Roman" w:hAnsi="Times New Roman" w:cs="Times New Roman"/>
        </w:rPr>
        <w:fldChar w:fldCharType="end"/>
      </w:r>
    </w:p>
    <w:p w14:paraId="0EE6E128">
      <w:pPr>
        <w:pStyle w:val="34"/>
        <w:tabs>
          <w:tab w:val="right" w:leader="dot" w:pos="9072"/>
        </w:tabs>
        <w:rPr>
          <w:rFonts w:ascii="Times New Roman" w:hAnsi="Times New Roman" w:cs="Times New Roman"/>
        </w:rPr>
      </w:pPr>
      <w:r>
        <w:fldChar w:fldCharType="begin"/>
      </w:r>
      <w:r>
        <w:instrText xml:space="preserve"> HYPERLINK \l "_Toc15352" </w:instrText>
      </w:r>
      <w:r>
        <w:fldChar w:fldCharType="separate"/>
      </w:r>
      <w:r>
        <w:rPr>
          <w:rFonts w:ascii="Times New Roman" w:hAnsi="Times New Roman" w:cs="Times New Roman" w:eastAsiaTheme="minorEastAsia"/>
        </w:rPr>
        <w:t>第</w:t>
      </w:r>
      <w:r>
        <w:rPr>
          <w:rFonts w:hint="eastAsia" w:ascii="Times New Roman" w:hAnsi="Times New Roman" w:cs="Times New Roman" w:eastAsiaTheme="minorEastAsia"/>
        </w:rPr>
        <w:t>四</w:t>
      </w:r>
      <w:r>
        <w:rPr>
          <w:rFonts w:ascii="Times New Roman" w:hAnsi="Times New Roman" w:cs="Times New Roman" w:eastAsiaTheme="minorEastAsia"/>
        </w:rPr>
        <w:t>章  评标办法</w:t>
      </w:r>
      <w:r>
        <w:rPr>
          <w:rFonts w:ascii="Times New Roman" w:hAnsi="Times New Roman" w:cs="Times New Roman"/>
        </w:rPr>
        <w:tab/>
      </w:r>
      <w:r>
        <w:rPr>
          <w:rFonts w:ascii="Times New Roman" w:hAnsi="Times New Roman" w:cs="Times New Roman"/>
        </w:rPr>
        <w:fldChar w:fldCharType="end"/>
      </w:r>
    </w:p>
    <w:p w14:paraId="3AFE3131">
      <w:pPr>
        <w:pStyle w:val="34"/>
        <w:tabs>
          <w:tab w:val="right" w:leader="dot" w:pos="9072"/>
        </w:tabs>
        <w:rPr>
          <w:rFonts w:ascii="Times New Roman" w:hAnsi="Times New Roman" w:cs="Times New Roman"/>
        </w:rPr>
      </w:pPr>
      <w:r>
        <w:fldChar w:fldCharType="begin"/>
      </w:r>
      <w:r>
        <w:instrText xml:space="preserve"> HYPERLINK \l "_Toc17261" </w:instrText>
      </w:r>
      <w:r>
        <w:fldChar w:fldCharType="separate"/>
      </w:r>
      <w:r>
        <w:rPr>
          <w:rFonts w:ascii="Times New Roman" w:hAnsi="Times New Roman" w:cs="Times New Roman" w:eastAsiaTheme="minorEastAsia"/>
        </w:rPr>
        <w:t>第</w:t>
      </w:r>
      <w:r>
        <w:rPr>
          <w:rFonts w:hint="eastAsia" w:ascii="Times New Roman" w:hAnsi="Times New Roman" w:cs="Times New Roman" w:eastAsiaTheme="minorEastAsia"/>
        </w:rPr>
        <w:t>五</w:t>
      </w:r>
      <w:r>
        <w:rPr>
          <w:rFonts w:ascii="Times New Roman" w:hAnsi="Times New Roman" w:cs="Times New Roman" w:eastAsiaTheme="minorEastAsia"/>
        </w:rPr>
        <w:t>章  合同条款及格式</w:t>
      </w:r>
      <w:r>
        <w:rPr>
          <w:rFonts w:ascii="Times New Roman" w:hAnsi="Times New Roman" w:cs="Times New Roman"/>
        </w:rPr>
        <w:tab/>
      </w:r>
      <w:r>
        <w:rPr>
          <w:rFonts w:ascii="Times New Roman" w:hAnsi="Times New Roman" w:cs="Times New Roman"/>
        </w:rPr>
        <w:fldChar w:fldCharType="end"/>
      </w:r>
    </w:p>
    <w:p w14:paraId="62905C4C">
      <w:pPr>
        <w:pStyle w:val="34"/>
        <w:tabs>
          <w:tab w:val="right" w:leader="dot" w:pos="9072"/>
        </w:tabs>
        <w:rPr>
          <w:rFonts w:ascii="Times New Roman" w:hAnsi="Times New Roman" w:cs="Times New Roman"/>
        </w:rPr>
      </w:pPr>
      <w:r>
        <w:fldChar w:fldCharType="begin"/>
      </w:r>
      <w:r>
        <w:instrText xml:space="preserve"> HYPERLINK \l "_Toc29760" </w:instrText>
      </w:r>
      <w:r>
        <w:fldChar w:fldCharType="separate"/>
      </w:r>
      <w:r>
        <w:rPr>
          <w:rFonts w:ascii="Times New Roman" w:hAnsi="Times New Roman" w:cs="Times New Roman"/>
        </w:rPr>
        <w:t>第六章  投标文件格式</w:t>
      </w:r>
      <w:r>
        <w:rPr>
          <w:rFonts w:ascii="Times New Roman" w:hAnsi="Times New Roman" w:cs="Times New Roman"/>
        </w:rPr>
        <w:tab/>
      </w:r>
      <w:r>
        <w:rPr>
          <w:rFonts w:ascii="Times New Roman" w:hAnsi="Times New Roman" w:cs="Times New Roman"/>
        </w:rPr>
        <w:fldChar w:fldCharType="end"/>
      </w:r>
    </w:p>
    <w:p w14:paraId="36AC9AC9">
      <w:pPr>
        <w:pStyle w:val="34"/>
        <w:tabs>
          <w:tab w:val="right" w:leader="dot" w:pos="9072"/>
        </w:tabs>
        <w:rPr>
          <w:rFonts w:ascii="Times New Roman" w:hAnsi="Times New Roman" w:cs="Times New Roman"/>
        </w:rPr>
      </w:pPr>
      <w:r>
        <w:rPr>
          <w:rFonts w:ascii="Times New Roman" w:hAnsi="Times New Roman" w:cs="Times New Roman"/>
          <w:szCs w:val="24"/>
        </w:rPr>
        <w:fldChar w:fldCharType="end"/>
      </w:r>
    </w:p>
    <w:p w14:paraId="2805113C">
      <w:pPr>
        <w:rPr>
          <w:rFonts w:ascii="Times New Roman" w:hAnsi="Times New Roman" w:cs="Times New Roman"/>
        </w:rPr>
        <w:sectPr>
          <w:headerReference r:id="rId4" w:type="default"/>
          <w:footerReference r:id="rId5" w:type="default"/>
          <w:pgSz w:w="11906" w:h="16838"/>
          <w:pgMar w:top="1417" w:right="1417" w:bottom="1417" w:left="1417" w:header="851" w:footer="992" w:gutter="0"/>
          <w:cols w:space="720" w:num="1"/>
          <w:docGrid w:type="lines" w:linePitch="312" w:charSpace="0"/>
        </w:sectPr>
      </w:pPr>
    </w:p>
    <w:p w14:paraId="6984DFE4">
      <w:pPr>
        <w:spacing w:line="360" w:lineRule="auto"/>
        <w:jc w:val="center"/>
        <w:outlineLvl w:val="1"/>
        <w:rPr>
          <w:rFonts w:ascii="Times New Roman" w:hAnsi="Times New Roman" w:cs="Times New Roman"/>
          <w:b/>
          <w:sz w:val="28"/>
        </w:rPr>
      </w:pPr>
      <w:bookmarkStart w:id="1" w:name="_Toc13708"/>
      <w:r>
        <w:rPr>
          <w:rFonts w:ascii="Times New Roman" w:hAnsi="Times New Roman" w:cs="Times New Roman"/>
          <w:b/>
          <w:sz w:val="28"/>
        </w:rPr>
        <w:t>第一章  投标邀请（招标公告）</w:t>
      </w:r>
      <w:bookmarkEnd w:id="1"/>
    </w:p>
    <w:p w14:paraId="2C500783">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Times New Roman" w:hAnsi="Times New Roman" w:cs="Times New Roman"/>
          <w:spacing w:val="20"/>
          <w:sz w:val="24"/>
          <w:szCs w:val="24"/>
          <w:highlight w:val="none"/>
        </w:rPr>
      </w:pPr>
      <w:bookmarkStart w:id="2" w:name="_Toc28359003"/>
      <w:bookmarkStart w:id="3" w:name="_Toc35393791"/>
      <w:bookmarkStart w:id="4" w:name="_Toc35393622"/>
      <w:bookmarkStart w:id="5" w:name="_Toc28359080"/>
      <w:r>
        <w:rPr>
          <w:rFonts w:hint="eastAsia" w:ascii="Times New Roman" w:hAnsi="Times New Roman" w:cs="Times New Roman"/>
          <w:spacing w:val="20"/>
          <w:sz w:val="24"/>
          <w:szCs w:val="24"/>
        </w:rPr>
        <w:t>项目概况</w:t>
      </w:r>
    </w:p>
    <w:p w14:paraId="52B17EE7">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Times New Roman" w:hAnsi="Times New Roman" w:cs="Times New Roman"/>
          <w:sz w:val="24"/>
          <w:szCs w:val="24"/>
          <w:highlight w:val="none"/>
        </w:rPr>
      </w:pPr>
      <w:r>
        <w:rPr>
          <w:rFonts w:hint="eastAsia" w:ascii="Times New Roman" w:hAnsi="Times New Roman" w:cs="Times New Roman"/>
          <w:spacing w:val="20"/>
          <w:sz w:val="24"/>
          <w:szCs w:val="24"/>
          <w:highlight w:val="none"/>
          <w:u w:val="single"/>
          <w:lang w:eastAsia="zh-CN"/>
        </w:rPr>
        <w:t>望湖城公共文化空间智能化设备采购</w:t>
      </w:r>
      <w:r>
        <w:rPr>
          <w:rFonts w:ascii="Times New Roman" w:hAnsi="Times New Roman" w:cs="Times New Roman"/>
          <w:spacing w:val="20"/>
          <w:sz w:val="24"/>
          <w:szCs w:val="24"/>
          <w:highlight w:val="none"/>
          <w:u w:val="single"/>
        </w:rPr>
        <w:t xml:space="preserve"> </w:t>
      </w:r>
      <w:r>
        <w:rPr>
          <w:rFonts w:ascii="Times New Roman" w:hAnsi="Times New Roman" w:cs="Times New Roman"/>
          <w:spacing w:val="20"/>
          <w:sz w:val="24"/>
          <w:szCs w:val="24"/>
          <w:highlight w:val="none"/>
        </w:rPr>
        <w:t>的潜在投标人应在</w:t>
      </w:r>
      <w:r>
        <w:rPr>
          <w:rFonts w:hint="eastAsia" w:ascii="Times New Roman" w:hAnsi="Times New Roman" w:cs="Times New Roman"/>
          <w:spacing w:val="20"/>
          <w:sz w:val="24"/>
          <w:szCs w:val="24"/>
          <w:highlight w:val="none"/>
          <w:u w:val="single"/>
          <w:lang w:eastAsia="zh-CN"/>
        </w:rPr>
        <w:t>合肥滨湖时光产业投资集团有限公司</w:t>
      </w:r>
      <w:r>
        <w:rPr>
          <w:rFonts w:ascii="Times New Roman" w:hAnsi="Times New Roman" w:cs="Times New Roman"/>
          <w:spacing w:val="20"/>
          <w:kern w:val="10"/>
          <w:sz w:val="24"/>
          <w:szCs w:val="24"/>
          <w:highlight w:val="none"/>
          <w:u w:val="single"/>
        </w:rPr>
        <w:t>官方网站</w:t>
      </w:r>
      <w:r>
        <w:rPr>
          <w:rFonts w:hint="eastAsia" w:ascii="Times New Roman" w:hAnsi="Times New Roman" w:cs="Times New Roman"/>
          <w:spacing w:val="20"/>
          <w:sz w:val="24"/>
          <w:szCs w:val="24"/>
          <w:highlight w:val="none"/>
          <w:u w:val="single"/>
          <w:lang w:eastAsia="zh-CN"/>
        </w:rPr>
        <w:t>http://bhsggroup.cn/</w:t>
      </w:r>
      <w:r>
        <w:rPr>
          <w:rFonts w:ascii="Times New Roman" w:hAnsi="Times New Roman" w:cs="Times New Roman"/>
          <w:sz w:val="24"/>
          <w:szCs w:val="24"/>
          <w:highlight w:val="none"/>
        </w:rPr>
        <w:t>获取招标文件，并于</w:t>
      </w:r>
      <w:r>
        <w:rPr>
          <w:rFonts w:hint="eastAsia" w:ascii="Times New Roman" w:hAnsi="Times New Roman" w:cs="Times New Roman"/>
          <w:sz w:val="24"/>
          <w:szCs w:val="24"/>
          <w:highlight w:val="none"/>
          <w:u w:val="single"/>
        </w:rPr>
        <w:t xml:space="preserve">  202</w:t>
      </w:r>
      <w:r>
        <w:rPr>
          <w:rFonts w:hint="eastAsia" w:ascii="Times New Roman" w:hAnsi="Times New Roman" w:cs="Times New Roman"/>
          <w:sz w:val="24"/>
          <w:szCs w:val="24"/>
          <w:highlight w:val="none"/>
          <w:u w:val="single"/>
          <w:lang w:val="en-US" w:eastAsia="zh-CN"/>
        </w:rPr>
        <w:t>4</w:t>
      </w:r>
      <w:r>
        <w:rPr>
          <w:rFonts w:hint="eastAsia" w:ascii="Times New Roman" w:hAnsi="Times New Roman" w:cs="Times New Roman"/>
          <w:sz w:val="24"/>
          <w:szCs w:val="24"/>
          <w:highlight w:val="none"/>
          <w:u w:val="single"/>
        </w:rPr>
        <w:t>年</w:t>
      </w:r>
      <w:r>
        <w:rPr>
          <w:rFonts w:ascii="Times New Roman" w:hAnsi="Times New Roman"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8</w:t>
      </w:r>
      <w:r>
        <w:rPr>
          <w:rFonts w:hint="eastAsia" w:ascii="Times New Roman" w:hAnsi="Times New Roman" w:cs="Times New Roman"/>
          <w:sz w:val="24"/>
          <w:szCs w:val="24"/>
          <w:highlight w:val="none"/>
          <w:u w:val="single"/>
        </w:rPr>
        <w:t>月</w:t>
      </w:r>
      <w:r>
        <w:rPr>
          <w:rFonts w:ascii="Times New Roman" w:hAnsi="Times New Roman"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26</w:t>
      </w:r>
      <w:r>
        <w:rPr>
          <w:rFonts w:ascii="Times New Roman" w:hAnsi="Times New Roman" w:cs="Times New Roman"/>
          <w:sz w:val="24"/>
          <w:szCs w:val="24"/>
          <w:highlight w:val="none"/>
          <w:u w:val="single"/>
        </w:rPr>
        <w:t xml:space="preserve"> </w:t>
      </w:r>
      <w:r>
        <w:rPr>
          <w:rFonts w:hint="eastAsia" w:ascii="Times New Roman" w:hAnsi="Times New Roman" w:cs="Times New Roman"/>
          <w:sz w:val="24"/>
          <w:szCs w:val="24"/>
          <w:highlight w:val="none"/>
          <w:u w:val="single"/>
        </w:rPr>
        <w:t>日</w:t>
      </w:r>
      <w:r>
        <w:rPr>
          <w:rFonts w:hint="eastAsia" w:ascii="宋体" w:hAnsi="宋体" w:eastAsia="宋体" w:cs="宋体"/>
          <w:i w:val="0"/>
          <w:iCs w:val="0"/>
          <w:caps w:val="0"/>
          <w:color w:val="333333"/>
          <w:spacing w:val="0"/>
          <w:kern w:val="0"/>
          <w:sz w:val="24"/>
          <w:szCs w:val="24"/>
          <w:u w:val="single"/>
          <w:lang w:val="en-US" w:eastAsia="zh-CN" w:bidi="ar"/>
        </w:rPr>
        <w:t>9</w:t>
      </w:r>
      <w:r>
        <w:rPr>
          <w:rFonts w:ascii="宋体" w:hAnsi="宋体" w:eastAsia="宋体" w:cs="宋体"/>
          <w:i w:val="0"/>
          <w:iCs w:val="0"/>
          <w:caps w:val="0"/>
          <w:color w:val="333333"/>
          <w:spacing w:val="0"/>
          <w:kern w:val="0"/>
          <w:sz w:val="24"/>
          <w:szCs w:val="24"/>
          <w:u w:val="single"/>
          <w:lang w:val="en-US" w:eastAsia="zh-CN" w:bidi="ar"/>
        </w:rPr>
        <w:t>点</w:t>
      </w:r>
      <w:r>
        <w:rPr>
          <w:rFonts w:hint="eastAsia" w:ascii="宋体" w:hAnsi="宋体" w:eastAsia="宋体" w:cs="宋体"/>
          <w:i w:val="0"/>
          <w:iCs w:val="0"/>
          <w:caps w:val="0"/>
          <w:color w:val="333333"/>
          <w:spacing w:val="0"/>
          <w:kern w:val="0"/>
          <w:sz w:val="24"/>
          <w:szCs w:val="24"/>
          <w:u w:val="single"/>
          <w:lang w:val="en-US" w:eastAsia="zh-CN" w:bidi="ar"/>
        </w:rPr>
        <w:t>3</w:t>
      </w:r>
      <w:r>
        <w:rPr>
          <w:rFonts w:ascii="宋体" w:hAnsi="宋体" w:eastAsia="宋体" w:cs="宋体"/>
          <w:i w:val="0"/>
          <w:iCs w:val="0"/>
          <w:caps w:val="0"/>
          <w:color w:val="333333"/>
          <w:spacing w:val="0"/>
          <w:kern w:val="0"/>
          <w:sz w:val="24"/>
          <w:szCs w:val="24"/>
          <w:u w:val="single"/>
          <w:lang w:val="en-US" w:eastAsia="zh-CN" w:bidi="ar"/>
        </w:rPr>
        <w:t>0分</w:t>
      </w:r>
      <w:r>
        <w:rPr>
          <w:rFonts w:ascii="Times New Roman" w:hAnsi="Times New Roman" w:cs="Times New Roman"/>
          <w:sz w:val="24"/>
          <w:szCs w:val="24"/>
          <w:highlight w:val="none"/>
          <w:u w:val="single"/>
        </w:rPr>
        <w:t xml:space="preserve"> </w:t>
      </w:r>
      <w:r>
        <w:rPr>
          <w:rFonts w:ascii="Times New Roman" w:hAnsi="Times New Roman" w:cs="Times New Roman"/>
          <w:bCs/>
          <w:sz w:val="24"/>
          <w:szCs w:val="24"/>
          <w:highlight w:val="none"/>
        </w:rPr>
        <w:t>（北京时间）前递交投标文件</w:t>
      </w:r>
      <w:r>
        <w:rPr>
          <w:rFonts w:ascii="Times New Roman" w:hAnsi="Times New Roman" w:cs="Times New Roman"/>
          <w:sz w:val="24"/>
          <w:szCs w:val="24"/>
          <w:highlight w:val="none"/>
        </w:rPr>
        <w:t>。</w:t>
      </w:r>
    </w:p>
    <w:p w14:paraId="3C8D4309">
      <w:pPr>
        <w:snapToGrid w:val="0"/>
        <w:spacing w:line="360" w:lineRule="auto"/>
        <w:rPr>
          <w:rFonts w:ascii="Times New Roman" w:hAnsi="Times New Roman" w:cs="Times New Roman"/>
          <w:sz w:val="24"/>
          <w:szCs w:val="24"/>
          <w:highlight w:val="none"/>
        </w:rPr>
      </w:pPr>
    </w:p>
    <w:p w14:paraId="130BF9B6">
      <w:pPr>
        <w:snapToGrid w:val="0"/>
        <w:spacing w:line="360" w:lineRule="auto"/>
        <w:ind w:firstLine="482" w:firstLineChars="200"/>
        <w:rPr>
          <w:rFonts w:ascii="Times New Roman" w:hAnsi="Times New Roman" w:cs="Times New Roman"/>
          <w:b/>
          <w:bCs/>
          <w:sz w:val="24"/>
          <w:szCs w:val="24"/>
          <w:highlight w:val="none"/>
        </w:rPr>
      </w:pPr>
      <w:bookmarkStart w:id="6" w:name="_Toc35393790"/>
      <w:bookmarkStart w:id="7" w:name="_Toc28359079"/>
      <w:bookmarkStart w:id="8" w:name="_Toc35393621"/>
      <w:bookmarkStart w:id="9" w:name="_Toc28359002"/>
      <w:bookmarkStart w:id="10" w:name="_Hlk24379207"/>
      <w:r>
        <w:rPr>
          <w:rFonts w:ascii="Times New Roman" w:hAnsi="Times New Roman" w:cs="Times New Roman"/>
          <w:b/>
          <w:bCs/>
          <w:sz w:val="24"/>
          <w:szCs w:val="24"/>
          <w:highlight w:val="none"/>
        </w:rPr>
        <w:t>一、</w:t>
      </w:r>
      <w:bookmarkEnd w:id="6"/>
      <w:bookmarkEnd w:id="7"/>
      <w:bookmarkEnd w:id="8"/>
      <w:bookmarkEnd w:id="9"/>
      <w:r>
        <w:rPr>
          <w:rFonts w:ascii="Times New Roman" w:hAnsi="Times New Roman" w:cs="Times New Roman"/>
          <w:b/>
          <w:bCs/>
          <w:sz w:val="24"/>
          <w:szCs w:val="18"/>
          <w:highlight w:val="none"/>
        </w:rPr>
        <w:t>项目名称及内容</w:t>
      </w:r>
    </w:p>
    <w:p w14:paraId="2BFD8F0B">
      <w:pPr>
        <w:tabs>
          <w:tab w:val="left" w:pos="2410"/>
        </w:tabs>
        <w:autoSpaceDE w:val="0"/>
        <w:autoSpaceDN w:val="0"/>
        <w:adjustRightInd w:val="0"/>
        <w:snapToGrid w:val="0"/>
        <w:spacing w:line="360" w:lineRule="auto"/>
        <w:ind w:firstLine="480" w:firstLineChars="200"/>
        <w:rPr>
          <w:rFonts w:ascii="Times New Roman" w:hAnsi="Times New Roman" w:cs="Times New Roman"/>
          <w:sz w:val="24"/>
          <w:szCs w:val="24"/>
          <w:highlight w:val="none"/>
          <w:u w:val="single"/>
        </w:rPr>
      </w:pPr>
      <w:r>
        <w:rPr>
          <w:rFonts w:ascii="Times New Roman" w:hAnsi="Times New Roman" w:cs="Times New Roman"/>
          <w:sz w:val="24"/>
          <w:szCs w:val="24"/>
          <w:highlight w:val="none"/>
        </w:rPr>
        <w:t>1.项目编号：</w:t>
      </w:r>
      <w:r>
        <w:rPr>
          <w:rFonts w:hint="eastAsia" w:ascii="Times New Roman" w:hAnsi="Times New Roman" w:cs="Times New Roman"/>
          <w:sz w:val="24"/>
          <w:szCs w:val="24"/>
          <w:highlight w:val="none"/>
        </w:rPr>
        <w:t xml:space="preserve"> </w:t>
      </w:r>
      <w:r>
        <w:rPr>
          <w:rFonts w:ascii="Times New Roman" w:hAnsi="Times New Roman" w:cs="Times New Roman"/>
          <w:sz w:val="24"/>
          <w:szCs w:val="24"/>
          <w:highlight w:val="none"/>
          <w:u w:val="single"/>
        </w:rPr>
        <w:t xml:space="preserve">   </w:t>
      </w:r>
      <w:r>
        <w:rPr>
          <w:rFonts w:hint="eastAsia" w:ascii="Times New Roman" w:hAnsi="Times New Roman" w:cs="Times New Roman"/>
          <w:sz w:val="24"/>
          <w:szCs w:val="24"/>
          <w:highlight w:val="none"/>
          <w:u w:val="single"/>
        </w:rPr>
        <w:t>JSCM-ZTB-202</w:t>
      </w:r>
      <w:r>
        <w:rPr>
          <w:rFonts w:hint="eastAsia" w:ascii="Times New Roman" w:hAnsi="Times New Roman" w:cs="Times New Roman"/>
          <w:sz w:val="24"/>
          <w:szCs w:val="24"/>
          <w:highlight w:val="none"/>
          <w:u w:val="single"/>
          <w:lang w:val="en-US" w:eastAsia="zh-CN"/>
        </w:rPr>
        <w:t>4</w:t>
      </w:r>
      <w:r>
        <w:rPr>
          <w:rFonts w:hint="eastAsia" w:ascii="Times New Roman" w:hAnsi="Times New Roman" w:cs="Times New Roman"/>
          <w:sz w:val="24"/>
          <w:szCs w:val="24"/>
          <w:highlight w:val="none"/>
          <w:u w:val="single"/>
        </w:rPr>
        <w:t>-0</w:t>
      </w:r>
      <w:r>
        <w:rPr>
          <w:rFonts w:hint="eastAsia" w:ascii="Times New Roman" w:hAnsi="Times New Roman" w:cs="Times New Roman"/>
          <w:sz w:val="24"/>
          <w:szCs w:val="24"/>
          <w:highlight w:val="none"/>
          <w:u w:val="single"/>
          <w:lang w:val="en-US" w:eastAsia="zh-CN"/>
        </w:rPr>
        <w:t>1</w:t>
      </w:r>
      <w:r>
        <w:rPr>
          <w:rFonts w:ascii="Times New Roman" w:hAnsi="Times New Roman" w:cs="Times New Roman"/>
          <w:sz w:val="24"/>
          <w:szCs w:val="24"/>
          <w:highlight w:val="none"/>
          <w:u w:val="single"/>
        </w:rPr>
        <w:t xml:space="preserve">   </w:t>
      </w:r>
    </w:p>
    <w:p w14:paraId="4378A916">
      <w:pPr>
        <w:snapToGrid w:val="0"/>
        <w:spacing w:line="360" w:lineRule="auto"/>
        <w:ind w:firstLine="480" w:firstLineChars="200"/>
        <w:rPr>
          <w:rFonts w:hint="eastAsia" w:ascii="Times New Roman" w:hAnsi="Times New Roman" w:eastAsia="宋体" w:cs="Times New Roman"/>
          <w:sz w:val="24"/>
          <w:szCs w:val="24"/>
          <w:highlight w:val="none"/>
          <w:u w:val="single"/>
          <w:lang w:eastAsia="zh-CN"/>
        </w:rPr>
      </w:pPr>
      <w:r>
        <w:rPr>
          <w:rFonts w:ascii="Times New Roman" w:hAnsi="Times New Roman" w:cs="Times New Roman"/>
          <w:sz w:val="24"/>
          <w:szCs w:val="24"/>
          <w:highlight w:val="none"/>
        </w:rPr>
        <w:t>2.项目名称：</w:t>
      </w:r>
      <w:bookmarkEnd w:id="10"/>
      <w:r>
        <w:rPr>
          <w:rFonts w:hint="eastAsia" w:ascii="Times New Roman" w:hAnsi="Times New Roman" w:cs="Times New Roman"/>
          <w:spacing w:val="20"/>
          <w:sz w:val="24"/>
          <w:szCs w:val="24"/>
          <w:highlight w:val="none"/>
          <w:u w:val="single"/>
          <w:lang w:eastAsia="zh-CN"/>
        </w:rPr>
        <w:t>望湖城公共文化空间智能化设备采购</w:t>
      </w:r>
    </w:p>
    <w:p w14:paraId="26CE4FDE">
      <w:pPr>
        <w:snapToGrid w:val="0"/>
        <w:spacing w:line="360" w:lineRule="auto"/>
        <w:ind w:firstLine="480" w:firstLineChars="200"/>
        <w:rPr>
          <w:rFonts w:ascii="Times New Roman" w:hAnsi="Times New Roman" w:cs="Times New Roman"/>
          <w:sz w:val="24"/>
          <w:szCs w:val="24"/>
          <w:highlight w:val="none"/>
          <w:u w:val="single"/>
        </w:rPr>
      </w:pPr>
      <w:r>
        <w:rPr>
          <w:rFonts w:ascii="Times New Roman" w:hAnsi="Times New Roman" w:cs="Times New Roman"/>
          <w:sz w:val="24"/>
          <w:szCs w:val="24"/>
          <w:highlight w:val="none"/>
        </w:rPr>
        <w:t>3.项目地点：</w:t>
      </w:r>
      <w:r>
        <w:rPr>
          <w:rFonts w:ascii="Times New Roman" w:hAnsi="Times New Roman" w:cs="Times New Roman"/>
          <w:sz w:val="24"/>
          <w:szCs w:val="24"/>
          <w:highlight w:val="none"/>
          <w:u w:val="single"/>
        </w:rPr>
        <w:t>合肥市包河区</w:t>
      </w:r>
    </w:p>
    <w:p w14:paraId="3E11F82F">
      <w:pPr>
        <w:snapToGrid w:val="0"/>
        <w:spacing w:line="360" w:lineRule="auto"/>
        <w:ind w:left="479" w:leftChars="228"/>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4.项目概况：</w:t>
      </w:r>
      <w:r>
        <w:rPr>
          <w:rFonts w:hint="eastAsia" w:ascii="Times New Roman" w:hAnsi="Times New Roman" w:cs="Times New Roman"/>
          <w:spacing w:val="20"/>
          <w:sz w:val="24"/>
          <w:szCs w:val="24"/>
          <w:highlight w:val="none"/>
          <w:u w:val="single"/>
          <w:lang w:eastAsia="zh-CN"/>
        </w:rPr>
        <w:t>望湖城公共文化空间智能化设备采购</w:t>
      </w:r>
      <w:r>
        <w:rPr>
          <w:rFonts w:hint="eastAsia" w:ascii="Times New Roman" w:hAnsi="Times New Roman" w:cs="Times New Roman"/>
          <w:sz w:val="24"/>
          <w:szCs w:val="24"/>
          <w:highlight w:val="none"/>
          <w:u w:val="single"/>
        </w:rPr>
        <w:t>、安装、调试等。</w:t>
      </w:r>
    </w:p>
    <w:p w14:paraId="64ECBF52">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5</w:t>
      </w:r>
      <w:r>
        <w:rPr>
          <w:rFonts w:ascii="Times New Roman" w:hAnsi="Times New Roman" w:cs="Times New Roman"/>
          <w:sz w:val="24"/>
          <w:szCs w:val="24"/>
          <w:highlight w:val="none"/>
        </w:rPr>
        <w:t>.项目预算：</w:t>
      </w:r>
      <w:r>
        <w:rPr>
          <w:rFonts w:hint="eastAsia" w:ascii="Times New Roman" w:hAnsi="Times New Roman" w:cs="Times New Roman"/>
          <w:sz w:val="24"/>
          <w:szCs w:val="24"/>
          <w:highlight w:val="none"/>
          <w:u w:val="single"/>
        </w:rPr>
        <w:t>2</w:t>
      </w:r>
      <w:r>
        <w:rPr>
          <w:rFonts w:hint="eastAsia" w:ascii="Times New Roman" w:hAnsi="Times New Roman" w:cs="Times New Roman"/>
          <w:sz w:val="24"/>
          <w:szCs w:val="24"/>
          <w:highlight w:val="none"/>
          <w:u w:val="single"/>
          <w:lang w:val="en-US" w:eastAsia="zh-CN"/>
        </w:rPr>
        <w:t>0</w:t>
      </w:r>
      <w:r>
        <w:rPr>
          <w:rFonts w:ascii="Times New Roman" w:hAnsi="Times New Roman" w:cs="Times New Roman"/>
          <w:sz w:val="24"/>
          <w:szCs w:val="24"/>
          <w:highlight w:val="none"/>
          <w:u w:val="single"/>
        </w:rPr>
        <w:t>万元</w:t>
      </w:r>
    </w:p>
    <w:p w14:paraId="5D6EEB5E">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6</w:t>
      </w:r>
      <w:r>
        <w:rPr>
          <w:rFonts w:ascii="Times New Roman" w:hAnsi="Times New Roman" w:cs="Times New Roman"/>
          <w:sz w:val="24"/>
          <w:szCs w:val="24"/>
          <w:highlight w:val="none"/>
        </w:rPr>
        <w:t>.最高限价：</w:t>
      </w:r>
      <w:r>
        <w:rPr>
          <w:rFonts w:hint="eastAsia" w:ascii="Times New Roman" w:hAnsi="Times New Roman" w:cs="Times New Roman"/>
          <w:sz w:val="24"/>
          <w:szCs w:val="24"/>
          <w:highlight w:val="none"/>
          <w:u w:val="single"/>
        </w:rPr>
        <w:t>2</w:t>
      </w:r>
      <w:r>
        <w:rPr>
          <w:rFonts w:hint="eastAsia" w:ascii="Times New Roman" w:hAnsi="Times New Roman" w:cs="Times New Roman"/>
          <w:sz w:val="24"/>
          <w:szCs w:val="24"/>
          <w:highlight w:val="none"/>
          <w:u w:val="single"/>
          <w:lang w:val="en-US" w:eastAsia="zh-CN"/>
        </w:rPr>
        <w:t>0</w:t>
      </w:r>
      <w:r>
        <w:rPr>
          <w:rFonts w:ascii="Times New Roman" w:hAnsi="Times New Roman" w:cs="Times New Roman"/>
          <w:sz w:val="24"/>
          <w:szCs w:val="24"/>
          <w:highlight w:val="none"/>
          <w:u w:val="single"/>
        </w:rPr>
        <w:t>万元</w:t>
      </w:r>
    </w:p>
    <w:p w14:paraId="0827FE13">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7</w:t>
      </w:r>
      <w:r>
        <w:rPr>
          <w:rFonts w:ascii="Times New Roman" w:hAnsi="Times New Roman" w:cs="Times New Roman"/>
          <w:sz w:val="24"/>
          <w:szCs w:val="24"/>
          <w:highlight w:val="none"/>
        </w:rPr>
        <w:t>.项目类别：</w:t>
      </w:r>
      <w:r>
        <w:rPr>
          <w:rFonts w:hint="eastAsia" w:ascii="Times New Roman" w:hAnsi="Times New Roman" w:cs="Times New Roman"/>
          <w:sz w:val="24"/>
          <w:szCs w:val="24"/>
          <w:highlight w:val="none"/>
          <w:u w:val="single"/>
        </w:rPr>
        <w:t>货物类</w:t>
      </w:r>
    </w:p>
    <w:p w14:paraId="07EA2014">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8</w:t>
      </w:r>
      <w:r>
        <w:rPr>
          <w:rFonts w:ascii="Times New Roman" w:hAnsi="Times New Roman" w:cs="Times New Roman"/>
          <w:sz w:val="24"/>
          <w:szCs w:val="24"/>
          <w:highlight w:val="none"/>
        </w:rPr>
        <w:t>.合同履行期限：</w:t>
      </w:r>
      <w:r>
        <w:rPr>
          <w:rFonts w:ascii="Times New Roman" w:hAnsi="Times New Roman" w:cs="Times New Roman"/>
          <w:sz w:val="24"/>
          <w:szCs w:val="24"/>
          <w:highlight w:val="none"/>
          <w:u w:val="single"/>
        </w:rPr>
        <w:t>详见招标文件</w:t>
      </w:r>
    </w:p>
    <w:p w14:paraId="06BE1626">
      <w:pPr>
        <w:autoSpaceDE w:val="0"/>
        <w:autoSpaceDN w:val="0"/>
        <w:adjustRightInd w:val="0"/>
        <w:spacing w:line="360" w:lineRule="auto"/>
        <w:ind w:firstLine="436" w:firstLineChars="182"/>
        <w:jc w:val="left"/>
        <w:rPr>
          <w:rFonts w:ascii="宋体" w:hAnsi="宋体"/>
          <w:sz w:val="24"/>
          <w:szCs w:val="18"/>
          <w:highlight w:val="none"/>
          <w:u w:val="single"/>
        </w:rPr>
      </w:pPr>
      <w:r>
        <w:rPr>
          <w:rFonts w:hint="eastAsia" w:ascii="宋体" w:hAnsi="宋体"/>
          <w:sz w:val="24"/>
          <w:szCs w:val="18"/>
          <w:highlight w:val="none"/>
        </w:rPr>
        <w:t>9.标段（包别）划分：</w:t>
      </w:r>
      <w:r>
        <w:rPr>
          <w:rFonts w:hint="eastAsia" w:ascii="宋体" w:hAnsi="宋体"/>
          <w:sz w:val="24"/>
          <w:szCs w:val="18"/>
          <w:highlight w:val="none"/>
          <w:u w:val="single"/>
        </w:rPr>
        <w:t>共分 1 个标段</w:t>
      </w:r>
    </w:p>
    <w:p w14:paraId="56EC7040">
      <w:pPr>
        <w:snapToGrid w:val="0"/>
        <w:spacing w:line="360" w:lineRule="auto"/>
        <w:ind w:firstLine="482" w:firstLineChars="200"/>
        <w:rPr>
          <w:rFonts w:ascii="Times New Roman" w:hAnsi="Times New Roman" w:cs="Times New Roman"/>
          <w:b/>
          <w:bCs/>
          <w:sz w:val="24"/>
          <w:szCs w:val="24"/>
          <w:highlight w:val="none"/>
        </w:rPr>
      </w:pPr>
      <w:r>
        <w:rPr>
          <w:rFonts w:ascii="Times New Roman" w:hAnsi="Times New Roman" w:cs="Times New Roman"/>
          <w:b/>
          <w:bCs/>
          <w:sz w:val="24"/>
          <w:szCs w:val="24"/>
          <w:highlight w:val="none"/>
        </w:rPr>
        <w:t>二、</w:t>
      </w:r>
      <w:r>
        <w:rPr>
          <w:rFonts w:ascii="Times New Roman" w:hAnsi="Times New Roman" w:cs="Times New Roman" w:eastAsiaTheme="minorEastAsia"/>
          <w:b/>
          <w:sz w:val="24"/>
          <w:highlight w:val="none"/>
        </w:rPr>
        <w:t>投标人</w:t>
      </w:r>
      <w:r>
        <w:rPr>
          <w:rFonts w:ascii="Times New Roman" w:hAnsi="Times New Roman" w:cs="Times New Roman"/>
          <w:b/>
          <w:bCs/>
          <w:sz w:val="24"/>
          <w:szCs w:val="18"/>
          <w:highlight w:val="none"/>
        </w:rPr>
        <w:t>资格</w:t>
      </w:r>
    </w:p>
    <w:p w14:paraId="63DCC5F6">
      <w:pPr>
        <w:spacing w:line="360" w:lineRule="auto"/>
        <w:ind w:firstLine="435"/>
        <w:rPr>
          <w:rFonts w:ascii="宋体" w:hAnsi="宋体"/>
          <w:sz w:val="24"/>
          <w:szCs w:val="18"/>
          <w:highlight w:val="none"/>
        </w:rPr>
      </w:pPr>
      <w:r>
        <w:rPr>
          <w:rFonts w:hint="eastAsia" w:ascii="宋体" w:hAnsi="宋体"/>
          <w:sz w:val="24"/>
          <w:szCs w:val="18"/>
          <w:highlight w:val="none"/>
        </w:rPr>
        <w:t>1</w:t>
      </w:r>
      <w:r>
        <w:rPr>
          <w:rFonts w:hint="eastAsia" w:ascii="宋体" w:hAnsi="宋体"/>
          <w:b/>
          <w:sz w:val="24"/>
          <w:highlight w:val="none"/>
        </w:rPr>
        <w:t>.</w:t>
      </w:r>
      <w:r>
        <w:rPr>
          <w:rFonts w:hint="eastAsia" w:ascii="宋体" w:hAnsi="宋体"/>
          <w:sz w:val="24"/>
          <w:szCs w:val="18"/>
          <w:highlight w:val="none"/>
        </w:rPr>
        <w:t>具有独立承担民事责任的能力；</w:t>
      </w:r>
    </w:p>
    <w:p w14:paraId="4C61418A">
      <w:pPr>
        <w:spacing w:line="360" w:lineRule="auto"/>
        <w:ind w:firstLine="435"/>
        <w:rPr>
          <w:rFonts w:ascii="宋体" w:hAnsi="宋体"/>
          <w:sz w:val="24"/>
          <w:szCs w:val="18"/>
          <w:highlight w:val="none"/>
        </w:rPr>
      </w:pPr>
      <w:r>
        <w:rPr>
          <w:rFonts w:hint="eastAsia" w:ascii="宋体" w:hAnsi="宋体"/>
          <w:sz w:val="24"/>
          <w:szCs w:val="18"/>
          <w:highlight w:val="none"/>
        </w:rPr>
        <w:t>2.资质要求：投标人须具有电子与智能化工程专业承包贰级及以上资质,且须具有有效的安全生产许可证；</w:t>
      </w:r>
    </w:p>
    <w:p w14:paraId="4CE817C4">
      <w:pPr>
        <w:spacing w:line="360" w:lineRule="auto"/>
        <w:ind w:firstLine="435"/>
        <w:rPr>
          <w:rFonts w:ascii="宋体" w:hAnsi="宋体"/>
          <w:sz w:val="24"/>
          <w:szCs w:val="18"/>
          <w:highlight w:val="none"/>
        </w:rPr>
      </w:pPr>
      <w:r>
        <w:rPr>
          <w:rFonts w:hint="eastAsia" w:ascii="宋体" w:hAnsi="宋体"/>
          <w:sz w:val="24"/>
          <w:szCs w:val="18"/>
          <w:highlight w:val="none"/>
        </w:rPr>
        <w:t>3.业绩要求：/；</w:t>
      </w:r>
    </w:p>
    <w:p w14:paraId="5F2D0354">
      <w:pPr>
        <w:spacing w:line="360" w:lineRule="auto"/>
        <w:ind w:firstLine="435"/>
        <w:rPr>
          <w:rFonts w:ascii="宋体" w:hAnsi="宋体"/>
          <w:sz w:val="24"/>
          <w:szCs w:val="18"/>
          <w:highlight w:val="none"/>
        </w:rPr>
      </w:pPr>
      <w:r>
        <w:rPr>
          <w:rFonts w:hint="eastAsia" w:ascii="宋体" w:hAnsi="宋体"/>
          <w:sz w:val="24"/>
          <w:szCs w:val="18"/>
          <w:highlight w:val="none"/>
        </w:rPr>
        <w:t>4.本项目不接受联合体投标；</w:t>
      </w:r>
    </w:p>
    <w:p w14:paraId="407F1CF0">
      <w:pPr>
        <w:spacing w:line="360" w:lineRule="auto"/>
        <w:ind w:firstLine="435"/>
        <w:rPr>
          <w:rFonts w:ascii="宋体" w:hAnsi="宋体"/>
          <w:sz w:val="24"/>
          <w:szCs w:val="18"/>
          <w:highlight w:val="none"/>
        </w:rPr>
      </w:pPr>
      <w:r>
        <w:rPr>
          <w:rFonts w:hint="eastAsia" w:ascii="宋体" w:hAnsi="宋体"/>
          <w:sz w:val="24"/>
          <w:szCs w:val="18"/>
          <w:highlight w:val="none"/>
        </w:rPr>
        <w:t>5.符合下列情形之一：</w:t>
      </w:r>
    </w:p>
    <w:p w14:paraId="17DDA26B">
      <w:pPr>
        <w:spacing w:line="440" w:lineRule="exact"/>
        <w:ind w:firstLine="435"/>
        <w:rPr>
          <w:rFonts w:ascii="宋体" w:hAnsi="宋体"/>
          <w:sz w:val="24"/>
          <w:szCs w:val="24"/>
        </w:rPr>
      </w:pPr>
      <w:r>
        <w:rPr>
          <w:rFonts w:ascii="宋体" w:hAnsi="宋体"/>
          <w:sz w:val="24"/>
          <w:szCs w:val="24"/>
          <w:highlight w:val="none"/>
        </w:rPr>
        <w:t>1）开标日前两年内未被合肥市及其所辖</w:t>
      </w:r>
      <w:r>
        <w:rPr>
          <w:rFonts w:hint="eastAsia" w:ascii="宋体" w:hAnsi="宋体"/>
          <w:sz w:val="24"/>
          <w:szCs w:val="24"/>
          <w:highlight w:val="none"/>
        </w:rPr>
        <w:t>县（市）及区（开发区）</w:t>
      </w:r>
      <w:r>
        <w:rPr>
          <w:rFonts w:ascii="宋体" w:hAnsi="宋体"/>
          <w:sz w:val="24"/>
          <w:szCs w:val="24"/>
          <w:highlight w:val="none"/>
        </w:rPr>
        <w:t>公共</w:t>
      </w:r>
      <w:r>
        <w:rPr>
          <w:rFonts w:ascii="宋体" w:hAnsi="宋体"/>
          <w:sz w:val="24"/>
          <w:szCs w:val="24"/>
        </w:rPr>
        <w:t>资源</w:t>
      </w:r>
      <w:r>
        <w:rPr>
          <w:rFonts w:hint="eastAsia" w:ascii="宋体" w:hAnsi="宋体"/>
          <w:sz w:val="24"/>
          <w:szCs w:val="24"/>
        </w:rPr>
        <w:t>交易监督管理部门</w:t>
      </w:r>
      <w:r>
        <w:rPr>
          <w:rFonts w:ascii="宋体" w:hAnsi="宋体"/>
          <w:sz w:val="24"/>
          <w:szCs w:val="24"/>
        </w:rPr>
        <w:t>记不良行为记录或记不良行为记录累计未满10分的；</w:t>
      </w:r>
    </w:p>
    <w:p w14:paraId="2AEB77F0">
      <w:pPr>
        <w:spacing w:line="440" w:lineRule="exact"/>
        <w:ind w:firstLine="435"/>
        <w:rPr>
          <w:rFonts w:ascii="宋体" w:hAnsi="宋体"/>
          <w:sz w:val="24"/>
          <w:szCs w:val="24"/>
        </w:rPr>
      </w:pPr>
      <w:r>
        <w:rPr>
          <w:rFonts w:ascii="宋体" w:hAnsi="宋体"/>
          <w:sz w:val="24"/>
          <w:szCs w:val="24"/>
        </w:rPr>
        <w:t>2）最近一次被合肥市及其所辖</w:t>
      </w:r>
      <w:r>
        <w:rPr>
          <w:rFonts w:hint="eastAsia" w:ascii="宋体" w:hAnsi="宋体"/>
          <w:sz w:val="24"/>
          <w:szCs w:val="24"/>
        </w:rPr>
        <w:t>县（市）及区（开发区）</w:t>
      </w:r>
      <w:r>
        <w:rPr>
          <w:rFonts w:ascii="宋体" w:hAnsi="宋体"/>
          <w:sz w:val="24"/>
          <w:szCs w:val="24"/>
        </w:rPr>
        <w:t>公共资源</w:t>
      </w:r>
      <w:r>
        <w:rPr>
          <w:rFonts w:hint="eastAsia" w:ascii="宋体" w:hAnsi="宋体"/>
          <w:sz w:val="24"/>
          <w:szCs w:val="24"/>
        </w:rPr>
        <w:t>交易监督管理部门</w:t>
      </w:r>
      <w:r>
        <w:rPr>
          <w:rFonts w:ascii="宋体" w:hAnsi="宋体"/>
          <w:sz w:val="24"/>
          <w:szCs w:val="24"/>
        </w:rPr>
        <w:t>记不良行为记录累计记分达10分（含10分）到15分且公布日距开标日超过6个月；</w:t>
      </w:r>
    </w:p>
    <w:p w14:paraId="1FB331E4">
      <w:pPr>
        <w:spacing w:line="440" w:lineRule="exact"/>
        <w:ind w:firstLine="435"/>
        <w:rPr>
          <w:rFonts w:ascii="宋体" w:hAnsi="宋体"/>
          <w:sz w:val="24"/>
          <w:szCs w:val="24"/>
        </w:rPr>
      </w:pPr>
      <w:r>
        <w:rPr>
          <w:rFonts w:ascii="宋体" w:hAnsi="宋体"/>
          <w:sz w:val="24"/>
          <w:szCs w:val="24"/>
        </w:rPr>
        <w:t>3）最近一次被合肥市及其所辖</w:t>
      </w:r>
      <w:r>
        <w:rPr>
          <w:rFonts w:hint="eastAsia" w:ascii="宋体" w:hAnsi="宋体"/>
          <w:sz w:val="24"/>
          <w:szCs w:val="24"/>
        </w:rPr>
        <w:t>县（市）及区（开发区）</w:t>
      </w:r>
      <w:r>
        <w:rPr>
          <w:rFonts w:ascii="宋体" w:hAnsi="宋体"/>
          <w:sz w:val="24"/>
          <w:szCs w:val="24"/>
        </w:rPr>
        <w:t>公共资源</w:t>
      </w:r>
      <w:r>
        <w:rPr>
          <w:rFonts w:hint="eastAsia" w:ascii="宋体" w:hAnsi="宋体"/>
          <w:sz w:val="24"/>
          <w:szCs w:val="24"/>
        </w:rPr>
        <w:t>交易监督管理部门</w:t>
      </w:r>
      <w:r>
        <w:rPr>
          <w:rFonts w:ascii="宋体" w:hAnsi="宋体"/>
          <w:sz w:val="24"/>
          <w:szCs w:val="24"/>
        </w:rPr>
        <w:t>记不良行为记录累计记分达15分（含15分）到20分且公布日距开标日超过12个月；</w:t>
      </w:r>
    </w:p>
    <w:p w14:paraId="2A5C14C2">
      <w:pPr>
        <w:spacing w:line="440" w:lineRule="exact"/>
        <w:ind w:firstLine="435"/>
        <w:rPr>
          <w:rFonts w:ascii="宋体" w:hAnsi="宋体"/>
          <w:sz w:val="24"/>
          <w:szCs w:val="24"/>
        </w:rPr>
      </w:pPr>
      <w:r>
        <w:rPr>
          <w:rFonts w:ascii="宋体" w:hAnsi="宋体"/>
          <w:sz w:val="24"/>
          <w:szCs w:val="24"/>
        </w:rPr>
        <w:t>4）最近一次被合肥市及其所辖</w:t>
      </w:r>
      <w:r>
        <w:rPr>
          <w:rFonts w:hint="eastAsia" w:ascii="宋体" w:hAnsi="宋体"/>
          <w:sz w:val="24"/>
          <w:szCs w:val="24"/>
        </w:rPr>
        <w:t>县（市）及区（开发区）</w:t>
      </w:r>
      <w:r>
        <w:rPr>
          <w:rFonts w:ascii="宋体" w:hAnsi="宋体"/>
          <w:sz w:val="24"/>
          <w:szCs w:val="24"/>
        </w:rPr>
        <w:t>公共资源</w:t>
      </w:r>
      <w:r>
        <w:rPr>
          <w:rFonts w:hint="eastAsia" w:ascii="宋体" w:hAnsi="宋体"/>
          <w:sz w:val="24"/>
          <w:szCs w:val="24"/>
        </w:rPr>
        <w:t>交易监督管理部门</w:t>
      </w:r>
      <w:r>
        <w:rPr>
          <w:rFonts w:ascii="宋体" w:hAnsi="宋体"/>
          <w:sz w:val="24"/>
          <w:szCs w:val="24"/>
        </w:rPr>
        <w:t>记不良行为记录累计记分达20分（含20分）及以上且公布日距开标日超过24个月</w:t>
      </w:r>
      <w:r>
        <w:rPr>
          <w:rFonts w:hint="eastAsia" w:ascii="宋体" w:hAnsi="宋体"/>
          <w:sz w:val="24"/>
          <w:szCs w:val="24"/>
        </w:rPr>
        <w:t>；</w:t>
      </w:r>
    </w:p>
    <w:p w14:paraId="57CC5A45">
      <w:pPr>
        <w:spacing w:line="440" w:lineRule="exact"/>
        <w:ind w:firstLine="435"/>
        <w:rPr>
          <w:rFonts w:ascii="宋体" w:hAnsi="宋体"/>
          <w:sz w:val="24"/>
          <w:szCs w:val="24"/>
        </w:rPr>
      </w:pPr>
      <w:r>
        <w:rPr>
          <w:rFonts w:hint="eastAsia" w:ascii="宋体" w:hAnsi="宋体"/>
          <w:sz w:val="24"/>
          <w:szCs w:val="18"/>
        </w:rPr>
        <w:t>6.投标人存在以下不良信用记录情形之一的，不得推荐为中标候选人，不得确</w:t>
      </w:r>
      <w:r>
        <w:rPr>
          <w:rFonts w:hint="eastAsia" w:ascii="宋体" w:hAnsi="宋体"/>
          <w:sz w:val="24"/>
          <w:szCs w:val="24"/>
        </w:rPr>
        <w:t>定为中标人：</w:t>
      </w:r>
    </w:p>
    <w:p w14:paraId="59DA2F67">
      <w:pPr>
        <w:spacing w:line="360" w:lineRule="auto"/>
        <w:ind w:firstLine="435"/>
        <w:rPr>
          <w:rFonts w:ascii="宋体" w:hAnsi="宋体"/>
          <w:sz w:val="24"/>
          <w:szCs w:val="18"/>
        </w:rPr>
      </w:pPr>
      <w:r>
        <w:rPr>
          <w:rFonts w:hint="eastAsia" w:ascii="宋体" w:hAnsi="宋体"/>
          <w:sz w:val="24"/>
          <w:szCs w:val="18"/>
        </w:rPr>
        <w:t xml:space="preserve">（1）被责令停产停业，暂扣或者吊销许可证，暂扣或者吊销执照； </w:t>
      </w:r>
    </w:p>
    <w:p w14:paraId="5E9A3252">
      <w:pPr>
        <w:spacing w:line="360" w:lineRule="auto"/>
        <w:ind w:firstLine="435"/>
        <w:rPr>
          <w:rFonts w:ascii="宋体" w:hAnsi="宋体"/>
          <w:sz w:val="24"/>
          <w:szCs w:val="18"/>
        </w:rPr>
      </w:pPr>
      <w:r>
        <w:rPr>
          <w:rFonts w:hint="eastAsia" w:ascii="宋体" w:hAnsi="宋体"/>
          <w:sz w:val="24"/>
          <w:szCs w:val="18"/>
        </w:rPr>
        <w:t xml:space="preserve">（2）进入清算程序，或被宣告破产，或其他丧失履约能力的情形； </w:t>
      </w:r>
    </w:p>
    <w:p w14:paraId="1990C45B">
      <w:pPr>
        <w:spacing w:line="360" w:lineRule="auto"/>
        <w:ind w:firstLine="435"/>
        <w:rPr>
          <w:rFonts w:ascii="宋体" w:hAnsi="宋体"/>
          <w:sz w:val="24"/>
          <w:szCs w:val="18"/>
        </w:rPr>
      </w:pPr>
      <w:r>
        <w:rPr>
          <w:rFonts w:hint="eastAsia" w:ascii="宋体" w:hAnsi="宋体"/>
          <w:sz w:val="24"/>
          <w:szCs w:val="18"/>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26E5EA0E">
      <w:pPr>
        <w:spacing w:line="360" w:lineRule="auto"/>
        <w:ind w:firstLine="435"/>
        <w:rPr>
          <w:rFonts w:ascii="宋体" w:hAnsi="宋体"/>
          <w:sz w:val="24"/>
          <w:szCs w:val="18"/>
        </w:rPr>
      </w:pPr>
      <w:r>
        <w:rPr>
          <w:rFonts w:hint="eastAsia" w:ascii="宋体" w:hAnsi="宋体"/>
          <w:sz w:val="24"/>
          <w:szCs w:val="18"/>
        </w:rPr>
        <w:t xml:space="preserve">（4）在国家企业信用信息公示系统（http://www.gsxt.gov.cn/）中被列入严重违法失信企业名单； </w:t>
      </w:r>
    </w:p>
    <w:p w14:paraId="5B75C022">
      <w:pPr>
        <w:spacing w:line="360" w:lineRule="auto"/>
        <w:ind w:firstLine="435"/>
        <w:rPr>
          <w:rFonts w:ascii="宋体" w:hAnsi="宋体"/>
          <w:sz w:val="24"/>
          <w:szCs w:val="18"/>
        </w:rPr>
      </w:pPr>
      <w:r>
        <w:rPr>
          <w:rFonts w:hint="eastAsia" w:ascii="宋体" w:hAnsi="宋体"/>
          <w:sz w:val="24"/>
          <w:szCs w:val="18"/>
        </w:rPr>
        <w:t xml:space="preserve">（5）在“信用中国”网站（http://www.creditchina.gov.cn/）中被列入失信被执行人名单； </w:t>
      </w:r>
    </w:p>
    <w:p w14:paraId="688EB11F">
      <w:pPr>
        <w:spacing w:line="360" w:lineRule="auto"/>
        <w:ind w:firstLine="435"/>
        <w:rPr>
          <w:rFonts w:ascii="宋体" w:hAnsi="宋体"/>
          <w:sz w:val="24"/>
          <w:szCs w:val="18"/>
        </w:rPr>
      </w:pPr>
      <w:r>
        <w:rPr>
          <w:rFonts w:hint="eastAsia" w:ascii="宋体" w:hAnsi="宋体"/>
          <w:sz w:val="24"/>
          <w:szCs w:val="18"/>
        </w:rPr>
        <w:t xml:space="preserve">（6）在“信用中国”网站（http://www.creditchina.gov.cn/）中被列入重大税收违法案件当事人名单； </w:t>
      </w:r>
    </w:p>
    <w:p w14:paraId="58F8AF16">
      <w:pPr>
        <w:spacing w:line="360" w:lineRule="auto"/>
        <w:ind w:firstLine="435"/>
        <w:rPr>
          <w:rFonts w:hint="eastAsia" w:ascii="宋体" w:hAnsi="宋体"/>
          <w:sz w:val="24"/>
          <w:szCs w:val="18"/>
        </w:rPr>
      </w:pPr>
      <w:r>
        <w:rPr>
          <w:rFonts w:hint="eastAsia" w:ascii="宋体" w:hAnsi="宋体"/>
          <w:sz w:val="24"/>
          <w:szCs w:val="18"/>
        </w:rPr>
        <w:t>（7）在近三年内投标人或其法定代表人（单位负责人）有行贿犯罪行为的。</w:t>
      </w:r>
    </w:p>
    <w:p w14:paraId="38AE007D">
      <w:pPr>
        <w:snapToGrid w:val="0"/>
        <w:spacing w:line="360"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三、获取招标文件方式</w:t>
      </w:r>
    </w:p>
    <w:p w14:paraId="67DB4666">
      <w:pPr>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1.获取时间：</w:t>
      </w:r>
      <w:r>
        <w:rPr>
          <w:rFonts w:ascii="Times New Roman" w:hAnsi="Times New Roman" w:cs="Times New Roman"/>
          <w:sz w:val="24"/>
          <w:szCs w:val="24"/>
          <w:u w:val="single"/>
        </w:rPr>
        <w:t>202</w:t>
      </w:r>
      <w:r>
        <w:rPr>
          <w:rFonts w:hint="eastAsia" w:ascii="Times New Roman" w:hAnsi="Times New Roman" w:cs="Times New Roman"/>
          <w:sz w:val="24"/>
          <w:szCs w:val="24"/>
          <w:u w:val="single"/>
          <w:lang w:val="en-US" w:eastAsia="zh-CN"/>
        </w:rPr>
        <w:t>4</w:t>
      </w:r>
      <w:r>
        <w:rPr>
          <w:rFonts w:ascii="Times New Roman" w:hAnsi="Times New Roman" w:cs="Times New Roman"/>
          <w:sz w:val="24"/>
          <w:szCs w:val="24"/>
          <w:u w:val="single"/>
        </w:rPr>
        <w:t xml:space="preserve">年 </w:t>
      </w:r>
      <w:r>
        <w:rPr>
          <w:rFonts w:hint="eastAsia" w:ascii="Times New Roman" w:hAnsi="Times New Roman" w:cs="Times New Roman"/>
          <w:sz w:val="24"/>
          <w:szCs w:val="24"/>
          <w:u w:val="single"/>
          <w:lang w:val="en-US" w:eastAsia="zh-CN"/>
        </w:rPr>
        <w:t>8</w:t>
      </w:r>
      <w:r>
        <w:rPr>
          <w:rFonts w:ascii="Times New Roman" w:hAnsi="Times New Roman" w:cs="Times New Roman"/>
          <w:sz w:val="24"/>
          <w:szCs w:val="24"/>
          <w:u w:val="single"/>
        </w:rPr>
        <w:t xml:space="preserve"> 月</w:t>
      </w:r>
      <w:r>
        <w:rPr>
          <w:rFonts w:hint="eastAsia" w:ascii="Times New Roman" w:hAnsi="Times New Roman" w:cs="Times New Roman"/>
          <w:sz w:val="24"/>
          <w:szCs w:val="24"/>
          <w:u w:val="single"/>
          <w:lang w:val="en-US" w:eastAsia="zh-CN"/>
        </w:rPr>
        <w:t>19</w:t>
      </w:r>
      <w:r>
        <w:rPr>
          <w:rFonts w:ascii="Times New Roman" w:hAnsi="Times New Roman" w:cs="Times New Roman"/>
          <w:sz w:val="24"/>
          <w:szCs w:val="24"/>
          <w:u w:val="single"/>
        </w:rPr>
        <w:t>日至202</w:t>
      </w:r>
      <w:r>
        <w:rPr>
          <w:rFonts w:hint="eastAsia" w:ascii="Times New Roman" w:hAnsi="Times New Roman" w:cs="Times New Roman"/>
          <w:sz w:val="24"/>
          <w:szCs w:val="24"/>
          <w:u w:val="single"/>
          <w:lang w:val="en-US" w:eastAsia="zh-CN"/>
        </w:rPr>
        <w:t>4</w:t>
      </w:r>
      <w:r>
        <w:rPr>
          <w:rFonts w:ascii="Times New Roman" w:hAnsi="Times New Roman" w:cs="Times New Roman"/>
          <w:sz w:val="24"/>
          <w:szCs w:val="24"/>
          <w:u w:val="single"/>
        </w:rPr>
        <w:t xml:space="preserve">年 </w:t>
      </w:r>
      <w:r>
        <w:rPr>
          <w:rFonts w:hint="eastAsia" w:ascii="Times New Roman" w:hAnsi="Times New Roman" w:cs="Times New Roman"/>
          <w:sz w:val="24"/>
          <w:szCs w:val="24"/>
          <w:u w:val="single"/>
          <w:lang w:val="en-US" w:eastAsia="zh-CN"/>
        </w:rPr>
        <w:t>8</w:t>
      </w:r>
      <w:r>
        <w:rPr>
          <w:rFonts w:ascii="Times New Roman" w:hAnsi="Times New Roman" w:cs="Times New Roman"/>
          <w:sz w:val="24"/>
          <w:szCs w:val="24"/>
          <w:u w:val="single"/>
        </w:rPr>
        <w:t>月</w:t>
      </w:r>
      <w:r>
        <w:rPr>
          <w:rFonts w:hint="eastAsia" w:ascii="Times New Roman" w:hAnsi="Times New Roman" w:cs="Times New Roman"/>
          <w:sz w:val="24"/>
          <w:szCs w:val="24"/>
          <w:u w:val="single"/>
          <w:lang w:val="en-US" w:eastAsia="zh-CN"/>
        </w:rPr>
        <w:t>26</w:t>
      </w:r>
      <w:r>
        <w:rPr>
          <w:rFonts w:ascii="Times New Roman" w:hAnsi="Times New Roman" w:cs="Times New Roman"/>
          <w:sz w:val="24"/>
          <w:szCs w:val="24"/>
          <w:u w:val="single"/>
        </w:rPr>
        <w:t>日</w:t>
      </w:r>
    </w:p>
    <w:p w14:paraId="3FBCFC29">
      <w:pPr>
        <w:snapToGrid w:val="0"/>
        <w:spacing w:line="360" w:lineRule="auto"/>
        <w:ind w:firstLine="480" w:firstLineChars="200"/>
        <w:jc w:val="left"/>
        <w:rPr>
          <w:rFonts w:ascii="Times New Roman" w:hAnsi="Times New Roman" w:cs="Times New Roman"/>
          <w:sz w:val="24"/>
          <w:szCs w:val="24"/>
          <w:shd w:val="clear" w:color="auto" w:fill="FFFFFF"/>
        </w:rPr>
      </w:pPr>
      <w:r>
        <w:rPr>
          <w:rFonts w:ascii="Times New Roman" w:hAnsi="Times New Roman" w:cs="Times New Roman"/>
          <w:sz w:val="24"/>
          <w:szCs w:val="24"/>
        </w:rPr>
        <w:t>2.获取方式：登录</w:t>
      </w:r>
      <w:r>
        <w:rPr>
          <w:rFonts w:hint="eastAsia" w:ascii="Times New Roman" w:hAnsi="Times New Roman" w:cs="Times New Roman"/>
          <w:sz w:val="24"/>
          <w:szCs w:val="24"/>
          <w:u w:val="single"/>
          <w:lang w:eastAsia="zh-CN"/>
        </w:rPr>
        <w:t>合肥滨湖时光产业投资集团有限公司</w:t>
      </w:r>
      <w:r>
        <w:rPr>
          <w:rFonts w:ascii="Times New Roman" w:hAnsi="Times New Roman" w:cs="Times New Roman"/>
          <w:sz w:val="24"/>
          <w:szCs w:val="24"/>
          <w:u w:val="single"/>
        </w:rPr>
        <w:t>官方网站</w:t>
      </w:r>
      <w:r>
        <w:rPr>
          <w:rFonts w:hint="eastAsia" w:ascii="Times New Roman" w:hAnsi="Times New Roman" w:cs="Times New Roman"/>
          <w:sz w:val="24"/>
          <w:szCs w:val="24"/>
          <w:u w:val="single"/>
          <w:lang w:eastAsia="zh-CN"/>
        </w:rPr>
        <w:t>http://bhsggroup.cn/</w:t>
      </w:r>
      <w:r>
        <w:rPr>
          <w:rFonts w:ascii="Times New Roman" w:hAnsi="Times New Roman" w:cs="Times New Roman"/>
          <w:sz w:val="24"/>
          <w:szCs w:val="24"/>
          <w:shd w:val="clear" w:color="auto" w:fill="FFFFFF"/>
        </w:rPr>
        <w:t>并下载招标文件及相关附件。在投标截止时间前，将投标文件密封提交（或快递）至项目联系人处即可。</w:t>
      </w:r>
    </w:p>
    <w:p w14:paraId="7F63B2F9">
      <w:pPr>
        <w:snapToGrid w:val="0"/>
        <w:spacing w:line="360"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四、</w:t>
      </w:r>
      <w:r>
        <w:rPr>
          <w:rFonts w:hint="eastAsia" w:ascii="宋体" w:hAnsi="宋体" w:cs="宋体"/>
          <w:b/>
          <w:bCs/>
          <w:sz w:val="24"/>
          <w:szCs w:val="24"/>
        </w:rPr>
        <w:t>提交投标文件截止时间、开标时间和地点</w:t>
      </w:r>
    </w:p>
    <w:p w14:paraId="3F6F6D19">
      <w:pPr>
        <w:snapToGrid w:val="0"/>
        <w:spacing w:line="360" w:lineRule="auto"/>
        <w:ind w:firstLine="480" w:firstLineChars="200"/>
        <w:rPr>
          <w:rFonts w:ascii="Times New Roman" w:hAnsi="Times New Roman" w:cs="Times New Roman"/>
          <w:b/>
          <w:bCs/>
          <w:sz w:val="24"/>
          <w:szCs w:val="24"/>
        </w:rPr>
      </w:pPr>
      <w:r>
        <w:rPr>
          <w:rFonts w:ascii="Times New Roman" w:hAnsi="Times New Roman" w:cs="Times New Roman"/>
          <w:sz w:val="24"/>
          <w:szCs w:val="24"/>
        </w:rPr>
        <w:t>1.投标文件提交截止时间：</w:t>
      </w:r>
      <w:r>
        <w:rPr>
          <w:rFonts w:ascii="Times New Roman" w:hAnsi="Times New Roman" w:cs="Times New Roman"/>
          <w:sz w:val="24"/>
          <w:szCs w:val="24"/>
          <w:u w:val="single"/>
        </w:rPr>
        <w:t>202</w:t>
      </w:r>
      <w:r>
        <w:rPr>
          <w:rFonts w:hint="eastAsia" w:ascii="Times New Roman" w:hAnsi="Times New Roman" w:cs="Times New Roman"/>
          <w:sz w:val="24"/>
          <w:szCs w:val="24"/>
          <w:u w:val="single"/>
          <w:lang w:val="en-US" w:eastAsia="zh-CN"/>
        </w:rPr>
        <w:t>4</w:t>
      </w:r>
      <w:r>
        <w:rPr>
          <w:rFonts w:ascii="Times New Roman" w:hAnsi="Times New Roman" w:cs="Times New Roman"/>
          <w:sz w:val="24"/>
          <w:szCs w:val="24"/>
          <w:u w:val="single"/>
        </w:rPr>
        <w:t>年</w:t>
      </w:r>
      <w:r>
        <w:rPr>
          <w:rFonts w:hint="eastAsia" w:ascii="Times New Roman" w:hAnsi="Times New Roman" w:cs="Times New Roman"/>
          <w:sz w:val="24"/>
          <w:szCs w:val="24"/>
          <w:u w:val="single"/>
          <w:lang w:val="en-US" w:eastAsia="zh-CN"/>
        </w:rPr>
        <w:t>8</w:t>
      </w:r>
      <w:r>
        <w:rPr>
          <w:rFonts w:ascii="Times New Roman" w:hAnsi="Times New Roman" w:cs="Times New Roman"/>
          <w:sz w:val="24"/>
          <w:szCs w:val="24"/>
          <w:u w:val="single"/>
        </w:rPr>
        <w:t xml:space="preserve"> 月</w:t>
      </w:r>
      <w:r>
        <w:rPr>
          <w:rFonts w:hint="eastAsia" w:ascii="Times New Roman" w:hAnsi="Times New Roman" w:cs="Times New Roman"/>
          <w:sz w:val="24"/>
          <w:szCs w:val="24"/>
          <w:u w:val="single"/>
          <w:lang w:val="en-US" w:eastAsia="zh-CN"/>
        </w:rPr>
        <w:t>26</w:t>
      </w:r>
      <w:r>
        <w:rPr>
          <w:rFonts w:ascii="Times New Roman" w:hAnsi="Times New Roman" w:cs="Times New Roman"/>
          <w:sz w:val="24"/>
          <w:szCs w:val="24"/>
          <w:u w:val="single"/>
        </w:rPr>
        <w:t xml:space="preserve"> 日</w:t>
      </w:r>
      <w:r>
        <w:rPr>
          <w:rFonts w:hint="eastAsia" w:ascii="Times New Roman" w:hAnsi="Times New Roman" w:cs="Times New Roman"/>
          <w:sz w:val="24"/>
          <w:szCs w:val="24"/>
          <w:u w:val="single"/>
        </w:rPr>
        <w:t>9</w:t>
      </w:r>
      <w:r>
        <w:rPr>
          <w:rFonts w:ascii="Times New Roman" w:hAnsi="Times New Roman" w:cs="Times New Roman"/>
          <w:sz w:val="24"/>
          <w:szCs w:val="24"/>
          <w:u w:val="single"/>
        </w:rPr>
        <w:t xml:space="preserve">时 </w:t>
      </w:r>
      <w:r>
        <w:rPr>
          <w:rFonts w:hint="eastAsia" w:ascii="Times New Roman" w:hAnsi="Times New Roman" w:cs="Times New Roman"/>
          <w:sz w:val="24"/>
          <w:szCs w:val="24"/>
          <w:u w:val="single"/>
        </w:rPr>
        <w:t>30</w:t>
      </w:r>
      <w:r>
        <w:rPr>
          <w:rFonts w:ascii="Times New Roman" w:hAnsi="Times New Roman" w:cs="Times New Roman"/>
          <w:sz w:val="24"/>
          <w:szCs w:val="24"/>
          <w:u w:val="single"/>
        </w:rPr>
        <w:t xml:space="preserve"> 分</w:t>
      </w:r>
      <w:r>
        <w:rPr>
          <w:rFonts w:hint="eastAsia" w:ascii="Times New Roman" w:hAnsi="Times New Roman" w:cs="Times New Roman"/>
          <w:sz w:val="24"/>
          <w:szCs w:val="24"/>
          <w:u w:val="single"/>
        </w:rPr>
        <w:t xml:space="preserve"> </w:t>
      </w:r>
    </w:p>
    <w:p w14:paraId="0159F818">
      <w:pPr>
        <w:snapToGrid w:val="0"/>
        <w:spacing w:line="360" w:lineRule="auto"/>
        <w:ind w:firstLine="480" w:firstLineChars="200"/>
        <w:rPr>
          <w:rFonts w:ascii="Times New Roman" w:hAnsi="Times New Roman" w:cs="Times New Roman"/>
          <w:b/>
          <w:bCs/>
          <w:sz w:val="24"/>
          <w:szCs w:val="24"/>
          <w:u w:val="single"/>
        </w:rPr>
      </w:pPr>
      <w:r>
        <w:rPr>
          <w:rFonts w:ascii="Times New Roman" w:hAnsi="Times New Roman" w:cs="Times New Roman"/>
          <w:sz w:val="24"/>
          <w:szCs w:val="24"/>
        </w:rPr>
        <w:t>2.投标文件提交地点：</w:t>
      </w:r>
      <w:r>
        <w:rPr>
          <w:rFonts w:hint="eastAsia" w:ascii="宋体" w:hAnsi="宋体" w:cs="宋体"/>
          <w:sz w:val="24"/>
          <w:szCs w:val="24"/>
        </w:rPr>
        <w:t>合肥市包河区滨湖卓越城文华园一期A2楼</w:t>
      </w:r>
      <w:r>
        <w:rPr>
          <w:rFonts w:hint="eastAsia" w:ascii="宋体" w:hAnsi="宋体" w:cs="宋体"/>
          <w:sz w:val="24"/>
          <w:szCs w:val="24"/>
          <w:lang w:val="en-US" w:eastAsia="zh-CN"/>
        </w:rPr>
        <w:t>4</w:t>
      </w:r>
      <w:r>
        <w:rPr>
          <w:rFonts w:hint="eastAsia" w:ascii="宋体" w:hAnsi="宋体" w:cs="宋体"/>
          <w:sz w:val="24"/>
          <w:szCs w:val="24"/>
        </w:rPr>
        <w:t>层</w:t>
      </w:r>
    </w:p>
    <w:p w14:paraId="6A5B1A05">
      <w:pPr>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五、开标时间：同</w:t>
      </w:r>
      <w:r>
        <w:rPr>
          <w:rFonts w:ascii="宋体" w:hAnsi="宋体" w:cs="宋体"/>
          <w:b/>
          <w:bCs/>
          <w:sz w:val="24"/>
          <w:szCs w:val="24"/>
        </w:rPr>
        <w:t>投标文件提交截止时间</w:t>
      </w:r>
    </w:p>
    <w:p w14:paraId="221B1E5C">
      <w:pPr>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六</w:t>
      </w:r>
      <w:r>
        <w:rPr>
          <w:rFonts w:ascii="宋体" w:hAnsi="宋体" w:cs="宋体"/>
          <w:b/>
          <w:bCs/>
          <w:sz w:val="24"/>
          <w:szCs w:val="24"/>
        </w:rPr>
        <w:t>、公告期限</w:t>
      </w:r>
    </w:p>
    <w:p w14:paraId="554CF5A3">
      <w:pPr>
        <w:snapToGrid w:val="0"/>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自本公告发布之日起</w:t>
      </w:r>
      <w:r>
        <w:rPr>
          <w:rFonts w:hint="eastAsia" w:ascii="Times New Roman" w:hAnsi="Times New Roman" w:cs="Times New Roman"/>
          <w:b/>
          <w:bCs/>
          <w:szCs w:val="21"/>
        </w:rPr>
        <w:t>5</w:t>
      </w:r>
      <w:r>
        <w:rPr>
          <w:rFonts w:ascii="Times New Roman" w:hAnsi="Times New Roman" w:cs="Times New Roman"/>
          <w:b/>
          <w:bCs/>
          <w:szCs w:val="21"/>
        </w:rPr>
        <w:t>个工作日内。</w:t>
      </w:r>
    </w:p>
    <w:p w14:paraId="3BD65F9A">
      <w:pPr>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七</w:t>
      </w:r>
      <w:r>
        <w:rPr>
          <w:rFonts w:ascii="宋体" w:hAnsi="宋体" w:cs="宋体"/>
          <w:b/>
          <w:bCs/>
          <w:sz w:val="24"/>
          <w:szCs w:val="24"/>
        </w:rPr>
        <w:t>、其他补充事宜</w:t>
      </w:r>
    </w:p>
    <w:p w14:paraId="232874E6">
      <w:pPr>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1.潜在投标人应合理安排招标文件获取时间，特别是网络速度慢的地区防止在系统关闭前网络拥堵无法操作。如果因计算机及网络故障造成无法完成招标文件获取，责任自负。</w:t>
      </w:r>
    </w:p>
    <w:p w14:paraId="152862F5">
      <w:pPr>
        <w:snapToGrid w:val="0"/>
        <w:spacing w:line="360" w:lineRule="auto"/>
        <w:ind w:firstLine="482" w:firstLineChars="200"/>
        <w:rPr>
          <w:rFonts w:ascii="Times New Roman" w:hAnsi="Times New Roman" w:cs="Times New Roman"/>
          <w:b/>
          <w:bCs/>
          <w:sz w:val="24"/>
          <w:szCs w:val="24"/>
        </w:rPr>
      </w:pPr>
      <w:r>
        <w:rPr>
          <w:rFonts w:hint="eastAsia" w:ascii="Times New Roman" w:hAnsi="Times New Roman" w:cs="Times New Roman"/>
          <w:b/>
          <w:bCs/>
          <w:sz w:val="24"/>
          <w:szCs w:val="24"/>
        </w:rPr>
        <w:t>八</w:t>
      </w:r>
      <w:r>
        <w:rPr>
          <w:rFonts w:ascii="Times New Roman" w:hAnsi="Times New Roman" w:cs="Times New Roman"/>
          <w:b/>
          <w:bCs/>
          <w:sz w:val="24"/>
          <w:szCs w:val="24"/>
        </w:rPr>
        <w:t>、对本次招标提出询问，请按以下方式联系。</w:t>
      </w:r>
    </w:p>
    <w:bookmarkEnd w:id="2"/>
    <w:bookmarkEnd w:id="3"/>
    <w:bookmarkEnd w:id="4"/>
    <w:bookmarkEnd w:id="5"/>
    <w:p w14:paraId="64A5F1D9">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1.招标人信息</w:t>
      </w:r>
    </w:p>
    <w:p w14:paraId="2487EEDF">
      <w:pPr>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名称：</w:t>
      </w:r>
      <w:r>
        <w:rPr>
          <w:rFonts w:hint="eastAsia" w:ascii="宋体" w:hAnsi="宋体" w:cs="宋体"/>
          <w:sz w:val="24"/>
          <w:szCs w:val="24"/>
          <w:u w:val="single"/>
        </w:rPr>
        <w:t xml:space="preserve"> </w:t>
      </w:r>
      <w:r>
        <w:rPr>
          <w:rFonts w:hint="eastAsia" w:ascii="宋体" w:hAnsi="宋体" w:cs="宋体"/>
          <w:sz w:val="24"/>
          <w:szCs w:val="24"/>
          <w:u w:val="single"/>
          <w:lang w:eastAsia="zh-CN"/>
        </w:rPr>
        <w:t>合肥滨湖时光教育管理有限公司</w:t>
      </w:r>
      <w:r>
        <w:rPr>
          <w:rFonts w:hint="eastAsia" w:ascii="宋体" w:hAnsi="宋体" w:cs="宋体"/>
          <w:sz w:val="24"/>
          <w:szCs w:val="24"/>
          <w:u w:val="single"/>
        </w:rPr>
        <w:t xml:space="preserve"> </w:t>
      </w:r>
    </w:p>
    <w:p w14:paraId="0D5130C5">
      <w:pPr>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地址：</w:t>
      </w:r>
      <w:r>
        <w:rPr>
          <w:rFonts w:hint="eastAsia" w:ascii="宋体" w:hAnsi="宋体" w:cs="宋体"/>
          <w:sz w:val="24"/>
          <w:szCs w:val="24"/>
          <w:u w:val="single"/>
        </w:rPr>
        <w:t xml:space="preserve"> 合肥市包河区滨湖卓越城文华园一期A2楼</w:t>
      </w:r>
      <w:r>
        <w:rPr>
          <w:rFonts w:hint="eastAsia" w:ascii="宋体" w:hAnsi="宋体" w:cs="宋体"/>
          <w:sz w:val="24"/>
          <w:szCs w:val="24"/>
          <w:u w:val="single"/>
          <w:lang w:val="en-US" w:eastAsia="zh-CN"/>
        </w:rPr>
        <w:t>4</w:t>
      </w:r>
      <w:r>
        <w:rPr>
          <w:rFonts w:hint="eastAsia" w:ascii="宋体" w:hAnsi="宋体" w:cs="宋体"/>
          <w:sz w:val="24"/>
          <w:szCs w:val="24"/>
          <w:u w:val="single"/>
        </w:rPr>
        <w:t xml:space="preserve">层 </w:t>
      </w:r>
    </w:p>
    <w:p w14:paraId="04CAB37B">
      <w:pPr>
        <w:pStyle w:val="2"/>
        <w:ind w:left="0" w:leftChars="0" w:firstLine="480"/>
        <w:rPr>
          <w:rFonts w:ascii="宋体" w:hAnsi="宋体" w:cs="宋体"/>
          <w:sz w:val="24"/>
          <w:szCs w:val="24"/>
          <w:u w:val="single"/>
        </w:rPr>
      </w:pPr>
      <w:r>
        <w:rPr>
          <w:rFonts w:hint="eastAsia" w:ascii="宋体" w:hAnsi="宋体" w:cs="宋体"/>
          <w:sz w:val="24"/>
          <w:szCs w:val="24"/>
          <w:u w:val="single"/>
        </w:rPr>
        <w:t>开户行及账号：徽商银行合肥濉溪路支行</w:t>
      </w:r>
    </w:p>
    <w:p w14:paraId="70C43500">
      <w:pPr>
        <w:pStyle w:val="2"/>
        <w:ind w:left="0" w:leftChars="0" w:firstLine="480"/>
        <w:rPr>
          <w:rFonts w:ascii="宋体" w:hAnsi="宋体" w:cs="宋体"/>
          <w:sz w:val="24"/>
          <w:szCs w:val="24"/>
          <w:u w:val="single"/>
        </w:rPr>
      </w:pPr>
      <w:r>
        <w:rPr>
          <w:rFonts w:hint="eastAsia" w:ascii="宋体" w:hAnsi="宋体" w:cs="宋体"/>
          <w:sz w:val="24"/>
          <w:szCs w:val="24"/>
          <w:u w:val="single"/>
        </w:rPr>
        <w:t>2250 1339 8801 0000 0201</w:t>
      </w:r>
    </w:p>
    <w:p w14:paraId="2B5D4E59">
      <w:pPr>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2.项目联系方式</w:t>
      </w:r>
    </w:p>
    <w:p w14:paraId="3D6D9366">
      <w:pPr>
        <w:pStyle w:val="22"/>
        <w:snapToGrid w:val="0"/>
        <w:spacing w:line="360" w:lineRule="auto"/>
        <w:ind w:firstLine="480" w:firstLineChars="200"/>
        <w:rPr>
          <w:rFonts w:hAnsi="宋体" w:cs="宋体"/>
          <w:sz w:val="24"/>
          <w:szCs w:val="24"/>
        </w:rPr>
      </w:pPr>
      <w:r>
        <w:rPr>
          <w:rFonts w:hint="eastAsia" w:hAnsi="宋体" w:cs="宋体"/>
          <w:sz w:val="24"/>
          <w:szCs w:val="24"/>
        </w:rPr>
        <w:t>项目联系人：</w:t>
      </w:r>
      <w:r>
        <w:rPr>
          <w:rFonts w:hint="eastAsia" w:hAnsi="宋体" w:cs="宋体"/>
          <w:sz w:val="24"/>
          <w:szCs w:val="24"/>
          <w:u w:val="single"/>
        </w:rPr>
        <w:t xml:space="preserve">            </w:t>
      </w:r>
      <w:r>
        <w:rPr>
          <w:rFonts w:hint="eastAsia" w:hAnsi="宋体" w:cs="宋体"/>
          <w:sz w:val="24"/>
          <w:szCs w:val="24"/>
          <w:u w:val="single"/>
          <w:lang w:val="en-US" w:eastAsia="zh-CN"/>
        </w:rPr>
        <w:t>谭</w:t>
      </w:r>
      <w:r>
        <w:rPr>
          <w:rFonts w:hint="eastAsia" w:hAnsi="宋体" w:cs="宋体"/>
          <w:sz w:val="24"/>
          <w:szCs w:val="24"/>
          <w:u w:val="single"/>
        </w:rPr>
        <w:t xml:space="preserve">工          </w:t>
      </w:r>
    </w:p>
    <w:p w14:paraId="4BB74F8A">
      <w:pPr>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联系电话：</w:t>
      </w:r>
      <w:r>
        <w:rPr>
          <w:rFonts w:hint="eastAsia" w:ascii="宋体" w:hAnsi="宋体" w:cs="宋体"/>
          <w:sz w:val="24"/>
          <w:szCs w:val="24"/>
          <w:u w:val="single"/>
        </w:rPr>
        <w:t xml:space="preserve">         0551-63353800      </w:t>
      </w:r>
    </w:p>
    <w:p w14:paraId="68F70139">
      <w:pPr>
        <w:pStyle w:val="59"/>
        <w:widowControl w:val="0"/>
        <w:autoSpaceDE w:val="0"/>
        <w:autoSpaceDN w:val="0"/>
        <w:adjustRightInd w:val="0"/>
        <w:spacing w:before="0" w:after="0" w:line="360" w:lineRule="auto"/>
        <w:rPr>
          <w:rFonts w:ascii="Times New Roman" w:hAnsi="Times New Roman" w:cs="Times New Roman"/>
          <w:kern w:val="2"/>
          <w:szCs w:val="18"/>
        </w:rPr>
      </w:pPr>
    </w:p>
    <w:p w14:paraId="3BFCAF90">
      <w:pPr>
        <w:autoSpaceDE w:val="0"/>
        <w:autoSpaceDN w:val="0"/>
        <w:adjustRightInd w:val="0"/>
        <w:spacing w:line="360" w:lineRule="auto"/>
        <w:ind w:firstLine="434" w:firstLineChars="181"/>
        <w:jc w:val="right"/>
        <w:rPr>
          <w:rFonts w:ascii="Times New Roman" w:hAnsi="Times New Roman" w:cs="Times New Roman"/>
          <w:bCs/>
          <w:sz w:val="24"/>
          <w:szCs w:val="18"/>
        </w:rPr>
      </w:pPr>
      <w:r>
        <w:rPr>
          <w:rFonts w:ascii="Times New Roman" w:hAnsi="Times New Roman" w:cs="Times New Roman"/>
          <w:bCs/>
          <w:sz w:val="24"/>
          <w:szCs w:val="18"/>
        </w:rPr>
        <w:br w:type="page"/>
      </w:r>
    </w:p>
    <w:p w14:paraId="0AEE2FB2">
      <w:pPr>
        <w:spacing w:line="360" w:lineRule="auto"/>
        <w:jc w:val="center"/>
        <w:outlineLvl w:val="1"/>
        <w:rPr>
          <w:rFonts w:ascii="Times New Roman" w:hAnsi="Times New Roman" w:cs="Times New Roman"/>
          <w:b/>
          <w:sz w:val="28"/>
        </w:rPr>
      </w:pPr>
      <w:bookmarkStart w:id="11" w:name="_Toc19060"/>
      <w:bookmarkStart w:id="12" w:name="_Toc31897"/>
      <w:r>
        <w:rPr>
          <w:rFonts w:ascii="Times New Roman" w:hAnsi="Times New Roman" w:cs="Times New Roman"/>
          <w:b/>
          <w:sz w:val="28"/>
        </w:rPr>
        <w:t>第二章  投标人须知</w:t>
      </w:r>
      <w:bookmarkEnd w:id="11"/>
      <w:bookmarkEnd w:id="12"/>
    </w:p>
    <w:p w14:paraId="526EB092">
      <w:pPr>
        <w:spacing w:line="360" w:lineRule="auto"/>
        <w:jc w:val="center"/>
        <w:outlineLvl w:val="2"/>
        <w:rPr>
          <w:rFonts w:ascii="Times New Roman" w:hAnsi="Times New Roman" w:cs="Times New Roman"/>
          <w:b/>
          <w:sz w:val="24"/>
        </w:rPr>
      </w:pPr>
      <w:r>
        <w:rPr>
          <w:rFonts w:ascii="Times New Roman" w:hAnsi="Times New Roman" w:cs="Times New Roman"/>
          <w:b/>
          <w:sz w:val="24"/>
        </w:rPr>
        <w:t>一、投标人须知前附表</w:t>
      </w:r>
    </w:p>
    <w:p w14:paraId="40573ABB">
      <w:pPr>
        <w:spacing w:line="360" w:lineRule="auto"/>
        <w:ind w:firstLine="435"/>
        <w:rPr>
          <w:rFonts w:ascii="Times New Roman" w:hAnsi="Times New Roman" w:cs="Times New Roman"/>
          <w:sz w:val="24"/>
          <w:szCs w:val="18"/>
        </w:rPr>
      </w:pPr>
      <w:r>
        <w:rPr>
          <w:rFonts w:ascii="Times New Roman" w:hAnsi="Times New Roman" w:cs="Times New Roman"/>
          <w:b/>
          <w:bCs/>
          <w:sz w:val="24"/>
          <w:szCs w:val="18"/>
        </w:rPr>
        <w:t>注：</w:t>
      </w:r>
      <w:r>
        <w:rPr>
          <w:rFonts w:ascii="Times New Roman" w:hAnsi="Times New Roman" w:cs="Times New Roman"/>
          <w:sz w:val="24"/>
          <w:szCs w:val="18"/>
        </w:rPr>
        <w:t>本表是本项目的具体要求，是对投标人须知的具体补充和修改，如有不一致，以本表为准。</w:t>
      </w:r>
    </w:p>
    <w:tbl>
      <w:tblPr>
        <w:tblStyle w:val="41"/>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63DF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8D9CD57">
            <w:pPr>
              <w:pStyle w:val="60"/>
              <w:widowControl w:val="0"/>
              <w:spacing w:before="0" w:beforeAutospacing="0" w:after="0" w:afterAutospacing="0" w:line="360" w:lineRule="auto"/>
              <w:rPr>
                <w:rFonts w:ascii="Times New Roman" w:hAnsi="Times New Roman" w:cs="Times New Roman"/>
                <w:bCs w:val="0"/>
                <w:kern w:val="2"/>
                <w:sz w:val="24"/>
                <w:szCs w:val="20"/>
              </w:rPr>
            </w:pPr>
            <w:r>
              <w:rPr>
                <w:rFonts w:ascii="Times New Roman" w:hAnsi="Times New Roman" w:cs="Times New Roman"/>
                <w:bCs w:val="0"/>
                <w:kern w:val="2"/>
                <w:sz w:val="24"/>
                <w:szCs w:val="20"/>
              </w:rPr>
              <w:t>条款名称</w:t>
            </w:r>
          </w:p>
        </w:tc>
        <w:tc>
          <w:tcPr>
            <w:tcW w:w="6687" w:type="dxa"/>
            <w:vAlign w:val="center"/>
          </w:tcPr>
          <w:p w14:paraId="54A6C229">
            <w:pPr>
              <w:pStyle w:val="60"/>
              <w:widowControl w:val="0"/>
              <w:spacing w:before="0" w:beforeAutospacing="0" w:after="0" w:afterAutospacing="0" w:line="360" w:lineRule="auto"/>
              <w:rPr>
                <w:rFonts w:ascii="Times New Roman" w:hAnsi="Times New Roman" w:cs="Times New Roman"/>
                <w:bCs w:val="0"/>
                <w:kern w:val="2"/>
                <w:sz w:val="24"/>
                <w:szCs w:val="20"/>
              </w:rPr>
            </w:pPr>
            <w:r>
              <w:rPr>
                <w:rFonts w:ascii="Times New Roman" w:hAnsi="Times New Roman" w:cs="Times New Roman"/>
                <w:bCs w:val="0"/>
                <w:kern w:val="2"/>
                <w:sz w:val="24"/>
                <w:szCs w:val="20"/>
              </w:rPr>
              <w:t>内容、说明与要求</w:t>
            </w:r>
          </w:p>
        </w:tc>
      </w:tr>
      <w:tr w14:paraId="1726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515736F">
            <w:pPr>
              <w:pStyle w:val="60"/>
              <w:widowControl w:val="0"/>
              <w:spacing w:before="0" w:beforeAutospacing="0" w:after="0" w:afterAutospacing="0" w:line="360" w:lineRule="auto"/>
              <w:jc w:val="left"/>
              <w:rPr>
                <w:rFonts w:ascii="Times New Roman" w:hAnsi="Times New Roman" w:cs="Times New Roman"/>
                <w:b w:val="0"/>
                <w:bCs w:val="0"/>
                <w:sz w:val="24"/>
              </w:rPr>
            </w:pPr>
            <w:r>
              <w:rPr>
                <w:rFonts w:ascii="Times New Roman" w:hAnsi="Times New Roman" w:cs="Times New Roman"/>
                <w:b w:val="0"/>
                <w:bCs w:val="0"/>
                <w:sz w:val="24"/>
              </w:rPr>
              <w:t>招标人</w:t>
            </w:r>
          </w:p>
        </w:tc>
        <w:tc>
          <w:tcPr>
            <w:tcW w:w="6687" w:type="dxa"/>
            <w:vAlign w:val="center"/>
          </w:tcPr>
          <w:p w14:paraId="03234939">
            <w:pPr>
              <w:pStyle w:val="60"/>
              <w:widowControl w:val="0"/>
              <w:spacing w:before="0" w:beforeAutospacing="0" w:after="0" w:afterAutospacing="0" w:line="360" w:lineRule="auto"/>
              <w:jc w:val="both"/>
              <w:rPr>
                <w:rFonts w:hint="eastAsia" w:ascii="Times New Roman" w:hAnsi="Times New Roman" w:eastAsia="宋体" w:cs="Times New Roman"/>
                <w:b w:val="0"/>
                <w:bCs w:val="0"/>
                <w:kern w:val="2"/>
                <w:sz w:val="24"/>
                <w:szCs w:val="20"/>
                <w:lang w:eastAsia="zh-CN"/>
              </w:rPr>
            </w:pPr>
            <w:r>
              <w:rPr>
                <w:rFonts w:hint="eastAsia" w:ascii="Times New Roman" w:hAnsi="Times New Roman" w:cs="Times New Roman"/>
                <w:b w:val="0"/>
                <w:bCs w:val="0"/>
                <w:sz w:val="24"/>
                <w:szCs w:val="18"/>
                <w:lang w:eastAsia="zh-CN"/>
              </w:rPr>
              <w:t>合肥滨湖时光教育管理有限公司</w:t>
            </w:r>
          </w:p>
        </w:tc>
      </w:tr>
      <w:tr w14:paraId="248F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42588D9">
            <w:pPr>
              <w:pStyle w:val="60"/>
              <w:widowControl w:val="0"/>
              <w:spacing w:before="0" w:beforeAutospacing="0" w:after="0" w:afterAutospacing="0" w:line="360" w:lineRule="auto"/>
              <w:jc w:val="left"/>
              <w:rPr>
                <w:rFonts w:ascii="Times New Roman" w:hAnsi="Times New Roman" w:cs="Times New Roman"/>
                <w:b w:val="0"/>
                <w:bCs w:val="0"/>
                <w:sz w:val="24"/>
              </w:rPr>
            </w:pPr>
            <w:r>
              <w:rPr>
                <w:rFonts w:ascii="Times New Roman" w:hAnsi="Times New Roman" w:cs="Times New Roman"/>
                <w:b w:val="0"/>
                <w:bCs w:val="0"/>
                <w:sz w:val="24"/>
              </w:rPr>
              <w:t>采购监督管理部门</w:t>
            </w:r>
          </w:p>
        </w:tc>
        <w:tc>
          <w:tcPr>
            <w:tcW w:w="6687" w:type="dxa"/>
            <w:vAlign w:val="center"/>
          </w:tcPr>
          <w:p w14:paraId="1C623D7C">
            <w:pPr>
              <w:pStyle w:val="60"/>
              <w:widowControl w:val="0"/>
              <w:spacing w:before="0" w:beforeAutospacing="0" w:after="0" w:afterAutospacing="0" w:line="360" w:lineRule="auto"/>
              <w:jc w:val="both"/>
              <w:rPr>
                <w:rFonts w:hint="eastAsia" w:ascii="Times New Roman" w:hAnsi="Times New Roman" w:eastAsia="宋体" w:cs="Times New Roman"/>
                <w:b w:val="0"/>
                <w:bCs w:val="0"/>
                <w:sz w:val="24"/>
                <w:szCs w:val="18"/>
                <w:lang w:eastAsia="zh-CN"/>
              </w:rPr>
            </w:pPr>
            <w:r>
              <w:rPr>
                <w:rFonts w:hint="eastAsia" w:ascii="Times New Roman" w:hAnsi="Times New Roman" w:cs="Times New Roman"/>
                <w:b w:val="0"/>
                <w:bCs w:val="0"/>
                <w:sz w:val="24"/>
                <w:szCs w:val="18"/>
                <w:lang w:eastAsia="zh-CN"/>
              </w:rPr>
              <w:t>合肥滨湖时光产业投资集团有限公司</w:t>
            </w:r>
          </w:p>
        </w:tc>
      </w:tr>
      <w:tr w14:paraId="3FEC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F2062C5">
            <w:pPr>
              <w:pStyle w:val="60"/>
              <w:widowControl w:val="0"/>
              <w:spacing w:before="0" w:beforeAutospacing="0" w:after="0" w:afterAutospacing="0" w:line="360" w:lineRule="auto"/>
              <w:jc w:val="left"/>
              <w:rPr>
                <w:rFonts w:ascii="Times New Roman" w:hAnsi="Times New Roman" w:cs="Times New Roman"/>
                <w:b w:val="0"/>
                <w:sz w:val="24"/>
              </w:rPr>
            </w:pPr>
            <w:r>
              <w:rPr>
                <w:rFonts w:ascii="Times New Roman" w:hAnsi="Times New Roman" w:cs="Times New Roman"/>
                <w:b w:val="0"/>
                <w:sz w:val="24"/>
              </w:rPr>
              <w:t>是否允许联合体投标</w:t>
            </w:r>
          </w:p>
        </w:tc>
        <w:tc>
          <w:tcPr>
            <w:tcW w:w="6687" w:type="dxa"/>
            <w:vAlign w:val="center"/>
          </w:tcPr>
          <w:p w14:paraId="692FC264">
            <w:pPr>
              <w:pStyle w:val="60"/>
              <w:widowControl w:val="0"/>
              <w:spacing w:before="0" w:beforeAutospacing="0" w:after="0" w:afterAutospacing="0" w:line="360" w:lineRule="auto"/>
              <w:jc w:val="both"/>
              <w:rPr>
                <w:rFonts w:ascii="Times New Roman" w:hAnsi="Times New Roman" w:cs="Times New Roman"/>
                <w:b w:val="0"/>
                <w:sz w:val="24"/>
              </w:rPr>
            </w:pPr>
            <w:r>
              <w:rPr>
                <w:rFonts w:hint="eastAsia" w:ascii="Times New Roman" w:hAnsi="Times New Roman" w:cs="Times New Roman"/>
                <w:b w:val="0"/>
                <w:bCs w:val="0"/>
                <w:sz w:val="24"/>
                <w:szCs w:val="24"/>
              </w:rPr>
              <w:t>否</w:t>
            </w:r>
          </w:p>
        </w:tc>
      </w:tr>
      <w:tr w14:paraId="4FF9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76ED7B3">
            <w:pPr>
              <w:pStyle w:val="60"/>
              <w:widowControl w:val="0"/>
              <w:spacing w:before="0" w:beforeAutospacing="0" w:after="0" w:afterAutospacing="0" w:line="360" w:lineRule="auto"/>
              <w:jc w:val="left"/>
              <w:rPr>
                <w:rFonts w:ascii="Times New Roman" w:hAnsi="Times New Roman" w:cs="Times New Roman"/>
                <w:b w:val="0"/>
                <w:sz w:val="24"/>
              </w:rPr>
            </w:pPr>
            <w:r>
              <w:rPr>
                <w:rFonts w:ascii="Times New Roman" w:hAnsi="Times New Roman" w:cs="Times New Roman"/>
                <w:b w:val="0"/>
                <w:sz w:val="24"/>
              </w:rPr>
              <w:t>现场考察</w:t>
            </w:r>
          </w:p>
        </w:tc>
        <w:tc>
          <w:tcPr>
            <w:tcW w:w="6687" w:type="dxa"/>
            <w:vAlign w:val="center"/>
          </w:tcPr>
          <w:p w14:paraId="0A09842E">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bCs w:val="0"/>
                <w:sz w:val="24"/>
              </w:rPr>
              <w:t>不组织，投标人自行考察</w:t>
            </w:r>
          </w:p>
        </w:tc>
      </w:tr>
      <w:tr w14:paraId="2B44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DD7D686">
            <w:pPr>
              <w:pStyle w:val="60"/>
              <w:widowControl w:val="0"/>
              <w:spacing w:before="0" w:beforeAutospacing="0" w:after="0" w:afterAutospacing="0" w:line="360" w:lineRule="auto"/>
              <w:jc w:val="left"/>
              <w:rPr>
                <w:rFonts w:ascii="Times New Roman" w:hAnsi="Times New Roman" w:cs="Times New Roman"/>
                <w:b w:val="0"/>
                <w:sz w:val="24"/>
              </w:rPr>
            </w:pPr>
            <w:r>
              <w:rPr>
                <w:rFonts w:ascii="Times New Roman" w:hAnsi="Times New Roman" w:cs="Times New Roman"/>
                <w:b w:val="0"/>
                <w:sz w:val="24"/>
              </w:rPr>
              <w:t>包别划分</w:t>
            </w:r>
          </w:p>
        </w:tc>
        <w:tc>
          <w:tcPr>
            <w:tcW w:w="6687" w:type="dxa"/>
            <w:vAlign w:val="center"/>
          </w:tcPr>
          <w:p w14:paraId="15198570">
            <w:pPr>
              <w:pStyle w:val="60"/>
              <w:widowControl w:val="0"/>
              <w:spacing w:before="0" w:beforeAutospacing="0" w:after="0" w:afterAutospacing="0" w:line="360" w:lineRule="auto"/>
              <w:jc w:val="both"/>
              <w:rPr>
                <w:rFonts w:ascii="Times New Roman" w:hAnsi="Times New Roman" w:cs="Times New Roman"/>
                <w:b w:val="0"/>
                <w:sz w:val="24"/>
                <w:u w:val="single"/>
              </w:rPr>
            </w:pPr>
            <w:r>
              <w:rPr>
                <w:rFonts w:ascii="Times New Roman" w:hAnsi="Times New Roman" w:cs="Times New Roman"/>
                <w:b w:val="0"/>
                <w:sz w:val="24"/>
              </w:rPr>
              <w:t>不分包</w:t>
            </w:r>
          </w:p>
        </w:tc>
      </w:tr>
      <w:tr w14:paraId="499D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14:paraId="5FAD0EE2">
            <w:pPr>
              <w:pStyle w:val="60"/>
              <w:widowControl w:val="0"/>
              <w:spacing w:before="0" w:beforeAutospacing="0" w:after="0" w:afterAutospacing="0" w:line="360" w:lineRule="auto"/>
              <w:jc w:val="left"/>
              <w:rPr>
                <w:rFonts w:ascii="Times New Roman" w:hAnsi="Times New Roman" w:cs="Times New Roman"/>
                <w:b w:val="0"/>
                <w:sz w:val="24"/>
              </w:rPr>
            </w:pPr>
            <w:r>
              <w:rPr>
                <w:rFonts w:ascii="Times New Roman" w:hAnsi="Times New Roman" w:cs="Times New Roman"/>
                <w:b w:val="0"/>
                <w:sz w:val="24"/>
              </w:rPr>
              <w:t>投标保证金</w:t>
            </w:r>
          </w:p>
        </w:tc>
        <w:tc>
          <w:tcPr>
            <w:tcW w:w="6687" w:type="dxa"/>
            <w:vAlign w:val="center"/>
          </w:tcPr>
          <w:p w14:paraId="5F838C97">
            <w:pPr>
              <w:spacing w:line="360" w:lineRule="auto"/>
              <w:jc w:val="left"/>
              <w:rPr>
                <w:rFonts w:ascii="Times New Roman" w:hAnsi="Times New Roman" w:cs="Times New Roman"/>
                <w:sz w:val="24"/>
              </w:rPr>
            </w:pPr>
            <w:r>
              <w:rPr>
                <w:rFonts w:ascii="Times New Roman" w:hAnsi="Times New Roman" w:cs="Times New Roman"/>
                <w:sz w:val="24"/>
              </w:rPr>
              <w:t>免收</w:t>
            </w:r>
          </w:p>
        </w:tc>
      </w:tr>
      <w:tr w14:paraId="6480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28D9389">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投标有效期</w:t>
            </w:r>
          </w:p>
        </w:tc>
        <w:tc>
          <w:tcPr>
            <w:tcW w:w="6687" w:type="dxa"/>
            <w:vAlign w:val="center"/>
          </w:tcPr>
          <w:p w14:paraId="7F225F10">
            <w:pPr>
              <w:pStyle w:val="60"/>
              <w:widowControl w:val="0"/>
              <w:spacing w:before="0" w:beforeAutospacing="0" w:after="0" w:afterAutospacing="0" w:line="360" w:lineRule="auto"/>
              <w:jc w:val="both"/>
              <w:rPr>
                <w:rFonts w:ascii="Times New Roman" w:hAnsi="Times New Roman" w:cs="Times New Roman"/>
                <w:b w:val="0"/>
                <w:sz w:val="24"/>
              </w:rPr>
            </w:pPr>
            <w:r>
              <w:rPr>
                <w:rFonts w:hint="eastAsia" w:ascii="Times New Roman" w:hAnsi="Times New Roman" w:cs="Times New Roman"/>
                <w:b w:val="0"/>
                <w:sz w:val="24"/>
                <w:u w:val="single"/>
              </w:rPr>
              <w:t>9</w:t>
            </w:r>
            <w:r>
              <w:rPr>
                <w:rFonts w:ascii="Times New Roman" w:hAnsi="Times New Roman" w:cs="Times New Roman"/>
                <w:b w:val="0"/>
                <w:sz w:val="24"/>
                <w:u w:val="single"/>
              </w:rPr>
              <w:t>0</w:t>
            </w:r>
            <w:r>
              <w:rPr>
                <w:rFonts w:ascii="Times New Roman" w:hAnsi="Times New Roman" w:cs="Times New Roman"/>
                <w:b w:val="0"/>
                <w:sz w:val="24"/>
              </w:rPr>
              <w:t>日历日</w:t>
            </w:r>
          </w:p>
        </w:tc>
      </w:tr>
      <w:tr w14:paraId="15B6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932CAF5">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投标文件要求</w:t>
            </w:r>
            <w:r>
              <w:rPr>
                <w:rFonts w:ascii="Times New Roman" w:hAnsi="Times New Roman" w:cs="Times New Roman"/>
                <w:bCs w:val="0"/>
                <w:sz w:val="24"/>
              </w:rPr>
              <w:t>（纸质）</w:t>
            </w:r>
          </w:p>
        </w:tc>
        <w:tc>
          <w:tcPr>
            <w:tcW w:w="6687" w:type="dxa"/>
            <w:vAlign w:val="center"/>
          </w:tcPr>
          <w:p w14:paraId="5D1F6034">
            <w:pPr>
              <w:pStyle w:val="60"/>
              <w:widowControl w:val="0"/>
              <w:spacing w:before="0" w:beforeAutospacing="0" w:after="0" w:afterAutospacing="0" w:line="360" w:lineRule="auto"/>
              <w:jc w:val="both"/>
              <w:rPr>
                <w:rFonts w:ascii="Times New Roman" w:hAnsi="Times New Roman" w:cs="Times New Roman"/>
                <w:bCs w:val="0"/>
                <w:sz w:val="24"/>
              </w:rPr>
            </w:pPr>
            <w:r>
              <w:rPr>
                <w:rFonts w:ascii="Times New Roman" w:hAnsi="Times New Roman" w:cs="Times New Roman"/>
                <w:bCs w:val="0"/>
                <w:sz w:val="24"/>
              </w:rPr>
              <w:t>（1）纸质版投标文件（建议胶装成册）：</w:t>
            </w:r>
          </w:p>
          <w:p w14:paraId="01CD67DB">
            <w:pPr>
              <w:pStyle w:val="60"/>
              <w:widowControl w:val="0"/>
              <w:spacing w:before="0" w:beforeAutospacing="0" w:after="0" w:afterAutospacing="0" w:line="360" w:lineRule="auto"/>
              <w:jc w:val="both"/>
              <w:rPr>
                <w:rFonts w:ascii="Times New Roman" w:hAnsi="Times New Roman" w:cs="Times New Roman"/>
                <w:bCs w:val="0"/>
                <w:sz w:val="24"/>
              </w:rPr>
            </w:pPr>
            <w:r>
              <w:rPr>
                <w:rFonts w:ascii="Times New Roman" w:hAnsi="Times New Roman" w:cs="Times New Roman"/>
                <w:bCs w:val="0"/>
                <w:sz w:val="24"/>
              </w:rPr>
              <w:t>正本</w:t>
            </w:r>
            <w:r>
              <w:rPr>
                <w:rFonts w:ascii="Times New Roman" w:hAnsi="Times New Roman" w:cs="Times New Roman"/>
                <w:bCs w:val="0"/>
                <w:sz w:val="24"/>
                <w:u w:val="single"/>
              </w:rPr>
              <w:t>1</w:t>
            </w:r>
            <w:r>
              <w:rPr>
                <w:rFonts w:ascii="Times New Roman" w:hAnsi="Times New Roman" w:cs="Times New Roman"/>
                <w:bCs w:val="0"/>
                <w:sz w:val="24"/>
              </w:rPr>
              <w:t>份；副本</w:t>
            </w:r>
            <w:r>
              <w:rPr>
                <w:rFonts w:ascii="Times New Roman" w:hAnsi="Times New Roman" w:cs="Times New Roman"/>
                <w:bCs w:val="0"/>
                <w:sz w:val="24"/>
                <w:u w:val="single"/>
              </w:rPr>
              <w:t>2</w:t>
            </w:r>
            <w:r>
              <w:rPr>
                <w:rFonts w:ascii="Times New Roman" w:hAnsi="Times New Roman" w:cs="Times New Roman"/>
                <w:bCs w:val="0"/>
                <w:sz w:val="24"/>
              </w:rPr>
              <w:t>份，密封提交。</w:t>
            </w:r>
          </w:p>
          <w:p w14:paraId="4AB71F7C">
            <w:pPr>
              <w:pStyle w:val="60"/>
              <w:widowControl w:val="0"/>
              <w:spacing w:before="0" w:beforeAutospacing="0" w:after="0" w:afterAutospacing="0" w:line="360" w:lineRule="auto"/>
              <w:jc w:val="both"/>
              <w:rPr>
                <w:rFonts w:ascii="Times New Roman" w:hAnsi="Times New Roman" w:cs="Times New Roman"/>
                <w:bCs w:val="0"/>
                <w:sz w:val="24"/>
              </w:rPr>
            </w:pPr>
            <w:r>
              <w:rPr>
                <w:rFonts w:ascii="Times New Roman" w:hAnsi="Times New Roman" w:cs="Times New Roman"/>
                <w:bCs w:val="0"/>
                <w:sz w:val="24"/>
              </w:rPr>
              <w:t>（2）电子版投标文件（仅作为存档使用，不作为否决条款，要求与纸质版投标文件一致）：</w:t>
            </w:r>
          </w:p>
          <w:p w14:paraId="002BA742">
            <w:pPr>
              <w:pStyle w:val="60"/>
              <w:widowControl w:val="0"/>
              <w:spacing w:before="0" w:beforeAutospacing="0" w:after="0" w:afterAutospacing="0" w:line="360" w:lineRule="auto"/>
              <w:jc w:val="both"/>
              <w:rPr>
                <w:rFonts w:ascii="Times New Roman" w:hAnsi="Times New Roman" w:cs="Times New Roman"/>
                <w:bCs w:val="0"/>
                <w:sz w:val="24"/>
              </w:rPr>
            </w:pPr>
            <w:r>
              <w:rPr>
                <w:rFonts w:ascii="Times New Roman" w:hAnsi="Times New Roman" w:cs="Times New Roman"/>
                <w:bCs w:val="0"/>
                <w:sz w:val="24"/>
              </w:rPr>
              <w:t>U盘或光盘</w:t>
            </w:r>
            <w:r>
              <w:rPr>
                <w:rFonts w:ascii="Times New Roman" w:hAnsi="Times New Roman" w:cs="Times New Roman"/>
                <w:bCs w:val="0"/>
                <w:sz w:val="24"/>
                <w:u w:val="single"/>
              </w:rPr>
              <w:t>1</w:t>
            </w:r>
            <w:r>
              <w:rPr>
                <w:rFonts w:ascii="Times New Roman" w:hAnsi="Times New Roman" w:cs="Times New Roman"/>
                <w:bCs w:val="0"/>
                <w:sz w:val="24"/>
              </w:rPr>
              <w:t>份（加盖公章后完整版投标文件扫描件）。</w:t>
            </w:r>
          </w:p>
          <w:p w14:paraId="31A37936">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Cs w:val="0"/>
                <w:sz w:val="24"/>
              </w:rPr>
              <w:t>以上文件均密封提交。</w:t>
            </w:r>
          </w:p>
        </w:tc>
      </w:tr>
      <w:tr w14:paraId="30214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59FE44B">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开标现场提交的其他材料要求</w:t>
            </w:r>
          </w:p>
        </w:tc>
        <w:tc>
          <w:tcPr>
            <w:tcW w:w="6687" w:type="dxa"/>
            <w:vAlign w:val="center"/>
          </w:tcPr>
          <w:p w14:paraId="6DE93C27">
            <w:pPr>
              <w:pStyle w:val="60"/>
              <w:widowControl w:val="0"/>
              <w:spacing w:before="0" w:beforeAutospacing="0" w:after="0" w:afterAutospacing="0" w:line="360" w:lineRule="auto"/>
              <w:jc w:val="both"/>
              <w:rPr>
                <w:rFonts w:ascii="Times New Roman" w:hAnsi="Times New Roman" w:cs="Times New Roman"/>
                <w:b w:val="0"/>
                <w:sz w:val="24"/>
                <w:u w:val="single"/>
              </w:rPr>
            </w:pPr>
            <w:r>
              <w:rPr>
                <w:rFonts w:ascii="Times New Roman" w:hAnsi="Times New Roman" w:cs="Times New Roman"/>
                <w:b w:val="0"/>
                <w:bCs w:val="0"/>
                <w:sz w:val="24"/>
                <w:szCs w:val="18"/>
              </w:rPr>
              <w:t xml:space="preserve">/      </w:t>
            </w:r>
          </w:p>
        </w:tc>
      </w:tr>
      <w:tr w14:paraId="3EBC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02AE21F">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投标截止时间及地点</w:t>
            </w:r>
          </w:p>
        </w:tc>
        <w:tc>
          <w:tcPr>
            <w:tcW w:w="6687" w:type="dxa"/>
            <w:vAlign w:val="center"/>
          </w:tcPr>
          <w:p w14:paraId="7025BE29">
            <w:pPr>
              <w:pStyle w:val="60"/>
              <w:widowControl w:val="0"/>
              <w:spacing w:before="0" w:beforeAutospacing="0" w:after="0" w:afterAutospacing="0" w:line="360" w:lineRule="auto"/>
              <w:jc w:val="both"/>
              <w:rPr>
                <w:rFonts w:ascii="Times New Roman" w:hAnsi="Times New Roman" w:cs="Times New Roman"/>
                <w:kern w:val="2"/>
                <w:sz w:val="24"/>
                <w:szCs w:val="24"/>
              </w:rPr>
            </w:pPr>
            <w:r>
              <w:rPr>
                <w:rFonts w:ascii="Times New Roman" w:hAnsi="Times New Roman" w:cs="Times New Roman"/>
                <w:b w:val="0"/>
                <w:sz w:val="24"/>
              </w:rPr>
              <w:t>投标截止时间：</w:t>
            </w:r>
            <w:r>
              <w:rPr>
                <w:rFonts w:ascii="Times New Roman" w:hAnsi="Times New Roman" w:cs="Times New Roman"/>
                <w:kern w:val="2"/>
                <w:sz w:val="24"/>
                <w:szCs w:val="24"/>
              </w:rPr>
              <w:t>详见投标邀请（招标公告）</w:t>
            </w:r>
          </w:p>
          <w:p w14:paraId="79284C02">
            <w:pPr>
              <w:snapToGrid w:val="0"/>
              <w:spacing w:line="360" w:lineRule="auto"/>
              <w:rPr>
                <w:rFonts w:ascii="Times New Roman" w:hAnsi="Times New Roman" w:cs="Times New Roman"/>
                <w:b/>
                <w:bCs/>
                <w:sz w:val="24"/>
                <w:szCs w:val="24"/>
              </w:rPr>
            </w:pPr>
            <w:r>
              <w:rPr>
                <w:rFonts w:ascii="Times New Roman" w:hAnsi="Times New Roman" w:cs="Times New Roman"/>
                <w:sz w:val="24"/>
              </w:rPr>
              <w:t>投标文件递交地点：</w:t>
            </w:r>
            <w:r>
              <w:rPr>
                <w:rFonts w:hint="eastAsia" w:ascii="宋体" w:hAnsi="宋体" w:cs="宋体"/>
                <w:b/>
                <w:bCs/>
                <w:sz w:val="24"/>
                <w:szCs w:val="24"/>
              </w:rPr>
              <w:t>合肥市包河区滨湖卓越城文华园一期A2楼</w:t>
            </w:r>
            <w:r>
              <w:rPr>
                <w:rFonts w:hint="eastAsia" w:ascii="宋体" w:hAnsi="宋体" w:cs="宋体"/>
                <w:b/>
                <w:bCs/>
                <w:sz w:val="24"/>
                <w:szCs w:val="24"/>
                <w:lang w:val="en-US" w:eastAsia="zh-CN"/>
              </w:rPr>
              <w:t>4</w:t>
            </w:r>
            <w:r>
              <w:rPr>
                <w:rFonts w:hint="eastAsia" w:ascii="宋体" w:hAnsi="宋体" w:cs="宋体"/>
                <w:b/>
                <w:bCs/>
                <w:sz w:val="24"/>
                <w:szCs w:val="24"/>
              </w:rPr>
              <w:t>层</w:t>
            </w:r>
          </w:p>
          <w:p w14:paraId="073FB88F">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投标文件接收时间：</w:t>
            </w:r>
            <w:r>
              <w:rPr>
                <w:rFonts w:ascii="Times New Roman" w:hAnsi="Times New Roman" w:cs="Times New Roman"/>
                <w:kern w:val="2"/>
                <w:sz w:val="24"/>
                <w:szCs w:val="24"/>
              </w:rPr>
              <w:t>详见投标邀请（招标公告）</w:t>
            </w:r>
          </w:p>
        </w:tc>
      </w:tr>
      <w:tr w14:paraId="2F4B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D334AC7">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资格审查</w:t>
            </w:r>
          </w:p>
        </w:tc>
        <w:tc>
          <w:tcPr>
            <w:tcW w:w="6687" w:type="dxa"/>
            <w:vAlign w:val="center"/>
          </w:tcPr>
          <w:p w14:paraId="0FC342D6">
            <w:pPr>
              <w:pStyle w:val="60"/>
              <w:widowControl w:val="0"/>
              <w:spacing w:before="0" w:beforeAutospacing="0" w:after="0" w:afterAutospacing="0" w:line="360" w:lineRule="auto"/>
              <w:jc w:val="both"/>
              <w:rPr>
                <w:rFonts w:ascii="Times New Roman" w:hAnsi="Times New Roman" w:cs="Times New Roman"/>
                <w:b w:val="0"/>
                <w:sz w:val="24"/>
                <w:u w:val="single"/>
              </w:rPr>
            </w:pPr>
            <w:r>
              <w:rPr>
                <w:rFonts w:ascii="Times New Roman" w:hAnsi="Times New Roman" w:cs="Times New Roman"/>
                <w:b w:val="0"/>
                <w:bCs w:val="0"/>
                <w:sz w:val="24"/>
                <w:szCs w:val="24"/>
              </w:rPr>
              <w:t>评标委员会进行审查</w:t>
            </w:r>
          </w:p>
        </w:tc>
      </w:tr>
      <w:tr w14:paraId="5C1C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B200484">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评标方法</w:t>
            </w:r>
          </w:p>
        </w:tc>
        <w:tc>
          <w:tcPr>
            <w:tcW w:w="6687" w:type="dxa"/>
            <w:vAlign w:val="center"/>
          </w:tcPr>
          <w:p w14:paraId="3D565FC3">
            <w:pPr>
              <w:pStyle w:val="60"/>
              <w:widowControl w:val="0"/>
              <w:spacing w:before="0" w:beforeAutospacing="0" w:after="0" w:afterAutospacing="0" w:line="360" w:lineRule="auto"/>
              <w:jc w:val="both"/>
              <w:rPr>
                <w:rFonts w:ascii="Times New Roman" w:hAnsi="Times New Roman" w:cs="Times New Roman"/>
                <w:b w:val="0"/>
                <w:sz w:val="24"/>
                <w:u w:val="single"/>
              </w:rPr>
            </w:pPr>
            <w:r>
              <w:rPr>
                <w:rFonts w:hint="eastAsia" w:ascii="Times New Roman" w:hAnsi="Times New Roman" w:cs="Times New Roman"/>
                <w:b w:val="0"/>
                <w:sz w:val="24"/>
                <w:u w:val="single"/>
              </w:rPr>
              <w:t>□</w:t>
            </w:r>
            <w:r>
              <w:rPr>
                <w:rFonts w:ascii="Times New Roman" w:hAnsi="Times New Roman" w:cs="Times New Roman"/>
                <w:b w:val="0"/>
                <w:sz w:val="24"/>
                <w:u w:val="single"/>
              </w:rPr>
              <w:t>最低评标价法</w:t>
            </w:r>
          </w:p>
          <w:p w14:paraId="44FD4979">
            <w:pPr>
              <w:pStyle w:val="60"/>
              <w:widowControl w:val="0"/>
              <w:spacing w:before="0" w:beforeAutospacing="0" w:after="0" w:afterAutospacing="0" w:line="360" w:lineRule="auto"/>
              <w:jc w:val="both"/>
              <w:rPr>
                <w:rFonts w:ascii="Times New Roman" w:hAnsi="Times New Roman" w:cs="Times New Roman"/>
                <w:b w:val="0"/>
                <w:sz w:val="24"/>
              </w:rPr>
            </w:pPr>
            <w:r>
              <w:rPr>
                <w:rFonts w:hint="eastAsia" w:ascii="Times New Roman" w:hAnsi="Times New Roman" w:cs="Times New Roman"/>
                <w:b w:val="0"/>
                <w:sz w:val="24"/>
                <w:u w:val="single"/>
              </w:rPr>
              <w:t>☑</w:t>
            </w:r>
            <w:r>
              <w:rPr>
                <w:rFonts w:ascii="Times New Roman" w:hAnsi="Times New Roman" w:cs="Times New Roman"/>
                <w:b w:val="0"/>
                <w:sz w:val="24"/>
                <w:u w:val="single"/>
              </w:rPr>
              <w:t>综合评分法</w:t>
            </w:r>
          </w:p>
        </w:tc>
      </w:tr>
      <w:tr w14:paraId="1B17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617CDE8">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推荐中标候选人的数量</w:t>
            </w:r>
          </w:p>
        </w:tc>
        <w:tc>
          <w:tcPr>
            <w:tcW w:w="6687" w:type="dxa"/>
            <w:vAlign w:val="center"/>
          </w:tcPr>
          <w:p w14:paraId="7D17D826">
            <w:pPr>
              <w:pStyle w:val="60"/>
              <w:widowControl w:val="0"/>
              <w:spacing w:before="0" w:beforeAutospacing="0" w:after="0" w:afterAutospacing="0" w:line="360" w:lineRule="auto"/>
              <w:jc w:val="both"/>
              <w:rPr>
                <w:rFonts w:ascii="Times New Roman" w:hAnsi="Times New Roman" w:cs="Times New Roman"/>
                <w:b w:val="0"/>
                <w:sz w:val="24"/>
                <w:u w:val="single"/>
              </w:rPr>
            </w:pPr>
            <w:r>
              <w:rPr>
                <w:rFonts w:ascii="Times New Roman" w:hAnsi="Times New Roman" w:cs="Times New Roman"/>
                <w:b w:val="0"/>
                <w:sz w:val="24"/>
              </w:rPr>
              <w:t>1家</w:t>
            </w:r>
          </w:p>
        </w:tc>
      </w:tr>
      <w:tr w14:paraId="5E25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E5A8316">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确定中标人</w:t>
            </w:r>
          </w:p>
        </w:tc>
        <w:tc>
          <w:tcPr>
            <w:tcW w:w="6687" w:type="dxa"/>
            <w:vAlign w:val="center"/>
          </w:tcPr>
          <w:p w14:paraId="6E20EE47">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hint="eastAsia" w:ascii="Times New Roman" w:hAnsi="Times New Roman" w:cs="Times New Roman"/>
                <w:b w:val="0"/>
                <w:bCs w:val="0"/>
                <w:sz w:val="24"/>
                <w:szCs w:val="24"/>
              </w:rPr>
              <w:t>□</w:t>
            </w:r>
            <w:r>
              <w:rPr>
                <w:rFonts w:ascii="Times New Roman" w:hAnsi="Times New Roman" w:cs="Times New Roman"/>
                <w:b w:val="0"/>
                <w:bCs w:val="0"/>
                <w:sz w:val="24"/>
                <w:szCs w:val="24"/>
              </w:rPr>
              <w:t>招标人委托评标委员会确定</w:t>
            </w:r>
          </w:p>
          <w:p w14:paraId="6F47907E">
            <w:pPr>
              <w:pStyle w:val="60"/>
              <w:widowControl w:val="0"/>
              <w:spacing w:before="0" w:beforeAutospacing="0" w:after="0" w:afterAutospacing="0" w:line="360" w:lineRule="auto"/>
              <w:jc w:val="both"/>
              <w:rPr>
                <w:rFonts w:ascii="Times New Roman" w:hAnsi="Times New Roman" w:cs="Times New Roman"/>
                <w:b w:val="0"/>
                <w:sz w:val="24"/>
              </w:rPr>
            </w:pPr>
            <w:r>
              <w:rPr>
                <w:rFonts w:hint="eastAsia" w:ascii="Times New Roman" w:hAnsi="Times New Roman" w:cs="Times New Roman"/>
                <w:b w:val="0"/>
                <w:bCs w:val="0"/>
                <w:sz w:val="24"/>
                <w:szCs w:val="24"/>
              </w:rPr>
              <w:t>☑</w:t>
            </w:r>
            <w:r>
              <w:rPr>
                <w:rFonts w:ascii="Times New Roman" w:hAnsi="Times New Roman" w:cs="Times New Roman"/>
                <w:b w:val="0"/>
                <w:bCs w:val="0"/>
                <w:sz w:val="24"/>
                <w:szCs w:val="24"/>
              </w:rPr>
              <w:t>招标人确定</w:t>
            </w:r>
          </w:p>
        </w:tc>
      </w:tr>
      <w:tr w14:paraId="17E0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50DD849">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随中标结果公告同时公告的中标人的投标文件内容</w:t>
            </w:r>
          </w:p>
        </w:tc>
        <w:tc>
          <w:tcPr>
            <w:tcW w:w="6687" w:type="dxa"/>
            <w:vAlign w:val="center"/>
          </w:tcPr>
          <w:p w14:paraId="6F92CB78">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w:t>
            </w:r>
          </w:p>
        </w:tc>
      </w:tr>
      <w:tr w14:paraId="6270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A67559A">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告知招标结果的形式</w:t>
            </w:r>
          </w:p>
        </w:tc>
        <w:tc>
          <w:tcPr>
            <w:tcW w:w="6687" w:type="dxa"/>
            <w:vAlign w:val="center"/>
          </w:tcPr>
          <w:p w14:paraId="1C73EB8D">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投标人自行上网查看（</w:t>
            </w:r>
            <w:r>
              <w:rPr>
                <w:rFonts w:hint="eastAsia" w:ascii="Times New Roman" w:hAnsi="Times New Roman" w:cs="Times New Roman"/>
                <w:b w:val="0"/>
                <w:bCs w:val="0"/>
                <w:sz w:val="24"/>
                <w:szCs w:val="24"/>
                <w:lang w:eastAsia="zh-CN"/>
              </w:rPr>
              <w:t>合肥滨湖时光产业投资集团有限公司</w:t>
            </w:r>
            <w:r>
              <w:rPr>
                <w:rFonts w:ascii="Times New Roman" w:hAnsi="Times New Roman" w:cs="Times New Roman"/>
                <w:b w:val="0"/>
                <w:bCs w:val="0"/>
                <w:sz w:val="24"/>
                <w:szCs w:val="24"/>
              </w:rPr>
              <w:t>官方网站</w:t>
            </w:r>
            <w:r>
              <w:rPr>
                <w:rFonts w:hint="eastAsia" w:ascii="Times New Roman" w:hAnsi="Times New Roman" w:cs="Times New Roman"/>
                <w:b w:val="0"/>
                <w:bCs w:val="0"/>
                <w:sz w:val="24"/>
                <w:szCs w:val="24"/>
                <w:lang w:eastAsia="zh-CN"/>
              </w:rPr>
              <w:t>http://bhsggroup.cn/</w:t>
            </w:r>
            <w:r>
              <w:rPr>
                <w:rFonts w:ascii="Times New Roman" w:hAnsi="Times New Roman" w:cs="Times New Roman"/>
                <w:b w:val="0"/>
                <w:bCs w:val="0"/>
                <w:sz w:val="24"/>
                <w:szCs w:val="24"/>
              </w:rPr>
              <w:t>）</w:t>
            </w:r>
          </w:p>
        </w:tc>
      </w:tr>
      <w:tr w14:paraId="1EC0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14:paraId="086DBB96">
            <w:pPr>
              <w:pStyle w:val="60"/>
              <w:widowControl w:val="0"/>
              <w:spacing w:before="0" w:beforeAutospacing="0" w:after="0" w:afterAutospacing="0" w:line="360" w:lineRule="auto"/>
              <w:rPr>
                <w:rFonts w:ascii="Times New Roman" w:hAnsi="Times New Roman" w:cs="Times New Roman"/>
                <w:b w:val="0"/>
                <w:sz w:val="24"/>
              </w:rPr>
            </w:pPr>
            <w:r>
              <w:rPr>
                <w:rFonts w:ascii="Times New Roman" w:hAnsi="Times New Roman" w:cs="Times New Roman"/>
                <w:b w:val="0"/>
                <w:sz w:val="24"/>
              </w:rPr>
              <w:t>履约保证金</w:t>
            </w:r>
          </w:p>
          <w:p w14:paraId="748BCA47">
            <w:pPr>
              <w:pStyle w:val="60"/>
              <w:widowControl w:val="0"/>
              <w:spacing w:before="0" w:beforeAutospacing="0" w:after="0" w:afterAutospacing="0" w:line="360" w:lineRule="auto"/>
              <w:rPr>
                <w:rFonts w:ascii="Times New Roman" w:hAnsi="Times New Roman" w:cs="Times New Roman"/>
                <w:b w:val="0"/>
                <w:sz w:val="24"/>
              </w:rPr>
            </w:pPr>
            <w:r>
              <w:rPr>
                <w:rFonts w:hint="eastAsia" w:ascii="Times New Roman" w:hAnsi="Times New Roman" w:cs="Times New Roman"/>
                <w:b w:val="0"/>
                <w:sz w:val="24"/>
              </w:rPr>
              <w:t>（本项目不收取）</w:t>
            </w:r>
          </w:p>
        </w:tc>
        <w:tc>
          <w:tcPr>
            <w:tcW w:w="6687" w:type="dxa"/>
            <w:vAlign w:val="center"/>
          </w:tcPr>
          <w:tbl>
            <w:tblPr>
              <w:tblStyle w:val="41"/>
              <w:tblW w:w="5000" w:type="pct"/>
              <w:tblInd w:w="0" w:type="dxa"/>
              <w:tblLayout w:type="fixed"/>
              <w:tblCellMar>
                <w:top w:w="0" w:type="dxa"/>
                <w:left w:w="108" w:type="dxa"/>
                <w:bottom w:w="0" w:type="dxa"/>
                <w:right w:w="108" w:type="dxa"/>
              </w:tblCellMar>
            </w:tblPr>
            <w:tblGrid>
              <w:gridCol w:w="1509"/>
              <w:gridCol w:w="4962"/>
            </w:tblGrid>
            <w:tr w14:paraId="39422CB7">
              <w:tblPrEx>
                <w:tblCellMar>
                  <w:top w:w="0" w:type="dxa"/>
                  <w:left w:w="108" w:type="dxa"/>
                  <w:bottom w:w="0" w:type="dxa"/>
                  <w:right w:w="108" w:type="dxa"/>
                </w:tblCellMar>
              </w:tblPrEx>
              <w:tc>
                <w:tcPr>
                  <w:tcW w:w="1509" w:type="dxa"/>
                  <w:shd w:val="clear" w:color="auto" w:fill="auto"/>
                  <w:vAlign w:val="center"/>
                </w:tcPr>
                <w:p w14:paraId="2907F890">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（1）形式：</w:t>
                  </w:r>
                </w:p>
              </w:tc>
              <w:tc>
                <w:tcPr>
                  <w:tcW w:w="4962" w:type="dxa"/>
                  <w:shd w:val="clear" w:color="auto" w:fill="auto"/>
                </w:tcPr>
                <w:p w14:paraId="17665A3C">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hint="eastAsia" w:ascii="Times New Roman" w:hAnsi="Times New Roman" w:cs="Times New Roman"/>
                      <w:b w:val="0"/>
                      <w:bCs w:val="0"/>
                      <w:sz w:val="24"/>
                      <w:szCs w:val="24"/>
                      <w:lang w:eastAsia="zh-CN"/>
                    </w:rPr>
                    <w:t>□</w:t>
                  </w:r>
                  <w:r>
                    <w:rPr>
                      <w:rFonts w:ascii="Times New Roman" w:hAnsi="Times New Roman" w:cs="Times New Roman"/>
                      <w:b w:val="0"/>
                      <w:bCs w:val="0"/>
                      <w:sz w:val="24"/>
                      <w:szCs w:val="24"/>
                    </w:rPr>
                    <w:t>银行转账</w:t>
                  </w:r>
                  <w:r>
                    <w:rPr>
                      <w:rFonts w:hint="eastAsia" w:ascii="Times New Roman" w:hAnsi="Times New Roman" w:cs="Times New Roman"/>
                      <w:b w:val="0"/>
                      <w:bCs w:val="0"/>
                      <w:sz w:val="24"/>
                      <w:szCs w:val="24"/>
                    </w:rPr>
                    <w:t>□</w:t>
                  </w:r>
                  <w:r>
                    <w:rPr>
                      <w:rFonts w:ascii="Times New Roman" w:hAnsi="Times New Roman" w:cs="Times New Roman"/>
                      <w:b w:val="0"/>
                      <w:bCs w:val="0"/>
                      <w:sz w:val="24"/>
                      <w:szCs w:val="24"/>
                    </w:rPr>
                    <w:t>银行电汇</w:t>
                  </w:r>
                </w:p>
                <w:p w14:paraId="29E2CE6B">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hint="eastAsia" w:ascii="Times New Roman" w:hAnsi="Times New Roman" w:cs="Times New Roman"/>
                      <w:b w:val="0"/>
                      <w:bCs w:val="0"/>
                      <w:sz w:val="24"/>
                      <w:szCs w:val="24"/>
                    </w:rPr>
                    <w:t>□</w:t>
                  </w:r>
                  <w:r>
                    <w:rPr>
                      <w:rFonts w:ascii="Times New Roman" w:hAnsi="Times New Roman" w:cs="Times New Roman"/>
                      <w:b w:val="0"/>
                      <w:bCs w:val="0"/>
                      <w:sz w:val="24"/>
                      <w:szCs w:val="24"/>
                    </w:rPr>
                    <w:t>银行保函</w:t>
                  </w:r>
                  <w:r>
                    <w:rPr>
                      <w:rFonts w:hint="eastAsia" w:ascii="Times New Roman" w:hAnsi="Times New Roman" w:cs="Times New Roman"/>
                      <w:b w:val="0"/>
                      <w:bCs w:val="0"/>
                      <w:sz w:val="24"/>
                      <w:szCs w:val="24"/>
                    </w:rPr>
                    <w:t>□</w:t>
                  </w:r>
                  <w:r>
                    <w:rPr>
                      <w:rFonts w:ascii="Times New Roman" w:hAnsi="Times New Roman" w:cs="Times New Roman"/>
                      <w:b w:val="0"/>
                      <w:bCs w:val="0"/>
                      <w:sz w:val="24"/>
                      <w:szCs w:val="24"/>
                    </w:rPr>
                    <w:t>担保机构担保</w:t>
                  </w:r>
                </w:p>
                <w:p w14:paraId="266921D8">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hint="eastAsia" w:ascii="Times New Roman" w:hAnsi="Times New Roman" w:cs="Times New Roman"/>
                      <w:b w:val="0"/>
                      <w:bCs w:val="0"/>
                      <w:sz w:val="24"/>
                      <w:szCs w:val="24"/>
                    </w:rPr>
                    <w:t>□</w:t>
                  </w:r>
                  <w:r>
                    <w:rPr>
                      <w:rFonts w:ascii="Times New Roman" w:hAnsi="Times New Roman" w:cs="Times New Roman"/>
                      <w:b w:val="0"/>
                      <w:bCs w:val="0"/>
                      <w:sz w:val="24"/>
                      <w:szCs w:val="24"/>
                    </w:rPr>
                    <w:t>保证保险</w:t>
                  </w:r>
                </w:p>
              </w:tc>
            </w:tr>
            <w:tr w14:paraId="2931C17B">
              <w:tblPrEx>
                <w:tblCellMar>
                  <w:top w:w="0" w:type="dxa"/>
                  <w:left w:w="108" w:type="dxa"/>
                  <w:bottom w:w="0" w:type="dxa"/>
                  <w:right w:w="108" w:type="dxa"/>
                </w:tblCellMar>
              </w:tblPrEx>
              <w:tc>
                <w:tcPr>
                  <w:tcW w:w="6471" w:type="dxa"/>
                  <w:gridSpan w:val="2"/>
                  <w:shd w:val="clear" w:color="auto" w:fill="auto"/>
                </w:tcPr>
                <w:p w14:paraId="2AD6DE0E">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（2）金额：签约合同价的</w:t>
                  </w:r>
                  <w:r>
                    <w:rPr>
                      <w:rFonts w:hint="eastAsia" w:ascii="Times New Roman" w:hAnsi="Times New Roman" w:cs="Times New Roman"/>
                      <w:b w:val="0"/>
                      <w:bCs w:val="0"/>
                      <w:sz w:val="24"/>
                      <w:szCs w:val="24"/>
                    </w:rPr>
                    <w:t>5</w:t>
                  </w:r>
                  <w:r>
                    <w:rPr>
                      <w:rFonts w:ascii="Times New Roman" w:hAnsi="Times New Roman" w:cs="Times New Roman"/>
                      <w:b w:val="0"/>
                      <w:bCs w:val="0"/>
                      <w:sz w:val="24"/>
                      <w:szCs w:val="24"/>
                    </w:rPr>
                    <w:t>％</w:t>
                  </w:r>
                </w:p>
                <w:p w14:paraId="457C1358">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3）如采用银行保函，银行保函应为合肥行政区域（含四县一市）具有分支机构的银行（或该银行国内任一分行或支行）出具的见索即付无条件银行保函。例如：某银行在合肥行政区域有分支机构，则该银行总行（或该银行国内任一分行或支行）出具的满足招标文件要求的银行保函均予以认可。</w:t>
                  </w:r>
                </w:p>
                <w:p w14:paraId="224C0F0F">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（4）如采用担保机构出具的保函（担保机构担保），应为经安徽省地方金融监督管理局审查批准，依法取得融资担保业务经营许可证的融资担保机构出具的无条件保函。</w:t>
                  </w:r>
                </w:p>
                <w:p w14:paraId="73FCC3B5">
                  <w:pPr>
                    <w:pStyle w:val="60"/>
                    <w:widowControl w:val="0"/>
                    <w:spacing w:before="0" w:beforeAutospacing="0" w:after="0" w:afterAutospacing="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(5)以上各类机构出具的以担保函、保证保险承担责任的方式均须满足无条件见索即付条件。</w:t>
                  </w:r>
                </w:p>
              </w:tc>
            </w:tr>
          </w:tbl>
          <w:p w14:paraId="722D7B3F">
            <w:pPr>
              <w:pStyle w:val="94"/>
              <w:tabs>
                <w:tab w:val="left" w:pos="351"/>
              </w:tabs>
              <w:spacing w:line="360" w:lineRule="auto"/>
              <w:ind w:right="96"/>
              <w:jc w:val="left"/>
              <w:rPr>
                <w:rFonts w:ascii="Times New Roman" w:hAnsi="Times New Roman" w:cs="Times New Roman"/>
                <w:sz w:val="24"/>
                <w:lang w:val="en-US"/>
              </w:rPr>
            </w:pPr>
            <w:r>
              <w:rPr>
                <w:rFonts w:ascii="Times New Roman" w:hAnsi="Times New Roman" w:cs="Times New Roman"/>
                <w:sz w:val="24"/>
                <w:lang w:val="en-US"/>
              </w:rPr>
              <w:t xml:space="preserve">（6）履约保证金提交期限的要求：合同签订前。 </w:t>
            </w:r>
          </w:p>
          <w:p w14:paraId="2C5CE1B5">
            <w:pPr>
              <w:pStyle w:val="94"/>
              <w:tabs>
                <w:tab w:val="left" w:pos="351"/>
              </w:tabs>
              <w:spacing w:line="360" w:lineRule="auto"/>
              <w:ind w:right="96"/>
              <w:jc w:val="left"/>
              <w:rPr>
                <w:rFonts w:ascii="Times New Roman" w:hAnsi="Times New Roman" w:cs="Times New Roman"/>
                <w:sz w:val="24"/>
                <w:lang w:val="en-US"/>
              </w:rPr>
            </w:pPr>
            <w:r>
              <w:rPr>
                <w:rFonts w:ascii="Times New Roman" w:hAnsi="Times New Roman" w:cs="Times New Roman"/>
                <w:sz w:val="24"/>
                <w:lang w:val="en-US"/>
              </w:rPr>
              <w:t>（7）履约保证金退还：竣工验收通过后28天内。</w:t>
            </w:r>
          </w:p>
        </w:tc>
      </w:tr>
      <w:tr w14:paraId="2455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9053E3A">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中标服务费</w:t>
            </w:r>
          </w:p>
        </w:tc>
        <w:tc>
          <w:tcPr>
            <w:tcW w:w="6687" w:type="dxa"/>
            <w:vAlign w:val="center"/>
          </w:tcPr>
          <w:p w14:paraId="7A55B3AA">
            <w:pPr>
              <w:pStyle w:val="60"/>
              <w:widowControl w:val="0"/>
              <w:spacing w:before="0" w:beforeAutospacing="0" w:after="0" w:afterAutospacing="0" w:line="360" w:lineRule="auto"/>
              <w:jc w:val="both"/>
              <w:rPr>
                <w:rFonts w:ascii="Times New Roman" w:hAnsi="Times New Roman" w:cs="Times New Roman"/>
                <w:b w:val="0"/>
                <w:sz w:val="24"/>
              </w:rPr>
            </w:pPr>
            <w:r>
              <w:rPr>
                <w:rFonts w:hint="eastAsia" w:ascii="Times New Roman" w:hAnsi="Times New Roman" w:cs="Times New Roman"/>
                <w:b w:val="0"/>
                <w:sz w:val="24"/>
              </w:rPr>
              <w:t>☑</w:t>
            </w:r>
            <w:r>
              <w:rPr>
                <w:rFonts w:ascii="Times New Roman" w:hAnsi="Times New Roman" w:cs="Times New Roman"/>
                <w:b w:val="0"/>
                <w:sz w:val="24"/>
              </w:rPr>
              <w:t>免收</w:t>
            </w:r>
          </w:p>
        </w:tc>
      </w:tr>
      <w:tr w14:paraId="7C31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ADE80C2">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其他内容</w:t>
            </w:r>
          </w:p>
        </w:tc>
        <w:tc>
          <w:tcPr>
            <w:tcW w:w="6687" w:type="dxa"/>
            <w:vAlign w:val="center"/>
          </w:tcPr>
          <w:p w14:paraId="6B1DF4A4">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w:t>
            </w:r>
          </w:p>
        </w:tc>
      </w:tr>
      <w:tr w14:paraId="1324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96CD546">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关于联合体投标的相关约定</w:t>
            </w:r>
          </w:p>
        </w:tc>
        <w:tc>
          <w:tcPr>
            <w:tcW w:w="6687" w:type="dxa"/>
            <w:vAlign w:val="center"/>
          </w:tcPr>
          <w:p w14:paraId="218D811B">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（1）联合体投标的，招标文件获取手续由联合体中任一成员单位办理均可。</w:t>
            </w:r>
          </w:p>
          <w:p w14:paraId="094097E2">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（2）联合体投标的须提供联合协议（见投标文件格式），相关证明材料由投标人根据联合协议分工情况及招标文件要求提供。</w:t>
            </w:r>
          </w:p>
          <w:p w14:paraId="3657758B">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（3）联合体各成员单位均须提供营业执照（或事业单位法人登记证书）和无重大违法记录声明函、无不良信用记录声明函。</w:t>
            </w:r>
          </w:p>
        </w:tc>
      </w:tr>
      <w:tr w14:paraId="0B3A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CA3F853">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社保证明材料</w:t>
            </w:r>
          </w:p>
        </w:tc>
        <w:tc>
          <w:tcPr>
            <w:tcW w:w="6687" w:type="dxa"/>
            <w:vAlign w:val="center"/>
          </w:tcPr>
          <w:p w14:paraId="1B27435C">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本项目招标文件中要求提供的社保证明材料为下述形式之一（投标文件中须提供影印件或复印件）：</w:t>
            </w:r>
          </w:p>
          <w:p w14:paraId="68CC0D65">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（1）社保局官方网站查询的缴费记录截图；</w:t>
            </w:r>
          </w:p>
          <w:p w14:paraId="087759ED">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（2）社保局的书面证明材料；</w:t>
            </w:r>
          </w:p>
          <w:p w14:paraId="728C3274">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（3）经投标人委托的第三方人力资源服务机构或与投标人有直接隶属关系的机构可以代缴社保，但须提供有关证明材料并经评标委员会确认。</w:t>
            </w:r>
          </w:p>
          <w:p w14:paraId="07142234">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（4）其他经评标委员会认可的证明材料。</w:t>
            </w:r>
          </w:p>
          <w:p w14:paraId="49FA6D56">
            <w:pPr>
              <w:pStyle w:val="60"/>
              <w:widowControl w:val="0"/>
              <w:spacing w:before="0" w:beforeAutospacing="0" w:after="0" w:afterAutospacing="0" w:line="360" w:lineRule="auto"/>
              <w:jc w:val="both"/>
              <w:rPr>
                <w:rFonts w:ascii="Times New Roman" w:hAnsi="Times New Roman" w:cs="Times New Roman"/>
                <w:b w:val="0"/>
                <w:iCs/>
                <w:sz w:val="24"/>
              </w:rPr>
            </w:pPr>
            <w:r>
              <w:rPr>
                <w:rFonts w:ascii="Times New Roman" w:hAnsi="Times New Roman" w:cs="Times New Roman"/>
                <w:b w:val="0"/>
                <w:iCs/>
                <w:sz w:val="24"/>
              </w:rPr>
              <w:t>（5）法定代表人参与项目的，无需提供社保证明材料，提供身份证明材料即可。</w:t>
            </w:r>
          </w:p>
        </w:tc>
      </w:tr>
      <w:tr w14:paraId="0C3D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C0A99B4">
            <w:pPr>
              <w:pStyle w:val="60"/>
              <w:widowControl w:val="0"/>
              <w:spacing w:before="0" w:beforeAutospacing="0" w:after="0" w:afterAutospacing="0" w:line="360" w:lineRule="auto"/>
              <w:jc w:val="both"/>
              <w:rPr>
                <w:rFonts w:ascii="宋体" w:hAnsi="宋体"/>
                <w:bCs w:val="0"/>
                <w:sz w:val="24"/>
              </w:rPr>
            </w:pPr>
            <w:r>
              <w:rPr>
                <w:rFonts w:hint="eastAsia" w:ascii="宋体" w:hAnsi="宋体"/>
                <w:bCs w:val="0"/>
                <w:snapToGrid w:val="0"/>
                <w:sz w:val="24"/>
                <w:szCs w:val="24"/>
              </w:rPr>
              <w:t>本地化服务</w:t>
            </w:r>
          </w:p>
        </w:tc>
        <w:tc>
          <w:tcPr>
            <w:tcW w:w="6687" w:type="dxa"/>
            <w:vAlign w:val="center"/>
          </w:tcPr>
          <w:p w14:paraId="51AA5D92">
            <w:pPr>
              <w:widowControl/>
              <w:snapToGrid w:val="0"/>
              <w:spacing w:line="360" w:lineRule="auto"/>
              <w:jc w:val="left"/>
              <w:rPr>
                <w:rFonts w:ascii="宋体" w:hAnsi="宋体"/>
                <w:b/>
                <w:snapToGrid w:val="0"/>
                <w:kern w:val="0"/>
                <w:sz w:val="24"/>
                <w:szCs w:val="24"/>
              </w:rPr>
            </w:pPr>
            <w:r>
              <w:rPr>
                <w:rFonts w:hint="eastAsia" w:ascii="宋体" w:hAnsi="宋体"/>
                <w:b/>
                <w:snapToGrid w:val="0"/>
                <w:kern w:val="0"/>
                <w:sz w:val="24"/>
                <w:szCs w:val="24"/>
              </w:rPr>
              <w:t>本项目是否要求本地化服务能力：</w:t>
            </w:r>
            <w:r>
              <w:rPr>
                <w:rFonts w:hint="eastAsia" w:ascii="宋体" w:hAnsi="宋体"/>
                <w:b/>
                <w:snapToGrid w:val="0"/>
                <w:kern w:val="0"/>
                <w:sz w:val="24"/>
                <w:szCs w:val="24"/>
                <w:lang w:eastAsia="zh-CN"/>
              </w:rPr>
              <w:t>☑</w:t>
            </w:r>
            <w:r>
              <w:rPr>
                <w:rFonts w:hint="eastAsia" w:ascii="宋体" w:hAnsi="宋体"/>
                <w:b/>
                <w:snapToGrid w:val="0"/>
                <w:kern w:val="0"/>
                <w:sz w:val="24"/>
                <w:szCs w:val="24"/>
              </w:rPr>
              <w:t>要求</w:t>
            </w:r>
            <w:r>
              <w:rPr>
                <w:rFonts w:hint="eastAsia" w:ascii="宋体" w:hAnsi="宋体"/>
                <w:b/>
                <w:snapToGrid w:val="0"/>
                <w:kern w:val="0"/>
                <w:sz w:val="24"/>
                <w:szCs w:val="24"/>
                <w:lang w:eastAsia="zh-CN"/>
              </w:rPr>
              <w:t>□</w:t>
            </w:r>
            <w:r>
              <w:rPr>
                <w:rFonts w:hint="eastAsia" w:ascii="宋体" w:hAnsi="宋体"/>
                <w:b/>
                <w:snapToGrid w:val="0"/>
                <w:kern w:val="0"/>
                <w:sz w:val="24"/>
                <w:szCs w:val="24"/>
              </w:rPr>
              <w:t>不要求</w:t>
            </w:r>
          </w:p>
          <w:p w14:paraId="5150ACB5">
            <w:pPr>
              <w:widowControl/>
              <w:snapToGrid w:val="0"/>
              <w:spacing w:line="360" w:lineRule="auto"/>
              <w:jc w:val="left"/>
              <w:rPr>
                <w:rFonts w:ascii="宋体" w:hAnsi="宋体"/>
                <w:b/>
                <w:snapToGrid w:val="0"/>
                <w:kern w:val="0"/>
                <w:sz w:val="24"/>
                <w:szCs w:val="24"/>
              </w:rPr>
            </w:pPr>
            <w:r>
              <w:rPr>
                <w:rFonts w:hint="eastAsia" w:ascii="宋体" w:hAnsi="宋体"/>
                <w:b/>
                <w:snapToGrid w:val="0"/>
                <w:kern w:val="0"/>
                <w:sz w:val="24"/>
                <w:szCs w:val="24"/>
              </w:rPr>
              <w:t>本地化服务的能力是指具有下列条件之一：</w:t>
            </w:r>
          </w:p>
          <w:p w14:paraId="29A3F5FB">
            <w:pPr>
              <w:widowControl/>
              <w:snapToGrid w:val="0"/>
              <w:spacing w:line="360" w:lineRule="auto"/>
              <w:jc w:val="left"/>
              <w:rPr>
                <w:rFonts w:ascii="宋体" w:hAnsi="宋体"/>
                <w:b/>
                <w:snapToGrid w:val="0"/>
                <w:kern w:val="0"/>
                <w:sz w:val="24"/>
                <w:szCs w:val="24"/>
              </w:rPr>
            </w:pPr>
            <w:r>
              <w:rPr>
                <w:rFonts w:hint="eastAsia" w:ascii="宋体" w:hAnsi="宋体"/>
                <w:b/>
                <w:snapToGrid w:val="0"/>
                <w:kern w:val="0"/>
                <w:sz w:val="24"/>
                <w:szCs w:val="24"/>
              </w:rPr>
              <w:t>（1）在</w:t>
            </w:r>
            <w:r>
              <w:rPr>
                <w:rFonts w:ascii="宋体" w:hAnsi="宋体"/>
                <w:b/>
                <w:snapToGrid w:val="0"/>
                <w:kern w:val="0"/>
                <w:sz w:val="24"/>
                <w:szCs w:val="24"/>
              </w:rPr>
              <w:t>合肥</w:t>
            </w:r>
            <w:r>
              <w:rPr>
                <w:rFonts w:hint="eastAsia" w:ascii="宋体" w:hAnsi="宋体"/>
                <w:b/>
                <w:snapToGrid w:val="0"/>
                <w:kern w:val="0"/>
                <w:sz w:val="24"/>
                <w:szCs w:val="24"/>
              </w:rPr>
              <w:t>行政区域范围（含四县一市）具有固定的办公场所及人员；</w:t>
            </w:r>
          </w:p>
          <w:p w14:paraId="13DD7F34">
            <w:pPr>
              <w:widowControl/>
              <w:snapToGrid w:val="0"/>
              <w:spacing w:line="360" w:lineRule="auto"/>
              <w:jc w:val="left"/>
              <w:rPr>
                <w:rFonts w:ascii="宋体" w:hAnsi="宋体"/>
                <w:b/>
                <w:snapToGrid w:val="0"/>
                <w:kern w:val="0"/>
                <w:sz w:val="24"/>
                <w:szCs w:val="24"/>
              </w:rPr>
            </w:pPr>
            <w:r>
              <w:rPr>
                <w:rFonts w:hint="eastAsia" w:ascii="宋体" w:hAnsi="宋体"/>
                <w:b/>
                <w:snapToGrid w:val="0"/>
                <w:kern w:val="0"/>
                <w:sz w:val="24"/>
                <w:szCs w:val="24"/>
              </w:rPr>
              <w:t>（2）投标人在</w:t>
            </w:r>
            <w:r>
              <w:rPr>
                <w:rFonts w:ascii="宋体" w:hAnsi="宋体"/>
                <w:b/>
                <w:snapToGrid w:val="0"/>
                <w:kern w:val="0"/>
                <w:sz w:val="24"/>
                <w:szCs w:val="24"/>
              </w:rPr>
              <w:t>合肥</w:t>
            </w:r>
            <w:r>
              <w:rPr>
                <w:rFonts w:hint="eastAsia" w:ascii="宋体" w:hAnsi="宋体"/>
                <w:b/>
                <w:snapToGrid w:val="0"/>
                <w:kern w:val="0"/>
                <w:sz w:val="24"/>
                <w:szCs w:val="24"/>
              </w:rPr>
              <w:t>行政区域范围（含四县一市）注册成立的；</w:t>
            </w:r>
          </w:p>
          <w:p w14:paraId="11F006C9">
            <w:pPr>
              <w:widowControl/>
              <w:snapToGrid w:val="0"/>
              <w:spacing w:line="360" w:lineRule="auto"/>
              <w:jc w:val="left"/>
              <w:rPr>
                <w:rFonts w:ascii="宋体" w:hAnsi="宋体"/>
                <w:b/>
                <w:snapToGrid w:val="0"/>
                <w:kern w:val="0"/>
                <w:sz w:val="24"/>
                <w:szCs w:val="24"/>
              </w:rPr>
            </w:pPr>
            <w:r>
              <w:rPr>
                <w:rFonts w:hint="eastAsia" w:ascii="宋体" w:hAnsi="宋体"/>
                <w:b/>
                <w:snapToGrid w:val="0"/>
                <w:kern w:val="0"/>
                <w:sz w:val="24"/>
                <w:szCs w:val="24"/>
              </w:rPr>
              <w:t>（3）承诺中标即在</w:t>
            </w:r>
            <w:r>
              <w:rPr>
                <w:rFonts w:ascii="宋体" w:hAnsi="宋体"/>
                <w:b/>
                <w:snapToGrid w:val="0"/>
                <w:kern w:val="0"/>
                <w:sz w:val="24"/>
                <w:szCs w:val="24"/>
              </w:rPr>
              <w:t>合肥</w:t>
            </w:r>
            <w:r>
              <w:rPr>
                <w:rFonts w:hint="eastAsia" w:ascii="宋体" w:hAnsi="宋体"/>
                <w:b/>
                <w:snapToGrid w:val="0"/>
                <w:kern w:val="0"/>
                <w:sz w:val="24"/>
                <w:szCs w:val="24"/>
              </w:rPr>
              <w:t>行政区域范围（含四县一市）设立服务机构，或委托相关单位作为服务机构；</w:t>
            </w:r>
          </w:p>
          <w:p w14:paraId="0DCCC4D3">
            <w:pPr>
              <w:pStyle w:val="60"/>
              <w:widowControl w:val="0"/>
              <w:spacing w:before="0" w:beforeAutospacing="0" w:after="0" w:afterAutospacing="0" w:line="360" w:lineRule="auto"/>
              <w:jc w:val="both"/>
              <w:rPr>
                <w:rFonts w:ascii="宋体" w:hAnsi="宋体"/>
                <w:bCs w:val="0"/>
                <w:sz w:val="24"/>
              </w:rPr>
            </w:pPr>
            <w:r>
              <w:rPr>
                <w:rFonts w:hint="eastAsia" w:ascii="宋体" w:hAnsi="宋体"/>
                <w:bCs w:val="0"/>
                <w:snapToGrid w:val="0"/>
                <w:sz w:val="24"/>
                <w:szCs w:val="24"/>
              </w:rPr>
              <w:t>（4）委托相关单位作为服务机构。</w:t>
            </w:r>
          </w:p>
        </w:tc>
      </w:tr>
      <w:tr w14:paraId="4BC9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1D1145B">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重要提示</w:t>
            </w:r>
          </w:p>
        </w:tc>
        <w:tc>
          <w:tcPr>
            <w:tcW w:w="6687" w:type="dxa"/>
            <w:vAlign w:val="center"/>
          </w:tcPr>
          <w:p w14:paraId="5F3F96AD">
            <w:pPr>
              <w:spacing w:line="360" w:lineRule="auto"/>
              <w:rPr>
                <w:rFonts w:ascii="Times New Roman" w:hAnsi="Times New Roman" w:cs="Times New Roman"/>
                <w:bCs/>
                <w:sz w:val="24"/>
                <w:szCs w:val="24"/>
              </w:rPr>
            </w:pPr>
            <w:r>
              <w:rPr>
                <w:rFonts w:ascii="Times New Roman" w:hAnsi="Times New Roman" w:cs="Times New Roman"/>
                <w:bCs/>
                <w:sz w:val="24"/>
                <w:szCs w:val="24"/>
              </w:rPr>
              <w:t>（1）中标人应在规定期限内领取《中标通知书》，若中标人未在规定期限内领取《中标通知书》，招标人有权取消中标人中标资格，并将相关违约行为报送监管部门，实施信用惩戒；</w:t>
            </w:r>
          </w:p>
          <w:p w14:paraId="4BE73CAC">
            <w:pPr>
              <w:spacing w:line="360" w:lineRule="auto"/>
              <w:rPr>
                <w:rFonts w:ascii="Times New Roman" w:hAnsi="Times New Roman" w:cs="Times New Roman"/>
                <w:bCs/>
                <w:sz w:val="24"/>
                <w:szCs w:val="24"/>
              </w:rPr>
            </w:pPr>
            <w:r>
              <w:rPr>
                <w:rFonts w:ascii="Times New Roman" w:hAnsi="Times New Roman" w:cs="Times New Roman"/>
                <w:bCs/>
                <w:sz w:val="24"/>
                <w:szCs w:val="24"/>
              </w:rPr>
              <w:t>（2）中标人应在规定期限内与招标人签订合同，若中标人未能在规定期限内签订合同，招标人有权取消中标人中标资格，并将相关违约行为报送监管部门，实施信用惩戒；</w:t>
            </w:r>
          </w:p>
          <w:p w14:paraId="4521516E">
            <w:pPr>
              <w:spacing w:line="360" w:lineRule="auto"/>
              <w:rPr>
                <w:rFonts w:ascii="Times New Roman" w:hAnsi="Times New Roman" w:cs="Times New Roman"/>
                <w:bCs/>
                <w:sz w:val="24"/>
                <w:szCs w:val="24"/>
              </w:rPr>
            </w:pPr>
            <w:r>
              <w:rPr>
                <w:rFonts w:ascii="Times New Roman" w:hAnsi="Times New Roman" w:cs="Times New Roman"/>
                <w:bCs/>
                <w:sz w:val="24"/>
                <w:szCs w:val="24"/>
              </w:rPr>
              <w:t>（3）合同签订后，中标人存在规定时间内不履行服务义务等情况，招标人有权解除合同，并追究违约责任，同时将相关违约行为报送监管部门，实施信用惩戒；</w:t>
            </w:r>
          </w:p>
          <w:p w14:paraId="3A028AEC">
            <w:pPr>
              <w:spacing w:line="360" w:lineRule="auto"/>
              <w:rPr>
                <w:rFonts w:ascii="Times New Roman" w:hAnsi="Times New Roman" w:cs="Times New Roman"/>
                <w:bCs/>
                <w:sz w:val="24"/>
                <w:szCs w:val="24"/>
              </w:rPr>
            </w:pPr>
            <w:r>
              <w:rPr>
                <w:rFonts w:ascii="Times New Roman" w:hAnsi="Times New Roman" w:cs="Times New Roman"/>
                <w:bCs/>
                <w:sz w:val="24"/>
                <w:szCs w:val="24"/>
              </w:rPr>
              <w:t>（4）中标人中标后被监管部门查实存在违法行为，不满足中标条件的，由招标人取消中标资格，并做好项目后续工作；</w:t>
            </w:r>
          </w:p>
          <w:p w14:paraId="72C7D4BD">
            <w:pPr>
              <w:spacing w:line="360" w:lineRule="auto"/>
              <w:rPr>
                <w:rFonts w:ascii="Times New Roman" w:hAnsi="Times New Roman" w:cs="Times New Roman"/>
                <w:bCs/>
                <w:sz w:val="24"/>
                <w:szCs w:val="24"/>
              </w:rPr>
            </w:pPr>
            <w:r>
              <w:rPr>
                <w:rFonts w:ascii="Times New Roman" w:hAnsi="Times New Roman" w:cs="Times New Roman"/>
                <w:bCs/>
                <w:sz w:val="24"/>
                <w:szCs w:val="24"/>
              </w:rPr>
              <w:t>（5）中标人在中标项目发生投诉、信访举报案件、履约存在争议时，拒绝协助配合执法部门调查案件的，招标人可以取消其中标资格或解除合同，并追究其违约责任。</w:t>
            </w:r>
          </w:p>
        </w:tc>
      </w:tr>
      <w:tr w14:paraId="57E7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382BCCE">
            <w:pPr>
              <w:pStyle w:val="60"/>
              <w:widowControl w:val="0"/>
              <w:spacing w:before="0" w:beforeAutospacing="0" w:after="0" w:afterAutospacing="0" w:line="360" w:lineRule="auto"/>
              <w:rPr>
                <w:rFonts w:ascii="Times New Roman" w:hAnsi="Times New Roman" w:cs="Times New Roman"/>
                <w:b w:val="0"/>
                <w:sz w:val="24"/>
              </w:rPr>
            </w:pPr>
            <w:r>
              <w:rPr>
                <w:rFonts w:ascii="Times New Roman" w:hAnsi="Times New Roman" w:cs="Times New Roman"/>
                <w:b w:val="0"/>
                <w:sz w:val="24"/>
              </w:rPr>
              <w:t>解释权</w:t>
            </w:r>
          </w:p>
        </w:tc>
        <w:tc>
          <w:tcPr>
            <w:tcW w:w="6687" w:type="dxa"/>
            <w:vAlign w:val="center"/>
          </w:tcPr>
          <w:p w14:paraId="47E33240">
            <w:pPr>
              <w:spacing w:line="360" w:lineRule="auto"/>
              <w:rPr>
                <w:rFonts w:ascii="Times New Roman" w:hAnsi="Times New Roman" w:cs="Times New Roman"/>
                <w:bCs/>
                <w:sz w:val="24"/>
                <w:szCs w:val="24"/>
              </w:rPr>
            </w:pPr>
            <w:r>
              <w:rPr>
                <w:rFonts w:ascii="Times New Roman" w:hAnsi="Times New Roman" w:cs="Times New Roman"/>
                <w:bCs/>
                <w:sz w:val="24"/>
                <w:szCs w:val="24"/>
              </w:rPr>
              <w:t>（1）构成本招标文件的各个组成文件应互为解释，互为说明；</w:t>
            </w:r>
          </w:p>
          <w:p w14:paraId="5D8539EE">
            <w:pPr>
              <w:spacing w:line="360" w:lineRule="auto"/>
              <w:rPr>
                <w:rFonts w:ascii="Times New Roman" w:hAnsi="Times New Roman" w:cs="Times New Roman"/>
                <w:bCs/>
                <w:sz w:val="24"/>
                <w:szCs w:val="24"/>
              </w:rPr>
            </w:pPr>
            <w:r>
              <w:rPr>
                <w:rFonts w:ascii="Times New Roman" w:hAnsi="Times New Roman" w:cs="Times New Roman"/>
                <w:bCs/>
                <w:sz w:val="24"/>
                <w:szCs w:val="24"/>
              </w:rPr>
              <w:t>（2）同一组成文件中就同一事项的规定或约定不一致的，除招标文件另有规定外，以编排顺序在后者为准；</w:t>
            </w:r>
          </w:p>
          <w:p w14:paraId="4BFC3D21">
            <w:pPr>
              <w:spacing w:line="360" w:lineRule="auto"/>
              <w:rPr>
                <w:rFonts w:ascii="Times New Roman" w:hAnsi="Times New Roman" w:cs="Times New Roman"/>
                <w:bCs/>
                <w:sz w:val="24"/>
                <w:szCs w:val="24"/>
              </w:rPr>
            </w:pPr>
            <w:r>
              <w:rPr>
                <w:rFonts w:ascii="Times New Roman" w:hAnsi="Times New Roman" w:cs="Times New Roman"/>
                <w:bCs/>
                <w:sz w:val="24"/>
                <w:szCs w:val="24"/>
              </w:rPr>
              <w:t>（3）如有不明确或不一致，构成合同文件组成内容的，以合同文件约定内容为准，且以专用合同条款约定的合同文件优先顺序解释；</w:t>
            </w:r>
          </w:p>
          <w:p w14:paraId="14A4A8BC">
            <w:pPr>
              <w:spacing w:line="360" w:lineRule="auto"/>
              <w:rPr>
                <w:rFonts w:ascii="Times New Roman" w:hAnsi="Times New Roman" w:cs="Times New Roman"/>
                <w:bCs/>
                <w:sz w:val="24"/>
                <w:szCs w:val="24"/>
              </w:rPr>
            </w:pPr>
            <w:r>
              <w:rPr>
                <w:rFonts w:ascii="Times New Roman" w:hAnsi="Times New Roman" w:cs="Times New Roman"/>
                <w:bCs/>
                <w:sz w:val="24"/>
                <w:szCs w:val="24"/>
              </w:rPr>
              <w:t>（4）除招标文件中有特别规定外，仅适用于招标投标阶段的规定，按投标邀请、投标人须知、评标方法和标准、投标文件格式的先后顺序解释；</w:t>
            </w:r>
          </w:p>
          <w:p w14:paraId="64A2400F">
            <w:pPr>
              <w:spacing w:line="360" w:lineRule="auto"/>
              <w:rPr>
                <w:rFonts w:ascii="Times New Roman" w:hAnsi="Times New Roman" w:cs="Times New Roman"/>
                <w:bCs/>
                <w:sz w:val="24"/>
                <w:szCs w:val="24"/>
              </w:rPr>
            </w:pPr>
            <w:r>
              <w:rPr>
                <w:rFonts w:ascii="Times New Roman" w:hAnsi="Times New Roman" w:cs="Times New Roman"/>
                <w:bCs/>
                <w:sz w:val="24"/>
                <w:szCs w:val="24"/>
              </w:rPr>
              <w:t>（5）按本款前述规定仍不能形成结论的，由招标人负责解释。</w:t>
            </w:r>
          </w:p>
        </w:tc>
      </w:tr>
      <w:tr w14:paraId="227D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50356D7">
            <w:pPr>
              <w:pStyle w:val="60"/>
              <w:widowControl w:val="0"/>
              <w:spacing w:before="0" w:beforeAutospacing="0" w:after="0" w:afterAutospacing="0" w:line="360" w:lineRule="auto"/>
              <w:jc w:val="both"/>
              <w:rPr>
                <w:rFonts w:ascii="Times New Roman" w:hAnsi="Times New Roman" w:cs="Times New Roman"/>
                <w:b w:val="0"/>
                <w:sz w:val="24"/>
              </w:rPr>
            </w:pPr>
            <w:r>
              <w:rPr>
                <w:rFonts w:ascii="Times New Roman" w:hAnsi="Times New Roman" w:cs="Times New Roman"/>
                <w:b w:val="0"/>
                <w:sz w:val="24"/>
              </w:rPr>
              <w:t>其他补充说明</w:t>
            </w:r>
          </w:p>
        </w:tc>
        <w:tc>
          <w:tcPr>
            <w:tcW w:w="6687" w:type="dxa"/>
            <w:vAlign w:val="center"/>
          </w:tcPr>
          <w:p w14:paraId="19C3141B">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1.本项目投标文件要求详见本须知前附表，投标文件现场递交，无需上传电子投标文件。 </w:t>
            </w:r>
          </w:p>
          <w:p w14:paraId="155732E9">
            <w:pPr>
              <w:spacing w:line="360" w:lineRule="auto"/>
              <w:rPr>
                <w:rFonts w:ascii="Times New Roman" w:hAnsi="Times New Roman" w:cs="Times New Roman"/>
                <w:bCs/>
                <w:sz w:val="24"/>
                <w:szCs w:val="24"/>
                <w:u w:val="single"/>
              </w:rPr>
            </w:pPr>
            <w:r>
              <w:rPr>
                <w:rFonts w:ascii="Times New Roman" w:hAnsi="Times New Roman" w:cs="Times New Roman"/>
                <w:bCs/>
                <w:sz w:val="24"/>
                <w:szCs w:val="24"/>
              </w:rPr>
              <w:t>2.</w:t>
            </w:r>
            <w:r>
              <w:rPr>
                <w:rFonts w:ascii="Times New Roman" w:hAnsi="Times New Roman" w:cs="Times New Roman"/>
              </w:rPr>
              <w:t xml:space="preserve"> </w:t>
            </w:r>
            <w:r>
              <w:rPr>
                <w:rFonts w:ascii="Times New Roman" w:hAnsi="Times New Roman" w:cs="Times New Roman"/>
                <w:bCs/>
                <w:sz w:val="24"/>
                <w:szCs w:val="24"/>
              </w:rPr>
              <w:t>本项目资金来源：自筹</w:t>
            </w:r>
            <w:r>
              <w:rPr>
                <w:rFonts w:hint="eastAsia" w:ascii="Times New Roman" w:hAnsi="Times New Roman" w:cs="Times New Roman"/>
                <w:bCs/>
                <w:sz w:val="24"/>
                <w:szCs w:val="24"/>
              </w:rPr>
              <w:t>资金</w:t>
            </w:r>
          </w:p>
        </w:tc>
      </w:tr>
    </w:tbl>
    <w:p w14:paraId="419BEB90">
      <w:pPr>
        <w:spacing w:line="360" w:lineRule="auto"/>
        <w:ind w:firstLine="435"/>
        <w:rPr>
          <w:rFonts w:ascii="Times New Roman" w:hAnsi="Times New Roman" w:cs="Times New Roman"/>
          <w:sz w:val="24"/>
          <w:szCs w:val="18"/>
        </w:rPr>
      </w:pPr>
    </w:p>
    <w:p w14:paraId="2DF04991">
      <w:pPr>
        <w:rPr>
          <w:rFonts w:ascii="Times New Roman" w:hAnsi="Times New Roman" w:cs="Times New Roman"/>
          <w:b/>
        </w:rPr>
      </w:pPr>
      <w:bookmarkStart w:id="13" w:name="_Toc11078137"/>
      <w:bookmarkStart w:id="14" w:name="_Toc421916975"/>
      <w:bookmarkStart w:id="15" w:name="_Toc283798416"/>
      <w:bookmarkStart w:id="16" w:name="_Toc460660062"/>
      <w:bookmarkStart w:id="17" w:name="_Toc460226989"/>
      <w:bookmarkStart w:id="18" w:name="_Toc460226720"/>
      <w:bookmarkStart w:id="19" w:name="_Toc26766"/>
      <w:r>
        <w:rPr>
          <w:rFonts w:ascii="Times New Roman" w:hAnsi="Times New Roman" w:cs="Times New Roman"/>
          <w:b/>
        </w:rPr>
        <w:br w:type="page"/>
      </w:r>
    </w:p>
    <w:p w14:paraId="152D747B">
      <w:pPr>
        <w:rPr>
          <w:rFonts w:ascii="Times New Roman" w:hAnsi="Times New Roman" w:cs="Times New Roman"/>
          <w:b/>
        </w:rPr>
      </w:pPr>
    </w:p>
    <w:bookmarkEnd w:id="13"/>
    <w:bookmarkEnd w:id="14"/>
    <w:bookmarkEnd w:id="15"/>
    <w:bookmarkEnd w:id="16"/>
    <w:bookmarkEnd w:id="17"/>
    <w:bookmarkEnd w:id="18"/>
    <w:bookmarkEnd w:id="19"/>
    <w:p w14:paraId="366E69AD">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二、投标人须知正文</w:t>
      </w:r>
    </w:p>
    <w:p w14:paraId="13DBFFDE">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1.适用范围</w:t>
      </w:r>
    </w:p>
    <w:p w14:paraId="384F9D4A">
      <w:pPr>
        <w:spacing w:line="360" w:lineRule="auto"/>
        <w:ind w:firstLine="435"/>
        <w:rPr>
          <w:rFonts w:ascii="Times New Roman" w:hAnsi="Times New Roman" w:cs="Times New Roman"/>
          <w:sz w:val="24"/>
        </w:rPr>
      </w:pPr>
      <w:r>
        <w:rPr>
          <w:rFonts w:ascii="Times New Roman" w:hAnsi="Times New Roman" w:cs="Times New Roman"/>
          <w:sz w:val="24"/>
        </w:rPr>
        <w:t>1.1本</w:t>
      </w:r>
      <w:r>
        <w:rPr>
          <w:rFonts w:hint="eastAsia" w:ascii="Times New Roman" w:hAnsi="Times New Roman" w:cs="Times New Roman"/>
          <w:sz w:val="24"/>
        </w:rPr>
        <w:t>招标</w:t>
      </w:r>
      <w:r>
        <w:rPr>
          <w:rFonts w:ascii="Times New Roman" w:hAnsi="Times New Roman" w:cs="Times New Roman"/>
          <w:sz w:val="24"/>
        </w:rPr>
        <w:t>文件仅适用于本次</w:t>
      </w:r>
      <w:r>
        <w:rPr>
          <w:rFonts w:hint="eastAsia" w:ascii="Times New Roman" w:hAnsi="Times New Roman" w:cs="Times New Roman"/>
          <w:sz w:val="24"/>
        </w:rPr>
        <w:t>招标</w:t>
      </w:r>
      <w:r>
        <w:rPr>
          <w:rFonts w:ascii="Times New Roman" w:hAnsi="Times New Roman" w:cs="Times New Roman"/>
          <w:sz w:val="24"/>
        </w:rPr>
        <w:t>所述的</w:t>
      </w:r>
      <w:r>
        <w:rPr>
          <w:rFonts w:hint="eastAsia" w:ascii="宋体" w:hAnsi="宋体"/>
          <w:sz w:val="24"/>
        </w:rPr>
        <w:t>货物项目招标</w:t>
      </w:r>
      <w:r>
        <w:rPr>
          <w:rFonts w:ascii="Times New Roman" w:hAnsi="Times New Roman" w:cs="Times New Roman"/>
          <w:sz w:val="24"/>
        </w:rPr>
        <w:t>。</w:t>
      </w:r>
    </w:p>
    <w:p w14:paraId="14317F7B">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2.定义</w:t>
      </w:r>
    </w:p>
    <w:p w14:paraId="6BAB0320">
      <w:pPr>
        <w:spacing w:line="360" w:lineRule="auto"/>
        <w:ind w:firstLine="435"/>
        <w:rPr>
          <w:rFonts w:ascii="Times New Roman" w:hAnsi="Times New Roman" w:cs="Times New Roman"/>
          <w:sz w:val="24"/>
        </w:rPr>
      </w:pPr>
      <w:r>
        <w:rPr>
          <w:rFonts w:ascii="Times New Roman" w:hAnsi="Times New Roman" w:cs="Times New Roman"/>
          <w:sz w:val="24"/>
        </w:rPr>
        <w:t>2.1</w:t>
      </w:r>
      <w:r>
        <w:rPr>
          <w:rFonts w:hint="eastAsia" w:ascii="宋体" w:hAnsi="宋体"/>
          <w:sz w:val="24"/>
        </w:rPr>
        <w:t>货物：是指各种形态和种类的物品，包括原材料、燃料、设备、产品等。</w:t>
      </w:r>
    </w:p>
    <w:p w14:paraId="50F17CFA">
      <w:pPr>
        <w:spacing w:line="360" w:lineRule="auto"/>
        <w:ind w:firstLine="470" w:firstLineChars="196"/>
        <w:rPr>
          <w:rFonts w:ascii="Times New Roman" w:hAnsi="Times New Roman" w:cs="Times New Roman"/>
          <w:b/>
        </w:rPr>
      </w:pPr>
      <w:r>
        <w:rPr>
          <w:rFonts w:ascii="Times New Roman" w:hAnsi="Times New Roman" w:cs="Times New Roman"/>
          <w:sz w:val="24"/>
        </w:rPr>
        <w:t>2.2时限（年份、月份等）计算：系指从</w:t>
      </w:r>
      <w:r>
        <w:rPr>
          <w:rFonts w:hint="eastAsia" w:ascii="Times New Roman" w:hAnsi="Times New Roman" w:cs="Times New Roman"/>
          <w:sz w:val="24"/>
        </w:rPr>
        <w:t>投标</w:t>
      </w:r>
      <w:r>
        <w:rPr>
          <w:rFonts w:ascii="Times New Roman" w:hAnsi="Times New Roman" w:cs="Times New Roman"/>
          <w:sz w:val="24"/>
        </w:rPr>
        <w:t>文件提交截止之日向前追溯X年/月（“X”为“一”及以后整数）起算。</w:t>
      </w:r>
    </w:p>
    <w:p w14:paraId="1073E2B3">
      <w:pPr>
        <w:spacing w:line="360" w:lineRule="auto"/>
        <w:ind w:firstLine="437"/>
        <w:outlineLvl w:val="3"/>
        <w:rPr>
          <w:rFonts w:ascii="Times New Roman" w:hAnsi="Times New Roman" w:cs="Times New Roman"/>
          <w:b/>
          <w:sz w:val="24"/>
        </w:rPr>
      </w:pPr>
      <w:r>
        <w:rPr>
          <w:rFonts w:ascii="Times New Roman" w:hAnsi="Times New Roman" w:cs="Times New Roman"/>
          <w:b/>
          <w:sz w:val="24"/>
        </w:rPr>
        <w:t>3.招标人及投标人</w:t>
      </w:r>
    </w:p>
    <w:p w14:paraId="5A77CD8F">
      <w:pPr>
        <w:spacing w:line="360" w:lineRule="auto"/>
        <w:ind w:firstLine="435"/>
        <w:rPr>
          <w:rFonts w:ascii="Times New Roman" w:hAnsi="Times New Roman" w:cs="Times New Roman"/>
          <w:sz w:val="24"/>
        </w:rPr>
      </w:pPr>
      <w:r>
        <w:rPr>
          <w:rFonts w:ascii="Times New Roman" w:hAnsi="Times New Roman" w:cs="Times New Roman"/>
          <w:sz w:val="24"/>
        </w:rPr>
        <w:t>3.1招标人：是指开展招标活动的各类主体。本项目的招标人见</w:t>
      </w:r>
      <w:r>
        <w:rPr>
          <w:rFonts w:ascii="Times New Roman" w:hAnsi="Times New Roman" w:cs="Times New Roman"/>
          <w:sz w:val="24"/>
          <w:u w:val="single"/>
        </w:rPr>
        <w:t>投标人须知前附表</w:t>
      </w:r>
      <w:r>
        <w:rPr>
          <w:rFonts w:ascii="Times New Roman" w:hAnsi="Times New Roman" w:cs="Times New Roman"/>
          <w:sz w:val="24"/>
        </w:rPr>
        <w:t>。</w:t>
      </w:r>
    </w:p>
    <w:p w14:paraId="6C99502C">
      <w:pPr>
        <w:spacing w:line="360" w:lineRule="auto"/>
        <w:ind w:firstLine="435"/>
        <w:rPr>
          <w:rFonts w:ascii="Times New Roman" w:hAnsi="Times New Roman" w:cs="Times New Roman"/>
          <w:sz w:val="24"/>
        </w:rPr>
      </w:pPr>
      <w:r>
        <w:rPr>
          <w:rFonts w:ascii="Times New Roman" w:hAnsi="Times New Roman" w:cs="Times New Roman"/>
          <w:sz w:val="24"/>
        </w:rPr>
        <w:t>3.2采购监督管理部门：</w:t>
      </w:r>
      <w:r>
        <w:rPr>
          <w:rFonts w:ascii="Times New Roman" w:hAnsi="Times New Roman" w:cs="Times New Roman"/>
          <w:sz w:val="24"/>
          <w:szCs w:val="22"/>
        </w:rPr>
        <w:t>与</w:t>
      </w:r>
      <w:r>
        <w:rPr>
          <w:rFonts w:ascii="Times New Roman" w:hAnsi="Times New Roman" w:cs="Times New Roman"/>
          <w:sz w:val="24"/>
        </w:rPr>
        <w:t>招标</w:t>
      </w:r>
      <w:r>
        <w:rPr>
          <w:rFonts w:ascii="Times New Roman" w:hAnsi="Times New Roman" w:cs="Times New Roman"/>
          <w:sz w:val="24"/>
          <w:szCs w:val="22"/>
        </w:rPr>
        <w:t>活动有关的具有监督管理权利的相关部门。</w:t>
      </w:r>
      <w:r>
        <w:rPr>
          <w:rFonts w:ascii="Times New Roman" w:hAnsi="Times New Roman" w:cs="Times New Roman"/>
          <w:sz w:val="24"/>
        </w:rPr>
        <w:t>本项目的采购监督管理部门见</w:t>
      </w:r>
      <w:r>
        <w:rPr>
          <w:rFonts w:ascii="Times New Roman" w:hAnsi="Times New Roman" w:cs="Times New Roman"/>
          <w:sz w:val="24"/>
          <w:u w:val="single"/>
        </w:rPr>
        <w:t>投标人须知前附表</w:t>
      </w:r>
      <w:r>
        <w:rPr>
          <w:rFonts w:ascii="Times New Roman" w:hAnsi="Times New Roman" w:cs="Times New Roman"/>
          <w:sz w:val="24"/>
        </w:rPr>
        <w:t>。</w:t>
      </w:r>
    </w:p>
    <w:p w14:paraId="1310E162">
      <w:pPr>
        <w:spacing w:line="360" w:lineRule="auto"/>
        <w:ind w:firstLine="435"/>
        <w:rPr>
          <w:rFonts w:ascii="Times New Roman" w:hAnsi="Times New Roman" w:cs="Times New Roman"/>
          <w:sz w:val="24"/>
        </w:rPr>
      </w:pPr>
      <w:r>
        <w:rPr>
          <w:rFonts w:ascii="Times New Roman" w:hAnsi="Times New Roman" w:cs="Times New Roman"/>
          <w:sz w:val="24"/>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1259971E">
      <w:pPr>
        <w:spacing w:line="360" w:lineRule="auto"/>
        <w:ind w:firstLine="435"/>
        <w:rPr>
          <w:rFonts w:ascii="Times New Roman" w:hAnsi="Times New Roman" w:cs="Times New Roman"/>
          <w:sz w:val="24"/>
        </w:rPr>
      </w:pPr>
      <w:r>
        <w:rPr>
          <w:rFonts w:ascii="Times New Roman" w:hAnsi="Times New Roman" w:cs="Times New Roman"/>
          <w:sz w:val="24"/>
        </w:rPr>
        <w:t>3.4在中华人民共和国境内注册，能够独立承担民事责任，有生产或供应能力的本国投标人。</w:t>
      </w:r>
    </w:p>
    <w:p w14:paraId="3A55626D">
      <w:pPr>
        <w:spacing w:line="360" w:lineRule="auto"/>
        <w:ind w:firstLine="435"/>
        <w:rPr>
          <w:rFonts w:ascii="Times New Roman" w:hAnsi="Times New Roman" w:cs="Times New Roman"/>
          <w:sz w:val="24"/>
        </w:rPr>
      </w:pPr>
      <w:r>
        <w:rPr>
          <w:rFonts w:ascii="Times New Roman" w:hAnsi="Times New Roman" w:cs="Times New Roman"/>
          <w:sz w:val="24"/>
        </w:rPr>
        <w:t>3.5若</w:t>
      </w:r>
      <w:r>
        <w:rPr>
          <w:rFonts w:ascii="Times New Roman" w:hAnsi="Times New Roman" w:cs="Times New Roman"/>
          <w:sz w:val="24"/>
          <w:u w:val="single"/>
        </w:rPr>
        <w:t>投标人须知前附表</w:t>
      </w:r>
      <w:r>
        <w:rPr>
          <w:rFonts w:ascii="Times New Roman" w:hAnsi="Times New Roman" w:cs="Times New Roman"/>
          <w:sz w:val="24"/>
        </w:rPr>
        <w:t>中允许联合体投标，对联合体规定如下：</w:t>
      </w:r>
    </w:p>
    <w:p w14:paraId="7F40D536">
      <w:pPr>
        <w:spacing w:line="360" w:lineRule="auto"/>
        <w:ind w:firstLine="435"/>
        <w:rPr>
          <w:rFonts w:ascii="Times New Roman" w:hAnsi="Times New Roman" w:cs="Times New Roman"/>
          <w:sz w:val="24"/>
        </w:rPr>
      </w:pPr>
      <w:r>
        <w:rPr>
          <w:rFonts w:ascii="Times New Roman" w:hAnsi="Times New Roman" w:cs="Times New Roman"/>
          <w:sz w:val="24"/>
        </w:rPr>
        <w:t>3.5.1两个以上投标人可以组成一个投标联合体，以一个投标人的身份投标。</w:t>
      </w:r>
    </w:p>
    <w:p w14:paraId="77408A34">
      <w:pPr>
        <w:spacing w:line="360" w:lineRule="auto"/>
        <w:ind w:firstLine="435"/>
        <w:rPr>
          <w:rFonts w:ascii="Times New Roman" w:hAnsi="Times New Roman" w:cs="Times New Roman"/>
          <w:sz w:val="24"/>
        </w:rPr>
      </w:pPr>
      <w:r>
        <w:rPr>
          <w:rFonts w:ascii="Times New Roman" w:hAnsi="Times New Roman" w:cs="Times New Roman"/>
          <w:sz w:val="24"/>
        </w:rPr>
        <w:t>3.5.2联合体各方均应为在中华人民共和国境内注册，能够独立承担民事责任，有生产或供应能力的本国投标人。</w:t>
      </w:r>
    </w:p>
    <w:p w14:paraId="5FF4DDB7">
      <w:pPr>
        <w:spacing w:line="360" w:lineRule="auto"/>
        <w:ind w:firstLine="435"/>
        <w:rPr>
          <w:rFonts w:ascii="Times New Roman" w:hAnsi="Times New Roman" w:cs="Times New Roman"/>
          <w:sz w:val="24"/>
        </w:rPr>
      </w:pPr>
      <w:r>
        <w:rPr>
          <w:rFonts w:ascii="Times New Roman" w:hAnsi="Times New Roman" w:cs="Times New Roman"/>
          <w:sz w:val="24"/>
        </w:rPr>
        <w:t>3.5.3招标人根据采购项目对投标人的特殊要求，联合体中至少应当有一方符合相关规定。</w:t>
      </w:r>
    </w:p>
    <w:p w14:paraId="4D2A597F">
      <w:pPr>
        <w:spacing w:line="360" w:lineRule="auto"/>
        <w:ind w:firstLine="435"/>
        <w:rPr>
          <w:rFonts w:ascii="Times New Roman" w:hAnsi="Times New Roman" w:cs="Times New Roman"/>
          <w:sz w:val="24"/>
        </w:rPr>
      </w:pPr>
      <w:r>
        <w:rPr>
          <w:rFonts w:ascii="Times New Roman" w:hAnsi="Times New Roman" w:cs="Times New Roman"/>
          <w:sz w:val="24"/>
        </w:rPr>
        <w:t>3.5.4联合体各方应签订联合体协议，明确约定联合体各方承担的工作和相应的责任，并将联合体协议作为投标文件的一部分提交。</w:t>
      </w:r>
    </w:p>
    <w:p w14:paraId="434A3D37">
      <w:pPr>
        <w:spacing w:line="360" w:lineRule="auto"/>
        <w:ind w:firstLine="435"/>
        <w:rPr>
          <w:rFonts w:ascii="Times New Roman" w:hAnsi="Times New Roman" w:cs="Times New Roman"/>
          <w:sz w:val="24"/>
        </w:rPr>
      </w:pPr>
      <w:r>
        <w:rPr>
          <w:rFonts w:ascii="Times New Roman" w:hAnsi="Times New Roman" w:cs="Times New Roman"/>
          <w:sz w:val="24"/>
        </w:rPr>
        <w:t>3.5.5联合体中有同类资质的投标人按照联合体分工承担相同工作的，应当按照资质等级较低的投标人确定资质等级。</w:t>
      </w:r>
    </w:p>
    <w:p w14:paraId="128DE6F0">
      <w:pPr>
        <w:spacing w:line="360" w:lineRule="auto"/>
        <w:ind w:firstLine="435"/>
        <w:rPr>
          <w:rFonts w:ascii="Times New Roman" w:hAnsi="Times New Roman" w:cs="Times New Roman"/>
          <w:sz w:val="24"/>
        </w:rPr>
      </w:pPr>
      <w:r>
        <w:rPr>
          <w:rFonts w:ascii="Times New Roman" w:hAnsi="Times New Roman" w:cs="Times New Roman"/>
          <w:sz w:val="24"/>
        </w:rPr>
        <w:t>3.5.6以联合体形式参加采购活动的，联合体各方不得再单独参加或者与其他投标人另外组成联合体参加本项目投标，否则相关投标将被认定为</w:t>
      </w:r>
      <w:r>
        <w:rPr>
          <w:rFonts w:ascii="Times New Roman" w:hAnsi="Times New Roman" w:cs="Times New Roman"/>
          <w:b/>
          <w:sz w:val="24"/>
        </w:rPr>
        <w:t>投标无效</w:t>
      </w:r>
      <w:r>
        <w:rPr>
          <w:rFonts w:ascii="Times New Roman" w:hAnsi="Times New Roman" w:cs="Times New Roman"/>
          <w:sz w:val="24"/>
        </w:rPr>
        <w:t>。</w:t>
      </w:r>
    </w:p>
    <w:p w14:paraId="499E87A2">
      <w:pPr>
        <w:spacing w:line="360" w:lineRule="auto"/>
        <w:ind w:firstLine="435"/>
        <w:rPr>
          <w:rFonts w:ascii="Times New Roman" w:hAnsi="Times New Roman" w:cs="Times New Roman"/>
          <w:sz w:val="24"/>
        </w:rPr>
      </w:pPr>
      <w:r>
        <w:rPr>
          <w:rFonts w:ascii="Times New Roman" w:hAnsi="Times New Roman" w:cs="Times New Roman"/>
          <w:sz w:val="24"/>
        </w:rPr>
        <w:t>3.5.7对联合体投标的其他资格要求见</w:t>
      </w:r>
      <w:r>
        <w:rPr>
          <w:rFonts w:ascii="Times New Roman" w:hAnsi="Times New Roman" w:cs="Times New Roman"/>
          <w:sz w:val="24"/>
          <w:u w:val="single"/>
        </w:rPr>
        <w:t>投标人资格</w:t>
      </w:r>
      <w:r>
        <w:rPr>
          <w:rFonts w:ascii="Times New Roman" w:hAnsi="Times New Roman" w:cs="Times New Roman"/>
          <w:sz w:val="24"/>
        </w:rPr>
        <w:t>。</w:t>
      </w:r>
    </w:p>
    <w:p w14:paraId="310FB12C">
      <w:pPr>
        <w:spacing w:line="360" w:lineRule="auto"/>
        <w:ind w:firstLine="435"/>
        <w:rPr>
          <w:rFonts w:ascii="Times New Roman" w:hAnsi="Times New Roman" w:cs="Times New Roman"/>
          <w:sz w:val="24"/>
        </w:rPr>
      </w:pPr>
      <w:r>
        <w:rPr>
          <w:rFonts w:ascii="Times New Roman" w:hAnsi="Times New Roman" w:cs="Times New Roman"/>
          <w:sz w:val="24"/>
        </w:rPr>
        <w:t>3.6单位负责人为同一人或者存在直接控股、管理关系的不同投标人，不得参加同一合同项下的采购活动。否则其投标将被认定为</w:t>
      </w:r>
      <w:r>
        <w:rPr>
          <w:rFonts w:ascii="Times New Roman" w:hAnsi="Times New Roman" w:cs="Times New Roman"/>
          <w:b/>
          <w:bCs/>
          <w:sz w:val="24"/>
        </w:rPr>
        <w:t>投标无效</w:t>
      </w:r>
      <w:r>
        <w:rPr>
          <w:rFonts w:ascii="Times New Roman" w:hAnsi="Times New Roman" w:cs="Times New Roman"/>
          <w:sz w:val="24"/>
        </w:rPr>
        <w:t>。</w:t>
      </w:r>
    </w:p>
    <w:p w14:paraId="72F1D9C3">
      <w:pPr>
        <w:spacing w:line="360" w:lineRule="auto"/>
        <w:ind w:firstLine="437"/>
        <w:outlineLvl w:val="3"/>
        <w:rPr>
          <w:rFonts w:ascii="Times New Roman" w:hAnsi="Times New Roman" w:cs="Times New Roman"/>
          <w:b/>
          <w:sz w:val="24"/>
        </w:rPr>
      </w:pPr>
      <w:r>
        <w:rPr>
          <w:rFonts w:ascii="Times New Roman" w:hAnsi="Times New Roman" w:cs="Times New Roman"/>
          <w:b/>
          <w:sz w:val="24"/>
        </w:rPr>
        <w:t>4.资金来源</w:t>
      </w:r>
    </w:p>
    <w:p w14:paraId="2FA9F891">
      <w:pPr>
        <w:spacing w:line="360" w:lineRule="auto"/>
        <w:ind w:firstLine="435"/>
        <w:rPr>
          <w:rFonts w:ascii="Times New Roman" w:hAnsi="Times New Roman" w:cs="Times New Roman"/>
          <w:sz w:val="24"/>
        </w:rPr>
      </w:pPr>
      <w:r>
        <w:rPr>
          <w:rFonts w:ascii="Times New Roman" w:hAnsi="Times New Roman" w:cs="Times New Roman"/>
          <w:sz w:val="24"/>
        </w:rPr>
        <w:t>4.1本项目的招标人已获得足以支付本次招标后所签订的合同项下的资金。</w:t>
      </w:r>
    </w:p>
    <w:p w14:paraId="5DA6E6AE">
      <w:pPr>
        <w:spacing w:line="360" w:lineRule="auto"/>
        <w:ind w:firstLine="435"/>
        <w:rPr>
          <w:rFonts w:ascii="Times New Roman" w:hAnsi="Times New Roman" w:cs="Times New Roman"/>
          <w:sz w:val="24"/>
        </w:rPr>
      </w:pPr>
      <w:bookmarkStart w:id="20" w:name="_Hlk11702998"/>
      <w:r>
        <w:rPr>
          <w:rFonts w:ascii="Times New Roman" w:hAnsi="Times New Roman" w:cs="Times New Roman"/>
          <w:sz w:val="24"/>
        </w:rPr>
        <w:t>4.2</w:t>
      </w:r>
      <w:r>
        <w:rPr>
          <w:rFonts w:ascii="Times New Roman" w:hAnsi="Times New Roman" w:cs="Times New Roman" w:eastAsiaTheme="minorEastAsia"/>
          <w:sz w:val="24"/>
        </w:rPr>
        <w:t>项目预算金额或分项（或分标段）预算金额见</w:t>
      </w:r>
      <w:r>
        <w:rPr>
          <w:rFonts w:ascii="Times New Roman" w:hAnsi="Times New Roman" w:cs="Times New Roman"/>
          <w:sz w:val="24"/>
          <w:u w:val="single"/>
        </w:rPr>
        <w:t>投标邀请（招标公告）</w:t>
      </w:r>
      <w:r>
        <w:rPr>
          <w:rFonts w:ascii="Times New Roman" w:hAnsi="Times New Roman" w:cs="Times New Roman"/>
          <w:sz w:val="24"/>
        </w:rPr>
        <w:t>。</w:t>
      </w:r>
    </w:p>
    <w:bookmarkEnd w:id="20"/>
    <w:p w14:paraId="319CA25C">
      <w:pPr>
        <w:spacing w:line="360" w:lineRule="auto"/>
        <w:ind w:firstLine="437"/>
        <w:outlineLvl w:val="3"/>
        <w:rPr>
          <w:rFonts w:ascii="Times New Roman" w:hAnsi="Times New Roman" w:cs="Times New Roman"/>
          <w:b/>
          <w:sz w:val="24"/>
        </w:rPr>
      </w:pPr>
      <w:r>
        <w:rPr>
          <w:rFonts w:ascii="Times New Roman" w:hAnsi="Times New Roman" w:cs="Times New Roman"/>
          <w:b/>
          <w:sz w:val="24"/>
        </w:rPr>
        <w:t>5.投标费用</w:t>
      </w:r>
    </w:p>
    <w:p w14:paraId="4FBEBCC4">
      <w:pPr>
        <w:spacing w:line="360" w:lineRule="auto"/>
        <w:ind w:firstLine="435"/>
        <w:rPr>
          <w:rFonts w:ascii="Times New Roman" w:hAnsi="Times New Roman" w:cs="Times New Roman"/>
          <w:sz w:val="24"/>
        </w:rPr>
      </w:pPr>
      <w:r>
        <w:rPr>
          <w:rFonts w:ascii="Times New Roman" w:hAnsi="Times New Roman" w:cs="Times New Roman"/>
          <w:sz w:val="24"/>
        </w:rPr>
        <w:t>不论投标的结果如何，投标人应承担所有与准备和参加投标有关的费用。</w:t>
      </w:r>
    </w:p>
    <w:p w14:paraId="65D9232B">
      <w:pPr>
        <w:spacing w:line="360" w:lineRule="auto"/>
        <w:ind w:firstLine="437"/>
        <w:outlineLvl w:val="3"/>
        <w:rPr>
          <w:rFonts w:ascii="Times New Roman" w:hAnsi="Times New Roman" w:cs="Times New Roman"/>
          <w:b/>
          <w:sz w:val="24"/>
        </w:rPr>
      </w:pPr>
      <w:r>
        <w:rPr>
          <w:rFonts w:ascii="Times New Roman" w:hAnsi="Times New Roman" w:cs="Times New Roman"/>
          <w:b/>
          <w:sz w:val="24"/>
        </w:rPr>
        <w:t>6.适用法律</w:t>
      </w:r>
    </w:p>
    <w:p w14:paraId="170EF53C">
      <w:pPr>
        <w:spacing w:line="360" w:lineRule="auto"/>
        <w:ind w:firstLine="435"/>
        <w:rPr>
          <w:rFonts w:ascii="Times New Roman" w:hAnsi="Times New Roman" w:cs="Times New Roman"/>
          <w:sz w:val="24"/>
        </w:rPr>
      </w:pPr>
      <w:r>
        <w:rPr>
          <w:rFonts w:ascii="Times New Roman" w:hAnsi="Times New Roman" w:cs="Times New Roman"/>
          <w:sz w:val="24"/>
        </w:rPr>
        <w:t>本项目招标人、投标人的相关行为和权利受招标人有关规定及本项目招标文件的约束和保护。</w:t>
      </w:r>
    </w:p>
    <w:p w14:paraId="28C4EF1D">
      <w:pPr>
        <w:spacing w:line="360" w:lineRule="auto"/>
        <w:ind w:firstLine="437"/>
        <w:outlineLvl w:val="3"/>
        <w:rPr>
          <w:rFonts w:ascii="Times New Roman" w:hAnsi="Times New Roman" w:cs="Times New Roman"/>
          <w:b/>
          <w:sz w:val="24"/>
        </w:rPr>
      </w:pPr>
      <w:r>
        <w:rPr>
          <w:rFonts w:ascii="Times New Roman" w:hAnsi="Times New Roman" w:cs="Times New Roman"/>
          <w:b/>
          <w:sz w:val="24"/>
        </w:rPr>
        <w:t>7.招标文件构成</w:t>
      </w:r>
    </w:p>
    <w:p w14:paraId="1BF8558D">
      <w:pPr>
        <w:spacing w:line="360" w:lineRule="auto"/>
        <w:ind w:firstLine="435"/>
        <w:rPr>
          <w:rFonts w:ascii="Times New Roman" w:hAnsi="Times New Roman" w:cs="Times New Roman"/>
          <w:sz w:val="24"/>
        </w:rPr>
      </w:pPr>
      <w:r>
        <w:rPr>
          <w:rFonts w:ascii="Times New Roman" w:hAnsi="Times New Roman" w:cs="Times New Roman"/>
          <w:sz w:val="24"/>
        </w:rPr>
        <w:t>7.1招标文件包括下列内容：</w:t>
      </w:r>
    </w:p>
    <w:p w14:paraId="49797161">
      <w:pPr>
        <w:spacing w:line="360" w:lineRule="auto"/>
        <w:ind w:firstLine="840" w:firstLineChars="350"/>
        <w:rPr>
          <w:rFonts w:ascii="Times New Roman" w:hAnsi="Times New Roman" w:cs="Times New Roman"/>
          <w:sz w:val="24"/>
        </w:rPr>
      </w:pPr>
      <w:r>
        <w:rPr>
          <w:rFonts w:ascii="Times New Roman" w:hAnsi="Times New Roman" w:cs="Times New Roman"/>
          <w:sz w:val="24"/>
        </w:rPr>
        <w:t>第一章  投标邀请（招标公告）</w:t>
      </w:r>
    </w:p>
    <w:p w14:paraId="4D87C1F3">
      <w:pPr>
        <w:spacing w:line="360" w:lineRule="auto"/>
        <w:ind w:firstLine="840" w:firstLineChars="350"/>
        <w:rPr>
          <w:rFonts w:ascii="Times New Roman" w:hAnsi="Times New Roman" w:cs="Times New Roman"/>
          <w:sz w:val="24"/>
        </w:rPr>
      </w:pPr>
      <w:r>
        <w:rPr>
          <w:rFonts w:ascii="Times New Roman" w:hAnsi="Times New Roman" w:cs="Times New Roman"/>
          <w:sz w:val="24"/>
        </w:rPr>
        <w:t>第二章  投标人须知</w:t>
      </w:r>
    </w:p>
    <w:p w14:paraId="37882E5C">
      <w:pPr>
        <w:spacing w:line="360" w:lineRule="auto"/>
        <w:ind w:firstLine="840" w:firstLineChars="350"/>
        <w:rPr>
          <w:rFonts w:ascii="Times New Roman" w:hAnsi="Times New Roman" w:cs="Times New Roman"/>
          <w:sz w:val="24"/>
        </w:rPr>
      </w:pPr>
      <w:r>
        <w:rPr>
          <w:rFonts w:ascii="Times New Roman" w:hAnsi="Times New Roman" w:cs="Times New Roman"/>
          <w:sz w:val="24"/>
        </w:rPr>
        <w:t>第三章  招标需求</w:t>
      </w:r>
    </w:p>
    <w:p w14:paraId="562966CD">
      <w:pPr>
        <w:spacing w:line="360" w:lineRule="auto"/>
        <w:ind w:firstLine="840" w:firstLineChars="350"/>
        <w:rPr>
          <w:rFonts w:ascii="Times New Roman" w:hAnsi="Times New Roman" w:cs="Times New Roman"/>
          <w:sz w:val="24"/>
        </w:rPr>
      </w:pPr>
      <w:r>
        <w:rPr>
          <w:rFonts w:ascii="Times New Roman" w:hAnsi="Times New Roman" w:cs="Times New Roman"/>
          <w:sz w:val="24"/>
        </w:rPr>
        <w:t>第四章  评标方法和标准</w:t>
      </w:r>
    </w:p>
    <w:p w14:paraId="6BA20CA5">
      <w:pPr>
        <w:spacing w:line="360" w:lineRule="auto"/>
        <w:ind w:firstLine="840" w:firstLineChars="350"/>
        <w:rPr>
          <w:rFonts w:ascii="Times New Roman" w:hAnsi="Times New Roman" w:cs="Times New Roman"/>
          <w:sz w:val="24"/>
        </w:rPr>
      </w:pPr>
      <w:r>
        <w:rPr>
          <w:rFonts w:ascii="Times New Roman" w:hAnsi="Times New Roman" w:cs="Times New Roman"/>
          <w:sz w:val="24"/>
        </w:rPr>
        <w:t>第五章  合同模板</w:t>
      </w:r>
    </w:p>
    <w:p w14:paraId="56F1EAFF">
      <w:pPr>
        <w:spacing w:line="360" w:lineRule="auto"/>
        <w:ind w:firstLine="840" w:firstLineChars="350"/>
        <w:rPr>
          <w:rFonts w:ascii="Times New Roman" w:hAnsi="Times New Roman" w:cs="Times New Roman"/>
          <w:sz w:val="24"/>
        </w:rPr>
      </w:pPr>
      <w:r>
        <w:rPr>
          <w:rFonts w:ascii="Times New Roman" w:hAnsi="Times New Roman" w:cs="Times New Roman"/>
          <w:sz w:val="24"/>
        </w:rPr>
        <w:t>第六章  投标文件格式</w:t>
      </w:r>
    </w:p>
    <w:p w14:paraId="23E385C5">
      <w:pPr>
        <w:spacing w:line="360" w:lineRule="auto"/>
        <w:ind w:firstLine="435"/>
        <w:rPr>
          <w:rFonts w:ascii="Times New Roman" w:hAnsi="Times New Roman" w:cs="Times New Roman"/>
          <w:sz w:val="24"/>
        </w:rPr>
      </w:pPr>
      <w:r>
        <w:rPr>
          <w:rFonts w:ascii="Times New Roman" w:hAnsi="Times New Roman" w:cs="Times New Roman"/>
          <w:sz w:val="24"/>
        </w:rPr>
        <w:t>7.2招标文件中有不一致的，有澄清的部分以最终的澄清更正内容为准。</w:t>
      </w:r>
    </w:p>
    <w:p w14:paraId="29D7EAE8">
      <w:pPr>
        <w:spacing w:line="360" w:lineRule="auto"/>
        <w:ind w:firstLine="435"/>
        <w:rPr>
          <w:rFonts w:ascii="Times New Roman" w:hAnsi="Times New Roman" w:cs="Times New Roman"/>
          <w:sz w:val="24"/>
        </w:rPr>
      </w:pPr>
      <w:r>
        <w:rPr>
          <w:rFonts w:ascii="Times New Roman" w:hAnsi="Times New Roman" w:cs="Times New Roman"/>
          <w:sz w:val="24"/>
        </w:rPr>
        <w:t>7.3现场考察及相关事项见</w:t>
      </w:r>
      <w:r>
        <w:rPr>
          <w:rFonts w:ascii="Times New Roman" w:hAnsi="Times New Roman" w:cs="Times New Roman"/>
          <w:sz w:val="24"/>
          <w:u w:val="single"/>
        </w:rPr>
        <w:t>投标人须知前附表</w:t>
      </w:r>
      <w:r>
        <w:rPr>
          <w:rFonts w:ascii="Times New Roman" w:hAnsi="Times New Roman" w:cs="Times New Roman"/>
          <w:sz w:val="24"/>
        </w:rPr>
        <w:t>。</w:t>
      </w:r>
    </w:p>
    <w:p w14:paraId="7B5F92AC">
      <w:pPr>
        <w:spacing w:line="360" w:lineRule="auto"/>
        <w:ind w:firstLine="435"/>
        <w:rPr>
          <w:rFonts w:ascii="Times New Roman" w:hAnsi="Times New Roman" w:cs="Times New Roman"/>
          <w:sz w:val="24"/>
        </w:rPr>
      </w:pPr>
      <w:r>
        <w:rPr>
          <w:rFonts w:ascii="Times New Roman" w:hAnsi="Times New Roman" w:cs="Times New Roman"/>
          <w:sz w:val="24"/>
        </w:rPr>
        <w:t>7.4</w:t>
      </w:r>
      <w:r>
        <w:rPr>
          <w:rFonts w:hint="eastAsia" w:ascii="Times New Roman" w:hAnsi="Times New Roman" w:cs="Times New Roman"/>
          <w:sz w:val="24"/>
        </w:rPr>
        <w:t>本次招标需要</w:t>
      </w:r>
      <w:r>
        <w:rPr>
          <w:rFonts w:ascii="Times New Roman" w:hAnsi="Times New Roman" w:cs="Times New Roman"/>
          <w:sz w:val="24"/>
        </w:rPr>
        <w:t>提供</w:t>
      </w:r>
      <w:r>
        <w:rPr>
          <w:rFonts w:hint="eastAsia" w:ascii="Times New Roman" w:hAnsi="Times New Roman" w:cs="Times New Roman"/>
          <w:sz w:val="24"/>
        </w:rPr>
        <w:t>部分</w:t>
      </w:r>
      <w:r>
        <w:rPr>
          <w:rFonts w:ascii="Times New Roman" w:hAnsi="Times New Roman" w:cs="Times New Roman"/>
          <w:sz w:val="24"/>
        </w:rPr>
        <w:t>样品，对样品相关要求见采购需求，对样品的评审方法及评审标准见招标文件第四章。</w:t>
      </w:r>
    </w:p>
    <w:p w14:paraId="1F6C912B">
      <w:pPr>
        <w:spacing w:line="360" w:lineRule="auto"/>
        <w:ind w:firstLine="435"/>
        <w:rPr>
          <w:rFonts w:ascii="Times New Roman" w:hAnsi="Times New Roman" w:cs="Times New Roman"/>
          <w:sz w:val="24"/>
        </w:rPr>
      </w:pPr>
      <w:r>
        <w:rPr>
          <w:rFonts w:ascii="Times New Roman" w:hAnsi="Times New Roman" w:cs="Times New Roman"/>
          <w:sz w:val="24"/>
        </w:rPr>
        <w:t>7.5投标人应认真阅读招标文件所有的事项、格式、条款和技术规范等。</w:t>
      </w:r>
    </w:p>
    <w:p w14:paraId="1A62A431">
      <w:pPr>
        <w:spacing w:line="360" w:lineRule="auto"/>
        <w:ind w:firstLine="437"/>
        <w:outlineLvl w:val="3"/>
        <w:rPr>
          <w:rFonts w:ascii="Times New Roman" w:hAnsi="Times New Roman" w:cs="Times New Roman"/>
          <w:b/>
          <w:sz w:val="24"/>
        </w:rPr>
      </w:pPr>
      <w:r>
        <w:rPr>
          <w:rFonts w:ascii="Times New Roman" w:hAnsi="Times New Roman" w:cs="Times New Roman"/>
          <w:b/>
          <w:sz w:val="24"/>
        </w:rPr>
        <w:t>8.招标文件的澄清与修改</w:t>
      </w:r>
    </w:p>
    <w:p w14:paraId="5FDDAD03">
      <w:pPr>
        <w:spacing w:line="360" w:lineRule="auto"/>
        <w:ind w:firstLine="435"/>
        <w:rPr>
          <w:rFonts w:ascii="Times New Roman" w:hAnsi="Times New Roman" w:cs="Times New Roman"/>
          <w:sz w:val="24"/>
        </w:rPr>
      </w:pPr>
      <w:r>
        <w:rPr>
          <w:rFonts w:ascii="Times New Roman" w:hAnsi="Times New Roman" w:cs="Times New Roman"/>
          <w:sz w:val="24"/>
        </w:rPr>
        <w:t>8.1投标人如对招标文件内容有疑问，应以书面形式（如传真、邮件等）通知招标人。招标人对需要做出澄清的问题，以澄清和修改通知的方式予以答复。</w:t>
      </w:r>
    </w:p>
    <w:p w14:paraId="0F291005">
      <w:pPr>
        <w:spacing w:line="360" w:lineRule="auto"/>
        <w:ind w:firstLine="435"/>
        <w:rPr>
          <w:rFonts w:ascii="Times New Roman" w:hAnsi="Times New Roman" w:cs="Times New Roman"/>
          <w:sz w:val="24"/>
        </w:rPr>
      </w:pPr>
      <w:r>
        <w:rPr>
          <w:rFonts w:ascii="Times New Roman" w:hAnsi="Times New Roman" w:cs="Times New Roman"/>
          <w:sz w:val="24"/>
        </w:rPr>
        <w:t>8.2招标人可主动或在解答投标人提出的问题时对招标文件进行澄清或者修改。</w:t>
      </w:r>
    </w:p>
    <w:p w14:paraId="6D42CDA0">
      <w:pPr>
        <w:spacing w:line="360" w:lineRule="auto"/>
        <w:ind w:firstLine="435"/>
        <w:rPr>
          <w:rFonts w:ascii="Times New Roman" w:hAnsi="Times New Roman" w:cs="Times New Roman"/>
          <w:sz w:val="24"/>
        </w:rPr>
      </w:pPr>
      <w:r>
        <w:rPr>
          <w:rFonts w:ascii="Times New Roman" w:hAnsi="Times New Roman" w:cs="Times New Roman"/>
          <w:sz w:val="24"/>
        </w:rPr>
        <w:t>8.3任何人或任何组织向投标人提供的任何书面或口头资料，未经招标人在网上发布或书面通知，均作无效处理，不得作为招标文件的组成部分。</w:t>
      </w:r>
    </w:p>
    <w:p w14:paraId="05E1DED4">
      <w:pPr>
        <w:spacing w:line="360" w:lineRule="auto"/>
        <w:ind w:firstLine="435"/>
        <w:rPr>
          <w:rFonts w:ascii="Times New Roman" w:hAnsi="Times New Roman" w:cs="Times New Roman"/>
          <w:i/>
          <w:iCs/>
          <w:sz w:val="24"/>
        </w:rPr>
      </w:pPr>
      <w:r>
        <w:rPr>
          <w:rFonts w:ascii="Times New Roman" w:hAnsi="Times New Roman" w:cs="Times New Roman"/>
          <w:sz w:val="24"/>
        </w:rPr>
        <w:t>8.4对于没有提出疑问又参与了本项目投标的投标人将被视为完全认同本招标文件（含更正公告的内容）</w:t>
      </w:r>
      <w:r>
        <w:rPr>
          <w:rFonts w:ascii="Times New Roman" w:hAnsi="Times New Roman" w:cs="Times New Roman"/>
          <w:i/>
          <w:sz w:val="24"/>
        </w:rPr>
        <w:t>。</w:t>
      </w:r>
    </w:p>
    <w:p w14:paraId="0ED5C33E">
      <w:pPr>
        <w:spacing w:line="360" w:lineRule="auto"/>
        <w:ind w:firstLine="437"/>
        <w:outlineLvl w:val="3"/>
        <w:rPr>
          <w:rFonts w:ascii="Times New Roman" w:hAnsi="Times New Roman" w:cs="Times New Roman"/>
          <w:b/>
          <w:sz w:val="24"/>
        </w:rPr>
      </w:pPr>
      <w:r>
        <w:rPr>
          <w:rFonts w:ascii="Times New Roman" w:hAnsi="Times New Roman" w:cs="Times New Roman"/>
          <w:b/>
          <w:sz w:val="24"/>
        </w:rPr>
        <w:t>9.投标范围及投标文件中标准和计量单位的使用</w:t>
      </w:r>
    </w:p>
    <w:p w14:paraId="00377401">
      <w:pPr>
        <w:spacing w:line="360" w:lineRule="auto"/>
        <w:ind w:firstLine="435"/>
        <w:rPr>
          <w:rFonts w:ascii="Times New Roman" w:hAnsi="Times New Roman" w:cs="Times New Roman"/>
          <w:sz w:val="24"/>
        </w:rPr>
      </w:pPr>
      <w:r>
        <w:rPr>
          <w:rFonts w:ascii="Times New Roman" w:hAnsi="Times New Roman" w:cs="Times New Roman"/>
          <w:sz w:val="24"/>
        </w:rPr>
        <w:t>9.1</w:t>
      </w:r>
      <w:r>
        <w:rPr>
          <w:rFonts w:ascii="Times New Roman" w:hAnsi="Times New Roman" w:cs="Times New Roman" w:eastAsiaTheme="minorEastAsia"/>
          <w:sz w:val="24"/>
        </w:rPr>
        <w:t>项目有划分标段的，投标人可参与其中某一个或多个标段的投标，中标标段数详见</w:t>
      </w:r>
      <w:r>
        <w:rPr>
          <w:rFonts w:ascii="Times New Roman" w:hAnsi="Times New Roman" w:cs="Times New Roman" w:eastAsiaTheme="minorEastAsia"/>
          <w:sz w:val="24"/>
          <w:u w:val="single"/>
        </w:rPr>
        <w:t>投标人须知前附表</w:t>
      </w:r>
      <w:r>
        <w:rPr>
          <w:rFonts w:ascii="Times New Roman" w:hAnsi="Times New Roman" w:cs="Times New Roman" w:eastAsiaTheme="minorEastAsia"/>
          <w:sz w:val="24"/>
        </w:rPr>
        <w:t>中规定。</w:t>
      </w:r>
    </w:p>
    <w:p w14:paraId="021360D6">
      <w:pPr>
        <w:spacing w:line="360" w:lineRule="auto"/>
        <w:ind w:firstLine="435"/>
        <w:rPr>
          <w:rFonts w:ascii="Times New Roman" w:hAnsi="Times New Roman" w:cs="Times New Roman"/>
          <w:sz w:val="24"/>
        </w:rPr>
      </w:pPr>
      <w:bookmarkStart w:id="21" w:name="_Hlk16458980"/>
      <w:r>
        <w:rPr>
          <w:rFonts w:ascii="Times New Roman" w:hAnsi="Times New Roman" w:cs="Times New Roman"/>
          <w:sz w:val="24"/>
        </w:rPr>
        <w:t>9.2无论招标文件中是否要求，投标人所投货物及伴随的服务和工程均应符合国家强制性标准。</w:t>
      </w:r>
    </w:p>
    <w:bookmarkEnd w:id="21"/>
    <w:p w14:paraId="572AC556">
      <w:pPr>
        <w:spacing w:line="360" w:lineRule="auto"/>
        <w:ind w:firstLine="435"/>
        <w:rPr>
          <w:rFonts w:ascii="Times New Roman" w:hAnsi="Times New Roman" w:cs="Times New Roman"/>
          <w:sz w:val="24"/>
        </w:rPr>
      </w:pPr>
      <w:r>
        <w:rPr>
          <w:rFonts w:ascii="Times New Roman" w:hAnsi="Times New Roman" w:cs="Times New Roman"/>
          <w:sz w:val="24"/>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6096114E">
      <w:pPr>
        <w:spacing w:line="360" w:lineRule="auto"/>
        <w:ind w:firstLine="435"/>
        <w:rPr>
          <w:rFonts w:ascii="Times New Roman" w:hAnsi="Times New Roman" w:cs="Times New Roman"/>
          <w:sz w:val="24"/>
        </w:rPr>
      </w:pPr>
      <w:r>
        <w:rPr>
          <w:rFonts w:ascii="Times New Roman" w:hAnsi="Times New Roman" w:cs="Times New Roman"/>
          <w:sz w:val="24"/>
        </w:rPr>
        <w:t>9.4除招标文件中有特殊要求外，投标文件中所使用的计量单位，应采用中华人民共和国法定计量单位。</w:t>
      </w:r>
    </w:p>
    <w:p w14:paraId="41132EEA">
      <w:pPr>
        <w:spacing w:line="360" w:lineRule="auto"/>
        <w:ind w:firstLine="437"/>
        <w:outlineLvl w:val="3"/>
        <w:rPr>
          <w:rFonts w:ascii="Times New Roman" w:hAnsi="Times New Roman" w:cs="Times New Roman"/>
          <w:b/>
          <w:sz w:val="24"/>
        </w:rPr>
      </w:pPr>
      <w:r>
        <w:rPr>
          <w:rFonts w:ascii="Times New Roman" w:hAnsi="Times New Roman" w:cs="Times New Roman"/>
          <w:b/>
          <w:sz w:val="24"/>
        </w:rPr>
        <w:t>10.投标文件构成</w:t>
      </w:r>
    </w:p>
    <w:p w14:paraId="2A6B4D86">
      <w:pPr>
        <w:spacing w:line="360" w:lineRule="auto"/>
        <w:ind w:firstLine="435"/>
        <w:rPr>
          <w:rFonts w:ascii="Times New Roman" w:hAnsi="Times New Roman" w:cs="Times New Roman"/>
          <w:sz w:val="24"/>
        </w:rPr>
      </w:pPr>
      <w:r>
        <w:rPr>
          <w:rFonts w:ascii="Times New Roman" w:hAnsi="Times New Roman" w:cs="Times New Roman"/>
          <w:sz w:val="24"/>
        </w:rPr>
        <w:t>10.1投标人应完整地按招标文件提供的投标文件格式及要求编写投标文件，具体内容详见本项目第六章投标文件格式的相关内容。</w:t>
      </w:r>
    </w:p>
    <w:p w14:paraId="720BC43F">
      <w:pPr>
        <w:spacing w:line="360" w:lineRule="auto"/>
        <w:ind w:firstLine="435"/>
        <w:rPr>
          <w:rFonts w:ascii="Times New Roman" w:hAnsi="Times New Roman" w:cs="Times New Roman"/>
          <w:sz w:val="24"/>
        </w:rPr>
      </w:pPr>
      <w:r>
        <w:rPr>
          <w:rFonts w:ascii="Times New Roman" w:hAnsi="Times New Roman" w:cs="Times New Roman"/>
          <w:sz w:val="24"/>
        </w:rPr>
        <w:t>10.2上述文件应按照招标文件规定的格式填写、签署和盖章。</w:t>
      </w:r>
    </w:p>
    <w:p w14:paraId="5ABFE3A2">
      <w:pPr>
        <w:spacing w:line="360" w:lineRule="auto"/>
        <w:ind w:firstLine="437"/>
        <w:outlineLvl w:val="3"/>
        <w:rPr>
          <w:rFonts w:ascii="Times New Roman" w:hAnsi="Times New Roman" w:cs="Times New Roman"/>
          <w:b/>
          <w:sz w:val="24"/>
        </w:rPr>
      </w:pPr>
      <w:r>
        <w:rPr>
          <w:rFonts w:ascii="Times New Roman" w:hAnsi="Times New Roman" w:cs="Times New Roman"/>
          <w:b/>
          <w:sz w:val="24"/>
        </w:rPr>
        <w:t>11.证明投标标的的合格性和符合招标文件规定的技术文件</w:t>
      </w:r>
    </w:p>
    <w:p w14:paraId="1192797E">
      <w:pPr>
        <w:spacing w:line="360" w:lineRule="auto"/>
        <w:ind w:firstLine="435"/>
        <w:rPr>
          <w:rFonts w:ascii="Times New Roman" w:hAnsi="Times New Roman" w:cs="Times New Roman"/>
          <w:sz w:val="24"/>
        </w:rPr>
      </w:pPr>
      <w:r>
        <w:rPr>
          <w:rFonts w:ascii="Times New Roman" w:hAnsi="Times New Roman" w:cs="Times New Roman"/>
          <w:sz w:val="24"/>
        </w:rPr>
        <w:t>11.1投标人应提交证明文件，证明其投标内容符合招标文件规定。该证明文件是投标文件的一部分。</w:t>
      </w:r>
    </w:p>
    <w:p w14:paraId="6AFF6836">
      <w:pPr>
        <w:spacing w:line="360" w:lineRule="auto"/>
        <w:ind w:firstLine="435"/>
        <w:rPr>
          <w:rFonts w:ascii="Times New Roman" w:hAnsi="Times New Roman" w:cs="Times New Roman"/>
          <w:sz w:val="24"/>
        </w:rPr>
      </w:pPr>
      <w:r>
        <w:rPr>
          <w:rFonts w:ascii="Times New Roman" w:hAnsi="Times New Roman" w:cs="Times New Roman"/>
          <w:sz w:val="24"/>
        </w:rPr>
        <w:t>11.2上款所述的证明文件，可以是文字资料、图纸和数据</w:t>
      </w:r>
      <w:bookmarkStart w:id="22" w:name="_Hlk11703583"/>
      <w:r>
        <w:rPr>
          <w:rFonts w:ascii="Times New Roman" w:hAnsi="Times New Roman" w:cs="Times New Roman"/>
          <w:sz w:val="24"/>
        </w:rPr>
        <w:t>。</w:t>
      </w:r>
    </w:p>
    <w:bookmarkEnd w:id="22"/>
    <w:p w14:paraId="7B52198B">
      <w:pPr>
        <w:spacing w:line="360" w:lineRule="auto"/>
        <w:ind w:firstLine="435"/>
        <w:rPr>
          <w:rFonts w:ascii="Times New Roman" w:hAnsi="Times New Roman" w:cs="Times New Roman"/>
          <w:sz w:val="24"/>
        </w:rPr>
      </w:pPr>
      <w:r>
        <w:rPr>
          <w:rFonts w:ascii="Times New Roman" w:hAnsi="Times New Roman" w:cs="Times New Roman"/>
          <w:sz w:val="24"/>
        </w:rPr>
        <w:t>11.3本条所指证明文件不包括对招标文件相关部分的文字、图标的复制。</w:t>
      </w:r>
    </w:p>
    <w:p w14:paraId="6E0272EC">
      <w:pPr>
        <w:spacing w:line="360" w:lineRule="auto"/>
        <w:ind w:firstLine="435"/>
        <w:rPr>
          <w:rFonts w:ascii="Times New Roman" w:hAnsi="Times New Roman" w:cs="Times New Roman"/>
          <w:sz w:val="24"/>
        </w:rPr>
      </w:pPr>
      <w:r>
        <w:rPr>
          <w:rFonts w:ascii="Times New Roman" w:hAnsi="Times New Roman" w:cs="Times New Roman"/>
          <w:sz w:val="24"/>
        </w:rPr>
        <w:t>11.4为保证公平公正，除非另有规定或说明，投标人对同一项目投标时，不得同时提供备选投标方案。</w:t>
      </w:r>
    </w:p>
    <w:p w14:paraId="52E02175">
      <w:pPr>
        <w:spacing w:line="360" w:lineRule="auto"/>
        <w:ind w:firstLine="437"/>
        <w:outlineLvl w:val="3"/>
        <w:rPr>
          <w:rFonts w:ascii="Times New Roman" w:hAnsi="Times New Roman" w:cs="Times New Roman"/>
          <w:b/>
          <w:sz w:val="24"/>
        </w:rPr>
      </w:pPr>
      <w:r>
        <w:rPr>
          <w:rFonts w:ascii="Times New Roman" w:hAnsi="Times New Roman" w:cs="Times New Roman"/>
          <w:b/>
          <w:sz w:val="24"/>
        </w:rPr>
        <w:t>12.投标报价</w:t>
      </w:r>
    </w:p>
    <w:p w14:paraId="24E40639">
      <w:pPr>
        <w:spacing w:line="360" w:lineRule="auto"/>
        <w:ind w:firstLine="435"/>
        <w:rPr>
          <w:rFonts w:ascii="Times New Roman" w:hAnsi="Times New Roman" w:cs="Times New Roman"/>
          <w:sz w:val="24"/>
        </w:rPr>
      </w:pPr>
      <w:r>
        <w:rPr>
          <w:rFonts w:ascii="Times New Roman" w:hAnsi="Times New Roman" w:cs="Times New Roman"/>
          <w:sz w:val="24"/>
        </w:rPr>
        <w:t>12.1投标人的报价应当包括满足本次招标全部采购需求所应提供的货物，以及伴随的服务和工程。所有投标均应以人民币报价。投标人的投标报价应遵守《中华人民共和国价格法》。</w:t>
      </w:r>
    </w:p>
    <w:p w14:paraId="14C4D3C1">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12.2除非招标文件另有规定或经招标人同意支付的，最后报价均不得高于招标文件（公告）列明的项目预算，否则其投标文件将被认定为</w:t>
      </w:r>
      <w:r>
        <w:rPr>
          <w:rFonts w:ascii="Times New Roman" w:hAnsi="Times New Roman" w:cs="Times New Roman" w:eastAsiaTheme="minorEastAsia"/>
          <w:b/>
          <w:sz w:val="24"/>
        </w:rPr>
        <w:t>投标无效</w:t>
      </w:r>
      <w:r>
        <w:rPr>
          <w:rFonts w:ascii="Times New Roman" w:hAnsi="Times New Roman" w:cs="Times New Roman" w:eastAsiaTheme="minorEastAsia"/>
          <w:sz w:val="24"/>
        </w:rPr>
        <w:t>。</w:t>
      </w:r>
    </w:p>
    <w:p w14:paraId="1EF5C20D">
      <w:pPr>
        <w:spacing w:line="360" w:lineRule="auto"/>
        <w:ind w:firstLine="435"/>
        <w:rPr>
          <w:rFonts w:ascii="Times New Roman" w:hAnsi="Times New Roman" w:cs="Times New Roman"/>
          <w:sz w:val="24"/>
        </w:rPr>
      </w:pPr>
      <w:r>
        <w:rPr>
          <w:rFonts w:ascii="Times New Roman" w:hAnsi="Times New Roman" w:cs="Times New Roman"/>
          <w:sz w:val="24"/>
        </w:rPr>
        <w:t>12.3投标报价在合同履行过程中是固定不变的，不得以任何理由予以变更。任何包含价格调整要求的投标，其投标将被认定为</w:t>
      </w:r>
      <w:r>
        <w:rPr>
          <w:rFonts w:ascii="Times New Roman" w:hAnsi="Times New Roman" w:cs="Times New Roman"/>
          <w:b/>
          <w:sz w:val="24"/>
        </w:rPr>
        <w:t>投标无效</w:t>
      </w:r>
      <w:r>
        <w:rPr>
          <w:rFonts w:ascii="Times New Roman" w:hAnsi="Times New Roman" w:cs="Times New Roman"/>
          <w:sz w:val="24"/>
        </w:rPr>
        <w:t>。</w:t>
      </w:r>
    </w:p>
    <w:p w14:paraId="125FC432">
      <w:pPr>
        <w:spacing w:line="360" w:lineRule="auto"/>
        <w:ind w:firstLine="435"/>
        <w:rPr>
          <w:rFonts w:ascii="Times New Roman" w:hAnsi="Times New Roman" w:cs="Times New Roman"/>
          <w:sz w:val="24"/>
        </w:rPr>
      </w:pPr>
      <w:r>
        <w:rPr>
          <w:rFonts w:ascii="Times New Roman" w:hAnsi="Times New Roman" w:cs="Times New Roman"/>
          <w:sz w:val="24"/>
        </w:rPr>
        <w:t>12.4招标人不接受具有附加条件的报价。</w:t>
      </w:r>
    </w:p>
    <w:p w14:paraId="299C38D6">
      <w:pPr>
        <w:numPr>
          <w:ilvl w:val="0"/>
          <w:numId w:val="2"/>
        </w:numPr>
        <w:spacing w:line="360" w:lineRule="auto"/>
        <w:ind w:firstLine="437"/>
        <w:outlineLvl w:val="3"/>
        <w:rPr>
          <w:rFonts w:ascii="Times New Roman" w:hAnsi="Times New Roman" w:cs="Times New Roman"/>
          <w:b/>
          <w:sz w:val="24"/>
        </w:rPr>
      </w:pPr>
      <w:r>
        <w:rPr>
          <w:rFonts w:ascii="Times New Roman" w:hAnsi="Times New Roman" w:cs="Times New Roman"/>
          <w:b/>
          <w:sz w:val="24"/>
        </w:rPr>
        <w:t>投标保证金</w:t>
      </w:r>
    </w:p>
    <w:p w14:paraId="49BF72F3">
      <w:pPr>
        <w:spacing w:line="360" w:lineRule="auto"/>
        <w:ind w:firstLine="437"/>
        <w:outlineLvl w:val="3"/>
        <w:rPr>
          <w:rFonts w:ascii="Times New Roman" w:hAnsi="Times New Roman" w:cs="Times New Roman"/>
          <w:sz w:val="24"/>
        </w:rPr>
      </w:pPr>
      <w:r>
        <w:rPr>
          <w:rFonts w:ascii="Times New Roman" w:hAnsi="Times New Roman" w:cs="Times New Roman"/>
          <w:sz w:val="24"/>
        </w:rPr>
        <w:t>中标人应按照</w:t>
      </w:r>
      <w:r>
        <w:rPr>
          <w:rFonts w:ascii="Times New Roman" w:hAnsi="Times New Roman" w:cs="Times New Roman"/>
          <w:sz w:val="24"/>
          <w:u w:val="single"/>
        </w:rPr>
        <w:t>投标人须知前附表</w:t>
      </w:r>
      <w:r>
        <w:rPr>
          <w:rFonts w:ascii="Times New Roman" w:hAnsi="Times New Roman" w:cs="Times New Roman"/>
          <w:sz w:val="24"/>
        </w:rPr>
        <w:t>规定缴纳投标保证金。</w:t>
      </w:r>
    </w:p>
    <w:p w14:paraId="5EA30A4A">
      <w:pPr>
        <w:spacing w:line="360" w:lineRule="auto"/>
        <w:ind w:firstLine="437"/>
        <w:outlineLvl w:val="3"/>
        <w:rPr>
          <w:rFonts w:ascii="Times New Roman" w:hAnsi="Times New Roman" w:cs="Times New Roman"/>
          <w:b/>
          <w:sz w:val="24"/>
        </w:rPr>
      </w:pPr>
      <w:r>
        <w:rPr>
          <w:rFonts w:ascii="Times New Roman" w:hAnsi="Times New Roman" w:cs="Times New Roman"/>
          <w:b/>
          <w:sz w:val="24"/>
        </w:rPr>
        <w:t>14.投标有效期</w:t>
      </w:r>
    </w:p>
    <w:p w14:paraId="293CFDC5">
      <w:pPr>
        <w:spacing w:line="360" w:lineRule="auto"/>
        <w:ind w:firstLine="435"/>
        <w:rPr>
          <w:rFonts w:ascii="Times New Roman" w:hAnsi="Times New Roman" w:cs="Times New Roman"/>
          <w:sz w:val="24"/>
        </w:rPr>
      </w:pPr>
      <w:r>
        <w:rPr>
          <w:rFonts w:ascii="Times New Roman" w:hAnsi="Times New Roman" w:cs="Times New Roman"/>
          <w:sz w:val="24"/>
        </w:rPr>
        <w:t>14.1投标有效期为从投标截止之日算起的日历天数，投标有效期详见</w:t>
      </w:r>
      <w:r>
        <w:rPr>
          <w:rFonts w:ascii="Times New Roman" w:hAnsi="Times New Roman" w:cs="Times New Roman"/>
          <w:sz w:val="24"/>
          <w:u w:val="single"/>
        </w:rPr>
        <w:t>投标人须知前附表</w:t>
      </w:r>
      <w:r>
        <w:rPr>
          <w:rFonts w:ascii="Times New Roman" w:hAnsi="Times New Roman" w:cs="Times New Roman"/>
          <w:sz w:val="24"/>
        </w:rPr>
        <w:t>。</w:t>
      </w:r>
    </w:p>
    <w:p w14:paraId="4B5E6BD0">
      <w:pPr>
        <w:spacing w:line="360" w:lineRule="auto"/>
        <w:ind w:firstLine="435"/>
        <w:rPr>
          <w:rFonts w:ascii="Times New Roman" w:hAnsi="Times New Roman" w:cs="Times New Roman"/>
          <w:sz w:val="24"/>
        </w:rPr>
      </w:pPr>
      <w:r>
        <w:rPr>
          <w:rFonts w:ascii="Times New Roman" w:hAnsi="Times New Roman" w:cs="Times New Roman"/>
          <w:sz w:val="24"/>
        </w:rPr>
        <w:t>14.2在投标有效期内，投标人的投标保持有效，投标人不得要求撤销或修改其投标文件。投标有效期不满足要求的投标，其投标将被认定为</w:t>
      </w:r>
      <w:r>
        <w:rPr>
          <w:rFonts w:ascii="Times New Roman" w:hAnsi="Times New Roman" w:cs="Times New Roman"/>
          <w:b/>
          <w:sz w:val="24"/>
        </w:rPr>
        <w:t>投标无效</w:t>
      </w:r>
      <w:r>
        <w:rPr>
          <w:rFonts w:ascii="Times New Roman" w:hAnsi="Times New Roman" w:cs="Times New Roman"/>
          <w:sz w:val="24"/>
        </w:rPr>
        <w:t>。</w:t>
      </w:r>
    </w:p>
    <w:p w14:paraId="0DC0E00B">
      <w:pPr>
        <w:spacing w:line="360" w:lineRule="auto"/>
        <w:ind w:firstLine="435"/>
        <w:rPr>
          <w:rFonts w:ascii="Times New Roman" w:hAnsi="Times New Roman" w:cs="Times New Roman"/>
          <w:sz w:val="24"/>
        </w:rPr>
      </w:pPr>
      <w:r>
        <w:rPr>
          <w:rFonts w:ascii="Times New Roman" w:hAnsi="Times New Roman" w:cs="Times New Roman"/>
          <w:sz w:val="24"/>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2FEC8A51">
      <w:pPr>
        <w:spacing w:line="360" w:lineRule="auto"/>
        <w:ind w:firstLine="437"/>
        <w:outlineLvl w:val="3"/>
        <w:rPr>
          <w:rFonts w:ascii="Times New Roman" w:hAnsi="Times New Roman" w:cs="Times New Roman"/>
          <w:b/>
          <w:sz w:val="24"/>
        </w:rPr>
      </w:pPr>
      <w:r>
        <w:rPr>
          <w:rFonts w:ascii="Times New Roman" w:hAnsi="Times New Roman" w:cs="Times New Roman"/>
          <w:b/>
          <w:sz w:val="24"/>
        </w:rPr>
        <w:t>15.投标文件的制作</w:t>
      </w:r>
    </w:p>
    <w:p w14:paraId="3BB0A98F">
      <w:pPr>
        <w:spacing w:line="360" w:lineRule="auto"/>
        <w:ind w:firstLine="435"/>
        <w:jc w:val="left"/>
        <w:rPr>
          <w:rFonts w:ascii="Times New Roman" w:hAnsi="Times New Roman" w:cs="Times New Roman"/>
          <w:sz w:val="24"/>
        </w:rPr>
      </w:pPr>
      <w:r>
        <w:rPr>
          <w:rFonts w:ascii="Times New Roman" w:hAnsi="Times New Roman" w:cs="Times New Roman"/>
          <w:sz w:val="24"/>
        </w:rPr>
        <w:t>15.1投标文件份数</w:t>
      </w:r>
    </w:p>
    <w:p w14:paraId="1C14464D">
      <w:pPr>
        <w:spacing w:line="360" w:lineRule="auto"/>
        <w:ind w:firstLine="435"/>
        <w:jc w:val="left"/>
        <w:rPr>
          <w:rFonts w:ascii="Times New Roman" w:hAnsi="Times New Roman" w:cs="Times New Roman"/>
          <w:sz w:val="24"/>
        </w:rPr>
      </w:pPr>
      <w:r>
        <w:rPr>
          <w:rFonts w:ascii="Times New Roman" w:hAnsi="Times New Roman" w:cs="Times New Roman"/>
          <w:sz w:val="24"/>
        </w:rPr>
        <w:t>15.1.1投标人应按照</w:t>
      </w:r>
      <w:r>
        <w:rPr>
          <w:rFonts w:ascii="Times New Roman" w:hAnsi="Times New Roman" w:cs="Times New Roman"/>
          <w:sz w:val="24"/>
          <w:u w:val="single"/>
        </w:rPr>
        <w:t>投标人须知前附表</w:t>
      </w:r>
      <w:r>
        <w:rPr>
          <w:rFonts w:ascii="Times New Roman" w:hAnsi="Times New Roman" w:cs="Times New Roman"/>
          <w:sz w:val="24"/>
        </w:rPr>
        <w:t>的要求编制投标文件，并在封面上注明“正本”和“副本”字样。投标文件的正本与副本如有不一致之处，以正本为准。</w:t>
      </w:r>
    </w:p>
    <w:p w14:paraId="5459BBFB">
      <w:pPr>
        <w:spacing w:line="360" w:lineRule="auto"/>
        <w:ind w:firstLine="435"/>
        <w:jc w:val="left"/>
        <w:rPr>
          <w:rFonts w:ascii="Times New Roman" w:hAnsi="Times New Roman" w:cs="Times New Roman"/>
          <w:sz w:val="24"/>
        </w:rPr>
      </w:pPr>
      <w:r>
        <w:rPr>
          <w:rFonts w:ascii="Times New Roman" w:hAnsi="Times New Roman" w:cs="Times New Roman"/>
          <w:sz w:val="24"/>
        </w:rPr>
        <w:t>15.1.2投标文件应按招标文件要求加盖投标人公章，热敏纸无效。</w:t>
      </w:r>
    </w:p>
    <w:p w14:paraId="3BE1BB8C">
      <w:pPr>
        <w:spacing w:line="360" w:lineRule="auto"/>
        <w:ind w:firstLine="435"/>
        <w:jc w:val="left"/>
        <w:rPr>
          <w:rFonts w:ascii="Times New Roman" w:hAnsi="Times New Roman" w:cs="Times New Roman"/>
          <w:sz w:val="24"/>
        </w:rPr>
      </w:pPr>
      <w:r>
        <w:rPr>
          <w:rFonts w:ascii="Times New Roman" w:hAnsi="Times New Roman" w:cs="Times New Roman"/>
          <w:sz w:val="24"/>
        </w:rPr>
        <w:t>15.1.3招标人保留要求中标人提供其投标文件电子版的权利。</w:t>
      </w:r>
    </w:p>
    <w:p w14:paraId="3653B775">
      <w:pPr>
        <w:spacing w:line="360" w:lineRule="auto"/>
        <w:ind w:firstLine="435"/>
        <w:jc w:val="left"/>
        <w:rPr>
          <w:rFonts w:ascii="Times New Roman" w:hAnsi="Times New Roman" w:cs="Times New Roman"/>
          <w:sz w:val="24"/>
        </w:rPr>
      </w:pPr>
      <w:r>
        <w:rPr>
          <w:rFonts w:ascii="Times New Roman" w:hAnsi="Times New Roman" w:cs="Times New Roman"/>
          <w:sz w:val="24"/>
        </w:rPr>
        <w:t>15.2投标文件的封装和标记</w:t>
      </w:r>
    </w:p>
    <w:p w14:paraId="018A0487">
      <w:pPr>
        <w:spacing w:line="360" w:lineRule="auto"/>
        <w:ind w:firstLine="435"/>
        <w:jc w:val="left"/>
        <w:rPr>
          <w:rFonts w:ascii="Times New Roman" w:hAnsi="Times New Roman" w:cs="Times New Roman"/>
          <w:sz w:val="24"/>
        </w:rPr>
      </w:pPr>
      <w:r>
        <w:rPr>
          <w:rFonts w:ascii="Times New Roman" w:hAnsi="Times New Roman" w:cs="Times New Roman"/>
          <w:sz w:val="24"/>
        </w:rPr>
        <w:t>15.2.1投标文件应装订成册并封装，建议在密封袋上标注项目名称、项目编号、投标人名称及包别。</w:t>
      </w:r>
    </w:p>
    <w:p w14:paraId="1C123C70">
      <w:pPr>
        <w:spacing w:line="360" w:lineRule="auto"/>
        <w:ind w:firstLine="435"/>
        <w:jc w:val="left"/>
        <w:rPr>
          <w:rFonts w:ascii="Times New Roman" w:hAnsi="Times New Roman" w:cs="Times New Roman"/>
          <w:sz w:val="24"/>
        </w:rPr>
      </w:pPr>
      <w:r>
        <w:rPr>
          <w:rFonts w:ascii="Times New Roman" w:hAnsi="Times New Roman" w:cs="Times New Roman"/>
          <w:sz w:val="24"/>
        </w:rPr>
        <w:t>15.2.2建议投标人将正本单独封装，全部副本一起封装。</w:t>
      </w:r>
    </w:p>
    <w:p w14:paraId="0EEDF574">
      <w:pPr>
        <w:spacing w:line="360" w:lineRule="auto"/>
        <w:ind w:firstLine="435"/>
        <w:rPr>
          <w:rFonts w:ascii="Times New Roman" w:hAnsi="Times New Roman" w:cs="Times New Roman"/>
          <w:sz w:val="24"/>
        </w:rPr>
      </w:pPr>
      <w:r>
        <w:rPr>
          <w:rFonts w:ascii="Times New Roman" w:hAnsi="Times New Roman" w:cs="Times New Roman"/>
          <w:sz w:val="24"/>
        </w:rPr>
        <w:t>15.2.3如果未按规定封装或加写标记，招标人将不承担投标文件错放或提前开封的责任，并可能导致投标无效。</w:t>
      </w:r>
    </w:p>
    <w:p w14:paraId="66D7E864">
      <w:pPr>
        <w:spacing w:line="360" w:lineRule="auto"/>
        <w:ind w:firstLine="435"/>
        <w:rPr>
          <w:rFonts w:ascii="Times New Roman" w:hAnsi="Times New Roman" w:cs="Times New Roman"/>
          <w:sz w:val="24"/>
        </w:rPr>
      </w:pPr>
      <w:r>
        <w:rPr>
          <w:rFonts w:ascii="Times New Roman" w:hAnsi="Times New Roman" w:cs="Times New Roman"/>
          <w:sz w:val="24"/>
        </w:rPr>
        <w:t>15.3开标现场提交的其他材料要求详见</w:t>
      </w:r>
      <w:r>
        <w:rPr>
          <w:rFonts w:ascii="Times New Roman" w:hAnsi="Times New Roman" w:cs="Times New Roman"/>
          <w:sz w:val="24"/>
          <w:u w:val="single"/>
        </w:rPr>
        <w:t>投标人须知前附表</w:t>
      </w:r>
      <w:r>
        <w:rPr>
          <w:rFonts w:ascii="Times New Roman" w:hAnsi="Times New Roman" w:cs="Times New Roman"/>
          <w:sz w:val="24"/>
        </w:rPr>
        <w:t>。</w:t>
      </w:r>
    </w:p>
    <w:p w14:paraId="6DFD4E17">
      <w:pPr>
        <w:spacing w:line="360" w:lineRule="auto"/>
        <w:ind w:firstLine="437"/>
        <w:outlineLvl w:val="3"/>
        <w:rPr>
          <w:rFonts w:ascii="Times New Roman" w:hAnsi="Times New Roman" w:cs="Times New Roman"/>
          <w:b/>
          <w:sz w:val="24"/>
        </w:rPr>
      </w:pPr>
      <w:r>
        <w:rPr>
          <w:rFonts w:ascii="Times New Roman" w:hAnsi="Times New Roman" w:cs="Times New Roman"/>
          <w:b/>
          <w:sz w:val="24"/>
        </w:rPr>
        <w:t>16.投标截止及投标文件的递交</w:t>
      </w:r>
    </w:p>
    <w:p w14:paraId="5A9B4AAF">
      <w:pPr>
        <w:spacing w:line="360" w:lineRule="auto"/>
        <w:ind w:firstLine="437"/>
        <w:outlineLvl w:val="3"/>
        <w:rPr>
          <w:rFonts w:ascii="Times New Roman" w:hAnsi="Times New Roman" w:cs="Times New Roman"/>
          <w:bCs/>
          <w:sz w:val="24"/>
        </w:rPr>
      </w:pPr>
      <w:r>
        <w:rPr>
          <w:rFonts w:ascii="Times New Roman" w:hAnsi="Times New Roman" w:cs="Times New Roman"/>
          <w:bCs/>
          <w:sz w:val="24"/>
        </w:rPr>
        <w:t>16.1投标人应当在</w:t>
      </w:r>
      <w:r>
        <w:rPr>
          <w:rFonts w:ascii="Times New Roman" w:hAnsi="Times New Roman" w:cs="Times New Roman"/>
          <w:sz w:val="24"/>
        </w:rPr>
        <w:t>“投标邀请”</w:t>
      </w:r>
      <w:r>
        <w:rPr>
          <w:rFonts w:ascii="Times New Roman" w:hAnsi="Times New Roman" w:cs="Times New Roman"/>
          <w:bCs/>
          <w:sz w:val="24"/>
        </w:rPr>
        <w:t>规定的投标截止时间前，将投标文件密封送达</w:t>
      </w:r>
      <w:r>
        <w:rPr>
          <w:rFonts w:ascii="Times New Roman" w:hAnsi="Times New Roman" w:cs="Times New Roman"/>
          <w:sz w:val="24"/>
          <w:u w:val="single"/>
        </w:rPr>
        <w:t>投标人须知前附表</w:t>
      </w:r>
      <w:r>
        <w:rPr>
          <w:rFonts w:ascii="Times New Roman" w:hAnsi="Times New Roman" w:cs="Times New Roman"/>
          <w:bCs/>
          <w:sz w:val="24"/>
        </w:rPr>
        <w:t>指定地点。</w:t>
      </w:r>
    </w:p>
    <w:p w14:paraId="03713656">
      <w:pPr>
        <w:spacing w:line="360" w:lineRule="auto"/>
        <w:ind w:firstLine="437"/>
        <w:outlineLvl w:val="3"/>
        <w:rPr>
          <w:rFonts w:ascii="Times New Roman" w:hAnsi="Times New Roman" w:cs="Times New Roman"/>
          <w:bCs/>
          <w:sz w:val="24"/>
        </w:rPr>
      </w:pPr>
      <w:r>
        <w:rPr>
          <w:rFonts w:ascii="Times New Roman" w:hAnsi="Times New Roman" w:cs="Times New Roman"/>
          <w:bCs/>
          <w:sz w:val="24"/>
        </w:rPr>
        <w:t>16.2在投标截止时间之后送达的投标文件将被拒绝。</w:t>
      </w:r>
    </w:p>
    <w:p w14:paraId="18C3C077">
      <w:pPr>
        <w:spacing w:line="360" w:lineRule="auto"/>
        <w:ind w:firstLine="435"/>
        <w:rPr>
          <w:rFonts w:ascii="Times New Roman" w:hAnsi="Times New Roman" w:cs="Times New Roman"/>
          <w:sz w:val="24"/>
        </w:rPr>
      </w:pPr>
      <w:r>
        <w:rPr>
          <w:rFonts w:ascii="Times New Roman" w:hAnsi="Times New Roman" w:cs="Times New Roman"/>
          <w:sz w:val="24"/>
        </w:rPr>
        <w:t>16.3招标人有权按本招标文件的规定，延迟投标截止时间。在此情况下，招标人和投标人受投标截止时间制约的所有权利和义务均应延长至新的截止时间。</w:t>
      </w:r>
    </w:p>
    <w:p w14:paraId="0E42840F">
      <w:pPr>
        <w:spacing w:line="360" w:lineRule="auto"/>
        <w:ind w:firstLine="437"/>
        <w:outlineLvl w:val="3"/>
        <w:rPr>
          <w:rFonts w:ascii="Times New Roman" w:hAnsi="Times New Roman" w:cs="Times New Roman"/>
          <w:b/>
          <w:sz w:val="24"/>
        </w:rPr>
      </w:pPr>
      <w:r>
        <w:rPr>
          <w:rFonts w:ascii="Times New Roman" w:hAnsi="Times New Roman" w:cs="Times New Roman"/>
          <w:b/>
          <w:sz w:val="24"/>
        </w:rPr>
        <w:t>17.投标文件的修改、补充与撤回</w:t>
      </w:r>
    </w:p>
    <w:p w14:paraId="572B04E8">
      <w:pPr>
        <w:spacing w:line="360" w:lineRule="auto"/>
        <w:ind w:firstLine="435"/>
        <w:rPr>
          <w:rFonts w:ascii="Times New Roman" w:hAnsi="Times New Roman" w:cs="Times New Roman"/>
          <w:sz w:val="24"/>
        </w:rPr>
      </w:pPr>
      <w:r>
        <w:rPr>
          <w:rFonts w:ascii="Times New Roman" w:hAnsi="Times New Roman" w:cs="Times New Roman"/>
          <w:sz w:val="24"/>
        </w:rPr>
        <w:t>17.1投标人在投标截止时间前，可以对所递交的投标文件进行补充、修改或者撤回，并书面通知招标人。</w:t>
      </w:r>
    </w:p>
    <w:p w14:paraId="1D176124">
      <w:pPr>
        <w:spacing w:line="360" w:lineRule="auto"/>
        <w:ind w:firstLine="435"/>
        <w:rPr>
          <w:rFonts w:ascii="Times New Roman" w:hAnsi="Times New Roman" w:cs="Times New Roman"/>
          <w:sz w:val="24"/>
        </w:rPr>
      </w:pPr>
      <w:r>
        <w:rPr>
          <w:rFonts w:ascii="Times New Roman" w:hAnsi="Times New Roman" w:cs="Times New Roman"/>
          <w:sz w:val="24"/>
        </w:rPr>
        <w:t>17.2补充、修改的内容应当按照招标文件要求签署、盖章、密封后，作为投标文件的组成部分。</w:t>
      </w:r>
    </w:p>
    <w:p w14:paraId="01D594B1">
      <w:pPr>
        <w:spacing w:line="360" w:lineRule="auto"/>
        <w:ind w:firstLine="437"/>
        <w:outlineLvl w:val="3"/>
        <w:rPr>
          <w:rFonts w:ascii="Times New Roman" w:hAnsi="Times New Roman" w:cs="Times New Roman"/>
          <w:b/>
          <w:sz w:val="24"/>
        </w:rPr>
      </w:pPr>
      <w:r>
        <w:rPr>
          <w:rFonts w:ascii="Times New Roman" w:hAnsi="Times New Roman" w:cs="Times New Roman"/>
          <w:b/>
          <w:sz w:val="24"/>
        </w:rPr>
        <w:t>18.开标（本项目不采用）</w:t>
      </w:r>
    </w:p>
    <w:p w14:paraId="791096D8">
      <w:pPr>
        <w:spacing w:line="360" w:lineRule="auto"/>
        <w:ind w:firstLine="435"/>
        <w:rPr>
          <w:rFonts w:ascii="Times New Roman" w:hAnsi="Times New Roman" w:cs="Times New Roman"/>
          <w:sz w:val="24"/>
        </w:rPr>
      </w:pPr>
      <w:r>
        <w:rPr>
          <w:rFonts w:ascii="Times New Roman" w:hAnsi="Times New Roman" w:cs="Times New Roman"/>
          <w:sz w:val="24"/>
        </w:rPr>
        <w:t>18.1开标将在</w:t>
      </w:r>
      <w:r>
        <w:rPr>
          <w:rFonts w:ascii="Times New Roman" w:hAnsi="Times New Roman" w:cs="Times New Roman"/>
          <w:sz w:val="24"/>
          <w:u w:val="single"/>
        </w:rPr>
        <w:t>投标人须知前附表</w:t>
      </w:r>
      <w:r>
        <w:rPr>
          <w:rFonts w:ascii="Times New Roman" w:hAnsi="Times New Roman" w:cs="Times New Roman"/>
          <w:sz w:val="24"/>
        </w:rPr>
        <w:t>规定的时间和地点进行。</w:t>
      </w:r>
    </w:p>
    <w:p w14:paraId="3933B8F6">
      <w:pPr>
        <w:spacing w:line="360" w:lineRule="auto"/>
        <w:ind w:firstLine="435"/>
        <w:rPr>
          <w:rFonts w:ascii="Times New Roman" w:hAnsi="Times New Roman" w:cs="Times New Roman"/>
          <w:sz w:val="24"/>
        </w:rPr>
      </w:pPr>
      <w:r>
        <w:rPr>
          <w:rFonts w:ascii="Times New Roman" w:hAnsi="Times New Roman" w:cs="Times New Roman"/>
          <w:sz w:val="24"/>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1026B143">
      <w:pPr>
        <w:spacing w:line="360" w:lineRule="auto"/>
        <w:ind w:firstLine="435"/>
        <w:rPr>
          <w:rFonts w:ascii="Times New Roman" w:hAnsi="Times New Roman" w:cs="Times New Roman"/>
          <w:sz w:val="24"/>
        </w:rPr>
      </w:pPr>
      <w:r>
        <w:rPr>
          <w:rFonts w:ascii="Times New Roman" w:hAnsi="Times New Roman" w:cs="Times New Roman"/>
          <w:sz w:val="24"/>
        </w:rPr>
        <w:t>18.3开标过程由招标人负责记录，并由参加开标的各投标人代表和相关工作人员签字确认。</w:t>
      </w:r>
    </w:p>
    <w:p w14:paraId="77DAE03D">
      <w:pPr>
        <w:spacing w:line="360" w:lineRule="auto"/>
        <w:ind w:firstLine="435"/>
        <w:rPr>
          <w:rFonts w:ascii="Times New Roman" w:hAnsi="Times New Roman" w:cs="Times New Roman"/>
          <w:sz w:val="24"/>
        </w:rPr>
      </w:pPr>
      <w:r>
        <w:rPr>
          <w:rFonts w:ascii="Times New Roman" w:hAnsi="Times New Roman" w:cs="Times New Roman"/>
          <w:sz w:val="24"/>
        </w:rPr>
        <w:t>18.4投标人代表对开标过程和开标记录有疑义，以及认为招标人相关工作人员有需要回避的情形的，应当场提出询问或者回避申请。</w:t>
      </w:r>
    </w:p>
    <w:p w14:paraId="02C81E4B">
      <w:pPr>
        <w:spacing w:line="360" w:lineRule="auto"/>
        <w:ind w:firstLine="435"/>
        <w:rPr>
          <w:rFonts w:ascii="Times New Roman" w:hAnsi="Times New Roman" w:cs="Times New Roman"/>
          <w:sz w:val="28"/>
        </w:rPr>
      </w:pPr>
      <w:r>
        <w:rPr>
          <w:rFonts w:ascii="Times New Roman" w:hAnsi="Times New Roman" w:cs="Times New Roman"/>
          <w:sz w:val="24"/>
        </w:rPr>
        <w:t>18.5投标人应参加开标，投标人未参加开标的，视同认可开标结果。</w:t>
      </w:r>
    </w:p>
    <w:p w14:paraId="573F0300">
      <w:pPr>
        <w:spacing w:line="360" w:lineRule="auto"/>
        <w:ind w:firstLine="437"/>
        <w:outlineLvl w:val="3"/>
        <w:rPr>
          <w:rFonts w:ascii="Times New Roman" w:hAnsi="Times New Roman" w:cs="Times New Roman"/>
          <w:b/>
          <w:sz w:val="24"/>
        </w:rPr>
      </w:pPr>
      <w:r>
        <w:rPr>
          <w:rFonts w:ascii="Times New Roman" w:hAnsi="Times New Roman" w:cs="Times New Roman"/>
          <w:b/>
          <w:sz w:val="24"/>
        </w:rPr>
        <w:t>19.资格审查及组建评标委员会</w:t>
      </w:r>
    </w:p>
    <w:p w14:paraId="2B2BD93C">
      <w:pPr>
        <w:spacing w:line="360" w:lineRule="auto"/>
        <w:ind w:firstLine="435"/>
        <w:rPr>
          <w:rFonts w:ascii="Times New Roman" w:hAnsi="Times New Roman" w:cs="Times New Roman"/>
          <w:b/>
          <w:sz w:val="24"/>
        </w:rPr>
      </w:pPr>
      <w:r>
        <w:rPr>
          <w:rFonts w:ascii="Times New Roman" w:hAnsi="Times New Roman" w:cs="Times New Roman"/>
          <w:sz w:val="24"/>
        </w:rPr>
        <w:t>19.1按照有关规定依法组建的评标委员会，负责本项目评标工作。</w:t>
      </w:r>
    </w:p>
    <w:p w14:paraId="497ABA55">
      <w:pPr>
        <w:spacing w:line="360" w:lineRule="auto"/>
        <w:ind w:firstLine="435"/>
        <w:rPr>
          <w:rFonts w:ascii="Times New Roman" w:hAnsi="Times New Roman" w:cs="Times New Roman"/>
          <w:sz w:val="24"/>
        </w:rPr>
      </w:pPr>
      <w:r>
        <w:rPr>
          <w:rFonts w:ascii="Times New Roman" w:hAnsi="Times New Roman" w:cs="Times New Roman"/>
          <w:sz w:val="24"/>
        </w:rPr>
        <w:t>19.2评标委员会依据法律法规和招标文件中规定的内容，对投标人资格进行审查，未通过资格审查的投标人不进入评标。</w:t>
      </w:r>
    </w:p>
    <w:p w14:paraId="13AF6BCE">
      <w:pPr>
        <w:spacing w:line="360" w:lineRule="auto"/>
        <w:ind w:firstLine="435"/>
        <w:rPr>
          <w:rFonts w:ascii="Times New Roman" w:hAnsi="Times New Roman" w:cs="Times New Roman"/>
          <w:sz w:val="24"/>
        </w:rPr>
      </w:pPr>
      <w:r>
        <w:rPr>
          <w:rFonts w:ascii="Times New Roman" w:hAnsi="Times New Roman" w:cs="Times New Roman"/>
          <w:sz w:val="24"/>
        </w:rPr>
        <w:t>19.3投标人存在不良信用记录的，其投标将被认定为</w:t>
      </w:r>
      <w:r>
        <w:rPr>
          <w:rFonts w:ascii="Times New Roman" w:hAnsi="Times New Roman" w:cs="Times New Roman"/>
          <w:b/>
          <w:sz w:val="24"/>
        </w:rPr>
        <w:t>投标无效</w:t>
      </w:r>
      <w:r>
        <w:rPr>
          <w:rFonts w:ascii="Times New Roman" w:hAnsi="Times New Roman" w:cs="Times New Roman"/>
          <w:sz w:val="24"/>
        </w:rPr>
        <w:t>。</w:t>
      </w:r>
    </w:p>
    <w:p w14:paraId="56D79BB1">
      <w:pPr>
        <w:spacing w:line="360" w:lineRule="auto"/>
        <w:ind w:firstLine="435"/>
        <w:rPr>
          <w:rFonts w:ascii="Times New Roman" w:hAnsi="Times New Roman" w:cs="Times New Roman"/>
          <w:sz w:val="24"/>
          <w:szCs w:val="18"/>
        </w:rPr>
      </w:pPr>
      <w:r>
        <w:rPr>
          <w:rFonts w:ascii="Times New Roman" w:hAnsi="Times New Roman" w:cs="Times New Roman"/>
          <w:sz w:val="24"/>
        </w:rPr>
        <w:t>19.3.1不良信用记录是指：</w:t>
      </w:r>
      <w:bookmarkStart w:id="23" w:name="_Hlk24663244"/>
      <w:r>
        <w:rPr>
          <w:rFonts w:ascii="Times New Roman" w:hAnsi="Times New Roman" w:cs="Times New Roman"/>
          <w:sz w:val="24"/>
          <w:szCs w:val="18"/>
        </w:rPr>
        <w:t>（1）供应商被人民法院列入失信被执行人；（2）供应商被税务部门列入重大税收违法案件当事人名单。</w:t>
      </w:r>
    </w:p>
    <w:p w14:paraId="62F8E14D">
      <w:pPr>
        <w:spacing w:line="360" w:lineRule="auto"/>
        <w:ind w:firstLine="435"/>
        <w:rPr>
          <w:rFonts w:ascii="Times New Roman" w:hAnsi="Times New Roman" w:cs="Times New Roman"/>
          <w:sz w:val="24"/>
        </w:rPr>
      </w:pPr>
      <w:r>
        <w:rPr>
          <w:rFonts w:ascii="Times New Roman" w:hAnsi="Times New Roman" w:cs="Times New Roman"/>
          <w:sz w:val="24"/>
        </w:rPr>
        <w:t>以联合体形式参加投标的，联合体任何成员存在以上不良信用记录的，联合体投标将被认定为</w:t>
      </w:r>
      <w:r>
        <w:rPr>
          <w:rFonts w:ascii="Times New Roman" w:hAnsi="Times New Roman" w:cs="Times New Roman"/>
          <w:b/>
          <w:sz w:val="24"/>
        </w:rPr>
        <w:t>投标无效</w:t>
      </w:r>
      <w:r>
        <w:rPr>
          <w:rFonts w:ascii="Times New Roman" w:hAnsi="Times New Roman" w:cs="Times New Roman"/>
          <w:sz w:val="24"/>
        </w:rPr>
        <w:t>。</w:t>
      </w:r>
    </w:p>
    <w:p w14:paraId="5C3A4157">
      <w:pPr>
        <w:spacing w:line="360" w:lineRule="auto"/>
        <w:ind w:firstLine="435"/>
        <w:rPr>
          <w:rFonts w:ascii="Times New Roman" w:hAnsi="Times New Roman" w:cs="Times New Roman"/>
          <w:sz w:val="24"/>
        </w:rPr>
      </w:pPr>
      <w:r>
        <w:rPr>
          <w:rFonts w:ascii="Times New Roman" w:hAnsi="Times New Roman" w:cs="Times New Roman"/>
          <w:sz w:val="24"/>
        </w:rPr>
        <w:t>19.3.2信用信息查询渠道：“信用中国”网站（www.creditchina.gov.cn）。</w:t>
      </w:r>
    </w:p>
    <w:p w14:paraId="5B07FB94">
      <w:pPr>
        <w:spacing w:line="360" w:lineRule="auto"/>
        <w:ind w:firstLine="435"/>
        <w:rPr>
          <w:rFonts w:ascii="Times New Roman" w:hAnsi="Times New Roman" w:cs="Times New Roman"/>
          <w:sz w:val="24"/>
        </w:rPr>
      </w:pPr>
      <w:r>
        <w:rPr>
          <w:rFonts w:ascii="Times New Roman" w:hAnsi="Times New Roman" w:cs="Times New Roman"/>
          <w:sz w:val="24"/>
        </w:rPr>
        <w:t>19.3.3信用信息记录方式：投标人将查询网页打印、盖章并在投标文件中提供。查询网页必须体现被查询人名称、查询时间、查询结果。</w:t>
      </w:r>
    </w:p>
    <w:p w14:paraId="1026101B">
      <w:pPr>
        <w:spacing w:line="360" w:lineRule="auto"/>
        <w:ind w:firstLine="435"/>
        <w:rPr>
          <w:rFonts w:ascii="Times New Roman" w:hAnsi="Times New Roman" w:cs="Times New Roman"/>
          <w:sz w:val="24"/>
        </w:rPr>
      </w:pPr>
      <w:r>
        <w:rPr>
          <w:rFonts w:ascii="Times New Roman" w:hAnsi="Times New Roman" w:cs="Times New Roman"/>
          <w:sz w:val="24"/>
        </w:rPr>
        <w:t>投标人对不良信用记录的真实性和有效性负责。</w:t>
      </w:r>
    </w:p>
    <w:p w14:paraId="4F3B5D51">
      <w:pPr>
        <w:spacing w:line="360" w:lineRule="auto"/>
        <w:ind w:firstLine="435"/>
        <w:rPr>
          <w:rFonts w:ascii="Times New Roman" w:hAnsi="Times New Roman" w:cs="Times New Roman"/>
          <w:sz w:val="24"/>
        </w:rPr>
      </w:pPr>
      <w:bookmarkStart w:id="24" w:name="_Hlk24663338"/>
      <w:r>
        <w:rPr>
          <w:rFonts w:ascii="Times New Roman" w:hAnsi="Times New Roman" w:cs="Times New Roman"/>
          <w:sz w:val="24"/>
        </w:rPr>
        <w:t>信用信息查询时间为投标截止时间前2个工作日内。</w:t>
      </w:r>
    </w:p>
    <w:p w14:paraId="4237E933">
      <w:pPr>
        <w:spacing w:line="360" w:lineRule="auto"/>
        <w:ind w:firstLine="435"/>
        <w:rPr>
          <w:rFonts w:ascii="Times New Roman" w:hAnsi="Times New Roman" w:cs="Times New Roman"/>
          <w:sz w:val="24"/>
        </w:rPr>
      </w:pPr>
      <w:r>
        <w:rPr>
          <w:rFonts w:ascii="Times New Roman" w:hAnsi="Times New Roman" w:cs="Times New Roman"/>
          <w:sz w:val="24"/>
        </w:rPr>
        <w:t>在本招标文件规定的查询时间之外，网站信息发生的任何变更均不作为资格审查依据。</w:t>
      </w:r>
    </w:p>
    <w:bookmarkEnd w:id="23"/>
    <w:bookmarkEnd w:id="24"/>
    <w:p w14:paraId="3FEEECA6">
      <w:pPr>
        <w:spacing w:line="360" w:lineRule="auto"/>
        <w:ind w:firstLine="437"/>
        <w:outlineLvl w:val="3"/>
        <w:rPr>
          <w:rFonts w:ascii="Times New Roman" w:hAnsi="Times New Roman" w:cs="Times New Roman"/>
          <w:b/>
          <w:sz w:val="24"/>
        </w:rPr>
      </w:pPr>
      <w:r>
        <w:rPr>
          <w:rFonts w:ascii="Times New Roman" w:hAnsi="Times New Roman" w:cs="Times New Roman"/>
          <w:b/>
          <w:sz w:val="24"/>
        </w:rPr>
        <w:t>20.投标文件初审与澄清</w:t>
      </w:r>
    </w:p>
    <w:p w14:paraId="182AB0C4">
      <w:pPr>
        <w:spacing w:line="360" w:lineRule="auto"/>
        <w:ind w:firstLine="435"/>
        <w:rPr>
          <w:rFonts w:ascii="Times New Roman" w:hAnsi="Times New Roman" w:cs="Times New Roman"/>
          <w:sz w:val="24"/>
        </w:rPr>
      </w:pPr>
      <w:r>
        <w:rPr>
          <w:rFonts w:ascii="Times New Roman" w:hAnsi="Times New Roman" w:cs="Times New Roman"/>
          <w:sz w:val="24"/>
        </w:rPr>
        <w:t>20.1初审是指依据招标文件的规定，从投标文件的有效性和完整性对招标文件的响应程度进行审查，以确定是否对招标文件的实质性要求做出响应。</w:t>
      </w:r>
    </w:p>
    <w:p w14:paraId="020CD2C6">
      <w:pPr>
        <w:spacing w:line="360" w:lineRule="auto"/>
        <w:ind w:firstLine="435"/>
        <w:rPr>
          <w:rFonts w:ascii="Times New Roman" w:hAnsi="Times New Roman" w:cs="Times New Roman"/>
          <w:sz w:val="24"/>
        </w:rPr>
      </w:pPr>
      <w:r>
        <w:rPr>
          <w:rFonts w:ascii="Times New Roman" w:hAnsi="Times New Roman" w:cs="Times New Roman"/>
          <w:sz w:val="24"/>
        </w:rPr>
        <w:t>20.2投标文件的澄清</w:t>
      </w:r>
    </w:p>
    <w:p w14:paraId="0D7644ED">
      <w:pPr>
        <w:spacing w:line="360" w:lineRule="auto"/>
        <w:ind w:firstLine="435"/>
        <w:rPr>
          <w:rFonts w:ascii="Times New Roman" w:hAnsi="Times New Roman" w:cs="Times New Roman"/>
          <w:sz w:val="24"/>
        </w:rPr>
      </w:pPr>
      <w:r>
        <w:rPr>
          <w:rFonts w:ascii="Times New Roman" w:hAnsi="Times New Roman" w:cs="Times New Roman"/>
          <w:sz w:val="24"/>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4E42DAED">
      <w:pPr>
        <w:spacing w:line="360" w:lineRule="auto"/>
        <w:ind w:firstLine="435"/>
        <w:rPr>
          <w:rFonts w:ascii="Times New Roman" w:hAnsi="Times New Roman" w:cs="Times New Roman"/>
          <w:sz w:val="24"/>
        </w:rPr>
      </w:pPr>
      <w:r>
        <w:rPr>
          <w:rFonts w:ascii="Times New Roman" w:hAnsi="Times New Roman" w:cs="Times New Roman"/>
          <w:sz w:val="24"/>
        </w:rPr>
        <w:t>如有询标，授权代表（或法定代表人）携带本人有效身份证明原件参加询标。因授权代表联系不上、未到开标现场等情形而无法接受评审委员会询标的，投标人自行承担相关风险。</w:t>
      </w:r>
    </w:p>
    <w:p w14:paraId="053A3262">
      <w:pPr>
        <w:spacing w:line="360" w:lineRule="auto"/>
        <w:ind w:firstLine="435"/>
        <w:rPr>
          <w:rFonts w:ascii="Times New Roman" w:hAnsi="Times New Roman" w:cs="Times New Roman"/>
          <w:sz w:val="24"/>
        </w:rPr>
      </w:pPr>
      <w:r>
        <w:rPr>
          <w:rFonts w:ascii="Times New Roman" w:hAnsi="Times New Roman" w:cs="Times New Roman"/>
          <w:sz w:val="24"/>
        </w:rPr>
        <w:t>20.2.2投标人的澄清、说明或补正将作为投标文件的一部分。</w:t>
      </w:r>
    </w:p>
    <w:p w14:paraId="07E9029F">
      <w:pPr>
        <w:spacing w:line="360" w:lineRule="auto"/>
        <w:ind w:firstLine="435"/>
        <w:rPr>
          <w:rFonts w:ascii="Times New Roman" w:hAnsi="Times New Roman" w:cs="Times New Roman"/>
          <w:sz w:val="24"/>
        </w:rPr>
      </w:pPr>
      <w:r>
        <w:rPr>
          <w:rFonts w:ascii="Times New Roman" w:hAnsi="Times New Roman" w:cs="Times New Roman"/>
          <w:sz w:val="24"/>
        </w:rPr>
        <w:t>20.2.3评标委员会对投标人提交的澄清、说明或补正有疑问的，可以要求投标人进一步澄清、说明或补正，直至满足评标委员会的要求。</w:t>
      </w:r>
    </w:p>
    <w:p w14:paraId="0019572F">
      <w:pPr>
        <w:spacing w:line="360" w:lineRule="auto"/>
        <w:ind w:firstLine="435"/>
        <w:rPr>
          <w:rFonts w:ascii="Times New Roman" w:hAnsi="Times New Roman" w:cs="Times New Roman"/>
          <w:sz w:val="24"/>
        </w:rPr>
      </w:pPr>
      <w:r>
        <w:rPr>
          <w:rFonts w:ascii="Times New Roman" w:hAnsi="Times New Roman" w:cs="Times New Roman"/>
          <w:sz w:val="24"/>
        </w:rPr>
        <w:t>20.3投标文件报价出现前后不一致的，按照下列规定修正：</w:t>
      </w:r>
    </w:p>
    <w:p w14:paraId="343F28FA">
      <w:pPr>
        <w:spacing w:line="360" w:lineRule="auto"/>
        <w:ind w:firstLine="435"/>
        <w:rPr>
          <w:rFonts w:ascii="Times New Roman" w:hAnsi="Times New Roman" w:cs="Times New Roman"/>
          <w:sz w:val="24"/>
        </w:rPr>
      </w:pPr>
      <w:r>
        <w:rPr>
          <w:rFonts w:ascii="Times New Roman" w:hAnsi="Times New Roman" w:cs="Times New Roman"/>
          <w:sz w:val="24"/>
        </w:rPr>
        <w:t>（1）投标文件中开标一览表内容与投标文件中相应内容不一致的，以开标一览表为准；</w:t>
      </w:r>
    </w:p>
    <w:p w14:paraId="60A38D9E">
      <w:pPr>
        <w:spacing w:line="360" w:lineRule="auto"/>
        <w:ind w:firstLine="435"/>
        <w:rPr>
          <w:rFonts w:ascii="Times New Roman" w:hAnsi="Times New Roman" w:cs="Times New Roman"/>
          <w:sz w:val="24"/>
        </w:rPr>
      </w:pPr>
      <w:r>
        <w:rPr>
          <w:rFonts w:ascii="Times New Roman" w:hAnsi="Times New Roman" w:cs="Times New Roman"/>
          <w:sz w:val="24"/>
        </w:rPr>
        <w:t>（2）大写金额和小写金额不一致的，以大写金额为准；</w:t>
      </w:r>
    </w:p>
    <w:p w14:paraId="4F271063">
      <w:pPr>
        <w:spacing w:line="360" w:lineRule="auto"/>
        <w:ind w:firstLine="435"/>
        <w:rPr>
          <w:rFonts w:ascii="Times New Roman" w:hAnsi="Times New Roman" w:cs="Times New Roman"/>
          <w:sz w:val="24"/>
        </w:rPr>
      </w:pPr>
      <w:r>
        <w:rPr>
          <w:rFonts w:ascii="Times New Roman" w:hAnsi="Times New Roman" w:cs="Times New Roman"/>
          <w:sz w:val="24"/>
        </w:rPr>
        <w:t>（3）单价金额小数点或者百分比有明显错位的，以开标一览表的总价为准，并修改单价；</w:t>
      </w:r>
    </w:p>
    <w:p w14:paraId="77221F17">
      <w:pPr>
        <w:spacing w:line="360" w:lineRule="auto"/>
        <w:ind w:firstLine="435"/>
        <w:rPr>
          <w:rFonts w:ascii="Times New Roman" w:hAnsi="Times New Roman" w:cs="Times New Roman"/>
          <w:sz w:val="24"/>
        </w:rPr>
      </w:pPr>
      <w:r>
        <w:rPr>
          <w:rFonts w:ascii="Times New Roman" w:hAnsi="Times New Roman" w:cs="Times New Roman"/>
          <w:sz w:val="24"/>
        </w:rPr>
        <w:t>（4）总价金额与按单价汇总金额不一致的，以单价金额计算结果为准。</w:t>
      </w:r>
    </w:p>
    <w:p w14:paraId="0B486BDC">
      <w:pPr>
        <w:spacing w:line="360" w:lineRule="auto"/>
        <w:ind w:firstLine="435"/>
        <w:rPr>
          <w:rFonts w:ascii="Times New Roman" w:hAnsi="Times New Roman" w:cs="Times New Roman"/>
          <w:sz w:val="24"/>
        </w:rPr>
      </w:pPr>
      <w:r>
        <w:rPr>
          <w:rFonts w:ascii="Times New Roman" w:hAnsi="Times New Roman" w:cs="Times New Roman"/>
          <w:sz w:val="24"/>
        </w:rPr>
        <w:t>同时出现两种以上不一致的，按照前款规定的顺序修正。修正后的报价按照第20.4条的规定经投标人确认后产生约束力，投标人不确认的，其投标将被认定为</w:t>
      </w:r>
      <w:r>
        <w:rPr>
          <w:rFonts w:ascii="Times New Roman" w:hAnsi="Times New Roman" w:cs="Times New Roman"/>
          <w:b/>
          <w:sz w:val="24"/>
        </w:rPr>
        <w:t>投标无效</w:t>
      </w:r>
      <w:r>
        <w:rPr>
          <w:rFonts w:ascii="Times New Roman" w:hAnsi="Times New Roman" w:cs="Times New Roman"/>
          <w:sz w:val="24"/>
        </w:rPr>
        <w:t>。</w:t>
      </w:r>
    </w:p>
    <w:p w14:paraId="00C2C36A">
      <w:pPr>
        <w:spacing w:line="360" w:lineRule="auto"/>
        <w:ind w:firstLine="435"/>
        <w:rPr>
          <w:rFonts w:ascii="Times New Roman" w:hAnsi="Times New Roman" w:cs="Times New Roman"/>
          <w:b/>
          <w:sz w:val="24"/>
        </w:rPr>
      </w:pPr>
      <w:r>
        <w:rPr>
          <w:rFonts w:ascii="Times New Roman" w:hAnsi="Times New Roman" w:cs="Times New Roman"/>
          <w:sz w:val="24"/>
        </w:rPr>
        <w:t>对不同文字文本投标文件的解释发生异议的，以中文文本为准。</w:t>
      </w:r>
    </w:p>
    <w:p w14:paraId="46F86A9E">
      <w:pPr>
        <w:spacing w:line="360" w:lineRule="auto"/>
        <w:ind w:firstLine="437"/>
        <w:outlineLvl w:val="3"/>
        <w:rPr>
          <w:rFonts w:ascii="Times New Roman" w:hAnsi="Times New Roman" w:cs="Times New Roman"/>
          <w:b/>
          <w:sz w:val="24"/>
        </w:rPr>
      </w:pPr>
      <w:r>
        <w:rPr>
          <w:rFonts w:ascii="Times New Roman" w:hAnsi="Times New Roman" w:cs="Times New Roman"/>
          <w:b/>
          <w:sz w:val="24"/>
        </w:rPr>
        <w:t>21.投标无效</w:t>
      </w:r>
    </w:p>
    <w:p w14:paraId="01EFA244">
      <w:pPr>
        <w:spacing w:line="360" w:lineRule="auto"/>
        <w:ind w:firstLine="435"/>
        <w:rPr>
          <w:rFonts w:ascii="Times New Roman" w:hAnsi="Times New Roman" w:cs="Times New Roman"/>
          <w:sz w:val="24"/>
        </w:rPr>
      </w:pPr>
      <w:r>
        <w:rPr>
          <w:rFonts w:ascii="Times New Roman" w:hAnsi="Times New Roman" w:cs="Times New Roman"/>
          <w:sz w:val="24"/>
        </w:rPr>
        <w:t>21.1根据本招标文件的规定，评标委员会要审查每份投标文件是否实质上响应了招标文件的要求。投标人不得通过修正或撤销不符合要求的偏离，从而使其投标成为实质上响应的投标。</w:t>
      </w:r>
    </w:p>
    <w:p w14:paraId="213087EE">
      <w:pPr>
        <w:spacing w:line="360" w:lineRule="auto"/>
        <w:ind w:firstLine="435"/>
        <w:rPr>
          <w:rFonts w:ascii="Times New Roman" w:hAnsi="Times New Roman" w:cs="Times New Roman"/>
          <w:sz w:val="24"/>
        </w:rPr>
      </w:pPr>
      <w:r>
        <w:rPr>
          <w:rFonts w:ascii="Times New Roman" w:hAnsi="Times New Roman" w:cs="Times New Roman"/>
          <w:sz w:val="24"/>
        </w:rPr>
        <w:t>评标委员会决定投标的响应性只根据招标文件要求和投标文件内容。</w:t>
      </w:r>
    </w:p>
    <w:p w14:paraId="34EBF60C">
      <w:pPr>
        <w:spacing w:line="360" w:lineRule="auto"/>
        <w:ind w:firstLine="435"/>
        <w:rPr>
          <w:rFonts w:ascii="Times New Roman" w:hAnsi="Times New Roman" w:cs="Times New Roman"/>
          <w:sz w:val="24"/>
        </w:rPr>
      </w:pPr>
      <w:r>
        <w:rPr>
          <w:rFonts w:ascii="Times New Roman" w:hAnsi="Times New Roman" w:cs="Times New Roman"/>
          <w:sz w:val="24"/>
        </w:rPr>
        <w:t>无论何种原因，即使投标人投标时携带了证书材料的原件，但投标文件中未提供与之内容完全一致的影印件或复印件的，评标委员会视同其未提供。</w:t>
      </w:r>
    </w:p>
    <w:p w14:paraId="0521B15F">
      <w:pPr>
        <w:spacing w:line="360" w:lineRule="auto"/>
        <w:ind w:firstLine="435"/>
        <w:rPr>
          <w:rFonts w:ascii="Times New Roman" w:hAnsi="Times New Roman" w:cs="Times New Roman"/>
          <w:sz w:val="24"/>
        </w:rPr>
      </w:pPr>
      <w:r>
        <w:rPr>
          <w:rFonts w:ascii="Times New Roman" w:hAnsi="Times New Roman" w:cs="Times New Roman"/>
          <w:sz w:val="24"/>
        </w:rPr>
        <w:t>21.2如发现下列情况之一的，其投标将被认定为</w:t>
      </w:r>
      <w:r>
        <w:rPr>
          <w:rFonts w:ascii="Times New Roman" w:hAnsi="Times New Roman" w:cs="Times New Roman"/>
          <w:b/>
          <w:sz w:val="24"/>
        </w:rPr>
        <w:t>投标无效</w:t>
      </w:r>
      <w:r>
        <w:rPr>
          <w:rFonts w:ascii="Times New Roman" w:hAnsi="Times New Roman" w:cs="Times New Roman"/>
          <w:sz w:val="24"/>
        </w:rPr>
        <w:t>：</w:t>
      </w:r>
    </w:p>
    <w:p w14:paraId="5C5E4F8A">
      <w:pPr>
        <w:spacing w:line="360" w:lineRule="auto"/>
        <w:ind w:firstLine="435"/>
        <w:rPr>
          <w:rFonts w:ascii="Times New Roman" w:hAnsi="Times New Roman" w:cs="Times New Roman"/>
          <w:sz w:val="24"/>
        </w:rPr>
      </w:pPr>
      <w:r>
        <w:rPr>
          <w:rFonts w:ascii="Times New Roman" w:hAnsi="Times New Roman" w:cs="Times New Roman"/>
          <w:sz w:val="24"/>
        </w:rPr>
        <w:t>（1）投标文件未按照招标文件规定要求签署、盖章的；</w:t>
      </w:r>
    </w:p>
    <w:p w14:paraId="2FC2A8DD">
      <w:pPr>
        <w:spacing w:line="360" w:lineRule="auto"/>
        <w:ind w:firstLine="435"/>
        <w:rPr>
          <w:rFonts w:ascii="Times New Roman" w:hAnsi="Times New Roman" w:cs="Times New Roman"/>
          <w:sz w:val="24"/>
        </w:rPr>
      </w:pPr>
      <w:r>
        <w:rPr>
          <w:rFonts w:ascii="Times New Roman" w:hAnsi="Times New Roman" w:cs="Times New Roman"/>
          <w:sz w:val="24"/>
        </w:rPr>
        <w:t>（2）不具备招标文件中规定的资格要求的；</w:t>
      </w:r>
    </w:p>
    <w:p w14:paraId="71847669">
      <w:pPr>
        <w:spacing w:line="360" w:lineRule="auto"/>
        <w:ind w:firstLine="435"/>
        <w:rPr>
          <w:rFonts w:ascii="Times New Roman" w:hAnsi="Times New Roman" w:cs="Times New Roman"/>
          <w:sz w:val="24"/>
        </w:rPr>
      </w:pPr>
      <w:r>
        <w:rPr>
          <w:rFonts w:ascii="Times New Roman" w:hAnsi="Times New Roman" w:cs="Times New Roman"/>
          <w:sz w:val="24"/>
        </w:rPr>
        <w:t>（3）投标报价超过招标文件中规定的项目预算或者最高限价的；</w:t>
      </w:r>
    </w:p>
    <w:p w14:paraId="4CC4ED96">
      <w:pPr>
        <w:spacing w:line="360" w:lineRule="auto"/>
        <w:ind w:firstLine="435"/>
        <w:rPr>
          <w:rFonts w:ascii="Times New Roman" w:hAnsi="Times New Roman" w:cs="Times New Roman"/>
          <w:sz w:val="24"/>
        </w:rPr>
      </w:pPr>
      <w:r>
        <w:rPr>
          <w:rFonts w:ascii="Times New Roman" w:hAnsi="Times New Roman" w:cs="Times New Roman"/>
          <w:sz w:val="24"/>
        </w:rPr>
        <w:t>（4）投标文件不满足招标文件全部实质性要求的；</w:t>
      </w:r>
    </w:p>
    <w:p w14:paraId="24B2D964">
      <w:pPr>
        <w:spacing w:line="360" w:lineRule="auto"/>
        <w:ind w:firstLine="435"/>
        <w:rPr>
          <w:rFonts w:ascii="Times New Roman" w:hAnsi="Times New Roman" w:cs="Times New Roman"/>
          <w:sz w:val="24"/>
        </w:rPr>
      </w:pPr>
      <w:r>
        <w:rPr>
          <w:rFonts w:ascii="Times New Roman" w:hAnsi="Times New Roman" w:cs="Times New Roman"/>
          <w:sz w:val="24"/>
        </w:rPr>
        <w:t>（5）投标文件含有招标人不能接受的附加条件的；</w:t>
      </w:r>
    </w:p>
    <w:p w14:paraId="0137E680">
      <w:pPr>
        <w:spacing w:line="360" w:lineRule="auto"/>
        <w:ind w:firstLine="435"/>
        <w:rPr>
          <w:rFonts w:ascii="Times New Roman" w:hAnsi="Times New Roman" w:cs="Times New Roman"/>
          <w:sz w:val="24"/>
        </w:rPr>
      </w:pPr>
      <w:r>
        <w:rPr>
          <w:rFonts w:ascii="Times New Roman" w:hAnsi="Times New Roman" w:cs="Times New Roman"/>
          <w:sz w:val="24"/>
        </w:rPr>
        <w:t>（6）法律、法规和招标文件规定的其他无效情形。</w:t>
      </w:r>
    </w:p>
    <w:p w14:paraId="672FD30D">
      <w:pPr>
        <w:spacing w:line="360" w:lineRule="auto"/>
        <w:ind w:firstLine="437"/>
        <w:outlineLvl w:val="3"/>
        <w:rPr>
          <w:rFonts w:ascii="Times New Roman" w:hAnsi="Times New Roman" w:cs="Times New Roman"/>
          <w:b/>
          <w:sz w:val="24"/>
        </w:rPr>
      </w:pPr>
      <w:r>
        <w:rPr>
          <w:rFonts w:ascii="Times New Roman" w:hAnsi="Times New Roman" w:cs="Times New Roman"/>
          <w:b/>
          <w:sz w:val="24"/>
        </w:rPr>
        <w:t>22.比较与评价</w:t>
      </w:r>
    </w:p>
    <w:p w14:paraId="5968D5DE">
      <w:pPr>
        <w:spacing w:line="360" w:lineRule="auto"/>
        <w:ind w:firstLine="435"/>
        <w:rPr>
          <w:rFonts w:ascii="Times New Roman" w:hAnsi="Times New Roman" w:cs="Times New Roman"/>
          <w:sz w:val="24"/>
        </w:rPr>
      </w:pPr>
      <w:r>
        <w:rPr>
          <w:rFonts w:ascii="Times New Roman" w:hAnsi="Times New Roman" w:cs="Times New Roman"/>
          <w:sz w:val="24"/>
        </w:rPr>
        <w:t>22.1经初审合格的投标文件，评标委员会将根据招标文件确定的评标方法和标准，对其投标文件作进一步的比较与评价。</w:t>
      </w:r>
    </w:p>
    <w:p w14:paraId="0D0ECA7B">
      <w:pPr>
        <w:spacing w:line="360" w:lineRule="auto"/>
        <w:ind w:firstLine="435"/>
        <w:rPr>
          <w:rFonts w:ascii="Times New Roman" w:hAnsi="Times New Roman" w:cs="Times New Roman"/>
          <w:sz w:val="24"/>
        </w:rPr>
      </w:pPr>
      <w:r>
        <w:rPr>
          <w:rFonts w:ascii="Times New Roman" w:hAnsi="Times New Roman" w:cs="Times New Roman"/>
          <w:sz w:val="24"/>
        </w:rPr>
        <w:t>22.2评标严格按照招标文件的要求和条件进行。根据实际情况，在</w:t>
      </w:r>
      <w:r>
        <w:rPr>
          <w:rFonts w:ascii="Times New Roman" w:hAnsi="Times New Roman" w:cs="Times New Roman"/>
          <w:sz w:val="24"/>
          <w:u w:val="single"/>
        </w:rPr>
        <w:t>投标人须知前附表</w:t>
      </w:r>
      <w:r>
        <w:rPr>
          <w:rFonts w:ascii="Times New Roman" w:hAnsi="Times New Roman" w:cs="Times New Roman"/>
          <w:sz w:val="24"/>
        </w:rPr>
        <w:t>中规定采用下列一种评标方法，详细评标方法和标准见招标文件第四章：</w:t>
      </w:r>
    </w:p>
    <w:p w14:paraId="224381B1">
      <w:pPr>
        <w:spacing w:line="360" w:lineRule="auto"/>
        <w:ind w:firstLine="435"/>
        <w:rPr>
          <w:rFonts w:ascii="Times New Roman" w:hAnsi="Times New Roman" w:cs="Times New Roman"/>
          <w:sz w:val="24"/>
        </w:rPr>
      </w:pPr>
      <w:r>
        <w:rPr>
          <w:rFonts w:ascii="Times New Roman" w:hAnsi="Times New Roman" w:cs="Times New Roman"/>
          <w:sz w:val="24"/>
        </w:rPr>
        <w:t>（1）最低评标价法，是指投标文件满足招标文件全部实质性要求，且投标报价最低的投标人为中标候选人的评标方法。</w:t>
      </w:r>
    </w:p>
    <w:p w14:paraId="52504886">
      <w:pPr>
        <w:spacing w:line="360" w:lineRule="auto"/>
        <w:ind w:firstLine="435"/>
        <w:rPr>
          <w:rFonts w:ascii="Times New Roman" w:hAnsi="Times New Roman" w:cs="Times New Roman"/>
          <w:sz w:val="24"/>
        </w:rPr>
      </w:pPr>
      <w:r>
        <w:rPr>
          <w:rFonts w:ascii="Times New Roman" w:hAnsi="Times New Roman" w:cs="Times New Roman"/>
          <w:sz w:val="24"/>
        </w:rPr>
        <w:t>（2）综合评分法，是指投标文件满足招标文件全部实质性要求，且按照评审因素的量化指标评审得分最高的投标人为中标候选人的评标方法。</w:t>
      </w:r>
    </w:p>
    <w:p w14:paraId="6539EFC0">
      <w:pPr>
        <w:spacing w:line="360" w:lineRule="auto"/>
        <w:ind w:firstLine="437"/>
        <w:outlineLvl w:val="3"/>
        <w:rPr>
          <w:rFonts w:ascii="Times New Roman" w:hAnsi="Times New Roman" w:cs="Times New Roman"/>
          <w:b/>
          <w:sz w:val="24"/>
        </w:rPr>
      </w:pPr>
      <w:r>
        <w:rPr>
          <w:rFonts w:ascii="Times New Roman" w:hAnsi="Times New Roman" w:cs="Times New Roman"/>
          <w:b/>
          <w:sz w:val="24"/>
        </w:rPr>
        <w:t>23.废标</w:t>
      </w:r>
    </w:p>
    <w:p w14:paraId="44795864">
      <w:pPr>
        <w:spacing w:line="360" w:lineRule="auto"/>
        <w:ind w:firstLine="435"/>
        <w:rPr>
          <w:rFonts w:ascii="Times New Roman" w:hAnsi="Times New Roman" w:cs="Times New Roman"/>
          <w:sz w:val="24"/>
        </w:rPr>
      </w:pPr>
      <w:r>
        <w:rPr>
          <w:rFonts w:ascii="Times New Roman" w:hAnsi="Times New Roman" w:cs="Times New Roman"/>
          <w:sz w:val="24"/>
        </w:rPr>
        <w:t>出现下列情形之一，将导致项目废标：</w:t>
      </w:r>
    </w:p>
    <w:p w14:paraId="4468B88E">
      <w:pPr>
        <w:spacing w:line="360" w:lineRule="auto"/>
        <w:ind w:firstLine="435"/>
        <w:rPr>
          <w:rFonts w:ascii="Times New Roman" w:hAnsi="Times New Roman" w:cs="Times New Roman"/>
          <w:sz w:val="24"/>
        </w:rPr>
      </w:pPr>
      <w:r>
        <w:rPr>
          <w:rFonts w:ascii="Times New Roman" w:hAnsi="Times New Roman" w:cs="Times New Roman"/>
          <w:sz w:val="24"/>
        </w:rPr>
        <w:t>（1）符合专业条件的投标人或者对招标文件做实质性响应的投标人不足规定数量的；</w:t>
      </w:r>
    </w:p>
    <w:p w14:paraId="7D4AD482">
      <w:pPr>
        <w:spacing w:line="360" w:lineRule="auto"/>
        <w:ind w:firstLine="435"/>
        <w:rPr>
          <w:rFonts w:ascii="Times New Roman" w:hAnsi="Times New Roman" w:cs="Times New Roman"/>
          <w:sz w:val="24"/>
        </w:rPr>
      </w:pPr>
      <w:r>
        <w:rPr>
          <w:rFonts w:ascii="Times New Roman" w:hAnsi="Times New Roman" w:cs="Times New Roman"/>
          <w:sz w:val="24"/>
        </w:rPr>
        <w:t>（2）出现影响采购公正的违法、违规行为的；</w:t>
      </w:r>
    </w:p>
    <w:p w14:paraId="4104D631">
      <w:pPr>
        <w:spacing w:line="360" w:lineRule="auto"/>
        <w:ind w:firstLine="435"/>
        <w:rPr>
          <w:rFonts w:ascii="Times New Roman" w:hAnsi="Times New Roman" w:cs="Times New Roman"/>
          <w:sz w:val="24"/>
        </w:rPr>
      </w:pPr>
      <w:r>
        <w:rPr>
          <w:rFonts w:ascii="Times New Roman" w:hAnsi="Times New Roman" w:cs="Times New Roman"/>
          <w:sz w:val="24"/>
        </w:rPr>
        <w:t>（3）投标人的报价均超过了采购估算，招标人不能支付的；</w:t>
      </w:r>
    </w:p>
    <w:p w14:paraId="70A4F2F1">
      <w:pPr>
        <w:spacing w:line="360" w:lineRule="auto"/>
        <w:ind w:firstLine="435"/>
        <w:rPr>
          <w:rFonts w:ascii="Times New Roman" w:hAnsi="Times New Roman" w:cs="Times New Roman"/>
          <w:sz w:val="24"/>
        </w:rPr>
      </w:pPr>
      <w:r>
        <w:rPr>
          <w:rFonts w:ascii="Times New Roman" w:hAnsi="Times New Roman" w:cs="Times New Roman"/>
          <w:sz w:val="24"/>
        </w:rPr>
        <w:t>（4）因重大变故，采购任务取消的。</w:t>
      </w:r>
    </w:p>
    <w:p w14:paraId="6FDF6A95">
      <w:pPr>
        <w:spacing w:line="360" w:lineRule="auto"/>
        <w:ind w:firstLine="437"/>
        <w:outlineLvl w:val="3"/>
        <w:rPr>
          <w:rFonts w:ascii="Times New Roman" w:hAnsi="Times New Roman" w:cs="Times New Roman"/>
          <w:b/>
          <w:sz w:val="24"/>
        </w:rPr>
      </w:pPr>
      <w:r>
        <w:rPr>
          <w:rFonts w:ascii="Times New Roman" w:hAnsi="Times New Roman" w:cs="Times New Roman"/>
          <w:b/>
          <w:sz w:val="24"/>
        </w:rPr>
        <w:t>24.保密要求</w:t>
      </w:r>
    </w:p>
    <w:p w14:paraId="4B4DA185">
      <w:pPr>
        <w:spacing w:line="360" w:lineRule="auto"/>
        <w:ind w:firstLine="435"/>
        <w:rPr>
          <w:rFonts w:ascii="Times New Roman" w:hAnsi="Times New Roman" w:cs="Times New Roman"/>
          <w:sz w:val="24"/>
        </w:rPr>
      </w:pPr>
      <w:r>
        <w:rPr>
          <w:rFonts w:ascii="Times New Roman" w:hAnsi="Times New Roman" w:cs="Times New Roman"/>
          <w:sz w:val="24"/>
        </w:rPr>
        <w:t>24.1评标将在严格保密的情况下进行。</w:t>
      </w:r>
    </w:p>
    <w:p w14:paraId="4F2C9760">
      <w:pPr>
        <w:spacing w:line="360" w:lineRule="auto"/>
        <w:ind w:firstLine="435"/>
        <w:rPr>
          <w:rFonts w:ascii="Times New Roman" w:hAnsi="Times New Roman" w:cs="Times New Roman"/>
          <w:sz w:val="24"/>
        </w:rPr>
      </w:pPr>
      <w:r>
        <w:rPr>
          <w:rFonts w:ascii="Times New Roman" w:hAnsi="Times New Roman" w:cs="Times New Roman"/>
          <w:sz w:val="24"/>
        </w:rPr>
        <w:t>24.2有关人员应当遵守评标工作纪律，不得泄露评标文件、评标情况和评标中获悉的国家秘密、商业秘密。</w:t>
      </w:r>
    </w:p>
    <w:p w14:paraId="57712F00">
      <w:pPr>
        <w:spacing w:line="360" w:lineRule="auto"/>
        <w:ind w:firstLine="437"/>
        <w:outlineLvl w:val="3"/>
        <w:rPr>
          <w:rFonts w:ascii="Times New Roman" w:hAnsi="Times New Roman" w:cs="Times New Roman"/>
          <w:b/>
          <w:sz w:val="24"/>
        </w:rPr>
      </w:pPr>
      <w:r>
        <w:rPr>
          <w:rFonts w:ascii="Times New Roman" w:hAnsi="Times New Roman" w:cs="Times New Roman"/>
          <w:b/>
          <w:sz w:val="24"/>
        </w:rPr>
        <w:t>25.中标候选人的确定原则及标准</w:t>
      </w:r>
    </w:p>
    <w:p w14:paraId="565AC9F8">
      <w:pPr>
        <w:spacing w:line="360" w:lineRule="auto"/>
        <w:ind w:firstLine="435"/>
        <w:rPr>
          <w:rFonts w:ascii="Times New Roman" w:hAnsi="Times New Roman" w:cs="Times New Roman"/>
          <w:sz w:val="24"/>
        </w:rPr>
      </w:pPr>
      <w:r>
        <w:rPr>
          <w:rFonts w:ascii="Times New Roman" w:hAnsi="Times New Roman" w:cs="Times New Roman"/>
          <w:sz w:val="24"/>
        </w:rPr>
        <w:t>25.1评标委员会依据本项目招标文件所约定的评标方法，对实质上响应招标文件的投标人按下列方法进行排序，确定中标候选人：</w:t>
      </w:r>
    </w:p>
    <w:p w14:paraId="613A3D9B">
      <w:pPr>
        <w:spacing w:line="360" w:lineRule="auto"/>
        <w:ind w:firstLine="435"/>
        <w:rPr>
          <w:rFonts w:ascii="Times New Roman" w:hAnsi="Times New Roman" w:cs="Times New Roman"/>
          <w:sz w:val="24"/>
        </w:rPr>
      </w:pPr>
      <w:r>
        <w:rPr>
          <w:rFonts w:ascii="Times New Roman" w:hAnsi="Times New Roman" w:cs="Times New Roman"/>
          <w:sz w:val="24"/>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0FFA9E2B">
      <w:pPr>
        <w:spacing w:line="360" w:lineRule="auto"/>
        <w:ind w:firstLine="435"/>
        <w:rPr>
          <w:rFonts w:ascii="Times New Roman" w:hAnsi="Times New Roman" w:cs="Times New Roman"/>
          <w:sz w:val="24"/>
        </w:rPr>
      </w:pPr>
      <w:r>
        <w:rPr>
          <w:rFonts w:ascii="Times New Roman" w:hAnsi="Times New Roman" w:cs="Times New Roman"/>
          <w:sz w:val="24"/>
        </w:rPr>
        <w:t>（2）采用综合评分法的，评标结果按评审后得分由高到低顺序排列。得分相同的，按投标报价由低到高顺序排列。得分与投标报价均相同的，采取评标委员会抽签方式确定中标候选顺序。</w:t>
      </w:r>
    </w:p>
    <w:p w14:paraId="0D311EFA">
      <w:pPr>
        <w:spacing w:line="360" w:lineRule="auto"/>
        <w:ind w:firstLine="437"/>
        <w:outlineLvl w:val="3"/>
        <w:rPr>
          <w:rFonts w:ascii="Times New Roman" w:hAnsi="Times New Roman" w:cs="Times New Roman"/>
          <w:b/>
          <w:sz w:val="24"/>
        </w:rPr>
      </w:pPr>
      <w:r>
        <w:rPr>
          <w:rFonts w:ascii="Times New Roman" w:hAnsi="Times New Roman" w:cs="Times New Roman"/>
          <w:b/>
          <w:sz w:val="24"/>
        </w:rPr>
        <w:t>26.确定中标候选人和中标人</w:t>
      </w:r>
    </w:p>
    <w:p w14:paraId="575072EB">
      <w:pPr>
        <w:spacing w:line="360" w:lineRule="auto"/>
        <w:ind w:firstLine="435"/>
        <w:rPr>
          <w:rFonts w:ascii="Times New Roman" w:hAnsi="Times New Roman" w:cs="Times New Roman"/>
          <w:sz w:val="24"/>
        </w:rPr>
      </w:pPr>
      <w:r>
        <w:rPr>
          <w:rFonts w:ascii="Times New Roman" w:hAnsi="Times New Roman" w:cs="Times New Roman"/>
          <w:sz w:val="24"/>
        </w:rPr>
        <w:t>26.1评标委员会将根据评标标准，按</w:t>
      </w:r>
      <w:r>
        <w:rPr>
          <w:rFonts w:ascii="Times New Roman" w:hAnsi="Times New Roman" w:cs="Times New Roman"/>
          <w:sz w:val="24"/>
          <w:u w:val="single"/>
        </w:rPr>
        <w:t>投标人须知前附表</w:t>
      </w:r>
      <w:r>
        <w:rPr>
          <w:rFonts w:ascii="Times New Roman" w:hAnsi="Times New Roman" w:cs="Times New Roman"/>
          <w:sz w:val="24"/>
        </w:rPr>
        <w:t>中规定数量推荐中标候选人。</w:t>
      </w:r>
    </w:p>
    <w:p w14:paraId="69F44758">
      <w:pPr>
        <w:spacing w:line="360" w:lineRule="auto"/>
        <w:ind w:firstLine="435"/>
        <w:rPr>
          <w:rFonts w:ascii="Times New Roman" w:hAnsi="Times New Roman" w:cs="Times New Roman"/>
          <w:sz w:val="24"/>
        </w:rPr>
      </w:pPr>
      <w:r>
        <w:rPr>
          <w:rFonts w:ascii="Times New Roman" w:hAnsi="Times New Roman" w:cs="Times New Roman"/>
          <w:sz w:val="24"/>
        </w:rPr>
        <w:t>26.2按</w:t>
      </w:r>
      <w:r>
        <w:rPr>
          <w:rFonts w:ascii="Times New Roman" w:hAnsi="Times New Roman" w:cs="Times New Roman"/>
          <w:sz w:val="24"/>
          <w:u w:val="single"/>
        </w:rPr>
        <w:t>投标人须知前附表</w:t>
      </w:r>
      <w:r>
        <w:rPr>
          <w:rFonts w:ascii="Times New Roman" w:hAnsi="Times New Roman" w:cs="Times New Roman"/>
          <w:sz w:val="24"/>
        </w:rPr>
        <w:t>中规定，由评标委员会或招标人确定中标人。</w:t>
      </w:r>
    </w:p>
    <w:p w14:paraId="3FCE7643">
      <w:pPr>
        <w:spacing w:line="360" w:lineRule="auto"/>
        <w:ind w:firstLine="435"/>
        <w:rPr>
          <w:rFonts w:ascii="Times New Roman" w:hAnsi="Times New Roman" w:cs="Times New Roman"/>
          <w:sz w:val="24"/>
        </w:rPr>
      </w:pPr>
      <w:r>
        <w:rPr>
          <w:rFonts w:ascii="Times New Roman" w:hAnsi="Times New Roman" w:cs="Times New Roman"/>
          <w:sz w:val="24"/>
        </w:rPr>
        <w:t>26.3因重大变故采购任务取消时，招标人有权拒绝任何投标人中标，且对受影响的投标人不承担任何责任。</w:t>
      </w:r>
    </w:p>
    <w:p w14:paraId="6EEADEF5">
      <w:pPr>
        <w:spacing w:line="360" w:lineRule="auto"/>
        <w:ind w:firstLine="437"/>
        <w:outlineLvl w:val="3"/>
        <w:rPr>
          <w:rFonts w:ascii="Times New Roman" w:hAnsi="Times New Roman" w:cs="Times New Roman"/>
          <w:b/>
          <w:sz w:val="24"/>
        </w:rPr>
      </w:pPr>
      <w:r>
        <w:rPr>
          <w:rFonts w:ascii="Times New Roman" w:hAnsi="Times New Roman" w:cs="Times New Roman"/>
          <w:b/>
          <w:sz w:val="24"/>
        </w:rPr>
        <w:t>27.编写评标报告</w:t>
      </w:r>
    </w:p>
    <w:p w14:paraId="1769DC69">
      <w:pPr>
        <w:spacing w:line="360" w:lineRule="auto"/>
        <w:ind w:firstLine="435"/>
        <w:rPr>
          <w:rFonts w:ascii="Times New Roman" w:hAnsi="Times New Roman" w:cs="Times New Roman"/>
          <w:sz w:val="24"/>
        </w:rPr>
      </w:pPr>
      <w:r>
        <w:rPr>
          <w:rFonts w:ascii="Times New Roman" w:hAnsi="Times New Roman" w:cs="Times New Roman"/>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EF8F5E9">
      <w:pPr>
        <w:spacing w:line="360" w:lineRule="auto"/>
        <w:ind w:firstLine="437"/>
        <w:outlineLvl w:val="3"/>
        <w:rPr>
          <w:rFonts w:ascii="Times New Roman" w:hAnsi="Times New Roman" w:cs="Times New Roman"/>
          <w:b/>
          <w:sz w:val="24"/>
        </w:rPr>
      </w:pPr>
      <w:r>
        <w:rPr>
          <w:rFonts w:ascii="Times New Roman" w:hAnsi="Times New Roman" w:cs="Times New Roman"/>
          <w:b/>
          <w:sz w:val="24"/>
        </w:rPr>
        <w:t>28.中标结果公告</w:t>
      </w:r>
    </w:p>
    <w:p w14:paraId="0DFC0740">
      <w:pPr>
        <w:spacing w:line="360" w:lineRule="auto"/>
        <w:ind w:firstLine="435"/>
        <w:rPr>
          <w:rFonts w:ascii="Times New Roman" w:hAnsi="Times New Roman" w:cs="Times New Roman"/>
          <w:sz w:val="24"/>
        </w:rPr>
      </w:pPr>
      <w:r>
        <w:rPr>
          <w:rFonts w:ascii="Times New Roman" w:hAnsi="Times New Roman" w:cs="Times New Roman"/>
          <w:sz w:val="24"/>
        </w:rPr>
        <w:t>28.1自中标人确定之日起</w:t>
      </w:r>
      <w:r>
        <w:rPr>
          <w:rFonts w:hint="eastAsia" w:ascii="Times New Roman" w:hAnsi="Times New Roman" w:cs="Times New Roman"/>
          <w:sz w:val="24"/>
        </w:rPr>
        <w:t>3</w:t>
      </w:r>
      <w:r>
        <w:rPr>
          <w:rFonts w:ascii="Times New Roman" w:hAnsi="Times New Roman" w:cs="Times New Roman"/>
          <w:sz w:val="24"/>
        </w:rPr>
        <w:t>日内，招标人将在</w:t>
      </w:r>
      <w:r>
        <w:rPr>
          <w:rFonts w:ascii="Times New Roman" w:hAnsi="Times New Roman" w:cs="Times New Roman"/>
          <w:sz w:val="24"/>
          <w:szCs w:val="22"/>
        </w:rPr>
        <w:t>公司网站</w:t>
      </w:r>
      <w:r>
        <w:rPr>
          <w:rFonts w:ascii="Times New Roman" w:hAnsi="Times New Roman" w:cs="Times New Roman"/>
          <w:sz w:val="24"/>
        </w:rPr>
        <w:t>发布中标结果公告。</w:t>
      </w:r>
    </w:p>
    <w:p w14:paraId="76D11AF9">
      <w:pPr>
        <w:spacing w:line="360" w:lineRule="auto"/>
        <w:ind w:firstLine="435"/>
        <w:rPr>
          <w:rFonts w:ascii="Times New Roman" w:hAnsi="Times New Roman" w:cs="Times New Roman"/>
          <w:sz w:val="24"/>
        </w:rPr>
      </w:pPr>
      <w:r>
        <w:rPr>
          <w:rFonts w:ascii="Times New Roman" w:hAnsi="Times New Roman" w:cs="Times New Roman"/>
          <w:sz w:val="24"/>
        </w:rPr>
        <w:t>28.2中标结果公告内容应当包括招标人名称、地址、联系方式，项目名称和项目编号，中标人名称、地址和中标金额，主要中标标的的名称、规格型号、数量、单价、服务要求，中标公告期限、评审专家名单以及</w:t>
      </w:r>
      <w:r>
        <w:rPr>
          <w:rFonts w:ascii="Times New Roman" w:hAnsi="Times New Roman" w:cs="Times New Roman"/>
          <w:sz w:val="24"/>
          <w:u w:val="single"/>
        </w:rPr>
        <w:t>投标人须知前附表</w:t>
      </w:r>
      <w:r>
        <w:rPr>
          <w:rFonts w:ascii="Times New Roman" w:hAnsi="Times New Roman" w:cs="Times New Roman"/>
          <w:sz w:val="24"/>
        </w:rPr>
        <w:t>中约定进行公告的内容。中标公告期限为</w:t>
      </w:r>
      <w:r>
        <w:rPr>
          <w:rFonts w:hint="eastAsia" w:ascii="Times New Roman" w:hAnsi="Times New Roman" w:cs="Times New Roman"/>
          <w:sz w:val="24"/>
        </w:rPr>
        <w:t>3</w:t>
      </w:r>
      <w:r>
        <w:rPr>
          <w:rFonts w:ascii="Times New Roman" w:hAnsi="Times New Roman" w:cs="Times New Roman"/>
          <w:sz w:val="24"/>
        </w:rPr>
        <w:t>日。</w:t>
      </w:r>
    </w:p>
    <w:p w14:paraId="25C8090B">
      <w:pPr>
        <w:spacing w:line="360" w:lineRule="auto"/>
        <w:ind w:firstLine="437"/>
        <w:outlineLvl w:val="3"/>
        <w:rPr>
          <w:rFonts w:ascii="Times New Roman" w:hAnsi="Times New Roman" w:cs="Times New Roman"/>
          <w:b/>
          <w:sz w:val="24"/>
        </w:rPr>
      </w:pPr>
      <w:r>
        <w:rPr>
          <w:rFonts w:ascii="Times New Roman" w:hAnsi="Times New Roman" w:cs="Times New Roman"/>
          <w:b/>
          <w:sz w:val="24"/>
        </w:rPr>
        <w:t>29.中标通知书</w:t>
      </w:r>
    </w:p>
    <w:p w14:paraId="75A2713B">
      <w:pPr>
        <w:spacing w:line="360" w:lineRule="auto"/>
        <w:ind w:firstLine="435"/>
        <w:rPr>
          <w:rFonts w:ascii="Times New Roman" w:hAnsi="Times New Roman" w:cs="Times New Roman"/>
          <w:sz w:val="24"/>
        </w:rPr>
      </w:pPr>
      <w:r>
        <w:rPr>
          <w:rFonts w:ascii="Times New Roman" w:hAnsi="Times New Roman" w:cs="Times New Roman"/>
          <w:sz w:val="24"/>
        </w:rPr>
        <w:t>29.1招标人发布中标公告</w:t>
      </w:r>
      <w:r>
        <w:rPr>
          <w:rFonts w:ascii="Times New Roman" w:hAnsi="Times New Roman" w:cs="Times New Roman"/>
          <w:iCs/>
          <w:sz w:val="24"/>
        </w:rPr>
        <w:t>的</w:t>
      </w:r>
      <w:r>
        <w:rPr>
          <w:rFonts w:ascii="Times New Roman" w:hAnsi="Times New Roman" w:cs="Times New Roman"/>
          <w:sz w:val="24"/>
        </w:rPr>
        <w:t>同时向中标人发出中标通知书。</w:t>
      </w:r>
    </w:p>
    <w:p w14:paraId="55378A35">
      <w:pPr>
        <w:spacing w:line="360" w:lineRule="auto"/>
        <w:ind w:firstLine="435"/>
        <w:rPr>
          <w:rFonts w:ascii="Times New Roman" w:hAnsi="Times New Roman" w:cs="Times New Roman"/>
          <w:sz w:val="24"/>
        </w:rPr>
      </w:pPr>
      <w:r>
        <w:rPr>
          <w:rFonts w:ascii="Times New Roman" w:hAnsi="Times New Roman" w:cs="Times New Roman"/>
          <w:sz w:val="24"/>
        </w:rPr>
        <w:t>29.2中标通知书对招标人和中标人具有同等法律效力。中标通知书发出以后，招标人改变中标结果或者中标人放弃中标，应当承担相应的法律责任。</w:t>
      </w:r>
    </w:p>
    <w:p w14:paraId="3D459879">
      <w:pPr>
        <w:spacing w:line="360" w:lineRule="auto"/>
        <w:ind w:firstLine="435"/>
        <w:rPr>
          <w:rFonts w:ascii="Times New Roman" w:hAnsi="Times New Roman" w:cs="Times New Roman"/>
          <w:sz w:val="24"/>
        </w:rPr>
      </w:pPr>
      <w:r>
        <w:rPr>
          <w:rFonts w:ascii="Times New Roman" w:hAnsi="Times New Roman" w:cs="Times New Roman"/>
          <w:sz w:val="24"/>
        </w:rPr>
        <w:t>29.3中标通知书是合同的组成部分。</w:t>
      </w:r>
    </w:p>
    <w:p w14:paraId="05A57730">
      <w:pPr>
        <w:spacing w:line="360" w:lineRule="auto"/>
        <w:ind w:firstLine="437"/>
        <w:outlineLvl w:val="3"/>
        <w:rPr>
          <w:rFonts w:ascii="Times New Roman" w:hAnsi="Times New Roman" w:cs="Times New Roman"/>
          <w:b/>
          <w:sz w:val="24"/>
        </w:rPr>
      </w:pPr>
      <w:r>
        <w:rPr>
          <w:rFonts w:ascii="Times New Roman" w:hAnsi="Times New Roman" w:cs="Times New Roman"/>
          <w:b/>
          <w:sz w:val="24"/>
        </w:rPr>
        <w:t>30.告知招标结果</w:t>
      </w:r>
    </w:p>
    <w:p w14:paraId="6CB2BE64">
      <w:pPr>
        <w:spacing w:line="360" w:lineRule="auto"/>
        <w:ind w:firstLine="435"/>
        <w:rPr>
          <w:rFonts w:ascii="Times New Roman" w:hAnsi="Times New Roman" w:cs="Times New Roman"/>
          <w:sz w:val="24"/>
        </w:rPr>
      </w:pPr>
      <w:r>
        <w:rPr>
          <w:rFonts w:ascii="Times New Roman" w:hAnsi="Times New Roman" w:cs="Times New Roman"/>
          <w:sz w:val="24"/>
        </w:rPr>
        <w:t>30.1在公告中标结果的同时，招标人同时以</w:t>
      </w:r>
      <w:r>
        <w:rPr>
          <w:rFonts w:ascii="Times New Roman" w:hAnsi="Times New Roman" w:cs="Times New Roman"/>
          <w:sz w:val="24"/>
          <w:u w:val="single"/>
        </w:rPr>
        <w:t>投标人须知前附表</w:t>
      </w:r>
      <w:r>
        <w:rPr>
          <w:rFonts w:ascii="Times New Roman" w:hAnsi="Times New Roman" w:cs="Times New Roman"/>
          <w:sz w:val="24"/>
        </w:rPr>
        <w:t>规定的形式告知未通过资格审查的投标人未通过的原因；采用综合评分法评审的，还将告知未中标人本人的评审得分和排序。</w:t>
      </w:r>
    </w:p>
    <w:p w14:paraId="3F9E4F43">
      <w:pPr>
        <w:spacing w:line="360" w:lineRule="auto"/>
        <w:ind w:firstLine="437"/>
        <w:outlineLvl w:val="3"/>
        <w:rPr>
          <w:rFonts w:ascii="Times New Roman" w:hAnsi="Times New Roman" w:cs="Times New Roman"/>
          <w:b/>
          <w:sz w:val="24"/>
        </w:rPr>
      </w:pPr>
      <w:r>
        <w:rPr>
          <w:rFonts w:ascii="Times New Roman" w:hAnsi="Times New Roman" w:cs="Times New Roman"/>
          <w:b/>
          <w:sz w:val="24"/>
        </w:rPr>
        <w:t>31.履约保证金</w:t>
      </w:r>
    </w:p>
    <w:p w14:paraId="62CB846F">
      <w:pPr>
        <w:spacing w:line="360" w:lineRule="auto"/>
        <w:ind w:firstLine="435"/>
        <w:rPr>
          <w:rFonts w:ascii="Times New Roman" w:hAnsi="Times New Roman" w:cs="Times New Roman"/>
          <w:sz w:val="24"/>
        </w:rPr>
      </w:pPr>
      <w:r>
        <w:rPr>
          <w:rFonts w:ascii="Times New Roman" w:hAnsi="Times New Roman" w:cs="Times New Roman"/>
          <w:sz w:val="24"/>
        </w:rPr>
        <w:t>31.1中标人应按照</w:t>
      </w:r>
      <w:r>
        <w:rPr>
          <w:rFonts w:ascii="Times New Roman" w:hAnsi="Times New Roman" w:cs="Times New Roman"/>
          <w:sz w:val="24"/>
          <w:u w:val="single"/>
        </w:rPr>
        <w:t>投标人须知前附表</w:t>
      </w:r>
      <w:r>
        <w:rPr>
          <w:rFonts w:ascii="Times New Roman" w:hAnsi="Times New Roman" w:cs="Times New Roman"/>
          <w:sz w:val="24"/>
        </w:rPr>
        <w:t>规定缴纳履约保证金。</w:t>
      </w:r>
    </w:p>
    <w:p w14:paraId="5A4F6E7F">
      <w:pPr>
        <w:spacing w:line="360" w:lineRule="auto"/>
        <w:ind w:firstLine="435"/>
        <w:rPr>
          <w:rFonts w:ascii="Times New Roman" w:hAnsi="Times New Roman" w:cs="Times New Roman"/>
          <w:b/>
          <w:sz w:val="24"/>
        </w:rPr>
      </w:pPr>
      <w:r>
        <w:rPr>
          <w:rFonts w:ascii="Times New Roman" w:hAnsi="Times New Roman" w:cs="Times New Roman"/>
          <w:sz w:val="24"/>
        </w:rPr>
        <w:t>31.2如果中标人没有按照上述履约保证金的规定执行，将视为放弃中标资格。在此情况下，招标人可确定下一中标候选人为中标人，也可以重新开展采购活动。</w:t>
      </w:r>
    </w:p>
    <w:p w14:paraId="5422177C">
      <w:pPr>
        <w:spacing w:line="360" w:lineRule="auto"/>
        <w:ind w:firstLine="437"/>
        <w:outlineLvl w:val="3"/>
        <w:rPr>
          <w:rFonts w:ascii="Times New Roman" w:hAnsi="Times New Roman" w:cs="Times New Roman"/>
          <w:b/>
          <w:sz w:val="24"/>
        </w:rPr>
      </w:pPr>
      <w:r>
        <w:rPr>
          <w:rFonts w:ascii="Times New Roman" w:hAnsi="Times New Roman" w:cs="Times New Roman"/>
          <w:b/>
          <w:sz w:val="24"/>
        </w:rPr>
        <w:t>32.签订合同</w:t>
      </w:r>
    </w:p>
    <w:p w14:paraId="5F6F2026">
      <w:pPr>
        <w:spacing w:line="360" w:lineRule="auto"/>
        <w:ind w:firstLine="435"/>
        <w:rPr>
          <w:rFonts w:ascii="Times New Roman" w:hAnsi="Times New Roman" w:cs="Times New Roman"/>
          <w:sz w:val="24"/>
        </w:rPr>
      </w:pPr>
      <w:r>
        <w:rPr>
          <w:rFonts w:ascii="Times New Roman" w:hAnsi="Times New Roman" w:cs="Times New Roman"/>
          <w:sz w:val="24"/>
        </w:rPr>
        <w:t>32.1招标人与中标人应当自发出中标通知书之日起30日内签订合同。</w:t>
      </w:r>
    </w:p>
    <w:p w14:paraId="13EE804C">
      <w:pPr>
        <w:spacing w:line="360" w:lineRule="auto"/>
        <w:ind w:firstLine="435"/>
        <w:rPr>
          <w:rFonts w:ascii="Times New Roman" w:hAnsi="Times New Roman" w:cs="Times New Roman"/>
          <w:sz w:val="24"/>
        </w:rPr>
      </w:pPr>
      <w:r>
        <w:rPr>
          <w:rFonts w:ascii="Times New Roman" w:hAnsi="Times New Roman" w:cs="Times New Roman"/>
          <w:sz w:val="24"/>
        </w:rPr>
        <w:t>32.2招标文件、中标人的投标文件及其澄清文件等，均为签订合同的依据。</w:t>
      </w:r>
    </w:p>
    <w:p w14:paraId="33CF2BC1">
      <w:pPr>
        <w:spacing w:line="360" w:lineRule="auto"/>
        <w:ind w:firstLine="435"/>
        <w:rPr>
          <w:rFonts w:ascii="Times New Roman" w:hAnsi="Times New Roman" w:cs="Times New Roman"/>
          <w:sz w:val="24"/>
        </w:rPr>
      </w:pPr>
      <w:r>
        <w:rPr>
          <w:rFonts w:ascii="Times New Roman" w:hAnsi="Times New Roman" w:cs="Times New Roman"/>
          <w:sz w:val="24"/>
        </w:rPr>
        <w:t>32.3中标人拒绝与招标人签订合同的，招标人可以按照评审报告推荐的中标候选人名单排序，确定下一中标候选人为中标人，也可以重新开展采购活动。</w:t>
      </w:r>
    </w:p>
    <w:p w14:paraId="49AA5FAF">
      <w:pPr>
        <w:spacing w:line="360" w:lineRule="auto"/>
        <w:ind w:firstLine="435"/>
        <w:rPr>
          <w:rFonts w:ascii="Times New Roman" w:hAnsi="Times New Roman" w:cs="Times New Roman"/>
          <w:sz w:val="24"/>
        </w:rPr>
      </w:pPr>
      <w:r>
        <w:rPr>
          <w:rFonts w:ascii="Times New Roman" w:hAnsi="Times New Roman" w:cs="Times New Roman"/>
          <w:sz w:val="24"/>
        </w:rPr>
        <w:t>32.4当出现法规规定的中标无效或中标结果无效情形时，招标人可依法与排名下一位的中标候选人另行签订合同，或依法重新开展采购活动。</w:t>
      </w:r>
    </w:p>
    <w:p w14:paraId="5AD4F3EC">
      <w:pPr>
        <w:spacing w:line="360" w:lineRule="auto"/>
        <w:ind w:firstLine="435"/>
        <w:rPr>
          <w:rFonts w:ascii="Times New Roman" w:hAnsi="Times New Roman" w:cs="Times New Roman"/>
          <w:sz w:val="24"/>
        </w:rPr>
      </w:pPr>
      <w:r>
        <w:rPr>
          <w:rFonts w:ascii="Times New Roman" w:hAnsi="Times New Roman" w:cs="Times New Roman"/>
          <w:sz w:val="24"/>
        </w:rPr>
        <w:t>32.5 投标人签订合同前，需向招标人演示投标产品的相关功能。否则招标人有权变更中标人。</w:t>
      </w:r>
    </w:p>
    <w:p w14:paraId="7EDB18BD">
      <w:pPr>
        <w:spacing w:line="360" w:lineRule="auto"/>
        <w:ind w:firstLine="437"/>
        <w:outlineLvl w:val="3"/>
        <w:rPr>
          <w:rFonts w:ascii="Times New Roman" w:hAnsi="Times New Roman" w:cs="Times New Roman"/>
          <w:b/>
          <w:sz w:val="24"/>
        </w:rPr>
      </w:pPr>
      <w:r>
        <w:rPr>
          <w:rFonts w:ascii="Times New Roman" w:hAnsi="Times New Roman" w:cs="Times New Roman"/>
          <w:b/>
          <w:sz w:val="24"/>
        </w:rPr>
        <w:t>33.中标服务费</w:t>
      </w:r>
    </w:p>
    <w:p w14:paraId="0B59909E">
      <w:pPr>
        <w:spacing w:line="360" w:lineRule="auto"/>
        <w:ind w:firstLine="435"/>
        <w:rPr>
          <w:rFonts w:ascii="Times New Roman" w:hAnsi="Times New Roman" w:cs="Times New Roman"/>
          <w:sz w:val="24"/>
        </w:rPr>
      </w:pPr>
      <w:r>
        <w:rPr>
          <w:rFonts w:ascii="Times New Roman" w:hAnsi="Times New Roman" w:cs="Times New Roman"/>
          <w:sz w:val="24"/>
        </w:rPr>
        <w:t>33.1本项目中标服务费的收取按</w:t>
      </w:r>
      <w:r>
        <w:rPr>
          <w:rFonts w:ascii="Times New Roman" w:hAnsi="Times New Roman" w:cs="Times New Roman"/>
          <w:sz w:val="24"/>
          <w:u w:val="single"/>
        </w:rPr>
        <w:t>投标人须知前附表的</w:t>
      </w:r>
      <w:r>
        <w:rPr>
          <w:rFonts w:ascii="Times New Roman" w:hAnsi="Times New Roman" w:cs="Times New Roman"/>
          <w:sz w:val="24"/>
        </w:rPr>
        <w:t>规定执行。</w:t>
      </w:r>
    </w:p>
    <w:p w14:paraId="6C4A7D3F">
      <w:pPr>
        <w:spacing w:line="360" w:lineRule="auto"/>
        <w:ind w:firstLine="437"/>
        <w:outlineLvl w:val="3"/>
        <w:rPr>
          <w:rFonts w:ascii="Times New Roman" w:hAnsi="Times New Roman" w:cs="Times New Roman"/>
          <w:b/>
          <w:sz w:val="24"/>
        </w:rPr>
      </w:pPr>
      <w:bookmarkStart w:id="25" w:name="_Toc2583661"/>
      <w:bookmarkStart w:id="26" w:name="_Toc518923100"/>
      <w:r>
        <w:rPr>
          <w:rFonts w:ascii="Times New Roman" w:hAnsi="Times New Roman" w:cs="Times New Roman"/>
          <w:b/>
          <w:sz w:val="24"/>
        </w:rPr>
        <w:t>34.廉洁自律规定</w:t>
      </w:r>
      <w:bookmarkEnd w:id="25"/>
      <w:bookmarkEnd w:id="26"/>
    </w:p>
    <w:p w14:paraId="5FBD746C">
      <w:pPr>
        <w:spacing w:line="360" w:lineRule="auto"/>
        <w:ind w:firstLine="435"/>
        <w:rPr>
          <w:rFonts w:ascii="Times New Roman" w:hAnsi="Times New Roman" w:cs="Times New Roman"/>
          <w:sz w:val="24"/>
        </w:rPr>
      </w:pPr>
      <w:r>
        <w:rPr>
          <w:rFonts w:ascii="Times New Roman" w:hAnsi="Times New Roman" w:cs="Times New Roman"/>
          <w:sz w:val="24"/>
        </w:rPr>
        <w:t>34.1采购工作人员不得接受投标人组织的宴请、旅游、娱乐，不得收受礼品、现金、有价证券等，不得向投标人报销应当由个人承担的费用。</w:t>
      </w:r>
    </w:p>
    <w:p w14:paraId="1898B7D8">
      <w:pPr>
        <w:spacing w:line="360" w:lineRule="auto"/>
        <w:ind w:firstLine="437"/>
        <w:outlineLvl w:val="3"/>
        <w:rPr>
          <w:rFonts w:ascii="Times New Roman" w:hAnsi="Times New Roman" w:cs="Times New Roman"/>
          <w:b/>
          <w:sz w:val="24"/>
        </w:rPr>
      </w:pPr>
      <w:bookmarkStart w:id="27" w:name="_Toc2583662"/>
      <w:bookmarkStart w:id="28" w:name="_Toc518923101"/>
      <w:r>
        <w:rPr>
          <w:rFonts w:ascii="Times New Roman" w:hAnsi="Times New Roman" w:cs="Times New Roman"/>
          <w:b/>
          <w:sz w:val="24"/>
        </w:rPr>
        <w:t>35.人员回避</w:t>
      </w:r>
      <w:bookmarkEnd w:id="27"/>
      <w:bookmarkEnd w:id="28"/>
    </w:p>
    <w:p w14:paraId="2C48E9E0">
      <w:pPr>
        <w:spacing w:line="360" w:lineRule="auto"/>
        <w:ind w:firstLine="435"/>
        <w:rPr>
          <w:rFonts w:ascii="Times New Roman" w:hAnsi="Times New Roman" w:cs="Times New Roman"/>
          <w:sz w:val="24"/>
        </w:rPr>
      </w:pPr>
      <w:r>
        <w:rPr>
          <w:rFonts w:ascii="Times New Roman" w:hAnsi="Times New Roman" w:cs="Times New Roman"/>
          <w:sz w:val="24"/>
        </w:rPr>
        <w:t>投标人认为招标人员及其相关人员有法律法规所列与其他投标人有利害关系的，可以向招标人书面提出回避申请，并说明理由。</w:t>
      </w:r>
    </w:p>
    <w:p w14:paraId="44266803">
      <w:pPr>
        <w:spacing w:line="360" w:lineRule="auto"/>
        <w:jc w:val="center"/>
        <w:outlineLvl w:val="1"/>
        <w:rPr>
          <w:rFonts w:ascii="Times New Roman" w:hAnsi="Times New Roman" w:cs="Times New Roman"/>
          <w:b/>
          <w:sz w:val="28"/>
        </w:rPr>
      </w:pPr>
      <w:r>
        <w:rPr>
          <w:rFonts w:ascii="Times New Roman" w:hAnsi="Times New Roman" w:cs="Times New Roman"/>
          <w:sz w:val="24"/>
        </w:rPr>
        <w:br w:type="page"/>
      </w:r>
      <w:r>
        <w:rPr>
          <w:rFonts w:ascii="Times New Roman" w:hAnsi="Times New Roman" w:cs="Times New Roman"/>
          <w:b/>
          <w:sz w:val="28"/>
        </w:rPr>
        <w:t xml:space="preserve">第三章  </w:t>
      </w:r>
      <w:r>
        <w:rPr>
          <w:rFonts w:hint="eastAsia" w:ascii="Times New Roman" w:hAnsi="Times New Roman" w:cs="Times New Roman"/>
          <w:b/>
          <w:sz w:val="28"/>
        </w:rPr>
        <w:t>招标需求</w:t>
      </w:r>
    </w:p>
    <w:p w14:paraId="5C9E2F8F">
      <w:pPr>
        <w:spacing w:line="360" w:lineRule="auto"/>
        <w:rPr>
          <w:rFonts w:ascii="宋体" w:hAnsi="宋体"/>
          <w:b/>
          <w:sz w:val="24"/>
        </w:rPr>
      </w:pPr>
      <w:r>
        <w:rPr>
          <w:rFonts w:hint="eastAsia" w:ascii="宋体" w:hAnsi="宋体"/>
          <w:b/>
          <w:sz w:val="24"/>
        </w:rPr>
        <w:t>前注：</w:t>
      </w:r>
    </w:p>
    <w:p w14:paraId="714A4241">
      <w:pPr>
        <w:spacing w:line="360" w:lineRule="auto"/>
        <w:ind w:firstLine="480" w:firstLineChars="200"/>
        <w:rPr>
          <w:rFonts w:ascii="宋体" w:hAnsi="宋体"/>
          <w:sz w:val="24"/>
          <w:szCs w:val="18"/>
        </w:rPr>
      </w:pPr>
      <w:r>
        <w:rPr>
          <w:rFonts w:hint="eastAsia" w:ascii="宋体" w:hAnsi="宋体"/>
          <w:sz w:val="24"/>
          <w:szCs w:val="18"/>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366E49B7">
      <w:pPr>
        <w:spacing w:line="360" w:lineRule="auto"/>
        <w:ind w:firstLine="480" w:firstLineChars="200"/>
        <w:rPr>
          <w:rFonts w:ascii="宋体" w:hAnsi="宋体"/>
          <w:sz w:val="24"/>
          <w:szCs w:val="18"/>
        </w:rPr>
      </w:pPr>
      <w:r>
        <w:rPr>
          <w:rFonts w:hint="eastAsia" w:ascii="宋体" w:hAnsi="宋体"/>
          <w:sz w:val="24"/>
          <w:szCs w:val="18"/>
        </w:rPr>
        <w:t>2.为鼓励不同品牌的充分竞争，如某货物的某技术参数或要求属于个别品牌专有，则该技术参数及要求不具有限制性，投标人可对该参数或要求的情况进行说明，且该说明须经招标评审小组审核认可。</w:t>
      </w:r>
    </w:p>
    <w:p w14:paraId="22737B03">
      <w:pPr>
        <w:spacing w:line="360" w:lineRule="auto"/>
        <w:ind w:firstLine="480" w:firstLineChars="200"/>
        <w:rPr>
          <w:rFonts w:ascii="宋体" w:hAnsi="宋体"/>
          <w:sz w:val="24"/>
          <w:szCs w:val="18"/>
        </w:rPr>
      </w:pPr>
      <w:r>
        <w:rPr>
          <w:rFonts w:hint="eastAsia" w:ascii="宋体" w:hAnsi="宋体"/>
          <w:sz w:val="24"/>
          <w:szCs w:val="18"/>
        </w:rPr>
        <w:t>3.如供货要求中提供了推荐品牌（或型号）、参考品牌（或型号）等，为有助于投标人选择投标产品，上述品牌（或型号）仅供参考，并无限制性。投标人可以选择性能不低于推荐（或参考）的品牌（或型号）的其他品牌产品，但投标时应当提供有关技术证明资料，未提供的可能导致投标无效。</w:t>
      </w:r>
    </w:p>
    <w:p w14:paraId="199D4A60">
      <w:pPr>
        <w:pStyle w:val="2"/>
        <w:ind w:left="0" w:leftChars="0" w:firstLine="480"/>
      </w:pPr>
      <w:r>
        <w:rPr>
          <w:rFonts w:hint="eastAsia" w:ascii="宋体" w:hAnsi="宋体"/>
          <w:sz w:val="24"/>
          <w:szCs w:val="18"/>
        </w:rPr>
        <w:t>4、投标人所提供样品应和招标文件一起在投标截止时间送至指定地点，并确保样品的密封性。</w:t>
      </w:r>
    </w:p>
    <w:p w14:paraId="6F329ADE">
      <w:pPr>
        <w:spacing w:line="360" w:lineRule="auto"/>
        <w:ind w:firstLine="480" w:firstLineChars="200"/>
        <w:rPr>
          <w:rFonts w:ascii="宋体" w:hAnsi="宋体"/>
          <w:sz w:val="24"/>
          <w:szCs w:val="18"/>
        </w:rPr>
      </w:pPr>
      <w:r>
        <w:rPr>
          <w:rFonts w:hint="eastAsia" w:ascii="宋体" w:hAnsi="宋体"/>
          <w:sz w:val="24"/>
          <w:szCs w:val="18"/>
        </w:rPr>
        <w:t>5.招标人保留在签订合同之前对本技术规格及要求进行补充和修改的权利，投标人应承诺予以配合。</w:t>
      </w:r>
    </w:p>
    <w:p w14:paraId="51979D9F">
      <w:pPr>
        <w:spacing w:line="360" w:lineRule="auto"/>
        <w:ind w:firstLine="480" w:firstLineChars="200"/>
        <w:rPr>
          <w:rFonts w:ascii="宋体" w:hAnsi="宋体"/>
          <w:sz w:val="24"/>
          <w:szCs w:val="18"/>
        </w:rPr>
      </w:pPr>
      <w:r>
        <w:rPr>
          <w:rFonts w:hint="eastAsia" w:ascii="宋体" w:hAnsi="宋体"/>
          <w:sz w:val="24"/>
          <w:szCs w:val="18"/>
        </w:rPr>
        <w:t>6. 中标人必须确保整体通过招标人及有关主管部门验收,所发生的验收费用由中标人承担；如中标人因未及时现场考察而导致的报价缺项漏项废标、或中标后无法完工，投标人自行承担一切后果。</w:t>
      </w:r>
    </w:p>
    <w:p w14:paraId="46386600">
      <w:pPr>
        <w:spacing w:line="360" w:lineRule="auto"/>
        <w:ind w:firstLine="437"/>
        <w:rPr>
          <w:rFonts w:ascii="宋体" w:hAnsi="宋体"/>
          <w:b/>
          <w:sz w:val="24"/>
          <w:szCs w:val="18"/>
        </w:rPr>
      </w:pPr>
      <w:r>
        <w:rPr>
          <w:rFonts w:hint="eastAsia" w:ascii="宋体" w:hAnsi="宋体"/>
          <w:b/>
          <w:sz w:val="24"/>
          <w:szCs w:val="18"/>
        </w:rPr>
        <w:t>一、招标需求前附表</w:t>
      </w:r>
    </w:p>
    <w:tbl>
      <w:tblPr>
        <w:tblStyle w:val="41"/>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14:paraId="23B6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77AB2754">
            <w:pPr>
              <w:pStyle w:val="61"/>
              <w:pBdr>
                <w:bottom w:val="none" w:color="auto" w:sz="0" w:space="0"/>
              </w:pBdr>
              <w:adjustRightInd/>
              <w:spacing w:line="240" w:lineRule="auto"/>
              <w:textAlignment w:val="auto"/>
              <w:rPr>
                <w:rFonts w:ascii="宋体" w:hAnsi="宋体"/>
                <w:b/>
                <w:kern w:val="2"/>
              </w:rPr>
            </w:pPr>
            <w:r>
              <w:rPr>
                <w:rFonts w:hint="eastAsia" w:ascii="宋体" w:hAnsi="宋体"/>
                <w:b/>
                <w:kern w:val="2"/>
              </w:rPr>
              <w:t>序号</w:t>
            </w:r>
          </w:p>
        </w:tc>
        <w:tc>
          <w:tcPr>
            <w:tcW w:w="2191" w:type="dxa"/>
            <w:vAlign w:val="center"/>
          </w:tcPr>
          <w:p w14:paraId="2AA90933">
            <w:pPr>
              <w:pStyle w:val="60"/>
              <w:widowControl w:val="0"/>
              <w:spacing w:before="0" w:beforeAutospacing="0" w:after="0" w:afterAutospacing="0" w:line="360" w:lineRule="auto"/>
              <w:rPr>
                <w:rFonts w:ascii="宋体" w:hAnsi="宋体"/>
                <w:bCs w:val="0"/>
                <w:sz w:val="24"/>
              </w:rPr>
            </w:pPr>
            <w:r>
              <w:rPr>
                <w:rFonts w:hint="eastAsia" w:ascii="宋体" w:hAnsi="宋体"/>
                <w:bCs w:val="0"/>
                <w:sz w:val="24"/>
              </w:rPr>
              <w:t>条款名称</w:t>
            </w:r>
          </w:p>
        </w:tc>
        <w:tc>
          <w:tcPr>
            <w:tcW w:w="5913" w:type="dxa"/>
            <w:vAlign w:val="center"/>
          </w:tcPr>
          <w:p w14:paraId="5F348D4E">
            <w:pPr>
              <w:pStyle w:val="60"/>
              <w:widowControl w:val="0"/>
              <w:spacing w:before="0" w:beforeAutospacing="0" w:after="0" w:afterAutospacing="0" w:line="360" w:lineRule="auto"/>
              <w:rPr>
                <w:rFonts w:ascii="宋体" w:hAnsi="宋体"/>
                <w:bCs w:val="0"/>
                <w:sz w:val="24"/>
              </w:rPr>
            </w:pPr>
            <w:r>
              <w:rPr>
                <w:rFonts w:hint="eastAsia" w:ascii="宋体" w:hAnsi="宋体"/>
                <w:bCs w:val="0"/>
                <w:sz w:val="24"/>
              </w:rPr>
              <w:t>内容、说明与要求</w:t>
            </w:r>
          </w:p>
        </w:tc>
      </w:tr>
      <w:tr w14:paraId="3019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27F477E6">
            <w:pPr>
              <w:pStyle w:val="61"/>
              <w:pBdr>
                <w:bottom w:val="none" w:color="auto" w:sz="0" w:space="0"/>
              </w:pBdr>
              <w:adjustRightInd/>
              <w:spacing w:line="240" w:lineRule="auto"/>
              <w:textAlignment w:val="auto"/>
              <w:rPr>
                <w:rFonts w:ascii="宋体" w:hAnsi="宋体"/>
                <w:bCs/>
                <w:kern w:val="2"/>
              </w:rPr>
            </w:pPr>
            <w:r>
              <w:rPr>
                <w:rFonts w:hint="eastAsia" w:ascii="宋体" w:hAnsi="宋体"/>
                <w:bCs/>
                <w:kern w:val="2"/>
              </w:rPr>
              <w:t>1</w:t>
            </w:r>
          </w:p>
        </w:tc>
        <w:tc>
          <w:tcPr>
            <w:tcW w:w="2191" w:type="dxa"/>
            <w:vAlign w:val="center"/>
          </w:tcPr>
          <w:p w14:paraId="2743B575">
            <w:pPr>
              <w:pStyle w:val="60"/>
              <w:widowControl w:val="0"/>
              <w:spacing w:before="0" w:beforeAutospacing="0" w:after="0" w:afterAutospacing="0" w:line="360" w:lineRule="auto"/>
              <w:rPr>
                <w:rFonts w:ascii="宋体" w:hAnsi="宋体"/>
                <w:b w:val="0"/>
                <w:sz w:val="24"/>
              </w:rPr>
            </w:pPr>
            <w:r>
              <w:rPr>
                <w:rFonts w:hint="eastAsia" w:ascii="宋体" w:hAnsi="宋体"/>
                <w:b w:val="0"/>
                <w:sz w:val="24"/>
              </w:rPr>
              <w:t>付款方式</w:t>
            </w:r>
          </w:p>
        </w:tc>
        <w:tc>
          <w:tcPr>
            <w:tcW w:w="5913" w:type="dxa"/>
            <w:vAlign w:val="center"/>
          </w:tcPr>
          <w:p w14:paraId="3CF4B8D3">
            <w:pPr>
              <w:pStyle w:val="186"/>
              <w:spacing w:before="0" w:after="0" w:line="360" w:lineRule="auto"/>
              <w:jc w:val="left"/>
              <w:rPr>
                <w:rFonts w:ascii="宋体" w:hAnsi="宋体" w:eastAsia="宋体"/>
                <w:b w:val="0"/>
                <w:sz w:val="24"/>
                <w:u w:val="single"/>
              </w:rPr>
            </w:pPr>
            <w:r>
              <w:rPr>
                <w:rStyle w:val="103"/>
                <w:rFonts w:hint="eastAsia" w:ascii="宋体" w:hAnsi="宋体"/>
                <w:b w:val="0"/>
                <w:kern w:val="0"/>
                <w:sz w:val="24"/>
              </w:rPr>
              <w:t>所有货物安装调试完成且验收合格后三个月内支付至</w:t>
            </w:r>
            <w:r>
              <w:rPr>
                <w:rStyle w:val="103"/>
                <w:rFonts w:hint="eastAsia" w:ascii="宋体" w:hAnsi="宋体"/>
                <w:b w:val="0"/>
                <w:kern w:val="0"/>
                <w:sz w:val="24"/>
                <w:lang w:val="en-US"/>
              </w:rPr>
              <w:t>已完成货</w:t>
            </w:r>
            <w:r>
              <w:rPr>
                <w:rStyle w:val="103"/>
                <w:rFonts w:hint="eastAsia" w:ascii="宋体" w:hAnsi="宋体"/>
                <w:b w:val="0"/>
                <w:kern w:val="0"/>
                <w:sz w:val="24"/>
              </w:rPr>
              <w:t>款97%，余款3%作为质保金，质保期满后三个月内</w:t>
            </w:r>
            <w:r>
              <w:rPr>
                <w:rStyle w:val="103"/>
                <w:rFonts w:hint="eastAsia" w:ascii="宋体" w:hAnsi="宋体"/>
                <w:b w:val="0"/>
                <w:kern w:val="0"/>
                <w:sz w:val="24"/>
                <w:highlight w:val="none"/>
              </w:rPr>
              <w:t>一次性付清。（如</w:t>
            </w:r>
            <w:r>
              <w:rPr>
                <w:rStyle w:val="103"/>
                <w:rFonts w:hint="eastAsia" w:ascii="宋体" w:hAnsi="宋体"/>
                <w:b w:val="0"/>
                <w:kern w:val="0"/>
                <w:sz w:val="24"/>
              </w:rPr>
              <w:t>中标人采用见索即付的保函代替质保金，则招标人支付至合同价款的100%）。</w:t>
            </w:r>
          </w:p>
        </w:tc>
      </w:tr>
      <w:tr w14:paraId="56C5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87" w:type="dxa"/>
            <w:vAlign w:val="center"/>
          </w:tcPr>
          <w:p w14:paraId="07BC6E7B">
            <w:pPr>
              <w:pStyle w:val="61"/>
              <w:pBdr>
                <w:bottom w:val="none" w:color="auto" w:sz="0" w:space="0"/>
              </w:pBdr>
              <w:adjustRightInd/>
              <w:spacing w:line="240" w:lineRule="auto"/>
              <w:textAlignment w:val="auto"/>
              <w:rPr>
                <w:rFonts w:ascii="宋体" w:hAnsi="宋体"/>
                <w:bCs/>
                <w:kern w:val="2"/>
              </w:rPr>
            </w:pPr>
            <w:r>
              <w:rPr>
                <w:rFonts w:hint="eastAsia" w:ascii="宋体" w:hAnsi="宋体"/>
                <w:bCs/>
                <w:kern w:val="2"/>
              </w:rPr>
              <w:t>2</w:t>
            </w:r>
          </w:p>
        </w:tc>
        <w:tc>
          <w:tcPr>
            <w:tcW w:w="2191" w:type="dxa"/>
            <w:vAlign w:val="center"/>
          </w:tcPr>
          <w:p w14:paraId="101C5200">
            <w:pPr>
              <w:pStyle w:val="60"/>
              <w:widowControl w:val="0"/>
              <w:spacing w:before="0" w:beforeAutospacing="0" w:after="0" w:afterAutospacing="0" w:line="360" w:lineRule="auto"/>
              <w:rPr>
                <w:rFonts w:ascii="宋体" w:hAnsi="宋体"/>
                <w:b w:val="0"/>
                <w:sz w:val="24"/>
              </w:rPr>
            </w:pPr>
            <w:r>
              <w:rPr>
                <w:rFonts w:hint="eastAsia" w:ascii="宋体" w:hAnsi="宋体"/>
                <w:b w:val="0"/>
                <w:sz w:val="24"/>
              </w:rPr>
              <w:t>供货及安装地点</w:t>
            </w:r>
          </w:p>
        </w:tc>
        <w:tc>
          <w:tcPr>
            <w:tcW w:w="5913" w:type="dxa"/>
            <w:vAlign w:val="center"/>
          </w:tcPr>
          <w:p w14:paraId="7677CC41">
            <w:pPr>
              <w:pStyle w:val="186"/>
              <w:spacing w:before="0" w:after="0" w:line="360" w:lineRule="auto"/>
              <w:jc w:val="left"/>
              <w:rPr>
                <w:rFonts w:ascii="宋体" w:hAnsi="宋体" w:eastAsia="宋体"/>
                <w:b w:val="0"/>
                <w:sz w:val="24"/>
              </w:rPr>
            </w:pPr>
            <w:r>
              <w:rPr>
                <w:rStyle w:val="103"/>
                <w:rFonts w:ascii="宋体" w:hAnsi="宋体"/>
                <w:b w:val="0"/>
                <w:kern w:val="0"/>
                <w:sz w:val="24"/>
              </w:rPr>
              <w:t>合肥市包河区，</w:t>
            </w:r>
            <w:r>
              <w:rPr>
                <w:rStyle w:val="103"/>
                <w:rFonts w:hint="eastAsia" w:ascii="宋体" w:hAnsi="宋体"/>
                <w:b w:val="0"/>
                <w:kern w:val="0"/>
                <w:sz w:val="24"/>
              </w:rPr>
              <w:t>招标人</w:t>
            </w:r>
            <w:r>
              <w:rPr>
                <w:rStyle w:val="103"/>
                <w:rFonts w:ascii="宋体" w:hAnsi="宋体"/>
                <w:b w:val="0"/>
                <w:kern w:val="0"/>
                <w:sz w:val="24"/>
              </w:rPr>
              <w:t>指定地点。</w:t>
            </w:r>
          </w:p>
        </w:tc>
      </w:tr>
      <w:tr w14:paraId="5475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127EED77">
            <w:pPr>
              <w:pStyle w:val="61"/>
              <w:pBdr>
                <w:bottom w:val="none" w:color="auto" w:sz="0" w:space="0"/>
              </w:pBdr>
              <w:adjustRightInd/>
              <w:spacing w:line="240" w:lineRule="auto"/>
              <w:textAlignment w:val="auto"/>
              <w:rPr>
                <w:rFonts w:ascii="宋体" w:hAnsi="宋体"/>
                <w:bCs/>
                <w:kern w:val="2"/>
              </w:rPr>
            </w:pPr>
            <w:r>
              <w:rPr>
                <w:rFonts w:hint="eastAsia" w:ascii="宋体" w:hAnsi="宋体"/>
                <w:bCs/>
                <w:kern w:val="2"/>
              </w:rPr>
              <w:t>3</w:t>
            </w:r>
          </w:p>
        </w:tc>
        <w:tc>
          <w:tcPr>
            <w:tcW w:w="2191" w:type="dxa"/>
            <w:vAlign w:val="center"/>
          </w:tcPr>
          <w:p w14:paraId="279C97F9">
            <w:pPr>
              <w:pStyle w:val="60"/>
              <w:widowControl w:val="0"/>
              <w:spacing w:before="0" w:beforeAutospacing="0" w:after="0" w:afterAutospacing="0" w:line="360" w:lineRule="auto"/>
              <w:rPr>
                <w:rFonts w:ascii="宋体" w:hAnsi="宋体"/>
                <w:b w:val="0"/>
                <w:sz w:val="24"/>
              </w:rPr>
            </w:pPr>
            <w:r>
              <w:rPr>
                <w:rFonts w:hint="eastAsia" w:ascii="宋体" w:hAnsi="宋体"/>
                <w:b w:val="0"/>
                <w:sz w:val="24"/>
              </w:rPr>
              <w:t>供货及安装期限</w:t>
            </w:r>
          </w:p>
        </w:tc>
        <w:tc>
          <w:tcPr>
            <w:tcW w:w="5913" w:type="dxa"/>
            <w:vAlign w:val="center"/>
          </w:tcPr>
          <w:p w14:paraId="64255FCC">
            <w:pPr>
              <w:pStyle w:val="187"/>
              <w:widowControl/>
              <w:spacing w:line="360" w:lineRule="auto"/>
              <w:rPr>
                <w:rFonts w:ascii="宋体" w:hAnsi="宋体" w:eastAsia="宋体"/>
                <w:sz w:val="24"/>
              </w:rPr>
            </w:pPr>
            <w:r>
              <w:rPr>
                <w:rStyle w:val="103"/>
                <w:rFonts w:ascii="宋体" w:hAnsi="宋体"/>
                <w:bCs/>
                <w:kern w:val="0"/>
                <w:sz w:val="24"/>
                <w:szCs w:val="28"/>
              </w:rPr>
              <w:t>合同签订后</w:t>
            </w:r>
            <w:r>
              <w:rPr>
                <w:rStyle w:val="103"/>
                <w:rFonts w:hint="eastAsia" w:ascii="宋体" w:hAnsi="宋体"/>
                <w:bCs/>
                <w:kern w:val="0"/>
                <w:sz w:val="24"/>
                <w:szCs w:val="28"/>
                <w:lang w:val="en-US"/>
              </w:rPr>
              <w:t>30</w:t>
            </w:r>
            <w:r>
              <w:rPr>
                <w:rStyle w:val="103"/>
                <w:rFonts w:ascii="宋体" w:hAnsi="宋体"/>
                <w:bCs/>
                <w:kern w:val="0"/>
                <w:sz w:val="24"/>
                <w:szCs w:val="28"/>
              </w:rPr>
              <w:t>个日历日内完成供货及安装。</w:t>
            </w:r>
          </w:p>
        </w:tc>
      </w:tr>
      <w:tr w14:paraId="25B0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46B0941D">
            <w:pPr>
              <w:pStyle w:val="61"/>
              <w:pBdr>
                <w:bottom w:val="none" w:color="auto" w:sz="0" w:space="0"/>
              </w:pBdr>
              <w:adjustRightInd/>
              <w:spacing w:line="240" w:lineRule="auto"/>
              <w:textAlignment w:val="auto"/>
              <w:rPr>
                <w:rFonts w:ascii="宋体" w:hAnsi="宋体"/>
                <w:bCs/>
                <w:kern w:val="2"/>
              </w:rPr>
            </w:pPr>
            <w:r>
              <w:rPr>
                <w:rFonts w:hint="eastAsia" w:ascii="宋体" w:hAnsi="宋体"/>
                <w:bCs/>
                <w:kern w:val="2"/>
              </w:rPr>
              <w:t>4</w:t>
            </w:r>
          </w:p>
        </w:tc>
        <w:tc>
          <w:tcPr>
            <w:tcW w:w="2191" w:type="dxa"/>
            <w:vAlign w:val="center"/>
          </w:tcPr>
          <w:p w14:paraId="389A64B4">
            <w:pPr>
              <w:pStyle w:val="60"/>
              <w:widowControl w:val="0"/>
              <w:spacing w:before="0" w:beforeAutospacing="0" w:after="0" w:afterAutospacing="0" w:line="360" w:lineRule="auto"/>
              <w:rPr>
                <w:rFonts w:ascii="宋体" w:hAnsi="宋体"/>
                <w:b w:val="0"/>
                <w:sz w:val="24"/>
              </w:rPr>
            </w:pPr>
            <w:r>
              <w:rPr>
                <w:rFonts w:hint="eastAsia" w:ascii="宋体" w:hAnsi="宋体"/>
                <w:b w:val="0"/>
                <w:sz w:val="24"/>
              </w:rPr>
              <w:t>免费质保期</w:t>
            </w:r>
          </w:p>
        </w:tc>
        <w:tc>
          <w:tcPr>
            <w:tcW w:w="5913" w:type="dxa"/>
            <w:vAlign w:val="center"/>
          </w:tcPr>
          <w:p w14:paraId="4370DC80">
            <w:pPr>
              <w:pStyle w:val="186"/>
              <w:spacing w:before="0" w:after="0" w:line="360" w:lineRule="auto"/>
              <w:jc w:val="left"/>
              <w:rPr>
                <w:rFonts w:ascii="宋体" w:hAnsi="宋体" w:eastAsia="宋体"/>
                <w:b w:val="0"/>
                <w:sz w:val="24"/>
              </w:rPr>
            </w:pPr>
            <w:r>
              <w:rPr>
                <w:rStyle w:val="103"/>
                <w:rFonts w:ascii="宋体" w:hAnsi="宋体"/>
                <w:b w:val="0"/>
                <w:kern w:val="0"/>
                <w:sz w:val="24"/>
              </w:rPr>
              <w:t>验收合格之日起三年。</w:t>
            </w:r>
          </w:p>
        </w:tc>
      </w:tr>
    </w:tbl>
    <w:p w14:paraId="7107F02F">
      <w:pPr>
        <w:numPr>
          <w:ilvl w:val="0"/>
          <w:numId w:val="3"/>
        </w:numPr>
        <w:spacing w:line="360" w:lineRule="auto"/>
        <w:ind w:firstLine="437"/>
        <w:rPr>
          <w:rFonts w:ascii="Times New Roman" w:hAnsi="Times New Roman" w:cs="Times New Roman"/>
          <w:b/>
          <w:sz w:val="28"/>
        </w:rPr>
      </w:pPr>
      <w:r>
        <w:rPr>
          <w:rFonts w:hint="eastAsia" w:ascii="宋体" w:hAnsi="宋体"/>
          <w:b/>
          <w:bCs/>
          <w:sz w:val="24"/>
          <w:szCs w:val="18"/>
        </w:rPr>
        <w:t>货物需求</w:t>
      </w:r>
    </w:p>
    <w:p w14:paraId="7E7F3ED9">
      <w:pPr>
        <w:spacing w:line="360" w:lineRule="auto"/>
        <w:ind w:firstLine="480" w:firstLineChars="200"/>
        <w:rPr>
          <w:rFonts w:hint="eastAsia" w:ascii="宋体" w:hAnsi="宋体" w:eastAsia="宋体"/>
          <w:sz w:val="24"/>
          <w:szCs w:val="18"/>
        </w:rPr>
      </w:pPr>
      <w:r>
        <w:rPr>
          <w:rFonts w:hint="eastAsia" w:ascii="宋体" w:hAnsi="宋体"/>
          <w:sz w:val="24"/>
          <w:szCs w:val="18"/>
          <w:lang w:val="en-US" w:eastAsia="zh-CN"/>
        </w:rPr>
        <w:t>望湖城公共文化空间智能化设备采购</w:t>
      </w:r>
      <w:r>
        <w:rPr>
          <w:rFonts w:hint="eastAsia" w:ascii="宋体" w:hAnsi="宋体" w:eastAsia="宋体"/>
          <w:sz w:val="24"/>
          <w:szCs w:val="18"/>
          <w:lang w:val="en-US" w:eastAsia="zh-CN"/>
        </w:rPr>
        <w:t>项目是计划采购一定数量的网络设备、监控设备、一体机等，包含各系统安装调试及清单内未体现系统安装所需小设备的供货</w:t>
      </w:r>
      <w:r>
        <w:rPr>
          <w:rFonts w:hint="eastAsia" w:ascii="宋体" w:hAnsi="宋体" w:eastAsia="宋体"/>
          <w:sz w:val="24"/>
          <w:szCs w:val="18"/>
        </w:rPr>
        <w:t>、包装运输及保险、安装、调试、考核验收、培训</w:t>
      </w:r>
      <w:r>
        <w:rPr>
          <w:rFonts w:hint="eastAsia" w:ascii="宋体" w:hAnsi="宋体" w:eastAsia="宋体"/>
          <w:sz w:val="24"/>
          <w:szCs w:val="18"/>
          <w:lang w:val="en-US" w:eastAsia="zh-CN"/>
        </w:rPr>
        <w:t>,</w:t>
      </w:r>
      <w:r>
        <w:rPr>
          <w:rFonts w:hint="eastAsia" w:ascii="宋体" w:hAnsi="宋体" w:eastAsia="宋体"/>
          <w:sz w:val="24"/>
          <w:szCs w:val="18"/>
        </w:rPr>
        <w:t>交付后约定期限内免费维修保养服务、</w:t>
      </w:r>
      <w:r>
        <w:rPr>
          <w:rFonts w:hint="eastAsia" w:ascii="宋体" w:hAnsi="宋体" w:eastAsia="宋体"/>
          <w:sz w:val="24"/>
          <w:szCs w:val="18"/>
          <w:lang w:val="en-US" w:eastAsia="zh-CN"/>
        </w:rPr>
        <w:t>软件使用费、数字教材费、教学资源费、</w:t>
      </w:r>
      <w:r>
        <w:rPr>
          <w:rFonts w:hint="eastAsia" w:ascii="宋体" w:hAnsi="宋体" w:eastAsia="宋体"/>
          <w:sz w:val="24"/>
          <w:szCs w:val="18"/>
        </w:rPr>
        <w:t>税费等所有工作和应有费用</w:t>
      </w:r>
      <w:r>
        <w:rPr>
          <w:rFonts w:hint="eastAsia" w:ascii="宋体" w:hAnsi="宋体" w:eastAsia="宋体"/>
          <w:sz w:val="24"/>
          <w:szCs w:val="18"/>
          <w:lang w:eastAsia="zh-CN"/>
        </w:rPr>
        <w:t>。</w:t>
      </w:r>
    </w:p>
    <w:p w14:paraId="0AAC5DBE">
      <w:pPr>
        <w:spacing w:line="360" w:lineRule="auto"/>
        <w:ind w:firstLine="482" w:firstLineChars="200"/>
        <w:rPr>
          <w:rFonts w:hint="eastAsia"/>
          <w:lang w:eastAsia="zh-CN"/>
        </w:rPr>
      </w:pPr>
      <w:r>
        <w:rPr>
          <w:rFonts w:hint="eastAsia" w:ascii="宋体" w:hAnsi="宋体"/>
          <w:b/>
          <w:bCs/>
          <w:sz w:val="24"/>
          <w:szCs w:val="18"/>
        </w:rPr>
        <w:t>货物清单</w:t>
      </w:r>
      <w:r>
        <w:rPr>
          <w:rFonts w:hint="eastAsia" w:ascii="宋体" w:hAnsi="宋体"/>
          <w:b/>
          <w:bCs/>
          <w:sz w:val="24"/>
          <w:szCs w:val="18"/>
          <w:lang w:eastAsia="zh-CN"/>
        </w:rPr>
        <w:t>：</w:t>
      </w:r>
    </w:p>
    <w:tbl>
      <w:tblPr>
        <w:tblStyle w:val="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1275"/>
        <w:gridCol w:w="1455"/>
        <w:gridCol w:w="4946"/>
        <w:gridCol w:w="658"/>
        <w:gridCol w:w="658"/>
      </w:tblGrid>
      <w:tr w14:paraId="0E73D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9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765F1F14">
            <w:pPr>
              <w:pStyle w:val="60"/>
              <w:widowControl w:val="0"/>
              <w:spacing w:before="0" w:beforeAutospacing="0" w:after="0" w:afterAutospacing="0" w:line="360" w:lineRule="auto"/>
              <w:rPr>
                <w:rFonts w:hint="eastAsia" w:ascii="宋体" w:hAnsi="宋体" w:eastAsia="宋体" w:cs="宋体"/>
                <w:b/>
                <w:bCs/>
                <w:i w:val="0"/>
                <w:iCs w:val="0"/>
                <w:color w:val="000000"/>
                <w:kern w:val="0"/>
                <w:sz w:val="21"/>
                <w:szCs w:val="21"/>
                <w:u w:val="none"/>
                <w:lang w:val="en-US" w:eastAsia="zh-CN" w:bidi="ar"/>
              </w:rPr>
            </w:pPr>
            <w:r>
              <w:rPr>
                <w:rFonts w:hint="eastAsia" w:ascii="宋体" w:hAnsi="宋体"/>
                <w:bCs w:val="0"/>
                <w:sz w:val="21"/>
                <w:szCs w:val="21"/>
              </w:rPr>
              <w:t>标识重要性</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41F2D8">
            <w:pPr>
              <w:pStyle w:val="60"/>
              <w:widowControl w:val="0"/>
              <w:spacing w:before="0" w:beforeAutospacing="0" w:after="0" w:afterAutospacing="0" w:line="360" w:lineRule="auto"/>
              <w:rPr>
                <w:rFonts w:hint="eastAsia" w:ascii="宋体" w:hAnsi="宋体" w:eastAsia="宋体" w:cs="宋体"/>
                <w:b/>
                <w:bCs/>
                <w:i w:val="0"/>
                <w:iCs w:val="0"/>
                <w:color w:val="000000"/>
                <w:kern w:val="0"/>
                <w:sz w:val="21"/>
                <w:szCs w:val="21"/>
                <w:u w:val="none"/>
                <w:lang w:val="en-US" w:eastAsia="zh-CN" w:bidi="ar"/>
              </w:rPr>
            </w:pPr>
            <w:r>
              <w:rPr>
                <w:rFonts w:hint="eastAsia" w:ascii="宋体" w:hAnsi="宋体"/>
                <w:bCs w:val="0"/>
                <w:sz w:val="21"/>
                <w:szCs w:val="21"/>
              </w:rPr>
              <w:t>标识符号</w:t>
            </w:r>
          </w:p>
        </w:tc>
        <w:tc>
          <w:tcPr>
            <w:tcW w:w="62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14:paraId="71D4B859">
            <w:pPr>
              <w:pStyle w:val="60"/>
              <w:widowControl w:val="0"/>
              <w:spacing w:before="0" w:beforeAutospacing="0" w:after="0" w:afterAutospacing="0" w:line="360" w:lineRule="auto"/>
              <w:rPr>
                <w:rFonts w:hint="eastAsia" w:ascii="宋体" w:hAnsi="宋体" w:eastAsia="宋体" w:cs="宋体"/>
                <w:b/>
                <w:bCs/>
                <w:i w:val="0"/>
                <w:iCs w:val="0"/>
                <w:color w:val="000000"/>
                <w:kern w:val="0"/>
                <w:sz w:val="21"/>
                <w:szCs w:val="21"/>
                <w:u w:val="none"/>
                <w:lang w:val="en-US" w:eastAsia="zh-CN" w:bidi="ar"/>
              </w:rPr>
            </w:pPr>
            <w:r>
              <w:rPr>
                <w:rFonts w:hint="eastAsia" w:ascii="宋体" w:hAnsi="宋体"/>
                <w:bCs w:val="0"/>
                <w:sz w:val="21"/>
                <w:szCs w:val="21"/>
              </w:rPr>
              <w:t>代表意思</w:t>
            </w:r>
          </w:p>
        </w:tc>
      </w:tr>
      <w:tr w14:paraId="7B0F3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9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F2F2">
            <w:pPr>
              <w:pStyle w:val="60"/>
              <w:widowControl w:val="0"/>
              <w:spacing w:before="0" w:beforeAutospacing="0" w:after="0" w:afterAutospacing="0" w:line="360" w:lineRule="auto"/>
              <w:rPr>
                <w:rFonts w:hint="eastAsia" w:ascii="宋体" w:hAnsi="宋体" w:eastAsia="宋体" w:cs="宋体"/>
                <w:b/>
                <w:bCs/>
                <w:i w:val="0"/>
                <w:iCs w:val="0"/>
                <w:color w:val="000000"/>
                <w:kern w:val="0"/>
                <w:sz w:val="21"/>
                <w:szCs w:val="21"/>
                <w:u w:val="none"/>
                <w:lang w:val="en-US" w:eastAsia="zh-CN" w:bidi="ar"/>
              </w:rPr>
            </w:pPr>
            <w:r>
              <w:rPr>
                <w:rFonts w:hint="eastAsia" w:ascii="宋体" w:hAnsi="宋体"/>
                <w:bCs w:val="0"/>
                <w:sz w:val="21"/>
                <w:szCs w:val="21"/>
              </w:rPr>
              <w:t>重要指标项</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A18C">
            <w:pPr>
              <w:pStyle w:val="60"/>
              <w:widowControl w:val="0"/>
              <w:spacing w:before="0" w:beforeAutospacing="0" w:after="0" w:afterAutospacing="0" w:line="360" w:lineRule="auto"/>
              <w:rPr>
                <w:rFonts w:hint="eastAsia" w:ascii="宋体" w:hAnsi="宋体" w:eastAsia="宋体" w:cs="宋体"/>
                <w:b/>
                <w:bCs/>
                <w:i w:val="0"/>
                <w:iCs w:val="0"/>
                <w:color w:val="000000"/>
                <w:kern w:val="0"/>
                <w:sz w:val="21"/>
                <w:szCs w:val="21"/>
                <w:u w:val="none"/>
                <w:lang w:val="en-US" w:eastAsia="zh-CN" w:bidi="ar"/>
              </w:rPr>
            </w:pPr>
            <w:r>
              <w:rPr>
                <w:rFonts w:hint="eastAsia" w:ascii="宋体" w:hAnsi="宋体"/>
                <w:bCs w:val="0"/>
                <w:sz w:val="21"/>
                <w:szCs w:val="21"/>
              </w:rPr>
              <w:t>★</w:t>
            </w:r>
          </w:p>
        </w:tc>
        <w:tc>
          <w:tcPr>
            <w:tcW w:w="62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7F47">
            <w:pPr>
              <w:pStyle w:val="60"/>
              <w:widowControl w:val="0"/>
              <w:spacing w:before="0" w:beforeAutospacing="0" w:after="0" w:afterAutospacing="0" w:line="360" w:lineRule="auto"/>
              <w:rPr>
                <w:rFonts w:hint="eastAsia" w:ascii="宋体" w:hAnsi="宋体" w:eastAsia="宋体" w:cs="宋体"/>
                <w:b/>
                <w:bCs/>
                <w:i w:val="0"/>
                <w:iCs w:val="0"/>
                <w:color w:val="000000"/>
                <w:kern w:val="0"/>
                <w:sz w:val="21"/>
                <w:szCs w:val="21"/>
                <w:u w:val="none"/>
                <w:lang w:val="en-US" w:eastAsia="zh-CN" w:bidi="ar"/>
              </w:rPr>
            </w:pPr>
            <w:r>
              <w:rPr>
                <w:rFonts w:hint="eastAsia" w:ascii="宋体" w:hAnsi="宋体"/>
                <w:bCs w:val="0"/>
                <w:sz w:val="21"/>
                <w:szCs w:val="21"/>
              </w:rPr>
              <w:t>作为评分项，详见“第四章评标方法和标准”中评分细则。</w:t>
            </w:r>
          </w:p>
        </w:tc>
      </w:tr>
      <w:tr w14:paraId="19FFB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9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FF2C">
            <w:pPr>
              <w:pStyle w:val="60"/>
              <w:widowControl w:val="0"/>
              <w:spacing w:before="0" w:beforeAutospacing="0" w:after="0" w:afterAutospacing="0" w:line="360" w:lineRule="auto"/>
              <w:rPr>
                <w:rFonts w:hint="eastAsia" w:ascii="宋体" w:hAnsi="宋体" w:eastAsia="宋体" w:cs="宋体"/>
                <w:b/>
                <w:bCs/>
                <w:i w:val="0"/>
                <w:iCs w:val="0"/>
                <w:color w:val="000000"/>
                <w:kern w:val="0"/>
                <w:sz w:val="21"/>
                <w:szCs w:val="21"/>
                <w:u w:val="none"/>
                <w:lang w:val="en-US" w:eastAsia="zh-CN" w:bidi="ar"/>
              </w:rPr>
            </w:pPr>
            <w:r>
              <w:rPr>
                <w:rFonts w:hint="eastAsia" w:ascii="宋体" w:hAnsi="宋体"/>
                <w:bCs w:val="0"/>
                <w:sz w:val="21"/>
                <w:szCs w:val="21"/>
              </w:rPr>
              <w:t>无标识项</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9F0B">
            <w:pPr>
              <w:pStyle w:val="60"/>
              <w:widowControl w:val="0"/>
              <w:spacing w:before="0" w:beforeAutospacing="0" w:after="0" w:afterAutospacing="0" w:line="360" w:lineRule="auto"/>
              <w:rPr>
                <w:rFonts w:hint="eastAsia" w:ascii="宋体" w:hAnsi="宋体" w:eastAsia="宋体" w:cs="宋体"/>
                <w:b/>
                <w:bCs/>
                <w:i w:val="0"/>
                <w:iCs w:val="0"/>
                <w:color w:val="000000"/>
                <w:kern w:val="0"/>
                <w:sz w:val="21"/>
                <w:szCs w:val="21"/>
                <w:u w:val="none"/>
                <w:lang w:val="en-US" w:eastAsia="zh-CN" w:bidi="ar"/>
              </w:rPr>
            </w:pPr>
            <w:r>
              <w:rPr>
                <w:rFonts w:hint="eastAsia" w:ascii="宋体" w:hAnsi="宋体"/>
                <w:bCs w:val="0"/>
                <w:sz w:val="21"/>
                <w:szCs w:val="21"/>
              </w:rPr>
              <w:t>未标注“★”的条款</w:t>
            </w:r>
          </w:p>
        </w:tc>
        <w:tc>
          <w:tcPr>
            <w:tcW w:w="62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0F1A">
            <w:pPr>
              <w:pStyle w:val="60"/>
              <w:widowControl w:val="0"/>
              <w:spacing w:before="0" w:beforeAutospacing="0" w:after="0" w:afterAutospacing="0" w:line="360" w:lineRule="auto"/>
              <w:jc w:val="left"/>
              <w:rPr>
                <w:rFonts w:hint="eastAsia" w:ascii="宋体" w:hAnsi="宋体" w:eastAsia="宋体" w:cs="宋体"/>
                <w:b/>
                <w:bCs/>
                <w:i w:val="0"/>
                <w:iCs w:val="0"/>
                <w:color w:val="000000"/>
                <w:kern w:val="0"/>
                <w:sz w:val="21"/>
                <w:szCs w:val="21"/>
                <w:u w:val="none"/>
                <w:lang w:val="en-US" w:eastAsia="zh-CN" w:bidi="ar"/>
              </w:rPr>
            </w:pPr>
            <w:r>
              <w:rPr>
                <w:rFonts w:hint="eastAsia" w:ascii="宋体" w:hAnsi="宋体"/>
                <w:bCs w:val="0"/>
                <w:sz w:val="21"/>
                <w:szCs w:val="21"/>
              </w:rPr>
              <w:t>注：未标注“★”的条款，不作为评审项，但合同签订后将作为履约验收的依据，投标人须在投标文件中提供承诺，不提供则投标无效。承诺按投标文件进行验收，如不满足，招标人有权解除合同，中标人承担由此产生的一切后果及责任。</w:t>
            </w:r>
          </w:p>
        </w:tc>
      </w:tr>
      <w:tr w14:paraId="42C87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D8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0C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产品名称</w:t>
            </w:r>
          </w:p>
        </w:tc>
        <w:tc>
          <w:tcPr>
            <w:tcW w:w="6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BE50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产品规格</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854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65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r>
      <w:tr w14:paraId="35AD5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6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01F8">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一、教室一体机</w:t>
            </w:r>
          </w:p>
        </w:tc>
      </w:tr>
      <w:tr w14:paraId="3A7EB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E8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70C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教室一体机</w:t>
            </w:r>
          </w:p>
        </w:tc>
        <w:tc>
          <w:tcPr>
            <w:tcW w:w="6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5E775">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硬件基础设计：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1、整机显示尺寸≥</w:t>
            </w:r>
            <w:r>
              <w:rPr>
                <w:rFonts w:hint="eastAsia" w:ascii="宋体" w:hAnsi="宋体" w:cs="宋体"/>
                <w:i w:val="0"/>
                <w:iCs w:val="0"/>
                <w:color w:val="000000"/>
                <w:kern w:val="0"/>
                <w:sz w:val="21"/>
                <w:szCs w:val="21"/>
                <w:highlight w:val="none"/>
                <w:u w:val="none"/>
                <w:lang w:val="en-US" w:eastAsia="zh-CN" w:bidi="ar"/>
              </w:rPr>
              <w:t>65</w:t>
            </w:r>
            <w:r>
              <w:rPr>
                <w:rFonts w:hint="eastAsia" w:ascii="宋体" w:hAnsi="宋体" w:eastAsia="宋体" w:cs="宋体"/>
                <w:i w:val="0"/>
                <w:iCs w:val="0"/>
                <w:color w:val="000000"/>
                <w:kern w:val="0"/>
                <w:sz w:val="21"/>
                <w:szCs w:val="21"/>
                <w:highlight w:val="none"/>
                <w:u w:val="none"/>
                <w:lang w:val="en-US" w:eastAsia="zh-CN" w:bidi="ar"/>
              </w:rPr>
              <w:t>英寸</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物理分辨率≥3840*2160</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支持1</w:t>
            </w:r>
            <w:r>
              <w:rPr>
                <w:rFonts w:hint="eastAsia" w:ascii="宋体" w:hAnsi="宋体" w:eastAsia="宋体" w:cs="宋体"/>
                <w:i w:val="0"/>
                <w:iCs w:val="0"/>
                <w:color w:val="000000"/>
                <w:kern w:val="0"/>
                <w:sz w:val="21"/>
                <w:szCs w:val="21"/>
                <w:u w:val="none"/>
                <w:lang w:val="en-US" w:eastAsia="zh-CN" w:bidi="ar"/>
              </w:rPr>
              <w:t>0点触摸</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、触摸屏具有抗强光干扰功能</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触摸屏产品需要标配OPS接口，方便后期随时插入ops；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整机后置</w:t>
            </w:r>
            <w:r>
              <w:rPr>
                <w:rFonts w:hint="eastAsia" w:ascii="宋体" w:hAnsi="宋体" w:cs="宋体"/>
                <w:i w:val="0"/>
                <w:iCs w:val="0"/>
                <w:color w:val="000000"/>
                <w:kern w:val="0"/>
                <w:sz w:val="21"/>
                <w:szCs w:val="21"/>
                <w:highlight w:val="none"/>
                <w:u w:val="none"/>
                <w:lang w:val="en-US" w:eastAsia="zh-CN" w:bidi="ar"/>
              </w:rPr>
              <w:t>接口符合客户使用功能需求，可加外接接口</w:t>
            </w:r>
            <w:r>
              <w:rPr>
                <w:rFonts w:hint="eastAsia" w:ascii="宋体" w:hAnsi="宋体" w:eastAsia="宋体" w:cs="宋体"/>
                <w:i w:val="0"/>
                <w:iCs w:val="0"/>
                <w:color w:val="000000"/>
                <w:kern w:val="0"/>
                <w:sz w:val="21"/>
                <w:szCs w:val="21"/>
                <w:u w:val="none"/>
                <w:lang w:val="en-US" w:eastAsia="zh-CN" w:bidi="ar"/>
              </w:rPr>
              <w:t>；</w:t>
            </w:r>
          </w:p>
          <w:p w14:paraId="538B889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、★触摸屏支持OSD全触控菜单；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支持</w:t>
            </w:r>
            <w:r>
              <w:rPr>
                <w:rFonts w:hint="eastAsia" w:ascii="宋体" w:hAnsi="宋体" w:eastAsia="宋体" w:cs="宋体"/>
                <w:i w:val="0"/>
                <w:iCs w:val="0"/>
                <w:color w:val="000000"/>
                <w:kern w:val="0"/>
                <w:sz w:val="21"/>
                <w:szCs w:val="21"/>
                <w:u w:val="none"/>
                <w:lang w:val="en-US" w:eastAsia="zh-CN" w:bidi="ar"/>
              </w:rPr>
              <w:t>Windows系统OPS和安卓系统OPS，标准80PIN接口，支持即插即用；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、★触摸屏应满足《GB 4943.1-2011 信息技术设备 安全 第1部分通用要求》测试要求；</w:t>
            </w:r>
          </w:p>
          <w:p w14:paraId="49651CAD">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二、OPS主</w:t>
            </w:r>
            <w:r>
              <w:rPr>
                <w:rFonts w:hint="eastAsia" w:ascii="宋体" w:hAnsi="宋体" w:eastAsia="宋体" w:cs="宋体"/>
                <w:i w:val="0"/>
                <w:iCs w:val="0"/>
                <w:color w:val="000000"/>
                <w:kern w:val="0"/>
                <w:sz w:val="21"/>
                <w:szCs w:val="21"/>
                <w:highlight w:val="none"/>
                <w:u w:val="none"/>
                <w:lang w:val="en-US" w:eastAsia="zh-CN" w:bidi="ar"/>
              </w:rPr>
              <w:t>机：采用i5或以上处理器；8G内存或以上配置；存储空间256G SSD或以上配置；</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D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5F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10053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29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2A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辅材及施工</w:t>
            </w:r>
          </w:p>
        </w:tc>
        <w:tc>
          <w:tcPr>
            <w:tcW w:w="6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193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施工费含开槽费、修复费、相关设备费。</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B2C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EA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14:paraId="2FA18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6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A43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二、智能交互会议平板</w:t>
            </w:r>
          </w:p>
        </w:tc>
      </w:tr>
      <w:tr w14:paraId="3DA4B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6C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CA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86寸智能交互会议平板</w:t>
            </w:r>
          </w:p>
        </w:tc>
        <w:tc>
          <w:tcPr>
            <w:tcW w:w="6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9434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硬件基础设计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1、整机显示尺寸≥86英寸，采用LED液晶屏体，A规屏，显示比例为16:9，物理分辨率≥3840×2160，且整机支持20点同时触控；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整机具有还原物理按键；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、屏体具有物理防蓝光功能，对现实色彩进行色温的调节；</w:t>
            </w:r>
          </w:p>
          <w:p w14:paraId="6CA0DCB2">
            <w:pPr>
              <w:keepNext w:val="0"/>
              <w:keepLines w:val="0"/>
              <w:widowControl/>
              <w:numPr>
                <w:ilvl w:val="0"/>
                <w:numId w:val="0"/>
              </w:numPr>
              <w:suppressLineNumbers w:val="0"/>
              <w:jc w:val="left"/>
              <w:textAlignment w:val="center"/>
              <w:rPr>
                <w:rFonts w:hint="eastAsia" w:ascii="宋体" w:hAnsi="宋体" w:cs="宋体"/>
                <w:i w:val="0"/>
                <w:iCs w:val="0"/>
                <w:color w:val="0000FF"/>
                <w:kern w:val="0"/>
                <w:sz w:val="21"/>
                <w:szCs w:val="21"/>
                <w:highlight w:val="yellow"/>
                <w:u w:val="none"/>
                <w:lang w:val="en-US" w:eastAsia="zh-CN" w:bidi="ar"/>
              </w:rPr>
            </w:pP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、整机内置4K、1300W超高清一体化摄像头，支持降噪，摄像头支持扫描二维码功能；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、整机后置</w:t>
            </w:r>
            <w:r>
              <w:rPr>
                <w:rFonts w:hint="eastAsia" w:ascii="宋体" w:hAnsi="宋体" w:cs="宋体"/>
                <w:i w:val="0"/>
                <w:iCs w:val="0"/>
                <w:color w:val="000000"/>
                <w:kern w:val="0"/>
                <w:sz w:val="21"/>
                <w:szCs w:val="21"/>
                <w:highlight w:val="none"/>
                <w:u w:val="none"/>
                <w:lang w:val="en-US" w:eastAsia="zh-CN" w:bidi="ar"/>
              </w:rPr>
              <w:t>接口符合客户使用功能需求，可加外接接口；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、整机前面板具有标识的天线模块，包含 2.4G、5G 双频Wifi及蓝牙接发装置，Android与Windows均可无线上网；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二、电脑模式</w:t>
            </w:r>
            <w:r>
              <w:rPr>
                <w:rFonts w:hint="eastAsia" w:ascii="宋体" w:hAnsi="宋体" w:eastAsia="宋体" w:cs="宋体"/>
                <w:i w:val="0"/>
                <w:iCs w:val="0"/>
                <w:color w:val="000000"/>
                <w:kern w:val="0"/>
                <w:sz w:val="21"/>
                <w:szCs w:val="21"/>
                <w:highlight w:val="none"/>
                <w:u w:val="none"/>
                <w:lang w:val="en-US" w:eastAsia="zh-CN" w:bidi="ar"/>
              </w:rPr>
              <w:t>：采用i5第十一代处理器；8G内存或以上；存储空间256G SSD或以上配置。</w:t>
            </w:r>
          </w:p>
          <w:p w14:paraId="7A89E4A0">
            <w:pPr>
              <w:pStyle w:val="16"/>
              <w:rPr>
                <w:rFonts w:hint="default"/>
                <w:lang w:val="en-US"/>
              </w:rPr>
            </w:pPr>
            <w:r>
              <w:rPr>
                <w:rFonts w:hint="eastAsia" w:ascii="宋体" w:hAnsi="宋体" w:eastAsia="宋体" w:cs="宋体"/>
                <w:i w:val="0"/>
                <w:iCs w:val="0"/>
                <w:color w:val="000000"/>
                <w:kern w:val="0"/>
                <w:sz w:val="21"/>
                <w:szCs w:val="21"/>
                <w:u w:val="none"/>
                <w:lang w:val="en-US" w:eastAsia="zh-CN" w:bidi="ar"/>
              </w:rPr>
              <w:t>三、配套有线及无线投屏装置。</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2D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E6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6795E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BA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46D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移动支架</w:t>
            </w:r>
          </w:p>
        </w:tc>
        <w:tc>
          <w:tcPr>
            <w:tcW w:w="6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382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1、移动支架通过防倾斜实验；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2、承挂≥100kg，</w:t>
            </w:r>
            <w:r>
              <w:rPr>
                <w:rFonts w:hint="eastAsia" w:ascii="宋体" w:hAnsi="宋体" w:cs="宋体"/>
                <w:i w:val="0"/>
                <w:iCs w:val="0"/>
                <w:color w:val="000000"/>
                <w:kern w:val="0"/>
                <w:sz w:val="21"/>
                <w:szCs w:val="21"/>
                <w:highlight w:val="none"/>
                <w:u w:val="none"/>
                <w:lang w:val="en-US" w:eastAsia="zh-CN" w:bidi="ar"/>
              </w:rPr>
              <w:t>臂</w:t>
            </w:r>
            <w:r>
              <w:rPr>
                <w:rFonts w:hint="eastAsia" w:ascii="宋体" w:hAnsi="宋体" w:eastAsia="宋体" w:cs="宋体"/>
                <w:i w:val="0"/>
                <w:iCs w:val="0"/>
                <w:color w:val="000000"/>
                <w:kern w:val="0"/>
                <w:sz w:val="21"/>
                <w:szCs w:val="21"/>
                <w:highlight w:val="none"/>
                <w:u w:val="none"/>
                <w:lang w:val="en-US" w:eastAsia="zh-CN" w:bidi="ar"/>
              </w:rPr>
              <w:t>挂高度整体高度≥15</w:t>
            </w:r>
            <w:r>
              <w:rPr>
                <w:rFonts w:hint="eastAsia" w:ascii="宋体" w:hAnsi="宋体" w:cs="宋体"/>
                <w:i w:val="0"/>
                <w:iCs w:val="0"/>
                <w:color w:val="000000"/>
                <w:kern w:val="0"/>
                <w:sz w:val="21"/>
                <w:szCs w:val="21"/>
                <w:highlight w:val="none"/>
                <w:u w:val="none"/>
                <w:lang w:val="en-US" w:eastAsia="zh-CN" w:bidi="ar"/>
              </w:rPr>
              <w:t>00</w:t>
            </w:r>
            <w:r>
              <w:rPr>
                <w:rFonts w:hint="eastAsia" w:ascii="宋体" w:hAnsi="宋体" w:eastAsia="宋体" w:cs="宋体"/>
                <w:i w:val="0"/>
                <w:iCs w:val="0"/>
                <w:color w:val="000000"/>
                <w:kern w:val="0"/>
                <w:sz w:val="21"/>
                <w:szCs w:val="21"/>
                <w:highlight w:val="none"/>
                <w:u w:val="none"/>
                <w:lang w:val="en-US" w:eastAsia="zh-CN" w:bidi="ar"/>
              </w:rPr>
              <w:t xml:space="preserve">mm；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3、托盘承重 25KG,模具设置 U 型置物槽；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 xml:space="preserve">、脚轮为万向轮，均带脚刹； </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FE8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AA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14:paraId="00F9B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6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57C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三、网络设备</w:t>
            </w:r>
          </w:p>
        </w:tc>
      </w:tr>
      <w:tr w14:paraId="51471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01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A2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出口网关</w:t>
            </w:r>
          </w:p>
        </w:tc>
        <w:tc>
          <w:tcPr>
            <w:tcW w:w="6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5AF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1.10个10/100/1000M电口。内存：1024MB，FLASH：256MB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 xml:space="preserve">.在旁挂AC模式，最大可管理数量为500。在网关模式下，最大可管理数量为150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 xml:space="preserve">.支持PPPoE拨号、PPPoE Server（最大300条）、DHCP Client、静态IP接入，同时支持接入方式自动识别、WAN口地址冲突自动规避、MAC克隆、从旧路由器获取账号密码等功能。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.安全功能：ACL、IP-MAC绑定、MAC地址过滤、动态ARP、静态ARP绑定、NAT、NAPT、端口映射</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49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3B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177BB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4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4C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核心交换机</w:t>
            </w:r>
          </w:p>
        </w:tc>
        <w:tc>
          <w:tcPr>
            <w:tcW w:w="6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896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1.固化端口：≥24个10/100/1000Mbps电口，≥4个SFP光口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2.交换容量≥396Gbps/3.36Tbps，包转发率≥108Mpps/144Mpps</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8C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87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79BF1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C4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A3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24口POE交换机</w:t>
            </w:r>
          </w:p>
        </w:tc>
        <w:tc>
          <w:tcPr>
            <w:tcW w:w="6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BC7CF">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实配固化千兆电接口数≥24个，千兆SFP光口≥4个</w:t>
            </w:r>
          </w:p>
          <w:p w14:paraId="70A8FF7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2.支持PoE供电口≥24个，整机PoE输出功率≥370W，单口最大输出功率≥30W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3.内存256MB，交换容量≥336Gbps，包转发率≥78Mpps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 xml:space="preserve">.支持生成树 STP / RSTP   </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CE9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37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207A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A1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9C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放装AP</w:t>
            </w:r>
          </w:p>
        </w:tc>
        <w:tc>
          <w:tcPr>
            <w:tcW w:w="6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292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1.支持标准802.11ax 、802.11ac wave2、wave1、802.11a/b/g/n协议。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 xml:space="preserve">.标准吸顶部署AP，提供1个10/1 源口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 xml:space="preserve">.支持EFEM，2.4G发射功率≤25 dBm，5G发射功率≤25 dBm                     </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CD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D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286E6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CBA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1EB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辅材及施工</w:t>
            </w:r>
          </w:p>
        </w:tc>
        <w:tc>
          <w:tcPr>
            <w:tcW w:w="6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FF59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辅材含六类非屏蔽网线、水晶头、理线架、配管、9U壁柜</w:t>
            </w:r>
          </w:p>
          <w:p w14:paraId="5DFD8237">
            <w:pPr>
              <w:keepNext w:val="0"/>
              <w:keepLines w:val="0"/>
              <w:widowControl/>
              <w:suppressLineNumbers w:val="0"/>
              <w:jc w:val="left"/>
              <w:textAlignment w:val="center"/>
              <w:rPr>
                <w:rFonts w:hint="default"/>
                <w:lang w:val="en-US" w:eastAsia="zh-CN"/>
              </w:rPr>
            </w:pPr>
            <w:r>
              <w:rPr>
                <w:rFonts w:hint="eastAsia" w:ascii="宋体" w:hAnsi="宋体" w:eastAsia="宋体" w:cs="宋体"/>
                <w:i w:val="0"/>
                <w:iCs w:val="0"/>
                <w:color w:val="000000"/>
                <w:kern w:val="0"/>
                <w:sz w:val="21"/>
                <w:szCs w:val="21"/>
                <w:u w:val="none"/>
                <w:lang w:val="en-US" w:eastAsia="zh-CN" w:bidi="ar"/>
              </w:rPr>
              <w:t>施工费含开槽费.修复费相关辅材及施工费用</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535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3BC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项</w:t>
            </w:r>
          </w:p>
        </w:tc>
      </w:tr>
      <w:tr w14:paraId="75462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6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DEEC">
            <w:pPr>
              <w:keepNext w:val="0"/>
              <w:keepLines w:val="0"/>
              <w:widowControl/>
              <w:suppressLineNumbers w:val="0"/>
              <w:tabs>
                <w:tab w:val="left" w:pos="1840"/>
              </w:tabs>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四、监控设备</w:t>
            </w:r>
          </w:p>
        </w:tc>
      </w:tr>
      <w:tr w14:paraId="01ED9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E5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F6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人脸抓拍摄像机</w:t>
            </w:r>
          </w:p>
        </w:tc>
        <w:tc>
          <w:tcPr>
            <w:tcW w:w="6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685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1、分辨率不小于2560×1440@25fps，分辨力不小于1500TVL；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、支持H.264、H.265、MJPEG视频编码格式，且具有High Profile编码能力；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、内置GPU芯片；支持侧脸过滤功能；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、支持人数统计功能，支持设置最多8个多边形人数统计区域，可分别设置不同区域的报警类型、报警时间间隔；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、支持抓拍报警统计、报警质量统计、设备重启和布防动态报警数据感知与记录功能；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、不低于IP67防尘防水等级。</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4A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AA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5E257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82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6A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智能警戒球机</w:t>
            </w:r>
          </w:p>
        </w:tc>
        <w:tc>
          <w:tcPr>
            <w:tcW w:w="6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9258A">
            <w:pPr>
              <w:keepNext w:val="0"/>
              <w:keepLines w:val="0"/>
              <w:widowControl/>
              <w:numPr>
                <w:ilvl w:val="0"/>
                <w:numId w:val="6"/>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主码流支持2560x1440；设备靶面尺寸为1/2.8英寸；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、支持300个预置位，可按照所设置的预置位完成大于8条巡航路径。支持预置位视频冻结功能；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、具有H.264、H.265、MJPEG设置选项，可将H.264、H.265格式设置为High Profile/Main/Baseline；</w:t>
            </w:r>
          </w:p>
          <w:p w14:paraId="6850094D">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、设备在专用聚焦模式下具有3种聚焦功能：前景聚焦、后景聚焦、区域聚焦</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ED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25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72352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456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CB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网络枪式摄像机</w:t>
            </w:r>
          </w:p>
        </w:tc>
        <w:tc>
          <w:tcPr>
            <w:tcW w:w="6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28811">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★图像最大分辨率不低于2560x1440；</w:t>
            </w:r>
          </w:p>
          <w:p w14:paraId="6B069DFD">
            <w:pPr>
              <w:keepNext w:val="0"/>
              <w:keepLines w:val="0"/>
              <w:widowControl/>
              <w:numPr>
                <w:ilvl w:val="0"/>
                <w:numId w:val="7"/>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信噪比不小于55dB；</w:t>
            </w:r>
          </w:p>
          <w:p w14:paraId="6CC51593">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、支持IP66防尘防水；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、支持DC12V或poe供电；</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、靶面尺寸为1/2.7英寸。</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90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9C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55206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B3B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47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网络半球摄像机</w:t>
            </w:r>
          </w:p>
        </w:tc>
        <w:tc>
          <w:tcPr>
            <w:tcW w:w="6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4318C">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图</w:t>
            </w:r>
            <w:r>
              <w:rPr>
                <w:rFonts w:hint="eastAsia" w:ascii="宋体" w:hAnsi="宋体" w:eastAsia="宋体" w:cs="宋体"/>
                <w:i w:val="0"/>
                <w:iCs w:val="0"/>
                <w:color w:val="000000"/>
                <w:kern w:val="0"/>
                <w:sz w:val="21"/>
                <w:szCs w:val="21"/>
                <w:highlight w:val="none"/>
                <w:u w:val="none"/>
                <w:lang w:val="en-US" w:eastAsia="zh-CN" w:bidi="ar"/>
              </w:rPr>
              <w:t>像最大分辨率不低于2560x1440；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2、靶面尺寸为1/2.7英寸；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3、支持IP66防尘防水；</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4、支持DC12V或poe供电；</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、信噪比不小于55dB。</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FD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D0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19BC4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53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F9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32路4盘位网络硬盘录像机</w:t>
            </w:r>
          </w:p>
        </w:tc>
        <w:tc>
          <w:tcPr>
            <w:tcW w:w="6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BA75D">
            <w:pPr>
              <w:keepNext w:val="0"/>
              <w:keepLines w:val="0"/>
              <w:widowControl/>
              <w:numPr>
                <w:ilvl w:val="0"/>
                <w:numId w:val="8"/>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不少于</w:t>
            </w:r>
            <w:r>
              <w:rPr>
                <w:rFonts w:hint="eastAsia" w:ascii="宋体" w:hAnsi="宋体" w:eastAsia="宋体" w:cs="宋体"/>
                <w:i w:val="0"/>
                <w:iCs w:val="0"/>
                <w:color w:val="000000"/>
                <w:kern w:val="0"/>
                <w:sz w:val="21"/>
                <w:szCs w:val="21"/>
                <w:u w:val="none"/>
                <w:lang w:val="en-US" w:eastAsia="zh-CN" w:bidi="ar"/>
              </w:rPr>
              <w:t>1个HDMI、1个VGA接口、2个千兆以太网口、3个USB2.0接口、内置4个SATA硬盘接口；1路RCA音频输入接口、1路RCA音频输出接口；16路报警输入接口、4路报警输出接口；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2、最大接入路数32路。满负载条件下的最大接入带宽160Mbps、最大存储带宽128Mbps、最大转发带宽128Mbps；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、支持开启SVC解码功能，可同时回放5路400W分辨率、H.264/H.265编码格式的视频图像，解码总资源为10个1920×1080格式的视频图像；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、可同时显示输出10路H.265/H.264编码、25fps、1920×1080格式的视频图像；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、网络容错：可将多个网口设置同一IP地址，其中任一网口损坏时，仍能正常工作；</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FA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B2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5D0CB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D2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E5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8T监控硬盘</w:t>
            </w:r>
          </w:p>
        </w:tc>
        <w:tc>
          <w:tcPr>
            <w:tcW w:w="6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EF9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8TB</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转速：5400RPM  缓存：256MB</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82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11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r>
      <w:tr w14:paraId="4B983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FE7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F24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辅材及施工</w:t>
            </w:r>
          </w:p>
        </w:tc>
        <w:tc>
          <w:tcPr>
            <w:tcW w:w="6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4B9E97">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辅材含</w:t>
            </w:r>
            <w:r>
              <w:rPr>
                <w:rFonts w:hint="eastAsia" w:ascii="宋体" w:hAnsi="宋体" w:eastAsia="宋体" w:cs="宋体"/>
                <w:i w:val="0"/>
                <w:iCs w:val="0"/>
                <w:color w:val="000000"/>
                <w:kern w:val="0"/>
                <w:sz w:val="21"/>
                <w:szCs w:val="21"/>
                <w:highlight w:val="none"/>
                <w:u w:val="none"/>
                <w:lang w:val="en-US" w:eastAsia="zh-CN" w:bidi="ar"/>
              </w:rPr>
              <w:t>六类非屏蔽网线</w:t>
            </w:r>
            <w:r>
              <w:rPr>
                <w:rFonts w:hint="eastAsia" w:ascii="宋体" w:hAnsi="宋体" w:cs="宋体"/>
                <w:i w:val="0"/>
                <w:iCs w:val="0"/>
                <w:color w:val="000000"/>
                <w:kern w:val="0"/>
                <w:sz w:val="21"/>
                <w:szCs w:val="21"/>
                <w:highlight w:val="none"/>
                <w:u w:val="none"/>
                <w:lang w:val="en-US" w:eastAsia="zh-CN" w:bidi="ar"/>
              </w:rPr>
              <w:t>、水晶头、</w:t>
            </w:r>
            <w:r>
              <w:rPr>
                <w:rFonts w:hint="eastAsia" w:ascii="宋体" w:hAnsi="宋体" w:eastAsia="宋体" w:cs="宋体"/>
                <w:i w:val="0"/>
                <w:iCs w:val="0"/>
                <w:color w:val="000000"/>
                <w:kern w:val="0"/>
                <w:sz w:val="21"/>
                <w:szCs w:val="21"/>
                <w:highlight w:val="none"/>
                <w:u w:val="none"/>
                <w:lang w:val="en-US" w:eastAsia="zh-CN" w:bidi="ar"/>
              </w:rPr>
              <w:t>理线架</w:t>
            </w:r>
            <w:r>
              <w:rPr>
                <w:rFonts w:hint="eastAsia" w:ascii="宋体" w:hAnsi="宋体" w:cs="宋体"/>
                <w:i w:val="0"/>
                <w:iCs w:val="0"/>
                <w:color w:val="000000"/>
                <w:kern w:val="0"/>
                <w:sz w:val="21"/>
                <w:szCs w:val="21"/>
                <w:highlight w:val="none"/>
                <w:u w:val="none"/>
                <w:lang w:val="en-US" w:eastAsia="zh-CN" w:bidi="ar"/>
              </w:rPr>
              <w:t>、</w:t>
            </w:r>
            <w:r>
              <w:rPr>
                <w:rStyle w:val="194"/>
                <w:sz w:val="21"/>
                <w:szCs w:val="21"/>
                <w:highlight w:val="none"/>
                <w:lang w:val="en-US" w:eastAsia="zh-CN" w:bidi="ar"/>
              </w:rPr>
              <w:t>配管、</w:t>
            </w:r>
            <w:r>
              <w:rPr>
                <w:rStyle w:val="194"/>
                <w:rFonts w:hint="eastAsia"/>
                <w:sz w:val="21"/>
                <w:szCs w:val="21"/>
                <w:highlight w:val="none"/>
                <w:lang w:val="en-US" w:eastAsia="zh-CN" w:bidi="ar"/>
              </w:rPr>
              <w:t>电缆、配套立杆、配套摄像机支架、防水箱、</w:t>
            </w:r>
            <w:r>
              <w:rPr>
                <w:rFonts w:hint="eastAsia" w:ascii="宋体" w:hAnsi="宋体" w:eastAsia="宋体" w:cs="宋体"/>
                <w:i w:val="0"/>
                <w:iCs w:val="0"/>
                <w:color w:val="000000"/>
                <w:kern w:val="0"/>
                <w:sz w:val="21"/>
                <w:szCs w:val="21"/>
                <w:u w:val="none"/>
                <w:lang w:val="en-US" w:eastAsia="zh-CN" w:bidi="ar"/>
              </w:rPr>
              <w:t>9U壁柜</w:t>
            </w:r>
            <w:r>
              <w:rPr>
                <w:rFonts w:hint="eastAsia" w:ascii="宋体" w:hAnsi="宋体" w:cs="宋体"/>
                <w:i w:val="0"/>
                <w:iCs w:val="0"/>
                <w:color w:val="000000"/>
                <w:kern w:val="0"/>
                <w:sz w:val="21"/>
                <w:szCs w:val="21"/>
                <w:u w:val="none"/>
                <w:lang w:val="en-US" w:eastAsia="zh-CN" w:bidi="ar"/>
              </w:rPr>
              <w:t>等</w:t>
            </w:r>
          </w:p>
          <w:p w14:paraId="6641D93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施工费含开槽费.修复费相关辅材及施工费用</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A2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36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项</w:t>
            </w:r>
          </w:p>
        </w:tc>
      </w:tr>
      <w:tr w14:paraId="4A8E9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3CC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1B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24口POE交换机</w:t>
            </w:r>
          </w:p>
        </w:tc>
        <w:tc>
          <w:tcPr>
            <w:tcW w:w="6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964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1、可用千兆PoE电接口数量≥24，千兆光口数量≥2；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2、交换容量≥52 Gpbs；转发性能≥38.69 Mpps；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、支持自适应802.3af/at供电标准；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、支持6KV防浪涌（PoE口）；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、支持IEEE 802.3、IEEE 802.3u、IEEE 802.3x、IEEE 802.3ab、IEEE 802.3z；</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BA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8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4E617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05CF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38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8口POE交换机</w:t>
            </w:r>
          </w:p>
        </w:tc>
        <w:tc>
          <w:tcPr>
            <w:tcW w:w="6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07F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1、提供8个千兆PoE电口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2、交换容量：16 Gbps包转发率：11.91 Mpps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、支持IEEE 802.3at/af</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、支持IEEE 802.3、IEEE 802.3u、IEEE 802.3x、IEEE 802.3ab、IEEE 802.3z 支持6 KV防浪涌（PoE口）</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ED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AF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7A9E7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D67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A3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智能电源时序器</w:t>
            </w:r>
          </w:p>
        </w:tc>
        <w:tc>
          <w:tcPr>
            <w:tcW w:w="6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E7C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1、电力输入条件(单相3线)：AC90-260V 50-60HZ两相（三线：零，火，地）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2、8路万用插座继电器受控与2路万用插座直接输出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3、继电器受控输出最大承受单路功率/总功率(无功功率）：5000W/8000W最大承受无功功率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4、每路开关间隔时间/定时时间：1秒</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0F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39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93E5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A66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03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42U机柜</w:t>
            </w:r>
          </w:p>
        </w:tc>
        <w:tc>
          <w:tcPr>
            <w:tcW w:w="6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0D0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1.前钢化玻璃门，框架式结构。2.规格尺寸：600*600*2000（mm）。</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799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DE9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6D0CF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9EB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02BB">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防撞拒马</w:t>
            </w:r>
          </w:p>
        </w:tc>
        <w:tc>
          <w:tcPr>
            <w:tcW w:w="6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7D0B2">
            <w:pPr>
              <w:keepNext w:val="0"/>
              <w:keepLines w:val="0"/>
              <w:widowControl/>
              <w:suppressLineNumbers w:val="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黄黑色3.0m长*1.2m高</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6A8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C0F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个</w:t>
            </w:r>
          </w:p>
        </w:tc>
      </w:tr>
      <w:tr w14:paraId="7C755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6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37EF">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五、音响设备</w:t>
            </w:r>
          </w:p>
        </w:tc>
      </w:tr>
      <w:tr w14:paraId="2C79D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6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25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无源全频音箱</w:t>
            </w:r>
          </w:p>
        </w:tc>
        <w:tc>
          <w:tcPr>
            <w:tcW w:w="6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56C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1、额定功率 380W峰值功率 760W输入阻抗 4 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2、频响范围  55Hz - 20KHz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、覆盖角度(H×V) -6dB 水平: 100 °垂直: 70 °</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79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99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0FF45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CC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2B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三合一多功能功放</w:t>
            </w:r>
          </w:p>
        </w:tc>
        <w:tc>
          <w:tcPr>
            <w:tcW w:w="6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606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额定输出功率：420W*2(8Ω）， 630W*2(4Ω）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1、具有五路话筒输入通道，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 xml:space="preserve">、内置USB和SD卡的MP3播放器,采用双大屏幕显示,配置MP3遥控器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、蓝牙功能</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 xml:space="preserve">三路外接音乐信号输入，一路音频信号输出              </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DF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BA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66694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679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75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音响</w:t>
            </w:r>
            <w:r>
              <w:rPr>
                <w:rFonts w:hint="eastAsia" w:ascii="宋体" w:hAnsi="宋体" w:cs="宋体"/>
                <w:i w:val="0"/>
                <w:iCs w:val="0"/>
                <w:color w:val="000000"/>
                <w:kern w:val="0"/>
                <w:sz w:val="21"/>
                <w:szCs w:val="21"/>
                <w:u w:val="none"/>
                <w:lang w:val="en-US" w:eastAsia="zh-CN" w:bidi="ar"/>
              </w:rPr>
              <w:t>辅材及</w:t>
            </w:r>
            <w:r>
              <w:rPr>
                <w:rFonts w:hint="eastAsia" w:ascii="宋体" w:hAnsi="宋体" w:eastAsia="宋体" w:cs="宋体"/>
                <w:i w:val="0"/>
                <w:iCs w:val="0"/>
                <w:color w:val="000000"/>
                <w:kern w:val="0"/>
                <w:sz w:val="21"/>
                <w:szCs w:val="21"/>
                <w:u w:val="none"/>
                <w:lang w:val="en-US" w:eastAsia="zh-CN" w:bidi="ar"/>
              </w:rPr>
              <w:t>施工费</w:t>
            </w:r>
          </w:p>
        </w:tc>
        <w:tc>
          <w:tcPr>
            <w:tcW w:w="6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C320D">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辅材含信号线</w:t>
            </w:r>
            <w:r>
              <w:rPr>
                <w:rStyle w:val="194"/>
                <w:rFonts w:hint="eastAsia"/>
                <w:sz w:val="21"/>
                <w:szCs w:val="21"/>
                <w:highlight w:val="none"/>
                <w:lang w:val="en-US" w:eastAsia="zh-CN" w:bidi="ar"/>
              </w:rPr>
              <w:t>、壁挂支架（承重≥35kg）、</w:t>
            </w:r>
            <w:r>
              <w:rPr>
                <w:rFonts w:hint="eastAsia" w:ascii="宋体" w:hAnsi="宋体" w:eastAsia="宋体" w:cs="宋体"/>
                <w:i w:val="0"/>
                <w:iCs w:val="0"/>
                <w:color w:val="000000"/>
                <w:kern w:val="0"/>
                <w:sz w:val="21"/>
                <w:szCs w:val="21"/>
                <w:u w:val="none"/>
                <w:lang w:val="en-US" w:eastAsia="zh-CN" w:bidi="ar"/>
              </w:rPr>
              <w:t>9U壁柜</w:t>
            </w:r>
            <w:r>
              <w:rPr>
                <w:rFonts w:hint="eastAsia" w:ascii="宋体" w:hAnsi="宋体" w:cs="宋体"/>
                <w:i w:val="0"/>
                <w:iCs w:val="0"/>
                <w:color w:val="000000"/>
                <w:kern w:val="0"/>
                <w:sz w:val="21"/>
                <w:szCs w:val="21"/>
                <w:u w:val="none"/>
                <w:lang w:val="en-US" w:eastAsia="zh-CN" w:bidi="ar"/>
              </w:rPr>
              <w:t>等</w:t>
            </w:r>
          </w:p>
          <w:p w14:paraId="61B8E2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施工费含开槽费.修复费相关辅材及施工费用</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DF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68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bl>
    <w:p w14:paraId="53324AEF">
      <w:pPr>
        <w:spacing w:line="360" w:lineRule="auto"/>
        <w:rPr>
          <w:rFonts w:hint="eastAsia" w:ascii="宋体" w:hAnsi="宋体"/>
          <w:b/>
          <w:bCs/>
          <w:sz w:val="24"/>
          <w:szCs w:val="18"/>
        </w:rPr>
      </w:pPr>
    </w:p>
    <w:p w14:paraId="22646AE0">
      <w:pPr>
        <w:spacing w:line="360" w:lineRule="auto"/>
        <w:ind w:left="437"/>
        <w:rPr>
          <w:rFonts w:ascii="宋体" w:hAnsi="宋体"/>
          <w:b/>
          <w:bCs/>
          <w:sz w:val="24"/>
          <w:szCs w:val="18"/>
        </w:rPr>
      </w:pPr>
      <w:r>
        <w:rPr>
          <w:rFonts w:hint="eastAsia" w:ascii="宋体" w:hAnsi="宋体"/>
          <w:b/>
          <w:bCs/>
          <w:sz w:val="24"/>
          <w:szCs w:val="18"/>
        </w:rPr>
        <w:t>三、报价要求</w:t>
      </w:r>
    </w:p>
    <w:p w14:paraId="29431471">
      <w:pPr>
        <w:spacing w:line="360" w:lineRule="auto"/>
        <w:ind w:firstLine="482" w:firstLineChars="200"/>
        <w:rPr>
          <w:rFonts w:ascii="宋体" w:hAnsi="宋体"/>
          <w:b/>
          <w:bCs/>
          <w:sz w:val="24"/>
          <w:szCs w:val="18"/>
        </w:rPr>
      </w:pPr>
      <w:r>
        <w:rPr>
          <w:rFonts w:hint="eastAsia" w:ascii="宋体" w:hAnsi="宋体" w:eastAsia="宋体"/>
          <w:b/>
          <w:bCs/>
          <w:sz w:val="24"/>
          <w:szCs w:val="18"/>
        </w:rPr>
        <w:t>本项目以总价定标</w:t>
      </w:r>
      <w:r>
        <w:rPr>
          <w:rFonts w:hint="eastAsia" w:ascii="宋体" w:hAnsi="宋体" w:eastAsia="宋体"/>
          <w:b/>
          <w:bCs/>
          <w:sz w:val="24"/>
          <w:szCs w:val="18"/>
          <w:lang w:eastAsia="zh-CN"/>
        </w:rPr>
        <w:t>，</w:t>
      </w:r>
      <w:r>
        <w:rPr>
          <w:rFonts w:hint="eastAsia" w:ascii="宋体" w:hAnsi="宋体" w:eastAsia="宋体"/>
          <w:b/>
          <w:bCs/>
          <w:sz w:val="24"/>
          <w:szCs w:val="18"/>
          <w:lang w:val="en-US" w:eastAsia="zh-CN"/>
        </w:rPr>
        <w:t>报价总价不得超总控制价，否则响应无效。</w:t>
      </w:r>
      <w:r>
        <w:rPr>
          <w:rFonts w:hint="eastAsia" w:ascii="宋体" w:hAnsi="宋体" w:eastAsia="宋体"/>
          <w:sz w:val="24"/>
          <w:szCs w:val="18"/>
        </w:rPr>
        <w:t>投标人的报价</w:t>
      </w:r>
      <w:r>
        <w:rPr>
          <w:rFonts w:hint="eastAsia" w:ascii="宋体" w:hAnsi="宋体"/>
          <w:sz w:val="24"/>
          <w:szCs w:val="18"/>
        </w:rPr>
        <w:t>应包含不限于所投货物、</w:t>
      </w:r>
      <w:r>
        <w:rPr>
          <w:rFonts w:hint="eastAsia" w:ascii="宋体" w:hAnsi="宋体"/>
          <w:sz w:val="24"/>
          <w:szCs w:val="18"/>
          <w:lang w:val="en-US" w:eastAsia="zh-CN"/>
        </w:rPr>
        <w:t>达到可使用状态的全部辅材、</w:t>
      </w:r>
      <w:r>
        <w:rPr>
          <w:rFonts w:hint="eastAsia" w:ascii="宋体" w:hAnsi="宋体"/>
          <w:sz w:val="24"/>
          <w:szCs w:val="18"/>
        </w:rPr>
        <w:t>保险、税费、包装、加工及加工损耗、运输、现场落地、安装及安装损耗、调试、检测、验收、施工措施、规费税金和交付后约定期限内免费维保等工作所发生的一切应有费用，后期不再追加任何费用。以上所有费用均由成交投标人承担，投标人应自行考虑本项目报价风险。</w:t>
      </w:r>
    </w:p>
    <w:p w14:paraId="50A361C6">
      <w:pPr>
        <w:spacing w:line="360" w:lineRule="auto"/>
        <w:ind w:left="630"/>
        <w:rPr>
          <w:rFonts w:ascii="宋体" w:hAnsi="宋体"/>
          <w:b/>
          <w:bCs/>
          <w:sz w:val="24"/>
          <w:szCs w:val="18"/>
        </w:rPr>
      </w:pPr>
      <w:r>
        <w:rPr>
          <w:rFonts w:hint="eastAsia" w:ascii="宋体" w:hAnsi="宋体"/>
          <w:b/>
          <w:bCs/>
          <w:sz w:val="24"/>
          <w:szCs w:val="18"/>
        </w:rPr>
        <w:t>四、其他要求</w:t>
      </w:r>
    </w:p>
    <w:p w14:paraId="327BE2E4">
      <w:pPr>
        <w:spacing w:line="440" w:lineRule="exact"/>
        <w:ind w:firstLine="359" w:firstLineChars="171"/>
        <w:rPr>
          <w:rFonts w:hint="eastAsia" w:ascii="宋体" w:hAnsi="宋体"/>
          <w:color w:val="auto"/>
          <w:szCs w:val="21"/>
          <w:lang w:val="en-US" w:eastAsia="zh-CN"/>
        </w:rPr>
      </w:pPr>
      <w:r>
        <w:rPr>
          <w:rFonts w:hint="eastAsia" w:ascii="宋体" w:hAnsi="宋体"/>
          <w:color w:val="auto"/>
          <w:szCs w:val="21"/>
        </w:rPr>
        <w:t>1.所有货物的供货、包装运输及保险、装卸、</w:t>
      </w:r>
      <w:r>
        <w:rPr>
          <w:rFonts w:hint="eastAsia" w:ascii="宋体" w:hAnsi="宋体"/>
          <w:b/>
          <w:bCs/>
          <w:color w:val="auto"/>
          <w:szCs w:val="21"/>
          <w:lang w:val="en-US" w:eastAsia="zh-CN"/>
        </w:rPr>
        <w:t>穿线</w:t>
      </w:r>
      <w:r>
        <w:rPr>
          <w:rFonts w:hint="eastAsia" w:ascii="宋体" w:hAnsi="宋体"/>
          <w:b/>
          <w:bCs/>
          <w:color w:val="auto"/>
          <w:szCs w:val="21"/>
        </w:rPr>
        <w:t>安装、</w:t>
      </w:r>
      <w:r>
        <w:rPr>
          <w:rFonts w:hint="eastAsia"/>
          <w:b/>
          <w:bCs/>
          <w:snapToGrid w:val="0"/>
          <w:color w:val="auto"/>
          <w:kern w:val="0"/>
          <w:szCs w:val="21"/>
          <w:highlight w:val="none"/>
          <w:lang w:val="en-US" w:eastAsia="zh-CN"/>
        </w:rPr>
        <w:t>桥架改造、教室线路设备改造</w:t>
      </w:r>
      <w:r>
        <w:rPr>
          <w:rFonts w:hint="eastAsia"/>
          <w:bCs/>
          <w:snapToGrid w:val="0"/>
          <w:color w:val="auto"/>
          <w:kern w:val="0"/>
          <w:szCs w:val="21"/>
          <w:highlight w:val="none"/>
          <w:lang w:val="en-US" w:eastAsia="zh-CN"/>
        </w:rPr>
        <w:t>、</w:t>
      </w:r>
      <w:r>
        <w:rPr>
          <w:rFonts w:hint="eastAsia" w:ascii="宋体" w:hAnsi="宋体"/>
          <w:color w:val="auto"/>
          <w:szCs w:val="21"/>
        </w:rPr>
        <w:t>调试、考核验收、培训及交付后约定期限内免费维修保养服务等全部内容</w:t>
      </w:r>
      <w:r>
        <w:rPr>
          <w:rFonts w:hint="eastAsia" w:ascii="宋体" w:hAnsi="宋体"/>
          <w:color w:val="auto"/>
          <w:szCs w:val="21"/>
          <w:lang w:eastAsia="zh-CN"/>
        </w:rPr>
        <w:t>，</w:t>
      </w:r>
      <w:r>
        <w:rPr>
          <w:rFonts w:hint="eastAsia" w:ascii="宋体" w:hAnsi="宋体"/>
          <w:color w:val="auto"/>
          <w:szCs w:val="21"/>
          <w:lang w:val="en-US" w:eastAsia="zh-CN"/>
        </w:rPr>
        <w:t>费用已包含在投标报价内，中标后不予调整。</w:t>
      </w:r>
    </w:p>
    <w:p w14:paraId="33918198">
      <w:pPr>
        <w:spacing w:line="440" w:lineRule="exact"/>
        <w:ind w:firstLine="420" w:firstLineChars="200"/>
        <w:rPr>
          <w:rFonts w:hint="default" w:ascii="宋体" w:hAnsi="宋体" w:eastAsia="宋体" w:cs="Times New Roman"/>
          <w:b/>
          <w:bCs/>
          <w:color w:val="auto"/>
          <w:szCs w:val="21"/>
          <w:lang w:val="en-US" w:eastAsia="zh-CN"/>
        </w:rPr>
      </w:pPr>
      <w:r>
        <w:rPr>
          <w:rFonts w:hint="eastAsia" w:ascii="宋体" w:hAnsi="宋体" w:eastAsia="宋体" w:cs="Times New Roman"/>
          <w:color w:val="000000"/>
          <w:szCs w:val="21"/>
          <w:highlight w:val="none"/>
          <w:lang w:val="en-US" w:eastAsia="zh-CN"/>
        </w:rPr>
        <w:t>2.中标人负责招标人指定场所进行供货安装，依照不低于招标文件中的数量与参数配置，合同签订后30日内，中标人负责所有货物的供货、包装运输及保险、安装、调试、考核验收、培训及部分改造等工作，如若延期一天，处以10000元/天的罚款，延期超过3天的，招标人有权解除合同，并追究其相关违约责任。其中若因招标人场地未移交等非中标人原因耽误工期的，不追究违约责任。在服务期限内，所有软硬件设备均要求进行“三包”，即包修、包退、包换。若因招标人要求部分场所分批次供货，中标人需无条件遵守招标人要求的其余批次供货时间，分批供货涉及的仓储、运输费、安装调试费、安装过程中的必要耗材费等均包含在总报价内，招标人后期不再追加任何费用</w:t>
      </w:r>
      <w:r>
        <w:rPr>
          <w:rFonts w:hint="eastAsia" w:ascii="宋体" w:hAnsi="宋体" w:eastAsia="宋体" w:cs="Times New Roman"/>
          <w:b/>
          <w:bCs/>
          <w:color w:val="auto"/>
          <w:szCs w:val="21"/>
          <w:lang w:val="en-US" w:eastAsia="zh-CN"/>
        </w:rPr>
        <w:t>。</w:t>
      </w:r>
    </w:p>
    <w:p w14:paraId="30B0E5F8">
      <w:pPr>
        <w:spacing w:line="44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3.</w:t>
      </w:r>
      <w:r>
        <w:rPr>
          <w:rFonts w:hint="eastAsia" w:ascii="宋体" w:hAnsi="宋体" w:eastAsia="宋体" w:cs="Times New Roman"/>
          <w:b/>
          <w:bCs/>
          <w:color w:val="000000"/>
          <w:szCs w:val="21"/>
          <w:highlight w:val="none"/>
          <w:lang w:val="en-US" w:eastAsia="zh-CN"/>
        </w:rPr>
        <w:t>中标人需在合同签订期内生产、供货、安装、计划，并交由招标人确认，确认后按此计划实施，过程中如需进行调整计划，必须经过招标人同意，且不得超过合同约定的最终完成时间。如若进行分批次供货，则后续批次供货时间不受总工期约束，由招标人和使用方商定后交由中标人单独制定相应计划。</w:t>
      </w:r>
    </w:p>
    <w:p w14:paraId="5693DF9E">
      <w:pPr>
        <w:spacing w:line="44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4.中标人在生产过程中需随时接受招标人的监督，若招标人随机去生产基地，中标人需无条件配合，包括但不限于参观工厂、配合检查等，如发现产品制造过程中有降低质量或不符合约定的行为，招标人有权利解除合同，由此产生的所有损失由中标人承担，并对中标人处以合同价款1%的违约金。</w:t>
      </w:r>
    </w:p>
    <w:p w14:paraId="4A073D17">
      <w:pPr>
        <w:spacing w:line="44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5.中标人在供货、安装、培训期间所有费用自行承担，包括但不限于招标人可能要求的分批次供货产生的运输、安装、培训成本等，因教室楼层问题产生的人力搬运、机械搬运等费用中标人自行考虑，费用含在合同总价款中。所有货物均需要有相应的产品质量合格证，不能提供的视为不合格产品。</w:t>
      </w:r>
    </w:p>
    <w:p w14:paraId="21DD1B22">
      <w:pPr>
        <w:spacing w:line="440" w:lineRule="exact"/>
        <w:ind w:firstLine="420" w:firstLineChars="200"/>
        <w:rPr>
          <w:rFonts w:hint="eastAsia" w:ascii="宋体" w:hAnsi="宋体" w:cs="Times New Roman"/>
          <w:b/>
          <w:bCs/>
          <w:color w:val="auto"/>
          <w:szCs w:val="21"/>
          <w:lang w:val="en-US" w:eastAsia="zh-CN"/>
        </w:rPr>
      </w:pPr>
      <w:r>
        <w:rPr>
          <w:rFonts w:hint="eastAsia" w:ascii="宋体" w:hAnsi="宋体" w:eastAsia="宋体" w:cs="Times New Roman"/>
          <w:color w:val="auto"/>
          <w:szCs w:val="21"/>
          <w:lang w:val="en-US" w:eastAsia="zh-CN"/>
        </w:rPr>
        <w:t>6.中标人应无条件接受招标人、使用方或主管部门对安装现场的质量、安全、文明、环保及纪律的监督和管理，</w:t>
      </w:r>
      <w:r>
        <w:rPr>
          <w:rFonts w:hint="eastAsia" w:ascii="宋体" w:hAnsi="宋体" w:cs="Times New Roman"/>
          <w:b/>
          <w:bCs/>
          <w:color w:val="auto"/>
          <w:szCs w:val="21"/>
          <w:lang w:val="en-US" w:eastAsia="zh-CN"/>
        </w:rPr>
        <w:t>所有除设备外的施工辅材，包括桥架、各类弱电线、支架、开孔、开关插座等等，无论招标文件中数量多少，中标后数量均不调整，且必须满足招标人要求的布置方案完成工作，因此增加的辅材数量及费用一律包含在投标报价内，中标后不予调整。</w:t>
      </w:r>
    </w:p>
    <w:p w14:paraId="0D4EBB75">
      <w:pPr>
        <w:spacing w:line="440" w:lineRule="exact"/>
        <w:ind w:firstLine="420" w:firstLineChars="200"/>
        <w:rPr>
          <w:rFonts w:hint="eastAsia" w:ascii="宋体" w:hAnsi="宋体" w:eastAsia="宋体" w:cs="Times New Roman"/>
          <w:b w:val="0"/>
          <w:bCs w:val="0"/>
          <w:color w:val="auto"/>
          <w:szCs w:val="21"/>
          <w:lang w:val="en-US" w:eastAsia="zh-CN"/>
        </w:rPr>
      </w:pPr>
      <w:r>
        <w:rPr>
          <w:rFonts w:hint="eastAsia" w:ascii="宋体" w:hAnsi="宋体" w:eastAsia="宋体" w:cs="Times New Roman"/>
          <w:color w:val="auto"/>
          <w:szCs w:val="21"/>
          <w:lang w:val="en-US" w:eastAsia="zh-CN"/>
        </w:rPr>
        <w:t>7.货物安装期间中标人须保护招标人或使用方提供的原有的场地环境和相关现场设施，如有损坏必须负责赔偿或者恢复原状，并处以违约金1000元/次。严格加强相关人员管理制度，如发生盗窃，斗殴等现象，则追究中标人责</w:t>
      </w:r>
      <w:r>
        <w:rPr>
          <w:rFonts w:hint="eastAsia" w:ascii="宋体" w:hAnsi="宋体" w:eastAsia="宋体" w:cs="Times New Roman"/>
          <w:b w:val="0"/>
          <w:bCs w:val="0"/>
          <w:color w:val="auto"/>
          <w:szCs w:val="21"/>
          <w:lang w:val="en-US" w:eastAsia="zh-CN"/>
        </w:rPr>
        <w:t>任。</w:t>
      </w:r>
    </w:p>
    <w:p w14:paraId="253963B1">
      <w:pPr>
        <w:spacing w:line="440" w:lineRule="exact"/>
        <w:ind w:firstLine="420" w:firstLineChars="200"/>
        <w:rPr>
          <w:rFonts w:hint="default" w:ascii="宋体" w:hAnsi="宋体" w:eastAsia="宋体" w:cs="Times New Roman"/>
          <w:color w:val="auto"/>
          <w:szCs w:val="21"/>
          <w:lang w:val="en-US" w:eastAsia="zh-CN"/>
        </w:rPr>
      </w:pPr>
      <w:r>
        <w:rPr>
          <w:rFonts w:hint="eastAsia" w:ascii="宋体" w:hAnsi="宋体" w:eastAsia="宋体" w:cs="Times New Roman"/>
          <w:b w:val="0"/>
          <w:bCs w:val="0"/>
          <w:color w:val="auto"/>
          <w:szCs w:val="21"/>
          <w:lang w:val="en-US" w:eastAsia="zh-CN"/>
        </w:rPr>
        <w:t>8.中标人提前交货的产品、多交</w:t>
      </w:r>
      <w:r>
        <w:rPr>
          <w:rFonts w:hint="eastAsia" w:ascii="宋体" w:hAnsi="宋体" w:eastAsia="宋体" w:cs="Times New Roman"/>
          <w:color w:val="auto"/>
          <w:szCs w:val="21"/>
          <w:lang w:val="en-US" w:eastAsia="zh-CN"/>
        </w:rPr>
        <w:t>的产品和不符合合同规定的产品，由中标人自行看管，相关的</w:t>
      </w:r>
      <w:r>
        <w:rPr>
          <w:rFonts w:hint="default" w:ascii="宋体" w:hAnsi="宋体" w:eastAsia="宋体" w:cs="Times New Roman"/>
          <w:color w:val="auto"/>
          <w:szCs w:val="21"/>
          <w:lang w:val="en-US" w:eastAsia="zh-CN"/>
        </w:rPr>
        <w:t>保管、保养等费用以及因保管不善而发生的损失，应当由</w:t>
      </w:r>
      <w:r>
        <w:rPr>
          <w:rFonts w:hint="eastAsia" w:ascii="宋体" w:hAnsi="宋体" w:eastAsia="宋体" w:cs="Times New Roman"/>
          <w:color w:val="auto"/>
          <w:szCs w:val="21"/>
          <w:lang w:val="en-US" w:eastAsia="zh-CN"/>
        </w:rPr>
        <w:t>中标人</w:t>
      </w:r>
      <w:r>
        <w:rPr>
          <w:rFonts w:hint="default" w:ascii="宋体" w:hAnsi="宋体" w:eastAsia="宋体" w:cs="Times New Roman"/>
          <w:color w:val="auto"/>
          <w:szCs w:val="21"/>
          <w:lang w:val="en-US" w:eastAsia="zh-CN"/>
        </w:rPr>
        <w:t>承担。</w:t>
      </w:r>
    </w:p>
    <w:p w14:paraId="5D8C8CBB">
      <w:pPr>
        <w:spacing w:line="440" w:lineRule="exact"/>
        <w:ind w:firstLine="420" w:firstLineChars="200"/>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9.中标人应对其所提供的货物承担所有权担保责任，并应保证招标人在中华人民共和国内使</w:t>
      </w:r>
      <w:r>
        <w:rPr>
          <w:rFonts w:hint="default" w:ascii="宋体" w:hAnsi="宋体" w:eastAsia="宋体" w:cs="Times New Roman"/>
          <w:color w:val="auto"/>
          <w:szCs w:val="21"/>
          <w:lang w:val="en-US" w:eastAsia="zh-CN"/>
        </w:rPr>
        <w:t>用该货物时不侵犯第三人的知识产权。否则</w:t>
      </w:r>
      <w:r>
        <w:rPr>
          <w:rFonts w:hint="eastAsia" w:ascii="宋体" w:hAnsi="宋体" w:eastAsia="宋体" w:cs="Times New Roman"/>
          <w:color w:val="auto"/>
          <w:szCs w:val="21"/>
          <w:lang w:val="en-US" w:eastAsia="zh-CN"/>
        </w:rPr>
        <w:t>中标人</w:t>
      </w:r>
      <w:r>
        <w:rPr>
          <w:rFonts w:hint="default" w:ascii="宋体" w:hAnsi="宋体" w:eastAsia="宋体" w:cs="Times New Roman"/>
          <w:color w:val="auto"/>
          <w:szCs w:val="21"/>
          <w:lang w:val="en-US" w:eastAsia="zh-CN"/>
        </w:rPr>
        <w:t>应承担由此引起的一切法律责任及</w:t>
      </w:r>
      <w:r>
        <w:rPr>
          <w:rFonts w:hint="eastAsia" w:ascii="宋体" w:hAnsi="宋体" w:eastAsia="宋体" w:cs="Times New Roman"/>
          <w:color w:val="auto"/>
          <w:szCs w:val="21"/>
          <w:lang w:val="en-US" w:eastAsia="zh-CN"/>
        </w:rPr>
        <w:t>经济责任</w:t>
      </w:r>
      <w:r>
        <w:rPr>
          <w:rFonts w:hint="default" w:ascii="宋体" w:hAnsi="宋体" w:eastAsia="宋体" w:cs="Times New Roman"/>
          <w:color w:val="auto"/>
          <w:szCs w:val="21"/>
          <w:lang w:val="en-US" w:eastAsia="zh-CN"/>
        </w:rPr>
        <w:t xml:space="preserve">。 </w:t>
      </w:r>
    </w:p>
    <w:p w14:paraId="2EEC92E6">
      <w:pPr>
        <w:spacing w:line="440" w:lineRule="exact"/>
        <w:ind w:firstLine="422" w:firstLineChars="200"/>
        <w:rPr>
          <w:rFonts w:hint="default" w:ascii="宋体" w:hAnsi="宋体" w:eastAsia="宋体" w:cs="Times New Roman"/>
          <w:b/>
          <w:bCs/>
          <w:color w:val="auto"/>
          <w:szCs w:val="21"/>
          <w:lang w:val="en-US" w:eastAsia="zh-CN"/>
        </w:rPr>
      </w:pPr>
      <w:r>
        <w:rPr>
          <w:rFonts w:hint="eastAsia" w:ascii="宋体" w:hAnsi="宋体" w:eastAsia="宋体" w:cs="Times New Roman"/>
          <w:b/>
          <w:bCs/>
          <w:color w:val="auto"/>
          <w:szCs w:val="21"/>
          <w:lang w:val="en-US" w:eastAsia="zh-CN"/>
        </w:rPr>
        <w:t>10.部分场所原有</w:t>
      </w:r>
      <w:r>
        <w:rPr>
          <w:rFonts w:hint="eastAsia" w:ascii="宋体" w:hAnsi="宋体" w:cs="Times New Roman"/>
          <w:b/>
          <w:bCs/>
          <w:color w:val="auto"/>
          <w:szCs w:val="21"/>
          <w:lang w:val="en-US" w:eastAsia="zh-CN"/>
        </w:rPr>
        <w:t>设备安装位置、数量</w:t>
      </w:r>
      <w:r>
        <w:rPr>
          <w:rFonts w:hint="eastAsia" w:ascii="宋体" w:hAnsi="宋体" w:eastAsia="宋体" w:cs="Times New Roman"/>
          <w:b/>
          <w:bCs/>
          <w:color w:val="auto"/>
          <w:szCs w:val="21"/>
          <w:lang w:val="en-US" w:eastAsia="zh-CN"/>
        </w:rPr>
        <w:t>可能不满足要求，</w:t>
      </w:r>
      <w:r>
        <w:rPr>
          <w:rFonts w:hint="eastAsia" w:ascii="宋体" w:hAnsi="宋体" w:cs="Times New Roman"/>
          <w:b/>
          <w:bCs/>
          <w:color w:val="auto"/>
          <w:szCs w:val="21"/>
          <w:lang w:val="en-US" w:eastAsia="zh-CN"/>
        </w:rPr>
        <w:t>安装条件有限，</w:t>
      </w:r>
      <w:r>
        <w:rPr>
          <w:rFonts w:hint="eastAsia" w:ascii="宋体" w:hAnsi="宋体" w:eastAsia="宋体" w:cs="Times New Roman"/>
          <w:b/>
          <w:bCs/>
          <w:color w:val="auto"/>
          <w:szCs w:val="21"/>
          <w:lang w:val="en-US" w:eastAsia="zh-CN"/>
        </w:rPr>
        <w:t>中标人需根据招标人后期要求考虑设备布置，</w:t>
      </w:r>
      <w:r>
        <w:rPr>
          <w:rFonts w:hint="default" w:ascii="宋体" w:hAnsi="宋体" w:eastAsia="宋体" w:cs="Times New Roman"/>
          <w:b/>
          <w:bCs/>
          <w:color w:val="auto"/>
          <w:szCs w:val="21"/>
          <w:lang w:val="en-US" w:eastAsia="zh-CN"/>
        </w:rPr>
        <w:t>承担</w:t>
      </w:r>
      <w:r>
        <w:rPr>
          <w:rFonts w:hint="eastAsia" w:ascii="宋体" w:hAnsi="宋体" w:eastAsia="宋体" w:cs="Times New Roman"/>
          <w:b/>
          <w:bCs/>
          <w:color w:val="auto"/>
          <w:szCs w:val="21"/>
          <w:lang w:val="en-US" w:eastAsia="zh-CN"/>
        </w:rPr>
        <w:t>设备的安装</w:t>
      </w:r>
      <w:r>
        <w:rPr>
          <w:rFonts w:hint="default" w:ascii="宋体" w:hAnsi="宋体" w:eastAsia="宋体" w:cs="Times New Roman"/>
          <w:b/>
          <w:bCs/>
          <w:color w:val="auto"/>
          <w:szCs w:val="21"/>
          <w:lang w:val="en-US" w:eastAsia="zh-CN"/>
        </w:rPr>
        <w:t>、线路改造</w:t>
      </w:r>
      <w:r>
        <w:rPr>
          <w:rFonts w:hint="eastAsia" w:ascii="宋体" w:hAnsi="宋体" w:eastAsia="宋体" w:cs="Times New Roman"/>
          <w:b/>
          <w:bCs/>
          <w:color w:val="auto"/>
          <w:szCs w:val="21"/>
          <w:lang w:val="en-US" w:eastAsia="zh-CN"/>
        </w:rPr>
        <w:t>、新开孔洞、原有孔洞封堵等事项，需自行提供相应配套的</w:t>
      </w:r>
      <w:r>
        <w:rPr>
          <w:rFonts w:hint="eastAsia" w:ascii="宋体" w:hAnsi="宋体" w:cs="Times New Roman"/>
          <w:b/>
          <w:bCs/>
          <w:color w:val="auto"/>
          <w:szCs w:val="21"/>
          <w:lang w:val="en-US" w:eastAsia="zh-CN"/>
        </w:rPr>
        <w:t>弱电桥架</w:t>
      </w:r>
      <w:r>
        <w:rPr>
          <w:rFonts w:hint="eastAsia" w:ascii="宋体" w:hAnsi="宋体" w:eastAsia="宋体" w:cs="Times New Roman"/>
          <w:b/>
          <w:bCs/>
          <w:color w:val="auto"/>
          <w:szCs w:val="21"/>
          <w:lang w:val="en-US" w:eastAsia="zh-CN"/>
        </w:rPr>
        <w:t>、开关插座、穿管布线、</w:t>
      </w:r>
      <w:r>
        <w:rPr>
          <w:rFonts w:hint="eastAsia" w:ascii="宋体" w:hAnsi="宋体" w:cs="Times New Roman"/>
          <w:b/>
          <w:bCs/>
          <w:color w:val="auto"/>
          <w:szCs w:val="21"/>
          <w:lang w:val="en-US" w:eastAsia="zh-CN"/>
        </w:rPr>
        <w:t>设备调整</w:t>
      </w:r>
      <w:r>
        <w:rPr>
          <w:rFonts w:hint="eastAsia" w:ascii="宋体" w:hAnsi="宋体" w:eastAsia="宋体" w:cs="Times New Roman"/>
          <w:b/>
          <w:bCs/>
          <w:color w:val="auto"/>
          <w:szCs w:val="21"/>
          <w:lang w:val="en-US" w:eastAsia="zh-CN"/>
        </w:rPr>
        <w:t>、</w:t>
      </w:r>
      <w:r>
        <w:rPr>
          <w:rFonts w:hint="eastAsia" w:ascii="宋体" w:hAnsi="宋体" w:cs="Times New Roman"/>
          <w:b/>
          <w:bCs/>
          <w:color w:val="auto"/>
          <w:szCs w:val="21"/>
          <w:lang w:val="en-US" w:eastAsia="zh-CN"/>
        </w:rPr>
        <w:t>破除一切形式的吊顶及恢复，以及</w:t>
      </w:r>
      <w:r>
        <w:rPr>
          <w:rFonts w:hint="eastAsia" w:ascii="宋体" w:hAnsi="宋体" w:eastAsia="宋体" w:cs="Times New Roman"/>
          <w:b/>
          <w:bCs/>
          <w:color w:val="auto"/>
          <w:szCs w:val="21"/>
          <w:lang w:val="en-US" w:eastAsia="zh-CN"/>
        </w:rPr>
        <w:t>施工辅材（支架、线缆、开孔、防护装置、卫生清理等）等材料，并自行承担相应改造费用，中标后必须保障</w:t>
      </w:r>
      <w:r>
        <w:rPr>
          <w:rFonts w:hint="eastAsia" w:ascii="宋体" w:hAnsi="宋体" w:cs="Times New Roman"/>
          <w:b/>
          <w:bCs/>
          <w:color w:val="auto"/>
          <w:szCs w:val="21"/>
          <w:lang w:val="en-US" w:eastAsia="zh-CN"/>
        </w:rPr>
        <w:t>设备</w:t>
      </w:r>
      <w:r>
        <w:rPr>
          <w:rFonts w:hint="eastAsia" w:ascii="宋体" w:hAnsi="宋体" w:eastAsia="宋体" w:cs="Times New Roman"/>
          <w:b/>
          <w:bCs/>
          <w:color w:val="auto"/>
          <w:szCs w:val="21"/>
          <w:lang w:val="en-US" w:eastAsia="zh-CN"/>
        </w:rPr>
        <w:t>能无障碍使用，所有费用含在投标报价内，不能以不了解不清楚为理由增加任何费用，如有安装改造过程中不配合的，处以违约金</w:t>
      </w:r>
      <w:r>
        <w:rPr>
          <w:rFonts w:hint="eastAsia" w:ascii="宋体" w:hAnsi="宋体" w:cs="Times New Roman"/>
          <w:b/>
          <w:bCs/>
          <w:color w:val="auto"/>
          <w:szCs w:val="21"/>
          <w:lang w:val="en-US" w:eastAsia="zh-CN"/>
        </w:rPr>
        <w:t>10</w:t>
      </w:r>
      <w:r>
        <w:rPr>
          <w:rFonts w:hint="eastAsia" w:ascii="宋体" w:hAnsi="宋体" w:eastAsia="宋体" w:cs="Times New Roman"/>
          <w:b/>
          <w:bCs/>
          <w:color w:val="auto"/>
          <w:szCs w:val="21"/>
          <w:lang w:val="en-US" w:eastAsia="zh-CN"/>
        </w:rPr>
        <w:t>000元/次，超过3次的，招标人有权解除合同。</w:t>
      </w:r>
    </w:p>
    <w:p w14:paraId="56CE8335">
      <w:pPr>
        <w:spacing w:line="440" w:lineRule="exact"/>
        <w:ind w:firstLine="420" w:firstLineChars="200"/>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11.中标人需</w:t>
      </w:r>
      <w:r>
        <w:rPr>
          <w:rFonts w:hint="default" w:ascii="宋体" w:hAnsi="宋体" w:eastAsia="宋体" w:cs="Times New Roman"/>
          <w:b/>
          <w:bCs/>
          <w:color w:val="auto"/>
          <w:szCs w:val="21"/>
          <w:lang w:val="en-US" w:eastAsia="zh-CN"/>
        </w:rPr>
        <w:t>提供不低于</w:t>
      </w:r>
      <w:r>
        <w:rPr>
          <w:rFonts w:hint="eastAsia" w:ascii="宋体" w:hAnsi="宋体" w:cs="Times New Roman"/>
          <w:b/>
          <w:bCs/>
          <w:color w:val="auto"/>
          <w:szCs w:val="21"/>
          <w:lang w:val="en-US" w:eastAsia="zh-CN"/>
        </w:rPr>
        <w:t>3</w:t>
      </w:r>
      <w:r>
        <w:rPr>
          <w:rFonts w:hint="default" w:ascii="宋体" w:hAnsi="宋体" w:eastAsia="宋体" w:cs="Times New Roman"/>
          <w:b/>
          <w:bCs/>
          <w:color w:val="auto"/>
          <w:szCs w:val="21"/>
          <w:lang w:val="en-US" w:eastAsia="zh-CN"/>
        </w:rPr>
        <w:t>年的技术支持和无条件售后</w:t>
      </w:r>
      <w:r>
        <w:rPr>
          <w:rFonts w:hint="eastAsia" w:ascii="宋体" w:hAnsi="宋体" w:eastAsia="宋体" w:cs="Times New Roman"/>
          <w:b/>
          <w:bCs/>
          <w:color w:val="auto"/>
          <w:szCs w:val="21"/>
          <w:lang w:val="en-US" w:eastAsia="zh-CN"/>
        </w:rPr>
        <w:t>质保</w:t>
      </w:r>
      <w:r>
        <w:rPr>
          <w:rFonts w:hint="default" w:ascii="宋体" w:hAnsi="宋体" w:eastAsia="宋体" w:cs="Times New Roman"/>
          <w:b/>
          <w:bCs/>
          <w:color w:val="auto"/>
          <w:szCs w:val="21"/>
          <w:lang w:val="en-US" w:eastAsia="zh-CN"/>
        </w:rPr>
        <w:t>工作</w:t>
      </w:r>
      <w:r>
        <w:rPr>
          <w:rFonts w:hint="eastAsia" w:ascii="宋体" w:hAnsi="宋体" w:eastAsia="宋体" w:cs="Times New Roman"/>
          <w:color w:val="auto"/>
          <w:szCs w:val="21"/>
          <w:lang w:val="en-US" w:eastAsia="zh-CN"/>
        </w:rPr>
        <w:t>，</w:t>
      </w:r>
      <w:r>
        <w:rPr>
          <w:rFonts w:hint="default" w:ascii="宋体" w:hAnsi="宋体" w:eastAsia="宋体" w:cs="Times New Roman"/>
          <w:color w:val="auto"/>
          <w:szCs w:val="21"/>
          <w:lang w:val="en-US" w:eastAsia="zh-CN"/>
        </w:rPr>
        <w:t>质保内容涵盖所有产品质量问题带来的包修、包退、包换服务</w:t>
      </w:r>
      <w:r>
        <w:rPr>
          <w:rFonts w:hint="eastAsia" w:ascii="宋体" w:hAnsi="宋体" w:eastAsia="宋体" w:cs="Times New Roman"/>
          <w:color w:val="auto"/>
          <w:szCs w:val="21"/>
          <w:lang w:val="en-US" w:eastAsia="zh-CN"/>
        </w:rPr>
        <w:t>。</w:t>
      </w:r>
    </w:p>
    <w:p w14:paraId="7DD423FB">
      <w:pPr>
        <w:spacing w:line="44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12.中标人不得以任何方式转包或分包本项目，一经发现招标人有权解除合同，因此产生的一切损失、延误由中标人自行承担。</w:t>
      </w:r>
    </w:p>
    <w:p w14:paraId="4219C870">
      <w:pPr>
        <w:spacing w:line="44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 xml:space="preserve">13.合同签订后供货前，中标人须提供其投标文件中证书、业绩、其他证明资料原件给招标人核查，若出现提供不全、提供的资料与投标文件不符、弄虚作假的情况，招标人有权解除合同，处以违约金10000元，并追究相关法律责任。 </w:t>
      </w:r>
    </w:p>
    <w:p w14:paraId="56C4C550">
      <w:pPr>
        <w:spacing w:line="44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14.招标人在质保期内对发现的中标人货物质量问题，有权要求中标人更换或维修货物。如中标人不予更换或维修的，招标人有权另行聘请第三方进行更换或维修，</w:t>
      </w:r>
      <w:r>
        <w:rPr>
          <w:rFonts w:hint="eastAsia" w:ascii="宋体" w:hAnsi="宋体" w:eastAsia="宋体" w:cs="Times New Roman"/>
          <w:color w:val="auto"/>
          <w:szCs w:val="21"/>
          <w:highlight w:val="none"/>
          <w:lang w:val="en-US" w:eastAsia="zh-CN"/>
        </w:rPr>
        <w:t>相关费用从质保金中扣除，质保金不足以扣除的，招标人有权向中标人追索</w:t>
      </w:r>
      <w:r>
        <w:rPr>
          <w:rFonts w:hint="eastAsia" w:ascii="宋体" w:hAnsi="宋体" w:eastAsia="宋体" w:cs="Times New Roman"/>
          <w:color w:val="auto"/>
          <w:szCs w:val="21"/>
          <w:lang w:val="en-US" w:eastAsia="zh-CN"/>
        </w:rPr>
        <w:t xml:space="preserve">，包括但不限于违约金、知识产权或人身伤害侵权赔偿金、延迟开业成本费用、加速采购成本、评估费、鉴定费、律师费、诉讼费、差旅费等全部费用。 </w:t>
      </w:r>
    </w:p>
    <w:p w14:paraId="7329F270">
      <w:pPr>
        <w:spacing w:line="440" w:lineRule="exact"/>
        <w:ind w:firstLine="420" w:firstLineChars="200"/>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15.本项目带电作业施工人员必须按主管部门要求持证上岗（包含但不限于电工证），严禁无证操作。</w:t>
      </w:r>
    </w:p>
    <w:p w14:paraId="4C0DE95F">
      <w:pPr>
        <w:spacing w:line="440" w:lineRule="exact"/>
        <w:ind w:firstLine="420" w:firstLineChars="200"/>
        <w:rPr>
          <w:rFonts w:hint="eastAsia" w:ascii="宋体" w:hAnsi="宋体" w:eastAsia="宋体" w:cs="Times New Roman"/>
          <w:color w:val="auto"/>
          <w:szCs w:val="21"/>
          <w:lang w:val="en-US" w:eastAsia="zh-CN"/>
        </w:rPr>
        <w:sectPr>
          <w:footerReference r:id="rId6" w:type="default"/>
          <w:pgSz w:w="11906" w:h="16838"/>
          <w:pgMar w:top="873" w:right="1236" w:bottom="873" w:left="1236" w:header="851" w:footer="992" w:gutter="0"/>
          <w:pgNumType w:start="1"/>
          <w:cols w:space="425" w:num="1"/>
          <w:docGrid w:type="lines" w:linePitch="312" w:charSpace="0"/>
        </w:sectPr>
      </w:pPr>
      <w:r>
        <w:rPr>
          <w:rFonts w:hint="eastAsia" w:ascii="宋体" w:hAnsi="宋体" w:eastAsia="宋体" w:cs="Times New Roman"/>
          <w:color w:val="auto"/>
          <w:szCs w:val="21"/>
          <w:lang w:val="en-US" w:eastAsia="zh-CN"/>
        </w:rPr>
        <w:t>16.设备承重中标人需自行复核，如需出具相关报告，所有费用由中标人自行承担；若</w:t>
      </w:r>
      <w:r>
        <w:rPr>
          <w:rFonts w:hint="default" w:ascii="宋体" w:hAnsi="宋体" w:eastAsia="宋体" w:cs="Times New Roman"/>
          <w:color w:val="auto"/>
          <w:szCs w:val="21"/>
          <w:lang w:val="en-US" w:eastAsia="zh-CN"/>
        </w:rPr>
        <w:t>发生因设备</w:t>
      </w:r>
      <w:r>
        <w:rPr>
          <w:rFonts w:hint="eastAsia" w:ascii="宋体" w:hAnsi="宋体" w:eastAsia="宋体" w:cs="Times New Roman"/>
          <w:color w:val="auto"/>
          <w:szCs w:val="21"/>
          <w:lang w:val="en-US" w:eastAsia="zh-CN"/>
        </w:rPr>
        <w:t>供货、安装及使用过程中因产品自身原因</w:t>
      </w:r>
      <w:r>
        <w:rPr>
          <w:rFonts w:hint="default" w:ascii="宋体" w:hAnsi="宋体" w:eastAsia="宋体" w:cs="Times New Roman"/>
          <w:color w:val="auto"/>
          <w:szCs w:val="21"/>
          <w:lang w:val="en-US" w:eastAsia="zh-CN"/>
        </w:rPr>
        <w:t>等导致的安全问题，由</w:t>
      </w:r>
      <w:r>
        <w:rPr>
          <w:rFonts w:hint="eastAsia" w:ascii="宋体" w:hAnsi="宋体" w:eastAsia="宋体" w:cs="Times New Roman"/>
          <w:color w:val="auto"/>
          <w:szCs w:val="21"/>
          <w:lang w:val="en-US" w:eastAsia="zh-CN"/>
        </w:rPr>
        <w:t>中标人</w:t>
      </w:r>
      <w:r>
        <w:rPr>
          <w:rFonts w:hint="default" w:ascii="宋体" w:hAnsi="宋体" w:eastAsia="宋体" w:cs="Times New Roman"/>
          <w:color w:val="auto"/>
          <w:szCs w:val="21"/>
          <w:lang w:val="en-US" w:eastAsia="zh-CN"/>
        </w:rPr>
        <w:t>承担由此产生的所有</w:t>
      </w:r>
      <w:r>
        <w:rPr>
          <w:rFonts w:hint="eastAsia" w:ascii="宋体" w:hAnsi="宋体" w:eastAsia="宋体" w:cs="Times New Roman"/>
          <w:color w:val="auto"/>
          <w:szCs w:val="21"/>
          <w:lang w:val="en-US" w:eastAsia="zh-CN"/>
        </w:rPr>
        <w:t>的法律责任与经济责任。</w:t>
      </w:r>
    </w:p>
    <w:p w14:paraId="59228C9B">
      <w:pPr>
        <w:spacing w:line="360" w:lineRule="auto"/>
        <w:jc w:val="center"/>
        <w:outlineLvl w:val="1"/>
        <w:rPr>
          <w:rFonts w:ascii="Times New Roman" w:hAnsi="Times New Roman" w:cs="Times New Roman"/>
          <w:b/>
          <w:sz w:val="28"/>
        </w:rPr>
      </w:pPr>
      <w:bookmarkStart w:id="29" w:name="_Toc7286"/>
      <w:r>
        <w:rPr>
          <w:rFonts w:ascii="Times New Roman" w:hAnsi="Times New Roman" w:cs="Times New Roman"/>
          <w:b/>
          <w:sz w:val="28"/>
        </w:rPr>
        <w:t>第</w:t>
      </w:r>
      <w:r>
        <w:rPr>
          <w:rFonts w:hint="eastAsia" w:ascii="Times New Roman" w:hAnsi="Times New Roman" w:cs="Times New Roman"/>
          <w:b/>
          <w:sz w:val="28"/>
        </w:rPr>
        <w:t>四</w:t>
      </w:r>
      <w:r>
        <w:rPr>
          <w:rFonts w:ascii="Times New Roman" w:hAnsi="Times New Roman" w:cs="Times New Roman"/>
          <w:b/>
          <w:sz w:val="28"/>
        </w:rPr>
        <w:t>章  评标办法</w:t>
      </w:r>
    </w:p>
    <w:p w14:paraId="1BCE42B6">
      <w:pPr>
        <w:spacing w:line="360" w:lineRule="auto"/>
        <w:ind w:firstLine="437"/>
        <w:outlineLvl w:val="2"/>
        <w:rPr>
          <w:rFonts w:ascii="Times New Roman" w:hAnsi="Times New Roman" w:cs="Times New Roman"/>
          <w:b/>
          <w:sz w:val="24"/>
        </w:rPr>
      </w:pPr>
      <w:r>
        <w:rPr>
          <w:rFonts w:ascii="Times New Roman" w:hAnsi="Times New Roman" w:cs="Times New Roman"/>
          <w:b/>
          <w:sz w:val="24"/>
        </w:rPr>
        <w:t>一、总则</w:t>
      </w:r>
    </w:p>
    <w:p w14:paraId="657E58B0">
      <w:pPr>
        <w:spacing w:line="360" w:lineRule="auto"/>
        <w:ind w:firstLine="435"/>
        <w:rPr>
          <w:rFonts w:ascii="Times New Roman" w:hAnsi="Times New Roman" w:cs="Times New Roman"/>
          <w:sz w:val="24"/>
        </w:rPr>
      </w:pPr>
      <w:r>
        <w:rPr>
          <w:rFonts w:ascii="Times New Roman" w:hAnsi="Times New Roman" w:cs="Times New Roman"/>
          <w:sz w:val="24"/>
        </w:rPr>
        <w:t>本项目将按照招标文件第二章 投标人须知的相关要求及本章的规定评标。</w:t>
      </w:r>
    </w:p>
    <w:p w14:paraId="7B96C3DF">
      <w:pPr>
        <w:spacing w:line="360" w:lineRule="auto"/>
        <w:ind w:firstLine="437"/>
        <w:outlineLvl w:val="2"/>
        <w:rPr>
          <w:rFonts w:ascii="Times New Roman" w:hAnsi="Times New Roman" w:cs="Times New Roman"/>
          <w:b/>
          <w:sz w:val="24"/>
        </w:rPr>
      </w:pPr>
      <w:r>
        <w:rPr>
          <w:rFonts w:ascii="Times New Roman" w:hAnsi="Times New Roman" w:cs="Times New Roman"/>
          <w:b/>
          <w:sz w:val="24"/>
        </w:rPr>
        <w:t>二、评标方法</w:t>
      </w:r>
    </w:p>
    <w:p w14:paraId="2C89D561">
      <w:pPr>
        <w:spacing w:line="360" w:lineRule="auto"/>
        <w:ind w:firstLine="435"/>
        <w:rPr>
          <w:rFonts w:ascii="Times New Roman" w:hAnsi="Times New Roman" w:cs="Times New Roman"/>
          <w:sz w:val="24"/>
        </w:rPr>
      </w:pPr>
      <w:r>
        <w:rPr>
          <w:rFonts w:ascii="Times New Roman" w:hAnsi="Times New Roman" w:cs="Times New Roman"/>
          <w:sz w:val="24"/>
        </w:rPr>
        <w:t>2.1资格审查</w:t>
      </w:r>
    </w:p>
    <w:p w14:paraId="7FF90DA5">
      <w:pPr>
        <w:spacing w:line="360" w:lineRule="auto"/>
        <w:ind w:firstLine="435"/>
        <w:rPr>
          <w:rFonts w:ascii="Times New Roman" w:hAnsi="Times New Roman" w:cs="Times New Roman"/>
          <w:sz w:val="24"/>
        </w:rPr>
      </w:pPr>
      <w:r>
        <w:rPr>
          <w:rFonts w:ascii="Times New Roman" w:hAnsi="Times New Roman" w:cs="Times New Roman"/>
          <w:sz w:val="24"/>
        </w:rPr>
        <w:t>由评标委员会进行资格审查。资格审查表如下：</w:t>
      </w:r>
    </w:p>
    <w:tbl>
      <w:tblPr>
        <w:tblStyle w:val="41"/>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14:paraId="7FE2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vAlign w:val="center"/>
          </w:tcPr>
          <w:p w14:paraId="36F410A7">
            <w:pPr>
              <w:adjustRightInd w:val="0"/>
              <w:snapToGrid w:val="0"/>
              <w:spacing w:line="360" w:lineRule="auto"/>
              <w:ind w:right="-10"/>
              <w:jc w:val="center"/>
              <w:rPr>
                <w:rFonts w:ascii="Times New Roman" w:hAnsi="Times New Roman" w:cs="Times New Roman"/>
                <w:sz w:val="24"/>
              </w:rPr>
            </w:pPr>
            <w:r>
              <w:rPr>
                <w:rFonts w:ascii="Times New Roman" w:hAnsi="Times New Roman" w:cs="Times New Roman"/>
                <w:b/>
                <w:sz w:val="24"/>
                <w:szCs w:val="22"/>
              </w:rPr>
              <w:t>资格审查表</w:t>
            </w:r>
          </w:p>
        </w:tc>
      </w:tr>
      <w:tr w14:paraId="453C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10D03BB2">
            <w:pPr>
              <w:adjustRightInd w:val="0"/>
              <w:snapToGrid w:val="0"/>
              <w:spacing w:line="360" w:lineRule="auto"/>
              <w:ind w:right="-10"/>
              <w:jc w:val="center"/>
              <w:rPr>
                <w:rFonts w:ascii="Times New Roman" w:hAnsi="Times New Roman" w:cs="Times New Roman"/>
                <w:sz w:val="24"/>
              </w:rPr>
            </w:pPr>
            <w:r>
              <w:rPr>
                <w:rFonts w:ascii="Times New Roman" w:hAnsi="Times New Roman" w:cs="Times New Roman"/>
                <w:sz w:val="24"/>
              </w:rPr>
              <w:t>序号</w:t>
            </w:r>
          </w:p>
        </w:tc>
        <w:tc>
          <w:tcPr>
            <w:tcW w:w="1650" w:type="dxa"/>
            <w:tcBorders>
              <w:bottom w:val="single" w:color="auto" w:sz="4" w:space="0"/>
            </w:tcBorders>
            <w:vAlign w:val="center"/>
          </w:tcPr>
          <w:p w14:paraId="0EE77BD8">
            <w:pPr>
              <w:pStyle w:val="61"/>
              <w:pBdr>
                <w:bottom w:val="none" w:color="auto" w:sz="0" w:space="0"/>
              </w:pBdr>
              <w:snapToGrid w:val="0"/>
              <w:spacing w:line="360" w:lineRule="auto"/>
              <w:ind w:right="-10"/>
              <w:textAlignment w:val="auto"/>
              <w:rPr>
                <w:rFonts w:ascii="Times New Roman" w:hAnsi="Times New Roman" w:cs="Times New Roman"/>
                <w:kern w:val="2"/>
                <w:szCs w:val="24"/>
              </w:rPr>
            </w:pPr>
            <w:r>
              <w:rPr>
                <w:rFonts w:ascii="Times New Roman" w:hAnsi="Times New Roman" w:cs="Times New Roman"/>
                <w:kern w:val="2"/>
                <w:szCs w:val="24"/>
              </w:rPr>
              <w:t>评审指标</w:t>
            </w:r>
          </w:p>
        </w:tc>
        <w:tc>
          <w:tcPr>
            <w:tcW w:w="2192" w:type="dxa"/>
            <w:tcBorders>
              <w:bottom w:val="single" w:color="auto" w:sz="4" w:space="0"/>
            </w:tcBorders>
            <w:vAlign w:val="center"/>
          </w:tcPr>
          <w:p w14:paraId="6AE34A01">
            <w:pPr>
              <w:adjustRightInd w:val="0"/>
              <w:snapToGrid w:val="0"/>
              <w:spacing w:line="360" w:lineRule="auto"/>
              <w:ind w:right="-10"/>
              <w:jc w:val="center"/>
              <w:rPr>
                <w:rFonts w:ascii="Times New Roman" w:hAnsi="Times New Roman" w:cs="Times New Roman"/>
                <w:sz w:val="24"/>
              </w:rPr>
            </w:pPr>
            <w:r>
              <w:rPr>
                <w:rFonts w:ascii="Times New Roman" w:hAnsi="Times New Roman" w:cs="Times New Roman"/>
                <w:sz w:val="24"/>
              </w:rPr>
              <w:t>评审标准</w:t>
            </w:r>
          </w:p>
        </w:tc>
        <w:tc>
          <w:tcPr>
            <w:tcW w:w="4700" w:type="dxa"/>
            <w:tcBorders>
              <w:bottom w:val="single" w:color="auto" w:sz="4" w:space="0"/>
            </w:tcBorders>
            <w:vAlign w:val="center"/>
          </w:tcPr>
          <w:p w14:paraId="6C9EA049">
            <w:pPr>
              <w:adjustRightInd w:val="0"/>
              <w:snapToGrid w:val="0"/>
              <w:spacing w:line="360" w:lineRule="auto"/>
              <w:ind w:right="-10"/>
              <w:jc w:val="center"/>
              <w:rPr>
                <w:rFonts w:ascii="Times New Roman" w:hAnsi="Times New Roman" w:cs="Times New Roman"/>
                <w:sz w:val="24"/>
              </w:rPr>
            </w:pPr>
            <w:r>
              <w:rPr>
                <w:rFonts w:ascii="Times New Roman" w:hAnsi="Times New Roman" w:cs="Times New Roman"/>
                <w:sz w:val="24"/>
              </w:rPr>
              <w:t>格式及材料要求</w:t>
            </w:r>
          </w:p>
        </w:tc>
      </w:tr>
      <w:tr w14:paraId="03A2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vAlign w:val="center"/>
          </w:tcPr>
          <w:p w14:paraId="11A226C2">
            <w:pPr>
              <w:adjustRightInd w:val="0"/>
              <w:snapToGrid w:val="0"/>
              <w:spacing w:line="360" w:lineRule="auto"/>
              <w:ind w:right="-10"/>
              <w:jc w:val="center"/>
              <w:rPr>
                <w:rFonts w:ascii="Times New Roman" w:hAnsi="Times New Roman" w:cs="Times New Roman"/>
                <w:sz w:val="24"/>
              </w:rPr>
            </w:pPr>
            <w:r>
              <w:rPr>
                <w:rFonts w:ascii="Times New Roman" w:hAnsi="Times New Roman" w:cs="Times New Roman"/>
                <w:sz w:val="24"/>
              </w:rPr>
              <w:t>1</w:t>
            </w:r>
          </w:p>
        </w:tc>
        <w:tc>
          <w:tcPr>
            <w:tcW w:w="1650" w:type="dxa"/>
            <w:vAlign w:val="center"/>
          </w:tcPr>
          <w:p w14:paraId="1591980A">
            <w:pPr>
              <w:spacing w:after="50" w:line="360" w:lineRule="auto"/>
              <w:ind w:right="-10"/>
              <w:jc w:val="center"/>
              <w:rPr>
                <w:rFonts w:ascii="Times New Roman" w:hAnsi="Times New Roman" w:cs="Times New Roman"/>
                <w:sz w:val="24"/>
                <w:szCs w:val="28"/>
              </w:rPr>
            </w:pPr>
            <w:r>
              <w:rPr>
                <w:rFonts w:ascii="Times New Roman" w:hAnsi="Times New Roman" w:cs="Times New Roman"/>
                <w:sz w:val="24"/>
                <w:szCs w:val="28"/>
              </w:rPr>
              <w:t>营业执照</w:t>
            </w:r>
          </w:p>
        </w:tc>
        <w:tc>
          <w:tcPr>
            <w:tcW w:w="2192" w:type="dxa"/>
            <w:tcBorders>
              <w:bottom w:val="single" w:color="auto" w:sz="4" w:space="0"/>
            </w:tcBorders>
            <w:vAlign w:val="center"/>
          </w:tcPr>
          <w:p w14:paraId="7D1CF60A">
            <w:pPr>
              <w:spacing w:after="50" w:line="360" w:lineRule="auto"/>
              <w:ind w:right="-10"/>
              <w:jc w:val="center"/>
              <w:rPr>
                <w:rFonts w:ascii="Times New Roman" w:hAnsi="Times New Roman" w:cs="Times New Roman"/>
                <w:sz w:val="24"/>
                <w:szCs w:val="28"/>
              </w:rPr>
            </w:pPr>
            <w:r>
              <w:rPr>
                <w:rFonts w:ascii="Times New Roman" w:hAnsi="Times New Roman" w:cs="Times New Roman"/>
                <w:sz w:val="24"/>
                <w:szCs w:val="28"/>
              </w:rPr>
              <w:t>合法有效</w:t>
            </w:r>
          </w:p>
        </w:tc>
        <w:tc>
          <w:tcPr>
            <w:tcW w:w="4700" w:type="dxa"/>
            <w:vAlign w:val="center"/>
          </w:tcPr>
          <w:p w14:paraId="7095A1BD">
            <w:pPr>
              <w:spacing w:line="360" w:lineRule="auto"/>
              <w:jc w:val="left"/>
              <w:rPr>
                <w:rFonts w:ascii="Times New Roman" w:hAnsi="Times New Roman" w:cs="Times New Roman"/>
                <w:sz w:val="24"/>
              </w:rPr>
            </w:pPr>
            <w:r>
              <w:rPr>
                <w:rFonts w:ascii="Times New Roman" w:hAnsi="Times New Roman" w:cs="Times New Roman"/>
                <w:sz w:val="24"/>
              </w:rPr>
              <w:t>提供有效的投标人营业执照（或事业单位法人登记证书）复印件，应完整地体现出营业执照（或事业单位法人登记证书）的全部内容。联合体投标的联合体各方均须提供。</w:t>
            </w:r>
          </w:p>
        </w:tc>
      </w:tr>
      <w:tr w14:paraId="3E1C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77FA5D28">
            <w:pPr>
              <w:adjustRightInd w:val="0"/>
              <w:snapToGrid w:val="0"/>
              <w:spacing w:line="360" w:lineRule="auto"/>
              <w:ind w:right="-10"/>
              <w:jc w:val="center"/>
              <w:rPr>
                <w:rFonts w:ascii="Times New Roman" w:hAnsi="Times New Roman" w:cs="Times New Roman"/>
                <w:sz w:val="24"/>
              </w:rPr>
            </w:pPr>
            <w:r>
              <w:rPr>
                <w:rFonts w:ascii="Times New Roman" w:hAnsi="Times New Roman" w:cs="Times New Roman"/>
                <w:sz w:val="24"/>
              </w:rPr>
              <w:t>2</w:t>
            </w:r>
          </w:p>
        </w:tc>
        <w:tc>
          <w:tcPr>
            <w:tcW w:w="1650" w:type="dxa"/>
            <w:tcBorders>
              <w:bottom w:val="single" w:color="auto" w:sz="4" w:space="0"/>
            </w:tcBorders>
            <w:vAlign w:val="center"/>
          </w:tcPr>
          <w:p w14:paraId="4521D735">
            <w:pPr>
              <w:spacing w:after="50" w:line="360" w:lineRule="auto"/>
              <w:ind w:right="-10"/>
              <w:jc w:val="center"/>
              <w:rPr>
                <w:rFonts w:ascii="Times New Roman" w:hAnsi="Times New Roman" w:cs="Times New Roman"/>
                <w:sz w:val="24"/>
                <w:szCs w:val="28"/>
              </w:rPr>
            </w:pPr>
            <w:r>
              <w:rPr>
                <w:rFonts w:ascii="Times New Roman" w:hAnsi="Times New Roman" w:cs="Times New Roman"/>
                <w:sz w:val="24"/>
                <w:szCs w:val="18"/>
              </w:rPr>
              <w:t>不良信用记录查询</w:t>
            </w:r>
          </w:p>
        </w:tc>
        <w:tc>
          <w:tcPr>
            <w:tcW w:w="2192" w:type="dxa"/>
            <w:tcBorders>
              <w:bottom w:val="single" w:color="auto" w:sz="4" w:space="0"/>
            </w:tcBorders>
            <w:vAlign w:val="center"/>
          </w:tcPr>
          <w:p w14:paraId="3BD14947">
            <w:pPr>
              <w:spacing w:after="50" w:line="360" w:lineRule="auto"/>
              <w:ind w:right="-10"/>
              <w:jc w:val="center"/>
              <w:rPr>
                <w:rFonts w:ascii="Times New Roman" w:hAnsi="Times New Roman" w:cs="Times New Roman"/>
                <w:sz w:val="24"/>
                <w:szCs w:val="28"/>
              </w:rPr>
            </w:pPr>
            <w:r>
              <w:rPr>
                <w:rFonts w:ascii="Times New Roman" w:hAnsi="Times New Roman" w:cs="Times New Roman"/>
                <w:sz w:val="24"/>
                <w:szCs w:val="28"/>
              </w:rPr>
              <w:t>投标人不得存在投标人</w:t>
            </w:r>
            <w:r>
              <w:rPr>
                <w:rFonts w:ascii="Times New Roman" w:hAnsi="Times New Roman" w:cs="Times New Roman"/>
                <w:sz w:val="24"/>
              </w:rPr>
              <w:t>须知正文</w:t>
            </w:r>
            <w:r>
              <w:rPr>
                <w:rFonts w:ascii="Times New Roman" w:hAnsi="Times New Roman" w:cs="Times New Roman"/>
                <w:sz w:val="24"/>
                <w:szCs w:val="28"/>
              </w:rPr>
              <w:t>中的</w:t>
            </w:r>
            <w:r>
              <w:rPr>
                <w:rFonts w:ascii="Times New Roman" w:hAnsi="Times New Roman" w:cs="Times New Roman"/>
                <w:sz w:val="24"/>
                <w:szCs w:val="18"/>
              </w:rPr>
              <w:t>不良信用记录情形</w:t>
            </w:r>
          </w:p>
        </w:tc>
        <w:tc>
          <w:tcPr>
            <w:tcW w:w="4700" w:type="dxa"/>
            <w:tcBorders>
              <w:bottom w:val="single" w:color="auto" w:sz="4" w:space="0"/>
            </w:tcBorders>
            <w:vAlign w:val="center"/>
          </w:tcPr>
          <w:p w14:paraId="382DA405">
            <w:pPr>
              <w:adjustRightInd w:val="0"/>
              <w:snapToGrid w:val="0"/>
              <w:spacing w:line="360" w:lineRule="auto"/>
              <w:ind w:right="-10"/>
              <w:jc w:val="left"/>
              <w:rPr>
                <w:rFonts w:ascii="Times New Roman" w:hAnsi="Times New Roman" w:cs="Times New Roman"/>
                <w:sz w:val="24"/>
              </w:rPr>
            </w:pPr>
            <w:r>
              <w:rPr>
                <w:rFonts w:ascii="Times New Roman" w:hAnsi="Times New Roman" w:cs="Times New Roman"/>
                <w:sz w:val="24"/>
              </w:rPr>
              <w:t>详见投标人须知正文</w:t>
            </w:r>
          </w:p>
        </w:tc>
      </w:tr>
      <w:tr w14:paraId="50B1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1278A012">
            <w:pPr>
              <w:adjustRightInd w:val="0"/>
              <w:snapToGrid w:val="0"/>
              <w:spacing w:line="360" w:lineRule="auto"/>
              <w:ind w:right="-10"/>
              <w:jc w:val="center"/>
              <w:rPr>
                <w:rFonts w:ascii="Times New Roman" w:hAnsi="Times New Roman" w:cs="Times New Roman"/>
                <w:sz w:val="24"/>
              </w:rPr>
            </w:pPr>
            <w:r>
              <w:rPr>
                <w:rFonts w:ascii="Times New Roman" w:hAnsi="Times New Roman" w:cs="Times New Roman"/>
                <w:sz w:val="24"/>
              </w:rPr>
              <w:t>3</w:t>
            </w:r>
          </w:p>
        </w:tc>
        <w:tc>
          <w:tcPr>
            <w:tcW w:w="1650" w:type="dxa"/>
            <w:tcBorders>
              <w:bottom w:val="single" w:color="auto" w:sz="4" w:space="0"/>
            </w:tcBorders>
            <w:vAlign w:val="center"/>
          </w:tcPr>
          <w:p w14:paraId="59DA1E9C">
            <w:pPr>
              <w:spacing w:after="50" w:line="360" w:lineRule="auto"/>
              <w:ind w:right="-10"/>
              <w:jc w:val="center"/>
              <w:rPr>
                <w:rFonts w:ascii="Times New Roman" w:hAnsi="Times New Roman" w:cs="Times New Roman"/>
                <w:sz w:val="24"/>
                <w:szCs w:val="18"/>
              </w:rPr>
            </w:pPr>
            <w:r>
              <w:rPr>
                <w:rFonts w:ascii="Times New Roman" w:hAnsi="Times New Roman" w:cs="Times New Roman"/>
                <w:sz w:val="24"/>
                <w:szCs w:val="28"/>
              </w:rPr>
              <w:t>投标人资质</w:t>
            </w:r>
          </w:p>
        </w:tc>
        <w:tc>
          <w:tcPr>
            <w:tcW w:w="2192" w:type="dxa"/>
            <w:tcBorders>
              <w:bottom w:val="single" w:color="auto" w:sz="4" w:space="0"/>
            </w:tcBorders>
            <w:vAlign w:val="center"/>
          </w:tcPr>
          <w:p w14:paraId="56AA03D6">
            <w:pPr>
              <w:spacing w:after="50" w:line="360" w:lineRule="auto"/>
              <w:ind w:right="-10"/>
              <w:jc w:val="center"/>
              <w:rPr>
                <w:rFonts w:ascii="Times New Roman" w:hAnsi="Times New Roman" w:cs="Times New Roman"/>
                <w:sz w:val="24"/>
                <w:szCs w:val="28"/>
              </w:rPr>
            </w:pPr>
            <w:r>
              <w:rPr>
                <w:rFonts w:ascii="Times New Roman" w:hAnsi="Times New Roman" w:cs="Times New Roman"/>
                <w:sz w:val="24"/>
                <w:szCs w:val="28"/>
              </w:rPr>
              <w:t>符合投标人资格中的资质要求</w:t>
            </w:r>
          </w:p>
        </w:tc>
        <w:tc>
          <w:tcPr>
            <w:tcW w:w="4700" w:type="dxa"/>
            <w:tcBorders>
              <w:bottom w:val="single" w:color="auto" w:sz="4" w:space="0"/>
            </w:tcBorders>
            <w:vAlign w:val="center"/>
          </w:tcPr>
          <w:p w14:paraId="772FB9D8">
            <w:pPr>
              <w:adjustRightInd w:val="0"/>
              <w:snapToGrid w:val="0"/>
              <w:spacing w:line="360" w:lineRule="auto"/>
              <w:ind w:right="-10"/>
              <w:jc w:val="left"/>
              <w:rPr>
                <w:rFonts w:ascii="Times New Roman" w:hAnsi="Times New Roman" w:cs="Times New Roman"/>
                <w:sz w:val="24"/>
              </w:rPr>
            </w:pPr>
            <w:r>
              <w:rPr>
                <w:rFonts w:ascii="Times New Roman" w:hAnsi="Times New Roman" w:cs="Times New Roman"/>
                <w:sz w:val="24"/>
              </w:rPr>
              <w:t>提供</w:t>
            </w:r>
            <w:r>
              <w:rPr>
                <w:rFonts w:ascii="Times New Roman" w:hAnsi="Times New Roman" w:cs="Times New Roman"/>
                <w:sz w:val="24"/>
                <w:szCs w:val="28"/>
              </w:rPr>
              <w:t>符合投标人资格中要求的</w:t>
            </w:r>
            <w:r>
              <w:rPr>
                <w:rFonts w:ascii="Times New Roman" w:hAnsi="Times New Roman" w:cs="Times New Roman"/>
                <w:sz w:val="24"/>
              </w:rPr>
              <w:t>资质证书复印件</w:t>
            </w:r>
          </w:p>
        </w:tc>
      </w:tr>
    </w:tbl>
    <w:p w14:paraId="7DE6A714">
      <w:pPr>
        <w:spacing w:line="360" w:lineRule="auto"/>
        <w:rPr>
          <w:rFonts w:ascii="Times New Roman" w:hAnsi="Times New Roman" w:cs="Times New Roman"/>
          <w:sz w:val="24"/>
        </w:rPr>
      </w:pPr>
    </w:p>
    <w:p w14:paraId="47B2AA3E">
      <w:pPr>
        <w:spacing w:line="360" w:lineRule="auto"/>
        <w:ind w:firstLine="435"/>
        <w:rPr>
          <w:rFonts w:ascii="Times New Roman" w:hAnsi="Times New Roman" w:cs="Times New Roman"/>
          <w:sz w:val="24"/>
        </w:rPr>
      </w:pPr>
      <w:r>
        <w:rPr>
          <w:rFonts w:ascii="Times New Roman" w:hAnsi="Times New Roman" w:cs="Times New Roman"/>
          <w:b/>
          <w:bCs/>
          <w:sz w:val="24"/>
        </w:rPr>
        <w:t>资格审查指标通过标准：</w:t>
      </w:r>
      <w:r>
        <w:rPr>
          <w:rFonts w:ascii="Times New Roman" w:hAnsi="Times New Roman" w:cs="Times New Roman"/>
          <w:sz w:val="24"/>
        </w:rPr>
        <w:t>投标人必须通过资格审查表中的全部评审指标。</w:t>
      </w:r>
    </w:p>
    <w:p w14:paraId="49F30E0F">
      <w:pPr>
        <w:spacing w:line="360" w:lineRule="auto"/>
        <w:ind w:firstLine="435"/>
        <w:rPr>
          <w:rFonts w:ascii="Times New Roman" w:hAnsi="Times New Roman" w:cs="Times New Roman"/>
          <w:sz w:val="24"/>
        </w:rPr>
      </w:pPr>
      <w:r>
        <w:rPr>
          <w:rFonts w:ascii="Times New Roman" w:hAnsi="Times New Roman" w:cs="Times New Roman"/>
          <w:sz w:val="24"/>
        </w:rPr>
        <w:t>2.2符合性审查</w:t>
      </w:r>
    </w:p>
    <w:p w14:paraId="40C2B304">
      <w:pPr>
        <w:spacing w:line="360" w:lineRule="auto"/>
        <w:ind w:firstLine="435"/>
        <w:rPr>
          <w:rFonts w:ascii="Times New Roman" w:hAnsi="Times New Roman" w:cs="Times New Roman"/>
          <w:sz w:val="24"/>
        </w:rPr>
      </w:pPr>
      <w:r>
        <w:rPr>
          <w:rFonts w:ascii="Times New Roman" w:hAnsi="Times New Roman" w:cs="Times New Roman"/>
          <w:sz w:val="24"/>
        </w:rPr>
        <w:t>评标委员会对通过资格审查的投标人的投标文件进行符合性审查，以确定其是否满足招标文件的实质性要求。符合性审查表如下：</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7818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5A957A55">
            <w:pPr>
              <w:adjustRightInd w:val="0"/>
              <w:snapToGrid w:val="0"/>
              <w:ind w:right="-10"/>
              <w:jc w:val="center"/>
              <w:rPr>
                <w:rFonts w:ascii="Times New Roman" w:hAnsi="Times New Roman" w:cs="Times New Roman"/>
                <w:b/>
                <w:bCs/>
                <w:sz w:val="24"/>
              </w:rPr>
            </w:pPr>
            <w:r>
              <w:rPr>
                <w:rFonts w:ascii="Times New Roman" w:hAnsi="Times New Roman" w:cs="Times New Roman"/>
                <w:b/>
                <w:bCs/>
                <w:sz w:val="24"/>
              </w:rPr>
              <w:t>符合性审查表</w:t>
            </w:r>
          </w:p>
        </w:tc>
      </w:tr>
      <w:tr w14:paraId="0D17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14:paraId="22639F0F">
            <w:pPr>
              <w:adjustRightInd w:val="0"/>
              <w:snapToGrid w:val="0"/>
              <w:ind w:right="-10"/>
              <w:jc w:val="center"/>
              <w:rPr>
                <w:rFonts w:ascii="Times New Roman" w:hAnsi="Times New Roman" w:cs="Times New Roman"/>
                <w:sz w:val="24"/>
              </w:rPr>
            </w:pPr>
            <w:r>
              <w:rPr>
                <w:rFonts w:ascii="Times New Roman" w:hAnsi="Times New Roman" w:cs="Times New Roman"/>
                <w:sz w:val="24"/>
              </w:rPr>
              <w:t>序号</w:t>
            </w:r>
          </w:p>
        </w:tc>
        <w:tc>
          <w:tcPr>
            <w:tcW w:w="2117" w:type="dxa"/>
            <w:tcBorders>
              <w:bottom w:val="single" w:color="auto" w:sz="4" w:space="0"/>
            </w:tcBorders>
            <w:vAlign w:val="center"/>
          </w:tcPr>
          <w:p w14:paraId="4781E0B3">
            <w:pPr>
              <w:pStyle w:val="61"/>
              <w:pBdr>
                <w:bottom w:val="none" w:color="auto" w:sz="0" w:space="0"/>
              </w:pBdr>
              <w:snapToGrid w:val="0"/>
              <w:spacing w:line="240" w:lineRule="auto"/>
              <w:ind w:right="-10"/>
              <w:textAlignment w:val="auto"/>
              <w:rPr>
                <w:rFonts w:ascii="Times New Roman" w:hAnsi="Times New Roman" w:cs="Times New Roman"/>
                <w:kern w:val="2"/>
                <w:szCs w:val="24"/>
              </w:rPr>
            </w:pPr>
            <w:r>
              <w:rPr>
                <w:rFonts w:ascii="Times New Roman" w:hAnsi="Times New Roman" w:cs="Times New Roman"/>
                <w:kern w:val="2"/>
                <w:szCs w:val="24"/>
              </w:rPr>
              <w:t>评审指标</w:t>
            </w:r>
          </w:p>
        </w:tc>
        <w:tc>
          <w:tcPr>
            <w:tcW w:w="3128" w:type="dxa"/>
            <w:tcBorders>
              <w:bottom w:val="single" w:color="auto" w:sz="4" w:space="0"/>
            </w:tcBorders>
            <w:vAlign w:val="center"/>
          </w:tcPr>
          <w:p w14:paraId="63749A48">
            <w:pPr>
              <w:adjustRightInd w:val="0"/>
              <w:snapToGrid w:val="0"/>
              <w:ind w:right="-10"/>
              <w:jc w:val="center"/>
              <w:rPr>
                <w:rFonts w:ascii="Times New Roman" w:hAnsi="Times New Roman" w:cs="Times New Roman"/>
                <w:sz w:val="24"/>
              </w:rPr>
            </w:pPr>
            <w:r>
              <w:rPr>
                <w:rFonts w:ascii="Times New Roman" w:hAnsi="Times New Roman" w:cs="Times New Roman"/>
                <w:sz w:val="24"/>
              </w:rPr>
              <w:t>评审标准</w:t>
            </w:r>
          </w:p>
        </w:tc>
        <w:tc>
          <w:tcPr>
            <w:tcW w:w="2505" w:type="dxa"/>
            <w:tcBorders>
              <w:bottom w:val="single" w:color="auto" w:sz="4" w:space="0"/>
            </w:tcBorders>
            <w:vAlign w:val="center"/>
          </w:tcPr>
          <w:p w14:paraId="49A51050">
            <w:pPr>
              <w:adjustRightInd w:val="0"/>
              <w:snapToGrid w:val="0"/>
              <w:ind w:right="-10"/>
              <w:jc w:val="center"/>
              <w:rPr>
                <w:rFonts w:ascii="Times New Roman" w:hAnsi="Times New Roman" w:cs="Times New Roman"/>
                <w:sz w:val="24"/>
              </w:rPr>
            </w:pPr>
            <w:r>
              <w:rPr>
                <w:rFonts w:ascii="Times New Roman" w:hAnsi="Times New Roman" w:cs="Times New Roman"/>
                <w:sz w:val="24"/>
              </w:rPr>
              <w:t>格式及材料要求</w:t>
            </w:r>
          </w:p>
        </w:tc>
      </w:tr>
      <w:tr w14:paraId="2DCA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8E7755D">
            <w:pPr>
              <w:adjustRightInd w:val="0"/>
              <w:snapToGrid w:val="0"/>
              <w:ind w:right="-10"/>
              <w:jc w:val="center"/>
              <w:rPr>
                <w:rFonts w:ascii="Times New Roman" w:hAnsi="Times New Roman" w:cs="Times New Roman"/>
                <w:sz w:val="24"/>
              </w:rPr>
            </w:pPr>
            <w:r>
              <w:rPr>
                <w:rFonts w:ascii="Times New Roman" w:hAnsi="Times New Roman" w:cs="Times New Roman"/>
                <w:sz w:val="24"/>
              </w:rPr>
              <w:t>1</w:t>
            </w:r>
          </w:p>
        </w:tc>
        <w:tc>
          <w:tcPr>
            <w:tcW w:w="2117" w:type="dxa"/>
            <w:vAlign w:val="center"/>
          </w:tcPr>
          <w:p w14:paraId="559440B3">
            <w:pPr>
              <w:spacing w:after="50"/>
              <w:ind w:right="-10"/>
              <w:jc w:val="center"/>
              <w:rPr>
                <w:rFonts w:ascii="Times New Roman" w:hAnsi="Times New Roman" w:cs="Times New Roman"/>
                <w:sz w:val="24"/>
                <w:szCs w:val="28"/>
              </w:rPr>
            </w:pPr>
            <w:r>
              <w:rPr>
                <w:rFonts w:ascii="Times New Roman" w:hAnsi="Times New Roman" w:cs="Times New Roman"/>
                <w:sz w:val="24"/>
              </w:rPr>
              <w:t>开标一览表</w:t>
            </w:r>
          </w:p>
        </w:tc>
        <w:tc>
          <w:tcPr>
            <w:tcW w:w="3128" w:type="dxa"/>
            <w:vAlign w:val="center"/>
          </w:tcPr>
          <w:p w14:paraId="32A319DD">
            <w:pPr>
              <w:spacing w:after="50"/>
              <w:ind w:right="-10"/>
              <w:jc w:val="center"/>
              <w:rPr>
                <w:rFonts w:ascii="Times New Roman" w:hAnsi="Times New Roman" w:cs="Times New Roman"/>
                <w:sz w:val="24"/>
                <w:szCs w:val="28"/>
              </w:rPr>
            </w:pPr>
            <w:r>
              <w:rPr>
                <w:rFonts w:ascii="Times New Roman" w:hAnsi="Times New Roman" w:cs="Times New Roman"/>
                <w:sz w:val="24"/>
                <w:szCs w:val="28"/>
              </w:rPr>
              <w:t>格式、填写要求符合招标文件规定并加盖投标人公章</w:t>
            </w:r>
          </w:p>
        </w:tc>
        <w:tc>
          <w:tcPr>
            <w:tcW w:w="2505" w:type="dxa"/>
            <w:vAlign w:val="center"/>
          </w:tcPr>
          <w:p w14:paraId="2F4E262F">
            <w:pPr>
              <w:adjustRightInd w:val="0"/>
              <w:snapToGrid w:val="0"/>
              <w:ind w:right="-10"/>
              <w:jc w:val="center"/>
              <w:rPr>
                <w:rFonts w:ascii="Times New Roman" w:hAnsi="Times New Roman" w:cs="Times New Roman"/>
                <w:sz w:val="24"/>
              </w:rPr>
            </w:pPr>
            <w:r>
              <w:rPr>
                <w:rFonts w:ascii="Times New Roman" w:hAnsi="Times New Roman" w:cs="Times New Roman"/>
                <w:sz w:val="24"/>
              </w:rPr>
              <w:t>详见投标文件格式</w:t>
            </w:r>
          </w:p>
        </w:tc>
      </w:tr>
      <w:tr w14:paraId="0304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08DC435">
            <w:pPr>
              <w:adjustRightInd w:val="0"/>
              <w:snapToGrid w:val="0"/>
              <w:ind w:right="-10"/>
              <w:jc w:val="center"/>
              <w:rPr>
                <w:rFonts w:ascii="Times New Roman" w:hAnsi="Times New Roman" w:cs="Times New Roman"/>
                <w:sz w:val="24"/>
              </w:rPr>
            </w:pPr>
            <w:r>
              <w:rPr>
                <w:rFonts w:ascii="Times New Roman" w:hAnsi="Times New Roman" w:cs="Times New Roman"/>
                <w:sz w:val="24"/>
              </w:rPr>
              <w:t>2</w:t>
            </w:r>
          </w:p>
        </w:tc>
        <w:tc>
          <w:tcPr>
            <w:tcW w:w="2117" w:type="dxa"/>
            <w:vAlign w:val="center"/>
          </w:tcPr>
          <w:p w14:paraId="79811CCF">
            <w:pPr>
              <w:spacing w:after="50"/>
              <w:ind w:right="-10"/>
              <w:jc w:val="center"/>
              <w:rPr>
                <w:rFonts w:ascii="Times New Roman" w:hAnsi="Times New Roman" w:cs="Times New Roman"/>
                <w:sz w:val="24"/>
                <w:szCs w:val="28"/>
              </w:rPr>
            </w:pPr>
            <w:r>
              <w:rPr>
                <w:rFonts w:ascii="Times New Roman" w:hAnsi="Times New Roman" w:cs="Times New Roman"/>
                <w:sz w:val="24"/>
                <w:szCs w:val="28"/>
              </w:rPr>
              <w:t>投标函</w:t>
            </w:r>
          </w:p>
        </w:tc>
        <w:tc>
          <w:tcPr>
            <w:tcW w:w="3128" w:type="dxa"/>
            <w:vAlign w:val="center"/>
          </w:tcPr>
          <w:p w14:paraId="429B87DD">
            <w:pPr>
              <w:spacing w:after="50"/>
              <w:ind w:right="-10"/>
              <w:jc w:val="center"/>
              <w:rPr>
                <w:rFonts w:ascii="Times New Roman" w:hAnsi="Times New Roman" w:cs="Times New Roman"/>
                <w:sz w:val="24"/>
                <w:szCs w:val="28"/>
              </w:rPr>
            </w:pPr>
            <w:r>
              <w:rPr>
                <w:rFonts w:ascii="Times New Roman" w:hAnsi="Times New Roman" w:cs="Times New Roman"/>
                <w:sz w:val="24"/>
                <w:szCs w:val="28"/>
              </w:rPr>
              <w:t>格式、填写要求符合招标文件规定并加盖投标人公章</w:t>
            </w:r>
          </w:p>
        </w:tc>
        <w:tc>
          <w:tcPr>
            <w:tcW w:w="2505" w:type="dxa"/>
            <w:vAlign w:val="center"/>
          </w:tcPr>
          <w:p w14:paraId="2246520B">
            <w:pPr>
              <w:adjustRightInd w:val="0"/>
              <w:snapToGrid w:val="0"/>
              <w:ind w:right="-10"/>
              <w:jc w:val="center"/>
              <w:rPr>
                <w:rFonts w:ascii="Times New Roman" w:hAnsi="Times New Roman" w:cs="Times New Roman"/>
                <w:sz w:val="24"/>
              </w:rPr>
            </w:pPr>
            <w:r>
              <w:rPr>
                <w:rFonts w:ascii="Times New Roman" w:hAnsi="Times New Roman" w:cs="Times New Roman"/>
                <w:sz w:val="24"/>
              </w:rPr>
              <w:t>详见第投标文件格式</w:t>
            </w:r>
          </w:p>
        </w:tc>
      </w:tr>
      <w:tr w14:paraId="1EAF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17DC2A7">
            <w:pPr>
              <w:adjustRightInd w:val="0"/>
              <w:snapToGrid w:val="0"/>
              <w:ind w:right="-10"/>
              <w:jc w:val="center"/>
              <w:rPr>
                <w:rFonts w:ascii="Times New Roman" w:hAnsi="Times New Roman" w:cs="Times New Roman"/>
                <w:sz w:val="24"/>
              </w:rPr>
            </w:pPr>
            <w:r>
              <w:rPr>
                <w:rFonts w:ascii="Times New Roman" w:hAnsi="Times New Roman" w:cs="Times New Roman"/>
                <w:sz w:val="24"/>
              </w:rPr>
              <w:t>3</w:t>
            </w:r>
          </w:p>
        </w:tc>
        <w:tc>
          <w:tcPr>
            <w:tcW w:w="2117" w:type="dxa"/>
            <w:vAlign w:val="center"/>
          </w:tcPr>
          <w:p w14:paraId="768F3B7D">
            <w:pPr>
              <w:spacing w:after="50"/>
              <w:ind w:right="-10"/>
              <w:jc w:val="center"/>
              <w:rPr>
                <w:rFonts w:ascii="Times New Roman" w:hAnsi="Times New Roman" w:cs="Times New Roman"/>
                <w:sz w:val="24"/>
                <w:szCs w:val="28"/>
              </w:rPr>
            </w:pPr>
            <w:r>
              <w:rPr>
                <w:rFonts w:ascii="Times New Roman" w:hAnsi="Times New Roman" w:cs="Times New Roman"/>
                <w:sz w:val="24"/>
                <w:szCs w:val="28"/>
              </w:rPr>
              <w:t>授权书</w:t>
            </w:r>
          </w:p>
        </w:tc>
        <w:tc>
          <w:tcPr>
            <w:tcW w:w="3128" w:type="dxa"/>
            <w:vAlign w:val="center"/>
          </w:tcPr>
          <w:p w14:paraId="4DE56E07">
            <w:pPr>
              <w:spacing w:after="50"/>
              <w:ind w:right="-10"/>
              <w:jc w:val="center"/>
              <w:rPr>
                <w:rFonts w:ascii="Times New Roman" w:hAnsi="Times New Roman" w:cs="Times New Roman"/>
                <w:sz w:val="24"/>
                <w:szCs w:val="28"/>
              </w:rPr>
            </w:pPr>
            <w:r>
              <w:rPr>
                <w:rFonts w:ascii="Times New Roman" w:hAnsi="Times New Roman" w:cs="Times New Roman"/>
                <w:sz w:val="24"/>
                <w:szCs w:val="28"/>
              </w:rPr>
              <w:t>格式、填写要求符合招标文件规定并加盖投标人公章</w:t>
            </w:r>
          </w:p>
        </w:tc>
        <w:tc>
          <w:tcPr>
            <w:tcW w:w="2505" w:type="dxa"/>
            <w:vAlign w:val="center"/>
          </w:tcPr>
          <w:p w14:paraId="362C296C">
            <w:pPr>
              <w:adjustRightInd w:val="0"/>
              <w:snapToGrid w:val="0"/>
              <w:ind w:right="-10"/>
              <w:jc w:val="center"/>
              <w:rPr>
                <w:rFonts w:ascii="Times New Roman" w:hAnsi="Times New Roman" w:cs="Times New Roman"/>
                <w:sz w:val="24"/>
              </w:rPr>
            </w:pPr>
            <w:r>
              <w:rPr>
                <w:rFonts w:ascii="Times New Roman" w:hAnsi="Times New Roman" w:cs="Times New Roman"/>
                <w:sz w:val="24"/>
              </w:rPr>
              <w:t>法定代表人参加投标的无需此件，提供身份证明即可。详见投标文件格式</w:t>
            </w:r>
          </w:p>
        </w:tc>
      </w:tr>
      <w:tr w14:paraId="12E9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65A718A0">
            <w:pPr>
              <w:adjustRightInd w:val="0"/>
              <w:snapToGrid w:val="0"/>
              <w:ind w:right="-10"/>
              <w:jc w:val="center"/>
              <w:rPr>
                <w:rFonts w:ascii="Times New Roman" w:hAnsi="Times New Roman" w:cs="Times New Roman"/>
                <w:sz w:val="24"/>
              </w:rPr>
            </w:pPr>
            <w:r>
              <w:rPr>
                <w:rFonts w:ascii="Times New Roman" w:hAnsi="Times New Roman" w:cs="Times New Roman"/>
                <w:sz w:val="24"/>
              </w:rPr>
              <w:t>4</w:t>
            </w:r>
          </w:p>
        </w:tc>
        <w:tc>
          <w:tcPr>
            <w:tcW w:w="2117" w:type="dxa"/>
            <w:vAlign w:val="center"/>
          </w:tcPr>
          <w:p w14:paraId="76F3F9CE">
            <w:pPr>
              <w:spacing w:after="50"/>
              <w:ind w:right="-10"/>
              <w:jc w:val="center"/>
              <w:rPr>
                <w:rFonts w:ascii="Times New Roman" w:hAnsi="Times New Roman" w:cs="Times New Roman"/>
                <w:sz w:val="24"/>
                <w:szCs w:val="28"/>
              </w:rPr>
            </w:pPr>
            <w:r>
              <w:rPr>
                <w:rFonts w:ascii="Times New Roman" w:hAnsi="Times New Roman" w:cs="Times New Roman"/>
                <w:sz w:val="24"/>
                <w:szCs w:val="28"/>
              </w:rPr>
              <w:t>投标报价</w:t>
            </w:r>
          </w:p>
        </w:tc>
        <w:tc>
          <w:tcPr>
            <w:tcW w:w="3128" w:type="dxa"/>
            <w:vAlign w:val="center"/>
          </w:tcPr>
          <w:p w14:paraId="255FA6B9">
            <w:pPr>
              <w:spacing w:after="50"/>
              <w:ind w:right="-10"/>
              <w:jc w:val="center"/>
              <w:rPr>
                <w:rFonts w:ascii="Times New Roman" w:hAnsi="Times New Roman" w:cs="Times New Roman"/>
                <w:sz w:val="24"/>
                <w:szCs w:val="28"/>
              </w:rPr>
            </w:pPr>
            <w:r>
              <w:rPr>
                <w:rFonts w:ascii="Times New Roman" w:hAnsi="Times New Roman" w:cs="Times New Roman"/>
                <w:sz w:val="24"/>
                <w:szCs w:val="28"/>
              </w:rPr>
              <w:t>符合</w:t>
            </w:r>
            <w:r>
              <w:rPr>
                <w:rFonts w:ascii="Times New Roman" w:hAnsi="Times New Roman" w:cs="Times New Roman"/>
                <w:sz w:val="24"/>
              </w:rPr>
              <w:t>招标文件投标人须知正文要求</w:t>
            </w:r>
          </w:p>
        </w:tc>
        <w:tc>
          <w:tcPr>
            <w:tcW w:w="2505" w:type="dxa"/>
            <w:vAlign w:val="center"/>
          </w:tcPr>
          <w:p w14:paraId="30D83352">
            <w:pPr>
              <w:adjustRightInd w:val="0"/>
              <w:snapToGrid w:val="0"/>
              <w:ind w:right="-10"/>
              <w:jc w:val="center"/>
              <w:rPr>
                <w:rFonts w:ascii="Times New Roman" w:hAnsi="Times New Roman" w:cs="Times New Roman"/>
                <w:sz w:val="24"/>
              </w:rPr>
            </w:pPr>
            <w:r>
              <w:rPr>
                <w:rFonts w:ascii="Times New Roman" w:hAnsi="Times New Roman" w:cs="Times New Roman"/>
                <w:sz w:val="24"/>
              </w:rPr>
              <w:t>详见投标文件格式</w:t>
            </w:r>
          </w:p>
        </w:tc>
      </w:tr>
      <w:tr w14:paraId="08DD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9160748">
            <w:pPr>
              <w:adjustRightInd w:val="0"/>
              <w:snapToGrid w:val="0"/>
              <w:ind w:right="-10"/>
              <w:jc w:val="center"/>
              <w:rPr>
                <w:rFonts w:ascii="Times New Roman" w:hAnsi="Times New Roman" w:cs="Times New Roman"/>
                <w:sz w:val="24"/>
              </w:rPr>
            </w:pPr>
            <w:r>
              <w:rPr>
                <w:rFonts w:ascii="Times New Roman" w:hAnsi="Times New Roman" w:cs="Times New Roman"/>
                <w:sz w:val="24"/>
              </w:rPr>
              <w:t>5</w:t>
            </w:r>
          </w:p>
        </w:tc>
        <w:tc>
          <w:tcPr>
            <w:tcW w:w="2117" w:type="dxa"/>
            <w:vAlign w:val="center"/>
          </w:tcPr>
          <w:p w14:paraId="3DE1CF6A">
            <w:pPr>
              <w:spacing w:after="50"/>
              <w:ind w:right="-10"/>
              <w:jc w:val="center"/>
              <w:rPr>
                <w:rFonts w:ascii="Times New Roman" w:hAnsi="Times New Roman" w:cs="Times New Roman"/>
                <w:sz w:val="24"/>
                <w:szCs w:val="28"/>
              </w:rPr>
            </w:pPr>
            <w:r>
              <w:rPr>
                <w:rFonts w:ascii="Times New Roman" w:hAnsi="Times New Roman" w:cs="Times New Roman"/>
                <w:sz w:val="24"/>
                <w:szCs w:val="28"/>
              </w:rPr>
              <w:t>商务响应情况</w:t>
            </w:r>
          </w:p>
        </w:tc>
        <w:tc>
          <w:tcPr>
            <w:tcW w:w="3128" w:type="dxa"/>
            <w:vAlign w:val="center"/>
          </w:tcPr>
          <w:p w14:paraId="1D198BE0">
            <w:pPr>
              <w:spacing w:after="50"/>
              <w:ind w:right="-10"/>
              <w:jc w:val="center"/>
              <w:rPr>
                <w:rFonts w:ascii="Times New Roman" w:hAnsi="Times New Roman" w:cs="Times New Roman"/>
                <w:sz w:val="24"/>
                <w:szCs w:val="28"/>
              </w:rPr>
            </w:pPr>
            <w:r>
              <w:rPr>
                <w:rFonts w:ascii="Times New Roman" w:hAnsi="Times New Roman" w:cs="Times New Roman"/>
                <w:sz w:val="24"/>
                <w:szCs w:val="28"/>
              </w:rPr>
              <w:t>付款响应，服务期限响应</w:t>
            </w:r>
          </w:p>
        </w:tc>
        <w:tc>
          <w:tcPr>
            <w:tcW w:w="2505" w:type="dxa"/>
            <w:vAlign w:val="center"/>
          </w:tcPr>
          <w:p w14:paraId="043289A5">
            <w:pPr>
              <w:adjustRightInd w:val="0"/>
              <w:snapToGrid w:val="0"/>
              <w:ind w:right="-10"/>
              <w:jc w:val="center"/>
              <w:rPr>
                <w:rFonts w:ascii="Times New Roman" w:hAnsi="Times New Roman" w:cs="Times New Roman"/>
                <w:sz w:val="24"/>
              </w:rPr>
            </w:pPr>
            <w:r>
              <w:rPr>
                <w:rFonts w:ascii="Times New Roman" w:hAnsi="Times New Roman" w:cs="Times New Roman"/>
                <w:sz w:val="24"/>
              </w:rPr>
              <w:t>详见投标文件格式</w:t>
            </w:r>
          </w:p>
        </w:tc>
      </w:tr>
      <w:tr w14:paraId="48AE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0C980A6">
            <w:pPr>
              <w:adjustRightInd w:val="0"/>
              <w:snapToGrid w:val="0"/>
              <w:ind w:right="-10"/>
              <w:jc w:val="center"/>
              <w:rPr>
                <w:rFonts w:ascii="Times New Roman" w:hAnsi="Times New Roman" w:cs="Times New Roman"/>
                <w:sz w:val="24"/>
              </w:rPr>
            </w:pPr>
            <w:r>
              <w:rPr>
                <w:rFonts w:ascii="Times New Roman" w:hAnsi="Times New Roman" w:cs="Times New Roman"/>
                <w:sz w:val="24"/>
              </w:rPr>
              <w:t>6</w:t>
            </w:r>
          </w:p>
        </w:tc>
        <w:tc>
          <w:tcPr>
            <w:tcW w:w="2117" w:type="dxa"/>
            <w:vAlign w:val="center"/>
          </w:tcPr>
          <w:p w14:paraId="747110EC">
            <w:pPr>
              <w:spacing w:after="50"/>
              <w:ind w:right="-10"/>
              <w:jc w:val="center"/>
              <w:rPr>
                <w:rFonts w:ascii="Times New Roman" w:hAnsi="Times New Roman" w:cs="Times New Roman"/>
                <w:sz w:val="24"/>
                <w:szCs w:val="28"/>
              </w:rPr>
            </w:pPr>
            <w:r>
              <w:rPr>
                <w:rFonts w:ascii="Times New Roman" w:hAnsi="Times New Roman" w:cs="Times New Roman"/>
                <w:sz w:val="24"/>
                <w:szCs w:val="28"/>
              </w:rPr>
              <w:t>投标文件规范性</w:t>
            </w:r>
          </w:p>
        </w:tc>
        <w:tc>
          <w:tcPr>
            <w:tcW w:w="3128" w:type="dxa"/>
            <w:vAlign w:val="center"/>
          </w:tcPr>
          <w:p w14:paraId="63067B8F">
            <w:pPr>
              <w:spacing w:after="50"/>
              <w:ind w:right="-10"/>
              <w:jc w:val="center"/>
              <w:rPr>
                <w:rFonts w:ascii="Times New Roman" w:hAnsi="Times New Roman" w:cs="Times New Roman"/>
                <w:sz w:val="24"/>
                <w:szCs w:val="28"/>
              </w:rPr>
            </w:pPr>
            <w:r>
              <w:rPr>
                <w:rFonts w:ascii="Times New Roman" w:hAnsi="Times New Roman" w:cs="Times New Roman"/>
                <w:sz w:val="24"/>
                <w:szCs w:val="28"/>
              </w:rPr>
              <w:t>投标文件数量、签署、盖章符合招标文件要求；无严重的编排混乱、内容不全或字迹模糊辨认不清情况。</w:t>
            </w:r>
          </w:p>
        </w:tc>
        <w:tc>
          <w:tcPr>
            <w:tcW w:w="2505" w:type="dxa"/>
            <w:vAlign w:val="center"/>
          </w:tcPr>
          <w:p w14:paraId="3717EED7">
            <w:pPr>
              <w:adjustRightInd w:val="0"/>
              <w:snapToGrid w:val="0"/>
              <w:ind w:right="-10"/>
              <w:jc w:val="center"/>
              <w:rPr>
                <w:rFonts w:ascii="Times New Roman" w:hAnsi="Times New Roman" w:cs="Times New Roman"/>
                <w:sz w:val="24"/>
              </w:rPr>
            </w:pPr>
          </w:p>
        </w:tc>
      </w:tr>
      <w:tr w14:paraId="16F6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9B2B097">
            <w:pPr>
              <w:adjustRightInd w:val="0"/>
              <w:snapToGrid w:val="0"/>
              <w:ind w:right="-10"/>
              <w:jc w:val="center"/>
              <w:rPr>
                <w:rFonts w:ascii="Times New Roman" w:hAnsi="Times New Roman" w:cs="Times New Roman"/>
                <w:sz w:val="24"/>
              </w:rPr>
            </w:pPr>
            <w:r>
              <w:rPr>
                <w:rFonts w:ascii="Times New Roman" w:hAnsi="Times New Roman" w:cs="Times New Roman"/>
                <w:sz w:val="24"/>
              </w:rPr>
              <w:t>7</w:t>
            </w:r>
          </w:p>
        </w:tc>
        <w:tc>
          <w:tcPr>
            <w:tcW w:w="2117" w:type="dxa"/>
            <w:vAlign w:val="center"/>
          </w:tcPr>
          <w:p w14:paraId="6E47EC81">
            <w:pPr>
              <w:spacing w:after="50"/>
              <w:ind w:right="-10"/>
              <w:jc w:val="center"/>
              <w:rPr>
                <w:rFonts w:ascii="Times New Roman" w:hAnsi="Times New Roman" w:cs="Times New Roman"/>
                <w:sz w:val="24"/>
                <w:szCs w:val="28"/>
              </w:rPr>
            </w:pPr>
            <w:r>
              <w:rPr>
                <w:rFonts w:ascii="Times New Roman" w:hAnsi="Times New Roman" w:cs="Times New Roman"/>
                <w:sz w:val="24"/>
                <w:szCs w:val="28"/>
              </w:rPr>
              <w:t>其他实质性要求</w:t>
            </w:r>
          </w:p>
        </w:tc>
        <w:tc>
          <w:tcPr>
            <w:tcW w:w="3128" w:type="dxa"/>
            <w:vAlign w:val="center"/>
          </w:tcPr>
          <w:p w14:paraId="48931728">
            <w:pPr>
              <w:spacing w:after="50"/>
              <w:ind w:right="-10"/>
              <w:jc w:val="center"/>
              <w:rPr>
                <w:rFonts w:ascii="Times New Roman" w:hAnsi="Times New Roman" w:cs="Times New Roman"/>
                <w:sz w:val="24"/>
                <w:szCs w:val="28"/>
              </w:rPr>
            </w:pPr>
            <w:r>
              <w:rPr>
                <w:rFonts w:ascii="Times New Roman" w:hAnsi="Times New Roman" w:cs="Times New Roman"/>
                <w:sz w:val="24"/>
                <w:szCs w:val="28"/>
              </w:rPr>
              <w:t>符合招标文件列明的其他实质性要求。</w:t>
            </w:r>
          </w:p>
        </w:tc>
        <w:tc>
          <w:tcPr>
            <w:tcW w:w="2505" w:type="dxa"/>
            <w:vAlign w:val="center"/>
          </w:tcPr>
          <w:p w14:paraId="3E49B556">
            <w:pPr>
              <w:adjustRightInd w:val="0"/>
              <w:snapToGrid w:val="0"/>
              <w:ind w:right="-10"/>
              <w:jc w:val="center"/>
              <w:rPr>
                <w:rFonts w:ascii="Times New Roman" w:hAnsi="Times New Roman" w:cs="Times New Roman"/>
                <w:b/>
                <w:sz w:val="24"/>
              </w:rPr>
            </w:pPr>
          </w:p>
        </w:tc>
      </w:tr>
    </w:tbl>
    <w:p w14:paraId="4207F23D">
      <w:pPr>
        <w:spacing w:line="360" w:lineRule="auto"/>
        <w:ind w:firstLine="435"/>
        <w:rPr>
          <w:rFonts w:ascii="Times New Roman" w:hAnsi="Times New Roman" w:cs="Times New Roman"/>
          <w:sz w:val="24"/>
        </w:rPr>
      </w:pPr>
      <w:r>
        <w:rPr>
          <w:rFonts w:ascii="Times New Roman" w:hAnsi="Times New Roman" w:cs="Times New Roman"/>
          <w:b/>
          <w:bCs/>
          <w:sz w:val="24"/>
        </w:rPr>
        <w:t>符合性审查指标通过标准：</w:t>
      </w:r>
      <w:r>
        <w:rPr>
          <w:rFonts w:ascii="Times New Roman" w:hAnsi="Times New Roman" w:cs="Times New Roman"/>
          <w:sz w:val="24"/>
        </w:rPr>
        <w:t>投标人必须通过符合性审查表中的全部评审指标。</w:t>
      </w:r>
    </w:p>
    <w:p w14:paraId="6C03BC3B">
      <w:pPr>
        <w:spacing w:line="360" w:lineRule="auto"/>
        <w:ind w:firstLine="435"/>
        <w:rPr>
          <w:rFonts w:ascii="Times New Roman" w:hAnsi="Times New Roman" w:cs="Times New Roman"/>
          <w:sz w:val="24"/>
        </w:rPr>
      </w:pPr>
      <w:r>
        <w:rPr>
          <w:rFonts w:ascii="Times New Roman" w:hAnsi="Times New Roman" w:cs="Times New Roman"/>
          <w:sz w:val="24"/>
        </w:rPr>
        <w:t>2.3综合评分</w:t>
      </w:r>
    </w:p>
    <w:p w14:paraId="5A2196D9">
      <w:pPr>
        <w:adjustRightInd w:val="0"/>
        <w:spacing w:line="360" w:lineRule="auto"/>
        <w:ind w:firstLine="480" w:firstLineChars="200"/>
        <w:jc w:val="left"/>
        <w:outlineLvl w:val="1"/>
        <w:rPr>
          <w:rFonts w:ascii="Times New Roman" w:hAnsi="Times New Roman" w:cs="Times New Roman"/>
          <w:sz w:val="24"/>
        </w:rPr>
      </w:pPr>
      <w:r>
        <w:rPr>
          <w:rFonts w:ascii="Times New Roman" w:hAnsi="Times New Roman" w:cs="Times New Roman"/>
          <w:sz w:val="24"/>
        </w:rPr>
        <w:t>综合评分法，是指以俗称</w:t>
      </w:r>
      <w:r>
        <w:rPr>
          <w:rFonts w:hint="eastAsia" w:ascii="Times New Roman" w:hAnsi="Times New Roman" w:cs="Times New Roman"/>
          <w:sz w:val="24"/>
        </w:rPr>
        <w:t>“</w:t>
      </w:r>
      <w:r>
        <w:rPr>
          <w:rFonts w:ascii="Times New Roman" w:hAnsi="Times New Roman" w:cs="Times New Roman"/>
          <w:sz w:val="24"/>
        </w:rPr>
        <w:t>打分法</w:t>
      </w:r>
      <w:r>
        <w:rPr>
          <w:rFonts w:hint="eastAsia" w:ascii="Times New Roman" w:hAnsi="Times New Roman" w:cs="Times New Roman"/>
          <w:sz w:val="24"/>
        </w:rPr>
        <w:t>”</w:t>
      </w:r>
      <w:r>
        <w:rPr>
          <w:rFonts w:ascii="Times New Roman" w:hAnsi="Times New Roman" w:cs="Times New Roman"/>
          <w:sz w:val="24"/>
        </w:rPr>
        <w:t>把涉及的投标人各种资格资质、技术、商务以及服务的条款，都折算成一定的分数值，总分为100分。评标时，对投标人的每一项指标进行符合性审查、核对并给出分数值，最后，汇总比较，取分数值最高者为</w:t>
      </w:r>
      <w:r>
        <w:fldChar w:fldCharType="begin"/>
      </w:r>
      <w:r>
        <w:instrText xml:space="preserve"> HYPERLINK "https://baike.so.com/doc/963733-1018681.html" \t "https://baike.so.com/doc/_blank" </w:instrText>
      </w:r>
      <w:r>
        <w:fldChar w:fldCharType="separate"/>
      </w:r>
      <w:r>
        <w:rPr>
          <w:rFonts w:ascii="Times New Roman" w:hAnsi="Times New Roman" w:cs="Times New Roman"/>
          <w:sz w:val="24"/>
        </w:rPr>
        <w:t>中标人</w:t>
      </w:r>
      <w:r>
        <w:rPr>
          <w:rFonts w:ascii="Times New Roman" w:hAnsi="Times New Roman" w:cs="Times New Roman"/>
          <w:sz w:val="24"/>
        </w:rPr>
        <w:fldChar w:fldCharType="end"/>
      </w:r>
      <w:r>
        <w:rPr>
          <w:rFonts w:ascii="Times New Roman" w:hAnsi="Times New Roman" w:cs="Times New Roman"/>
          <w:sz w:val="24"/>
        </w:rPr>
        <w:t>。</w:t>
      </w:r>
    </w:p>
    <w:p w14:paraId="002D69E0">
      <w:pPr>
        <w:adjustRightInd w:val="0"/>
        <w:spacing w:line="360" w:lineRule="auto"/>
        <w:ind w:firstLine="482" w:firstLineChars="200"/>
        <w:jc w:val="left"/>
        <w:outlineLvl w:val="1"/>
        <w:rPr>
          <w:rFonts w:ascii="Times New Roman" w:hAnsi="Times New Roman" w:cs="Times New Roman"/>
        </w:rPr>
      </w:pPr>
      <w:r>
        <w:rPr>
          <w:rFonts w:ascii="Times New Roman" w:hAnsi="Times New Roman" w:cs="Times New Roman"/>
          <w:b/>
          <w:bCs/>
          <w:sz w:val="24"/>
        </w:rPr>
        <w:t>本项目综合评分满分为100分，其中：技术资信分值占总分值的权重为</w:t>
      </w:r>
      <w:r>
        <w:rPr>
          <w:rFonts w:hint="eastAsia" w:ascii="Times New Roman" w:hAnsi="Times New Roman" w:cs="Times New Roman"/>
          <w:b/>
          <w:bCs/>
          <w:sz w:val="24"/>
          <w:lang w:val="en-US" w:eastAsia="zh-CN"/>
        </w:rPr>
        <w:t>65</w:t>
      </w:r>
      <w:r>
        <w:rPr>
          <w:rFonts w:ascii="Times New Roman" w:hAnsi="Times New Roman" w:cs="Times New Roman"/>
          <w:b/>
          <w:bCs/>
          <w:sz w:val="24"/>
        </w:rPr>
        <w:t>%，价格分值占总分值的权重为</w:t>
      </w:r>
      <w:r>
        <w:rPr>
          <w:rFonts w:hint="eastAsia" w:ascii="Times New Roman" w:hAnsi="Times New Roman" w:cs="Times New Roman"/>
          <w:b/>
          <w:bCs/>
          <w:sz w:val="24"/>
        </w:rPr>
        <w:t>3</w:t>
      </w:r>
      <w:r>
        <w:rPr>
          <w:rFonts w:hint="eastAsia" w:ascii="Times New Roman" w:hAnsi="Times New Roman" w:cs="Times New Roman"/>
          <w:b/>
          <w:bCs/>
          <w:sz w:val="24"/>
          <w:lang w:val="en-US" w:eastAsia="zh-CN"/>
        </w:rPr>
        <w:t>5</w:t>
      </w:r>
      <w:r>
        <w:rPr>
          <w:rFonts w:ascii="Times New Roman" w:hAnsi="Times New Roman" w:cs="Times New Roman"/>
          <w:b/>
          <w:bCs/>
          <w:sz w:val="24"/>
        </w:rPr>
        <w:t>%。具体评分细则如下：</w:t>
      </w:r>
    </w:p>
    <w:tbl>
      <w:tblPr>
        <w:tblStyle w:val="41"/>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052"/>
        <w:gridCol w:w="5830"/>
        <w:gridCol w:w="1095"/>
      </w:tblGrid>
      <w:tr w14:paraId="7C34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14:paraId="0EFDE213">
            <w:pPr>
              <w:spacing w:line="360" w:lineRule="auto"/>
              <w:jc w:val="center"/>
              <w:rPr>
                <w:rFonts w:ascii="宋体" w:hAnsi="宋体"/>
                <w:b/>
                <w:bCs/>
                <w:sz w:val="21"/>
                <w:szCs w:val="21"/>
              </w:rPr>
            </w:pPr>
            <w:r>
              <w:rPr>
                <w:rFonts w:hint="eastAsia" w:ascii="宋体" w:hAnsi="宋体"/>
                <w:b/>
                <w:bCs/>
                <w:sz w:val="21"/>
                <w:szCs w:val="21"/>
              </w:rPr>
              <w:t>类别</w:t>
            </w:r>
          </w:p>
        </w:tc>
        <w:tc>
          <w:tcPr>
            <w:tcW w:w="1052" w:type="dxa"/>
            <w:tcBorders>
              <w:top w:val="single" w:color="auto" w:sz="4" w:space="0"/>
              <w:left w:val="single" w:color="auto" w:sz="4" w:space="0"/>
              <w:bottom w:val="single" w:color="auto" w:sz="4" w:space="0"/>
              <w:right w:val="single" w:color="auto" w:sz="4" w:space="0"/>
            </w:tcBorders>
            <w:vAlign w:val="center"/>
          </w:tcPr>
          <w:p w14:paraId="3DB9E2CF">
            <w:pPr>
              <w:spacing w:line="360" w:lineRule="auto"/>
              <w:jc w:val="center"/>
              <w:rPr>
                <w:rFonts w:ascii="宋体" w:hAnsi="宋体"/>
                <w:b/>
                <w:bCs/>
                <w:sz w:val="21"/>
                <w:szCs w:val="21"/>
              </w:rPr>
            </w:pPr>
            <w:r>
              <w:rPr>
                <w:rFonts w:hint="eastAsia" w:ascii="宋体" w:hAnsi="宋体"/>
                <w:b/>
                <w:bCs/>
                <w:sz w:val="21"/>
                <w:szCs w:val="21"/>
              </w:rPr>
              <w:t>评分内容</w:t>
            </w:r>
          </w:p>
        </w:tc>
        <w:tc>
          <w:tcPr>
            <w:tcW w:w="5830" w:type="dxa"/>
            <w:tcBorders>
              <w:top w:val="single" w:color="auto" w:sz="4" w:space="0"/>
              <w:left w:val="single" w:color="auto" w:sz="4" w:space="0"/>
              <w:bottom w:val="single" w:color="auto" w:sz="4" w:space="0"/>
              <w:right w:val="single" w:color="auto" w:sz="4" w:space="0"/>
            </w:tcBorders>
            <w:vAlign w:val="center"/>
          </w:tcPr>
          <w:p w14:paraId="163A06A6">
            <w:pPr>
              <w:spacing w:line="360" w:lineRule="auto"/>
              <w:jc w:val="center"/>
              <w:rPr>
                <w:rFonts w:ascii="宋体" w:hAnsi="宋体"/>
                <w:b/>
                <w:bCs/>
                <w:sz w:val="21"/>
                <w:szCs w:val="21"/>
              </w:rPr>
            </w:pPr>
            <w:r>
              <w:rPr>
                <w:rFonts w:hint="eastAsia" w:ascii="宋体" w:hAnsi="宋体"/>
                <w:b/>
                <w:bCs/>
                <w:sz w:val="21"/>
                <w:szCs w:val="21"/>
              </w:rPr>
              <w:t>评分标准</w:t>
            </w:r>
          </w:p>
        </w:tc>
        <w:tc>
          <w:tcPr>
            <w:tcW w:w="1095" w:type="dxa"/>
            <w:tcBorders>
              <w:top w:val="single" w:color="auto" w:sz="4" w:space="0"/>
              <w:left w:val="single" w:color="auto" w:sz="4" w:space="0"/>
              <w:bottom w:val="single" w:color="auto" w:sz="4" w:space="0"/>
              <w:right w:val="single" w:color="auto" w:sz="4" w:space="0"/>
            </w:tcBorders>
            <w:vAlign w:val="center"/>
          </w:tcPr>
          <w:p w14:paraId="18E0BE25">
            <w:pPr>
              <w:spacing w:line="360" w:lineRule="auto"/>
              <w:jc w:val="center"/>
              <w:rPr>
                <w:rFonts w:ascii="宋体" w:hAnsi="宋体"/>
                <w:b/>
                <w:bCs/>
                <w:sz w:val="21"/>
                <w:szCs w:val="21"/>
              </w:rPr>
            </w:pPr>
            <w:r>
              <w:rPr>
                <w:rFonts w:hint="eastAsia" w:ascii="宋体" w:hAnsi="宋体"/>
                <w:b/>
                <w:bCs/>
                <w:sz w:val="21"/>
                <w:szCs w:val="21"/>
              </w:rPr>
              <w:t>分值</w:t>
            </w:r>
          </w:p>
          <w:p w14:paraId="5E0E8911">
            <w:pPr>
              <w:spacing w:line="360" w:lineRule="auto"/>
              <w:jc w:val="center"/>
              <w:rPr>
                <w:rFonts w:ascii="宋体" w:hAnsi="宋体"/>
                <w:b/>
                <w:bCs/>
                <w:sz w:val="21"/>
                <w:szCs w:val="21"/>
              </w:rPr>
            </w:pPr>
            <w:r>
              <w:rPr>
                <w:rFonts w:hint="eastAsia" w:ascii="宋体" w:hAnsi="宋体"/>
                <w:b/>
                <w:bCs/>
                <w:sz w:val="21"/>
                <w:szCs w:val="21"/>
              </w:rPr>
              <w:t>范围</w:t>
            </w:r>
          </w:p>
        </w:tc>
      </w:tr>
      <w:tr w14:paraId="0EF9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restart"/>
            <w:tcBorders>
              <w:top w:val="single" w:color="auto" w:sz="4" w:space="0"/>
              <w:left w:val="single" w:color="auto" w:sz="4" w:space="0"/>
              <w:right w:val="single" w:color="auto" w:sz="4" w:space="0"/>
            </w:tcBorders>
            <w:vAlign w:val="center"/>
          </w:tcPr>
          <w:p w14:paraId="5115681E">
            <w:pPr>
              <w:spacing w:line="360" w:lineRule="auto"/>
              <w:jc w:val="center"/>
              <w:rPr>
                <w:rFonts w:ascii="宋体" w:hAnsi="宋体"/>
                <w:b/>
                <w:bCs/>
                <w:sz w:val="21"/>
                <w:szCs w:val="21"/>
              </w:rPr>
            </w:pPr>
            <w:r>
              <w:rPr>
                <w:rFonts w:hint="eastAsia" w:ascii="宋体" w:hAnsi="宋体"/>
                <w:b/>
                <w:bCs/>
                <w:sz w:val="21"/>
                <w:szCs w:val="21"/>
              </w:rPr>
              <w:t>技术资信分</w:t>
            </w:r>
          </w:p>
          <w:p w14:paraId="4F99E315">
            <w:pPr>
              <w:spacing w:line="360" w:lineRule="auto"/>
              <w:jc w:val="center"/>
              <w:rPr>
                <w:rFonts w:ascii="宋体" w:hAnsi="宋体"/>
                <w:b/>
                <w:bCs/>
                <w:sz w:val="21"/>
                <w:szCs w:val="21"/>
              </w:rPr>
            </w:pPr>
            <w:r>
              <w:rPr>
                <w:rFonts w:hint="eastAsia" w:ascii="宋体" w:hAnsi="宋体"/>
                <w:b/>
                <w:bCs/>
                <w:sz w:val="21"/>
                <w:szCs w:val="21"/>
              </w:rPr>
              <w:t>（</w:t>
            </w:r>
            <w:r>
              <w:rPr>
                <w:rFonts w:hint="eastAsia" w:ascii="宋体" w:hAnsi="宋体"/>
                <w:b/>
                <w:bCs/>
                <w:sz w:val="21"/>
                <w:szCs w:val="21"/>
                <w:lang w:val="en-US" w:eastAsia="zh-CN"/>
              </w:rPr>
              <w:t>65</w:t>
            </w:r>
            <w:r>
              <w:rPr>
                <w:rFonts w:hint="eastAsia" w:ascii="宋体" w:hAnsi="宋体"/>
                <w:b/>
                <w:bCs/>
                <w:sz w:val="21"/>
                <w:szCs w:val="21"/>
              </w:rPr>
              <w:t>分）</w:t>
            </w:r>
          </w:p>
        </w:tc>
        <w:tc>
          <w:tcPr>
            <w:tcW w:w="1052" w:type="dxa"/>
            <w:tcBorders>
              <w:top w:val="single" w:color="auto" w:sz="4" w:space="0"/>
              <w:left w:val="single" w:color="auto" w:sz="4" w:space="0"/>
              <w:bottom w:val="single" w:color="auto" w:sz="4" w:space="0"/>
              <w:right w:val="single" w:color="auto" w:sz="4" w:space="0"/>
            </w:tcBorders>
            <w:vAlign w:val="center"/>
          </w:tcPr>
          <w:p w14:paraId="0FD80DB1">
            <w:pPr>
              <w:pStyle w:val="31"/>
              <w:spacing w:line="560" w:lineRule="exact"/>
              <w:ind w:left="0" w:firstLine="0" w:firstLineChars="0"/>
              <w:jc w:val="center"/>
              <w:rPr>
                <w:rFonts w:ascii="宋体" w:hAnsi="宋体"/>
                <w:b w:val="0"/>
                <w:bCs w:val="0"/>
                <w:sz w:val="21"/>
                <w:szCs w:val="21"/>
              </w:rPr>
            </w:pPr>
            <w:r>
              <w:rPr>
                <w:rFonts w:hint="eastAsia" w:ascii="宋体" w:hAnsi="宋体"/>
                <w:b w:val="0"/>
                <w:bCs w:val="0"/>
                <w:sz w:val="21"/>
                <w:szCs w:val="21"/>
              </w:rPr>
              <w:t>技术参数</w:t>
            </w:r>
          </w:p>
        </w:tc>
        <w:tc>
          <w:tcPr>
            <w:tcW w:w="5830" w:type="dxa"/>
            <w:tcBorders>
              <w:top w:val="single" w:color="auto" w:sz="4" w:space="0"/>
              <w:left w:val="single" w:color="auto" w:sz="4" w:space="0"/>
              <w:bottom w:val="single" w:color="auto" w:sz="4" w:space="0"/>
              <w:right w:val="single" w:color="auto" w:sz="4" w:space="0"/>
            </w:tcBorders>
            <w:vAlign w:val="center"/>
          </w:tcPr>
          <w:p w14:paraId="4AE20A6C">
            <w:pPr>
              <w:spacing w:line="360" w:lineRule="auto"/>
              <w:rPr>
                <w:rFonts w:hint="default" w:ascii="Times New Roman" w:hAnsi="Times New Roman" w:eastAsia="宋体" w:cs="Times New Roman"/>
                <w:b w:val="0"/>
                <w:bCs w:val="0"/>
                <w:color w:val="auto"/>
                <w:sz w:val="21"/>
                <w:szCs w:val="21"/>
                <w:highlight w:val="none"/>
                <w:lang w:eastAsia="zh-CN"/>
              </w:rPr>
            </w:pPr>
            <w:r>
              <w:rPr>
                <w:rFonts w:hint="eastAsia" w:ascii="Times New Roman" w:hAnsi="Times New Roman" w:eastAsia="宋体" w:cs="Times New Roman"/>
                <w:b w:val="0"/>
                <w:bCs w:val="0"/>
                <w:color w:val="auto"/>
                <w:sz w:val="21"/>
                <w:szCs w:val="21"/>
                <w:highlight w:val="none"/>
                <w:lang w:eastAsia="zh-CN"/>
              </w:rPr>
              <w:t>根据投标人所投产品技术参数及要求响应情况进行评分：</w:t>
            </w:r>
          </w:p>
          <w:p w14:paraId="1E5BBDA5">
            <w:pPr>
              <w:spacing w:line="360" w:lineRule="auto"/>
              <w:rPr>
                <w:rFonts w:hint="default" w:ascii="Times New Roman" w:hAnsi="Times New Roman" w:eastAsia="宋体" w:cs="Times New Roman"/>
                <w:b w:val="0"/>
                <w:bCs w:val="0"/>
                <w:color w:val="auto"/>
                <w:sz w:val="21"/>
                <w:szCs w:val="21"/>
                <w:highlight w:val="none"/>
                <w:lang w:eastAsia="zh-CN"/>
              </w:rPr>
            </w:pPr>
            <w:r>
              <w:rPr>
                <w:rFonts w:hint="eastAsia" w:ascii="Times New Roman" w:hAnsi="Times New Roman" w:eastAsia="宋体" w:cs="Times New Roman"/>
                <w:b w:val="0"/>
                <w:bCs w:val="0"/>
                <w:color w:val="auto"/>
                <w:sz w:val="21"/>
                <w:szCs w:val="21"/>
                <w:highlight w:val="none"/>
                <w:lang w:eastAsia="zh-CN"/>
              </w:rPr>
              <w:t>标注“★”的条款，每满足一项得</w:t>
            </w:r>
            <w:r>
              <w:rPr>
                <w:rFonts w:hint="eastAsia" w:ascii="Times New Roman" w:hAnsi="Times New Roman" w:eastAsia="宋体" w:cs="Times New Roman"/>
                <w:b w:val="0"/>
                <w:bCs w:val="0"/>
                <w:color w:val="auto"/>
                <w:sz w:val="21"/>
                <w:szCs w:val="21"/>
                <w:highlight w:val="none"/>
                <w:lang w:val="en-US" w:eastAsia="zh-CN"/>
              </w:rPr>
              <w:t>3</w:t>
            </w:r>
            <w:r>
              <w:rPr>
                <w:rFonts w:hint="eastAsia" w:ascii="Times New Roman" w:hAnsi="Times New Roman" w:eastAsia="宋体" w:cs="Times New Roman"/>
                <w:b w:val="0"/>
                <w:bCs w:val="0"/>
                <w:color w:val="auto"/>
                <w:sz w:val="21"/>
                <w:szCs w:val="21"/>
                <w:highlight w:val="none"/>
                <w:lang w:eastAsia="zh-CN"/>
              </w:rPr>
              <w:t>分，共</w:t>
            </w:r>
            <w:r>
              <w:rPr>
                <w:rFonts w:hint="eastAsia" w:ascii="Times New Roman" w:hAnsi="Times New Roman" w:cs="Times New Roman"/>
                <w:b w:val="0"/>
                <w:bCs w:val="0"/>
                <w:color w:val="auto"/>
                <w:sz w:val="21"/>
                <w:szCs w:val="21"/>
                <w:highlight w:val="none"/>
                <w:lang w:val="en-US" w:eastAsia="zh-CN"/>
              </w:rPr>
              <w:t>5</w:t>
            </w:r>
            <w:r>
              <w:rPr>
                <w:rFonts w:hint="eastAsia" w:ascii="Times New Roman" w:hAnsi="Times New Roman" w:eastAsia="宋体" w:cs="Times New Roman"/>
                <w:b w:val="0"/>
                <w:bCs w:val="0"/>
                <w:color w:val="auto"/>
                <w:sz w:val="21"/>
                <w:szCs w:val="21"/>
                <w:highlight w:val="none"/>
                <w:lang w:eastAsia="zh-CN"/>
              </w:rPr>
              <w:t>项，共计</w:t>
            </w:r>
            <w:r>
              <w:rPr>
                <w:rFonts w:hint="eastAsia" w:ascii="Times New Roman" w:hAnsi="Times New Roman" w:cs="Times New Roman"/>
                <w:b w:val="0"/>
                <w:bCs w:val="0"/>
                <w:color w:val="auto"/>
                <w:sz w:val="21"/>
                <w:szCs w:val="21"/>
                <w:highlight w:val="none"/>
                <w:lang w:val="en-US" w:eastAsia="zh-CN"/>
              </w:rPr>
              <w:t>15</w:t>
            </w:r>
            <w:r>
              <w:rPr>
                <w:rFonts w:hint="eastAsia" w:ascii="Times New Roman" w:hAnsi="Times New Roman" w:eastAsia="宋体" w:cs="Times New Roman"/>
                <w:b w:val="0"/>
                <w:bCs w:val="0"/>
                <w:color w:val="auto"/>
                <w:sz w:val="21"/>
                <w:szCs w:val="21"/>
                <w:highlight w:val="none"/>
                <w:lang w:eastAsia="zh-CN"/>
              </w:rPr>
              <w:t>分；</w:t>
            </w:r>
          </w:p>
          <w:p w14:paraId="7852C9AF">
            <w:pPr>
              <w:spacing w:line="360" w:lineRule="auto"/>
              <w:rPr>
                <w:rFonts w:ascii="宋体" w:hAnsi="宋体"/>
                <w:sz w:val="21"/>
                <w:szCs w:val="21"/>
              </w:rPr>
            </w:pPr>
            <w:r>
              <w:rPr>
                <w:rFonts w:hint="eastAsia" w:ascii="Times New Roman" w:hAnsi="Times New Roman" w:eastAsia="宋体" w:cs="Times New Roman"/>
                <w:b/>
                <w:bCs/>
                <w:color w:val="auto"/>
                <w:kern w:val="2"/>
                <w:sz w:val="21"/>
                <w:szCs w:val="21"/>
                <w:highlight w:val="none"/>
                <w:lang w:val="en-US" w:eastAsia="zh-CN" w:bidi="ar-SA"/>
              </w:rPr>
              <w:t>注：</w:t>
            </w:r>
            <w:r>
              <w:rPr>
                <w:rFonts w:hint="eastAsia" w:ascii="Times New Roman" w:hAnsi="Times New Roman" w:cs="Times New Roman"/>
                <w:b/>
                <w:bCs/>
                <w:color w:val="auto"/>
                <w:kern w:val="2"/>
                <w:sz w:val="21"/>
                <w:szCs w:val="21"/>
                <w:highlight w:val="none"/>
                <w:lang w:val="en-US" w:eastAsia="zh-CN" w:bidi="ar-SA"/>
              </w:rPr>
              <w:t>（1）</w:t>
            </w:r>
            <w:r>
              <w:rPr>
                <w:rFonts w:hint="eastAsia" w:ascii="Times New Roman" w:hAnsi="Times New Roman" w:eastAsia="宋体" w:cs="Times New Roman"/>
                <w:b/>
                <w:bCs/>
                <w:color w:val="auto"/>
                <w:kern w:val="2"/>
                <w:sz w:val="21"/>
                <w:szCs w:val="21"/>
                <w:highlight w:val="none"/>
                <w:lang w:val="en-US" w:eastAsia="zh-CN" w:bidi="ar-SA"/>
              </w:rPr>
              <w:t>投标文件中须提供产品彩页或第三方检测机构出具的具有CMA（或CNAS）标识的检测报告扫描件或影印件。</w:t>
            </w:r>
            <w:r>
              <w:rPr>
                <w:rFonts w:hint="eastAsia" w:ascii="Times New Roman" w:hAnsi="Times New Roman" w:cs="Times New Roman"/>
                <w:b/>
                <w:bCs/>
                <w:color w:val="auto"/>
                <w:kern w:val="2"/>
                <w:sz w:val="21"/>
                <w:szCs w:val="21"/>
                <w:highlight w:val="none"/>
                <w:lang w:val="en-US" w:eastAsia="zh-CN" w:bidi="ar-SA"/>
              </w:rPr>
              <w:t>（2）</w:t>
            </w:r>
            <w:r>
              <w:rPr>
                <w:rFonts w:hint="eastAsia" w:ascii="Times New Roman" w:hAnsi="Times New Roman" w:eastAsia="宋体" w:cs="Times New Roman"/>
                <w:b/>
                <w:bCs/>
                <w:color w:val="auto"/>
                <w:kern w:val="2"/>
                <w:sz w:val="21"/>
                <w:szCs w:val="21"/>
                <w:highlight w:val="none"/>
                <w:lang w:val="en-US" w:eastAsia="zh-CN" w:bidi="ar-SA"/>
              </w:rPr>
              <w:t>投标文件中未提供或不满足要求的不得分。</w:t>
            </w:r>
            <w:r>
              <w:rPr>
                <w:rFonts w:hint="eastAsia" w:ascii="Times New Roman" w:hAnsi="Times New Roman" w:cs="Times New Roman"/>
                <w:b/>
                <w:bCs/>
                <w:color w:val="auto"/>
                <w:kern w:val="2"/>
                <w:sz w:val="21"/>
                <w:szCs w:val="21"/>
                <w:highlight w:val="none"/>
                <w:lang w:val="en-US" w:eastAsia="zh-CN" w:bidi="ar-SA"/>
              </w:rPr>
              <w:t>（3）</w:t>
            </w:r>
            <w:r>
              <w:rPr>
                <w:rFonts w:hint="eastAsia" w:ascii="Times New Roman" w:hAnsi="Times New Roman" w:eastAsia="宋体" w:cs="Times New Roman"/>
                <w:b/>
                <w:bCs/>
                <w:color w:val="auto"/>
                <w:kern w:val="2"/>
                <w:sz w:val="21"/>
                <w:szCs w:val="21"/>
                <w:highlight w:val="none"/>
                <w:lang w:val="en-US" w:eastAsia="zh-CN" w:bidi="ar-SA"/>
              </w:rPr>
              <w:t>检测报告货物名称与投标文件要求名称不一致，但实际功能相同，经评审小组认可后，响应有效。</w:t>
            </w:r>
          </w:p>
        </w:tc>
        <w:tc>
          <w:tcPr>
            <w:tcW w:w="1095" w:type="dxa"/>
            <w:tcBorders>
              <w:top w:val="single" w:color="auto" w:sz="4" w:space="0"/>
              <w:left w:val="single" w:color="auto" w:sz="4" w:space="0"/>
              <w:bottom w:val="single" w:color="auto" w:sz="4" w:space="0"/>
              <w:right w:val="single" w:color="auto" w:sz="4" w:space="0"/>
            </w:tcBorders>
            <w:vAlign w:val="center"/>
          </w:tcPr>
          <w:p w14:paraId="1AB06185">
            <w:pPr>
              <w:spacing w:line="360" w:lineRule="auto"/>
              <w:jc w:val="center"/>
              <w:rPr>
                <w:rFonts w:ascii="宋体" w:hAnsi="宋体"/>
                <w:b w:val="0"/>
                <w:bCs w:val="0"/>
                <w:sz w:val="21"/>
                <w:szCs w:val="21"/>
              </w:rPr>
            </w:pPr>
            <w:r>
              <w:rPr>
                <w:rFonts w:hint="eastAsia" w:ascii="宋体" w:hAnsi="宋体"/>
                <w:b w:val="0"/>
                <w:bCs w:val="0"/>
                <w:sz w:val="21"/>
                <w:szCs w:val="21"/>
              </w:rPr>
              <w:t>0-</w:t>
            </w:r>
            <w:r>
              <w:rPr>
                <w:rFonts w:hint="eastAsia" w:ascii="宋体" w:hAnsi="宋体"/>
                <w:b w:val="0"/>
                <w:bCs w:val="0"/>
                <w:sz w:val="21"/>
                <w:szCs w:val="21"/>
                <w:lang w:val="en-US" w:eastAsia="zh-CN"/>
              </w:rPr>
              <w:t>15</w:t>
            </w:r>
            <w:r>
              <w:rPr>
                <w:rFonts w:hint="eastAsia" w:ascii="宋体" w:hAnsi="宋体"/>
                <w:b w:val="0"/>
                <w:bCs w:val="0"/>
                <w:sz w:val="21"/>
                <w:szCs w:val="21"/>
              </w:rPr>
              <w:t>分</w:t>
            </w:r>
          </w:p>
        </w:tc>
      </w:tr>
      <w:tr w14:paraId="0944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continue"/>
            <w:tcBorders>
              <w:left w:val="single" w:color="auto" w:sz="4" w:space="0"/>
              <w:right w:val="single" w:color="auto" w:sz="4" w:space="0"/>
            </w:tcBorders>
            <w:vAlign w:val="center"/>
          </w:tcPr>
          <w:p w14:paraId="76F97E8D">
            <w:pPr>
              <w:spacing w:line="360" w:lineRule="auto"/>
              <w:jc w:val="center"/>
              <w:rPr>
                <w:rFonts w:hint="eastAsia" w:ascii="宋体" w:hAnsi="宋体"/>
                <w:b/>
                <w:bCs/>
                <w:sz w:val="21"/>
                <w:szCs w:val="21"/>
              </w:rPr>
            </w:pPr>
          </w:p>
        </w:tc>
        <w:tc>
          <w:tcPr>
            <w:tcW w:w="1052" w:type="dxa"/>
            <w:tcBorders>
              <w:top w:val="single" w:color="auto" w:sz="4" w:space="0"/>
              <w:left w:val="single" w:color="auto" w:sz="4" w:space="0"/>
              <w:bottom w:val="single" w:color="auto" w:sz="4" w:space="0"/>
              <w:right w:val="single" w:color="auto" w:sz="4" w:space="0"/>
            </w:tcBorders>
            <w:vAlign w:val="center"/>
          </w:tcPr>
          <w:p w14:paraId="57BE09CD">
            <w:pPr>
              <w:pStyle w:val="31"/>
              <w:spacing w:line="560" w:lineRule="exact"/>
              <w:ind w:left="0" w:firstLine="0" w:firstLineChars="0"/>
              <w:jc w:val="center"/>
              <w:rPr>
                <w:rFonts w:hint="eastAsia" w:ascii="宋体" w:hAnsi="宋体" w:eastAsia="宋体"/>
                <w:b w:val="0"/>
                <w:bCs w:val="0"/>
                <w:sz w:val="21"/>
                <w:szCs w:val="21"/>
                <w:lang w:val="en-US" w:eastAsia="zh-CN"/>
              </w:rPr>
            </w:pPr>
            <w:r>
              <w:rPr>
                <w:rFonts w:hint="eastAsia" w:ascii="宋体" w:hAnsi="宋体"/>
                <w:b w:val="0"/>
                <w:bCs w:val="0"/>
                <w:sz w:val="21"/>
                <w:szCs w:val="21"/>
                <w:lang w:val="en-US" w:eastAsia="zh-CN"/>
              </w:rPr>
              <w:t>体系认证</w:t>
            </w:r>
          </w:p>
        </w:tc>
        <w:tc>
          <w:tcPr>
            <w:tcW w:w="5830" w:type="dxa"/>
            <w:tcBorders>
              <w:top w:val="single" w:color="auto" w:sz="4" w:space="0"/>
              <w:left w:val="single" w:color="auto" w:sz="4" w:space="0"/>
              <w:bottom w:val="single" w:color="auto" w:sz="4" w:space="0"/>
              <w:right w:val="single" w:color="auto" w:sz="4" w:space="0"/>
            </w:tcBorders>
            <w:vAlign w:val="center"/>
          </w:tcPr>
          <w:p w14:paraId="3215F93C">
            <w:pPr>
              <w:spacing w:line="360" w:lineRule="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投标人具有经中国国家认证认可监督管理委员会认证机构颁发的有效期内的下列证书的：</w:t>
            </w:r>
          </w:p>
          <w:p w14:paraId="1AC3C08F">
            <w:pPr>
              <w:spacing w:line="360" w:lineRule="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w:t>
            </w:r>
            <w:r>
              <w:rPr>
                <w:rFonts w:hint="eastAsia" w:ascii="Times New Roman" w:hAnsi="Times New Roman" w:eastAsia="宋体" w:cs="Times New Roman"/>
                <w:b w:val="0"/>
                <w:bCs w:val="0"/>
                <w:color w:val="auto"/>
                <w:sz w:val="21"/>
                <w:szCs w:val="21"/>
                <w:highlight w:val="none"/>
                <w:lang w:val="en-US" w:eastAsia="zh-CN"/>
              </w:rPr>
              <w:t>1</w:t>
            </w:r>
            <w:r>
              <w:rPr>
                <w:rFonts w:hint="default" w:ascii="Times New Roman" w:hAnsi="Times New Roman" w:eastAsia="宋体" w:cs="Times New Roman"/>
                <w:b w:val="0"/>
                <w:bCs w:val="0"/>
                <w:color w:val="auto"/>
                <w:sz w:val="21"/>
                <w:szCs w:val="21"/>
                <w:highlight w:val="none"/>
                <w:lang w:val="en-US" w:eastAsia="zh-CN"/>
              </w:rPr>
              <w:t>）信息安全管理体系认证证书；</w:t>
            </w:r>
          </w:p>
          <w:p w14:paraId="11564FDA">
            <w:pPr>
              <w:spacing w:line="360" w:lineRule="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w:t>
            </w:r>
            <w:r>
              <w:rPr>
                <w:rFonts w:hint="eastAsia" w:ascii="Times New Roman" w:hAnsi="Times New Roman" w:eastAsia="宋体" w:cs="Times New Roman"/>
                <w:b w:val="0"/>
                <w:bCs w:val="0"/>
                <w:color w:val="auto"/>
                <w:sz w:val="21"/>
                <w:szCs w:val="21"/>
                <w:highlight w:val="none"/>
                <w:lang w:val="en-US" w:eastAsia="zh-CN"/>
              </w:rPr>
              <w:t>2</w:t>
            </w:r>
            <w:r>
              <w:rPr>
                <w:rFonts w:hint="default" w:ascii="Times New Roman" w:hAnsi="Times New Roman" w:eastAsia="宋体" w:cs="Times New Roman"/>
                <w:b w:val="0"/>
                <w:bCs w:val="0"/>
                <w:color w:val="auto"/>
                <w:sz w:val="21"/>
                <w:szCs w:val="21"/>
                <w:highlight w:val="none"/>
                <w:lang w:val="en-US" w:eastAsia="zh-CN"/>
              </w:rPr>
              <w:t>）信息技术服务管理体系认证证书。</w:t>
            </w:r>
          </w:p>
          <w:p w14:paraId="460CAEB2">
            <w:pPr>
              <w:spacing w:line="360" w:lineRule="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每提供一个得</w:t>
            </w:r>
            <w:r>
              <w:rPr>
                <w:rFonts w:hint="eastAsia" w:ascii="Times New Roman" w:hAnsi="Times New Roman" w:cs="Times New Roman"/>
                <w:b w:val="0"/>
                <w:bCs w:val="0"/>
                <w:color w:val="auto"/>
                <w:sz w:val="21"/>
                <w:szCs w:val="21"/>
                <w:highlight w:val="none"/>
                <w:lang w:val="en-US" w:eastAsia="zh-CN"/>
              </w:rPr>
              <w:t>2</w:t>
            </w:r>
            <w:r>
              <w:rPr>
                <w:rFonts w:hint="default" w:ascii="Times New Roman" w:hAnsi="Times New Roman" w:eastAsia="宋体" w:cs="Times New Roman"/>
                <w:b w:val="0"/>
                <w:bCs w:val="0"/>
                <w:color w:val="auto"/>
                <w:sz w:val="21"/>
                <w:szCs w:val="21"/>
                <w:highlight w:val="none"/>
                <w:lang w:val="en-US" w:eastAsia="zh-CN"/>
              </w:rPr>
              <w:t>分，本项满分</w:t>
            </w:r>
            <w:r>
              <w:rPr>
                <w:rFonts w:hint="eastAsia" w:ascii="Times New Roman" w:hAnsi="Times New Roman" w:cs="Times New Roman"/>
                <w:b w:val="0"/>
                <w:bCs w:val="0"/>
                <w:color w:val="auto"/>
                <w:sz w:val="21"/>
                <w:szCs w:val="21"/>
                <w:highlight w:val="none"/>
                <w:lang w:val="en-US" w:eastAsia="zh-CN"/>
              </w:rPr>
              <w:t>4</w:t>
            </w:r>
            <w:r>
              <w:rPr>
                <w:rFonts w:hint="default" w:ascii="Times New Roman" w:hAnsi="Times New Roman" w:eastAsia="宋体" w:cs="Times New Roman"/>
                <w:b w:val="0"/>
                <w:bCs w:val="0"/>
                <w:color w:val="auto"/>
                <w:sz w:val="21"/>
                <w:szCs w:val="21"/>
                <w:highlight w:val="none"/>
                <w:lang w:val="en-US" w:eastAsia="zh-CN"/>
              </w:rPr>
              <w:t>分。</w:t>
            </w:r>
            <w:bookmarkStart w:id="201" w:name="_GoBack"/>
            <w:bookmarkEnd w:id="201"/>
          </w:p>
          <w:p w14:paraId="04C22306">
            <w:pPr>
              <w:spacing w:line="360" w:lineRule="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sz w:val="21"/>
                <w:szCs w:val="21"/>
                <w:highlight w:val="none"/>
                <w:lang w:val="en-US" w:eastAsia="zh-CN"/>
              </w:rPr>
              <w:t>注：</w:t>
            </w:r>
            <w:r>
              <w:rPr>
                <w:rFonts w:hint="eastAsia" w:ascii="Times New Roman" w:hAnsi="Times New Roman" w:eastAsia="宋体" w:cs="Times New Roman"/>
                <w:b/>
                <w:bCs/>
                <w:color w:val="auto"/>
                <w:sz w:val="21"/>
                <w:szCs w:val="21"/>
                <w:highlight w:val="none"/>
                <w:lang w:val="en-US" w:eastAsia="zh-CN"/>
              </w:rPr>
              <w:t>投标</w:t>
            </w:r>
            <w:r>
              <w:rPr>
                <w:rFonts w:hint="default" w:ascii="Times New Roman" w:hAnsi="Times New Roman" w:eastAsia="宋体" w:cs="Times New Roman"/>
                <w:b/>
                <w:bCs/>
                <w:color w:val="auto"/>
                <w:sz w:val="21"/>
                <w:szCs w:val="21"/>
                <w:highlight w:val="none"/>
                <w:lang w:val="en-US" w:eastAsia="zh-CN"/>
              </w:rPr>
              <w:t>文件中同时提供证书扫描件（或影印件）及全国认证认可信息公共服务平台证书信息查询截图。</w:t>
            </w:r>
          </w:p>
        </w:tc>
        <w:tc>
          <w:tcPr>
            <w:tcW w:w="1095" w:type="dxa"/>
            <w:tcBorders>
              <w:top w:val="single" w:color="auto" w:sz="4" w:space="0"/>
              <w:left w:val="single" w:color="auto" w:sz="4" w:space="0"/>
              <w:bottom w:val="single" w:color="auto" w:sz="4" w:space="0"/>
              <w:right w:val="single" w:color="auto" w:sz="4" w:space="0"/>
            </w:tcBorders>
            <w:vAlign w:val="center"/>
          </w:tcPr>
          <w:p w14:paraId="4CC25F07">
            <w:pPr>
              <w:spacing w:line="360" w:lineRule="auto"/>
              <w:jc w:val="center"/>
              <w:rPr>
                <w:rFonts w:hint="default" w:ascii="宋体" w:hAnsi="宋体" w:eastAsia="宋体"/>
                <w:b w:val="0"/>
                <w:bCs w:val="0"/>
                <w:sz w:val="21"/>
                <w:szCs w:val="21"/>
                <w:lang w:val="en-US" w:eastAsia="zh-CN"/>
              </w:rPr>
            </w:pPr>
            <w:r>
              <w:rPr>
                <w:rFonts w:hint="eastAsia" w:ascii="宋体" w:hAnsi="宋体"/>
                <w:b w:val="0"/>
                <w:bCs w:val="0"/>
                <w:sz w:val="21"/>
                <w:szCs w:val="21"/>
                <w:lang w:val="en-US" w:eastAsia="zh-CN"/>
              </w:rPr>
              <w:t>0-4分</w:t>
            </w:r>
          </w:p>
        </w:tc>
      </w:tr>
      <w:tr w14:paraId="0643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continue"/>
            <w:tcBorders>
              <w:left w:val="single" w:color="auto" w:sz="4" w:space="0"/>
              <w:right w:val="single" w:color="auto" w:sz="4" w:space="0"/>
            </w:tcBorders>
            <w:vAlign w:val="center"/>
          </w:tcPr>
          <w:p w14:paraId="7A815684">
            <w:pPr>
              <w:spacing w:line="360" w:lineRule="auto"/>
              <w:ind w:firstLine="435"/>
              <w:jc w:val="center"/>
              <w:rPr>
                <w:rFonts w:ascii="宋体" w:hAnsi="宋体"/>
                <w:b/>
                <w:bCs/>
                <w:sz w:val="21"/>
                <w:szCs w:val="21"/>
              </w:rPr>
            </w:pPr>
          </w:p>
        </w:tc>
        <w:tc>
          <w:tcPr>
            <w:tcW w:w="1052" w:type="dxa"/>
            <w:tcBorders>
              <w:top w:val="single" w:color="auto" w:sz="4" w:space="0"/>
              <w:left w:val="single" w:color="auto" w:sz="4" w:space="0"/>
              <w:bottom w:val="single" w:color="auto" w:sz="4" w:space="0"/>
              <w:right w:val="single" w:color="auto" w:sz="4" w:space="0"/>
            </w:tcBorders>
            <w:vAlign w:val="center"/>
          </w:tcPr>
          <w:p w14:paraId="484889BB">
            <w:pPr>
              <w:pStyle w:val="31"/>
              <w:spacing w:line="560" w:lineRule="exact"/>
              <w:ind w:left="0" w:firstLine="0" w:firstLineChars="0"/>
              <w:jc w:val="center"/>
              <w:rPr>
                <w:rFonts w:hint="default" w:ascii="宋体" w:hAnsi="宋体" w:eastAsia="宋体"/>
                <w:b w:val="0"/>
                <w:bCs w:val="0"/>
                <w:sz w:val="21"/>
                <w:szCs w:val="21"/>
                <w:lang w:val="en-US" w:eastAsia="zh-CN"/>
              </w:rPr>
            </w:pPr>
            <w:r>
              <w:rPr>
                <w:rFonts w:hint="eastAsia" w:ascii="宋体" w:hAnsi="宋体"/>
                <w:b w:val="0"/>
                <w:bCs w:val="0"/>
                <w:sz w:val="21"/>
                <w:szCs w:val="21"/>
                <w:lang w:val="en-US" w:eastAsia="zh-CN"/>
              </w:rPr>
              <w:t>投标人业绩</w:t>
            </w:r>
          </w:p>
        </w:tc>
        <w:tc>
          <w:tcPr>
            <w:tcW w:w="5830" w:type="dxa"/>
            <w:tcBorders>
              <w:top w:val="single" w:color="auto" w:sz="4" w:space="0"/>
              <w:left w:val="single" w:color="auto" w:sz="4" w:space="0"/>
              <w:bottom w:val="single" w:color="auto" w:sz="4" w:space="0"/>
              <w:right w:val="single" w:color="auto" w:sz="4" w:space="0"/>
            </w:tcBorders>
            <w:vAlign w:val="center"/>
          </w:tcPr>
          <w:p w14:paraId="0E300E21">
            <w:pPr>
              <w:spacing w:line="360" w:lineRule="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20</w:t>
            </w:r>
            <w:r>
              <w:rPr>
                <w:rFonts w:hint="eastAsia" w:ascii="Times New Roman" w:hAnsi="Times New Roman" w:eastAsia="宋体" w:cs="Times New Roman"/>
                <w:b w:val="0"/>
                <w:bCs w:val="0"/>
                <w:color w:val="auto"/>
                <w:sz w:val="21"/>
                <w:szCs w:val="21"/>
                <w:highlight w:val="none"/>
                <w:lang w:val="en-US" w:eastAsia="zh-CN"/>
              </w:rPr>
              <w:t>20</w:t>
            </w:r>
            <w:r>
              <w:rPr>
                <w:rFonts w:hint="default" w:ascii="Times New Roman" w:hAnsi="Times New Roman" w:eastAsia="宋体" w:cs="Times New Roman"/>
                <w:b w:val="0"/>
                <w:bCs w:val="0"/>
                <w:color w:val="auto"/>
                <w:sz w:val="21"/>
                <w:szCs w:val="21"/>
                <w:highlight w:val="none"/>
                <w:lang w:val="en-US" w:eastAsia="zh-CN"/>
              </w:rPr>
              <w:t>年</w:t>
            </w:r>
            <w:r>
              <w:rPr>
                <w:rFonts w:hint="eastAsia" w:ascii="Times New Roman" w:hAnsi="Times New Roman" w:eastAsia="宋体" w:cs="Times New Roman"/>
                <w:b w:val="0"/>
                <w:bCs w:val="0"/>
                <w:color w:val="auto"/>
                <w:sz w:val="21"/>
                <w:szCs w:val="21"/>
                <w:highlight w:val="none"/>
                <w:lang w:val="en-US" w:eastAsia="zh-CN"/>
              </w:rPr>
              <w:t>1</w:t>
            </w:r>
            <w:r>
              <w:rPr>
                <w:rFonts w:hint="default" w:ascii="Times New Roman" w:hAnsi="Times New Roman" w:eastAsia="宋体" w:cs="Times New Roman"/>
                <w:b w:val="0"/>
                <w:bCs w:val="0"/>
                <w:color w:val="auto"/>
                <w:sz w:val="21"/>
                <w:szCs w:val="21"/>
                <w:highlight w:val="none"/>
                <w:lang w:val="en-US" w:eastAsia="zh-CN"/>
              </w:rPr>
              <w:t>月 1 日以来（以竣工验收时间为准），投标人具有智能化项目业绩，每提供一个符合要求的业绩</w:t>
            </w:r>
            <w:r>
              <w:rPr>
                <w:rFonts w:hint="eastAsia" w:ascii="Times New Roman" w:hAnsi="Times New Roman" w:cs="Times New Roman"/>
                <w:b w:val="0"/>
                <w:bCs w:val="0"/>
                <w:color w:val="auto"/>
                <w:sz w:val="21"/>
                <w:szCs w:val="21"/>
                <w:highlight w:val="none"/>
                <w:lang w:val="en-US" w:eastAsia="zh-CN"/>
              </w:rPr>
              <w:t>3</w:t>
            </w:r>
            <w:r>
              <w:rPr>
                <w:rFonts w:hint="default" w:ascii="Times New Roman" w:hAnsi="Times New Roman" w:eastAsia="宋体" w:cs="Times New Roman"/>
                <w:b w:val="0"/>
                <w:bCs w:val="0"/>
                <w:color w:val="auto"/>
                <w:sz w:val="21"/>
                <w:szCs w:val="21"/>
                <w:highlight w:val="none"/>
                <w:lang w:val="en-US" w:eastAsia="zh-CN"/>
              </w:rPr>
              <w:t>分；本项满分</w:t>
            </w:r>
            <w:r>
              <w:rPr>
                <w:rFonts w:hint="eastAsia" w:ascii="Times New Roman" w:hAnsi="Times New Roman" w:cs="Times New Roman"/>
                <w:b w:val="0"/>
                <w:bCs w:val="0"/>
                <w:color w:val="auto"/>
                <w:sz w:val="21"/>
                <w:szCs w:val="21"/>
                <w:highlight w:val="none"/>
                <w:lang w:val="en-US" w:eastAsia="zh-CN"/>
              </w:rPr>
              <w:t>6</w:t>
            </w:r>
            <w:r>
              <w:rPr>
                <w:rFonts w:hint="default" w:ascii="Times New Roman" w:hAnsi="Times New Roman" w:eastAsia="宋体" w:cs="Times New Roman"/>
                <w:b w:val="0"/>
                <w:bCs w:val="0"/>
                <w:color w:val="auto"/>
                <w:sz w:val="21"/>
                <w:szCs w:val="21"/>
                <w:highlight w:val="none"/>
                <w:lang w:val="en-US" w:eastAsia="zh-CN"/>
              </w:rPr>
              <w:t>分。</w:t>
            </w:r>
          </w:p>
          <w:p w14:paraId="58C90517">
            <w:pPr>
              <w:spacing w:line="360" w:lineRule="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注：</w:t>
            </w:r>
            <w:r>
              <w:rPr>
                <w:rFonts w:hint="default" w:ascii="Times New Roman" w:hAnsi="Times New Roman" w:eastAsia="宋体" w:cs="Times New Roman"/>
                <w:b/>
                <w:bCs/>
                <w:color w:val="auto"/>
                <w:sz w:val="21"/>
                <w:szCs w:val="21"/>
                <w:highlight w:val="none"/>
                <w:lang w:val="en-US" w:eastAsia="zh-CN"/>
              </w:rPr>
              <w:t>（1）业绩要求为已完成业绩；</w:t>
            </w:r>
          </w:p>
          <w:p w14:paraId="6E2C201C">
            <w:pPr>
              <w:spacing w:line="360" w:lineRule="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（2）</w:t>
            </w:r>
            <w:r>
              <w:rPr>
                <w:rFonts w:hint="eastAsia" w:ascii="Times New Roman" w:hAnsi="Times New Roman" w:eastAsia="宋体" w:cs="Times New Roman"/>
                <w:b/>
                <w:bCs/>
                <w:color w:val="auto"/>
                <w:sz w:val="21"/>
                <w:szCs w:val="21"/>
                <w:highlight w:val="none"/>
                <w:lang w:val="en-US" w:eastAsia="zh-CN"/>
              </w:rPr>
              <w:t>投标</w:t>
            </w:r>
            <w:r>
              <w:rPr>
                <w:rFonts w:hint="default" w:ascii="Times New Roman" w:hAnsi="Times New Roman" w:eastAsia="宋体" w:cs="Times New Roman"/>
                <w:b/>
                <w:bCs/>
                <w:color w:val="auto"/>
                <w:sz w:val="21"/>
                <w:szCs w:val="21"/>
                <w:highlight w:val="none"/>
                <w:lang w:val="en-US" w:eastAsia="zh-CN"/>
              </w:rPr>
              <w:t>文件中同时提供业绩合同及验收合格证明材料的扫描件（或影印件），若合同或验收合格证明材料中无法体现投标人名称、合同签订时间、项目内容等关键评审因素的，须另附业主单位（或合同甲方）出具的相关证明材料。</w:t>
            </w:r>
          </w:p>
          <w:p w14:paraId="265F7EB3">
            <w:pPr>
              <w:spacing w:line="360" w:lineRule="auto"/>
              <w:rPr>
                <w:rFonts w:asciiTheme="minorEastAsia" w:hAnsiTheme="minorEastAsia" w:eastAsiaTheme="minorEastAsia"/>
                <w:sz w:val="21"/>
                <w:szCs w:val="21"/>
              </w:rPr>
            </w:pPr>
            <w:r>
              <w:rPr>
                <w:rFonts w:hint="default" w:ascii="Times New Roman" w:hAnsi="Times New Roman" w:eastAsia="宋体" w:cs="Times New Roman"/>
                <w:b/>
                <w:bCs/>
                <w:color w:val="auto"/>
                <w:sz w:val="21"/>
                <w:szCs w:val="21"/>
                <w:highlight w:val="none"/>
                <w:lang w:val="en-US" w:eastAsia="zh-CN"/>
              </w:rPr>
              <w:t>（3）与某一机构签订合同后，又与合同内具体服务对象分别签订详细合同的，按一个业绩计分，不重复计分。</w:t>
            </w:r>
          </w:p>
        </w:tc>
        <w:tc>
          <w:tcPr>
            <w:tcW w:w="1095" w:type="dxa"/>
            <w:tcBorders>
              <w:top w:val="single" w:color="auto" w:sz="4" w:space="0"/>
              <w:left w:val="single" w:color="auto" w:sz="4" w:space="0"/>
              <w:bottom w:val="single" w:color="auto" w:sz="4" w:space="0"/>
              <w:right w:val="single" w:color="auto" w:sz="4" w:space="0"/>
            </w:tcBorders>
            <w:vAlign w:val="center"/>
          </w:tcPr>
          <w:p w14:paraId="702DEC0E">
            <w:pPr>
              <w:spacing w:line="360" w:lineRule="auto"/>
              <w:jc w:val="center"/>
              <w:rPr>
                <w:rFonts w:hint="default" w:asciiTheme="minorEastAsia" w:hAnsiTheme="minorEastAsia" w:eastAsiaTheme="minorEastAsia"/>
                <w:b w:val="0"/>
                <w:bCs w:val="0"/>
                <w:sz w:val="21"/>
                <w:szCs w:val="21"/>
                <w:lang w:val="en-US" w:eastAsia="zh-CN"/>
              </w:rPr>
            </w:pPr>
            <w:r>
              <w:rPr>
                <w:rFonts w:hint="eastAsia" w:ascii="宋体" w:hAnsi="宋体" w:eastAsia="宋体"/>
                <w:b w:val="0"/>
                <w:bCs w:val="0"/>
                <w:sz w:val="21"/>
                <w:szCs w:val="21"/>
                <w:lang w:val="en-US" w:eastAsia="zh-CN"/>
              </w:rPr>
              <w:t>0-</w:t>
            </w:r>
            <w:r>
              <w:rPr>
                <w:rFonts w:hint="eastAsia" w:ascii="宋体" w:hAnsi="宋体"/>
                <w:b w:val="0"/>
                <w:bCs w:val="0"/>
                <w:sz w:val="21"/>
                <w:szCs w:val="21"/>
                <w:lang w:val="en-US" w:eastAsia="zh-CN"/>
              </w:rPr>
              <w:t>6</w:t>
            </w:r>
            <w:r>
              <w:rPr>
                <w:rFonts w:hint="eastAsia" w:ascii="宋体" w:hAnsi="宋体" w:eastAsia="宋体"/>
                <w:b w:val="0"/>
                <w:bCs w:val="0"/>
                <w:sz w:val="21"/>
                <w:szCs w:val="21"/>
                <w:lang w:val="en-US" w:eastAsia="zh-CN"/>
              </w:rPr>
              <w:t>分</w:t>
            </w:r>
          </w:p>
        </w:tc>
      </w:tr>
      <w:tr w14:paraId="19F6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continue"/>
            <w:tcBorders>
              <w:left w:val="single" w:color="auto" w:sz="4" w:space="0"/>
              <w:right w:val="single" w:color="auto" w:sz="4" w:space="0"/>
            </w:tcBorders>
            <w:vAlign w:val="center"/>
          </w:tcPr>
          <w:p w14:paraId="2ABDCAAB">
            <w:pPr>
              <w:spacing w:line="360" w:lineRule="auto"/>
              <w:ind w:firstLine="435"/>
              <w:jc w:val="center"/>
              <w:rPr>
                <w:rFonts w:ascii="宋体" w:hAnsi="宋体"/>
                <w:b/>
                <w:bCs/>
                <w:sz w:val="21"/>
                <w:szCs w:val="21"/>
              </w:rPr>
            </w:pPr>
          </w:p>
        </w:tc>
        <w:tc>
          <w:tcPr>
            <w:tcW w:w="1052" w:type="dxa"/>
            <w:tcBorders>
              <w:top w:val="single" w:color="auto" w:sz="4" w:space="0"/>
              <w:left w:val="single" w:color="auto" w:sz="4" w:space="0"/>
              <w:bottom w:val="single" w:color="auto" w:sz="4" w:space="0"/>
              <w:right w:val="single" w:color="auto" w:sz="4" w:space="0"/>
            </w:tcBorders>
            <w:vAlign w:val="center"/>
          </w:tcPr>
          <w:p w14:paraId="73462C26">
            <w:pPr>
              <w:spacing w:line="360" w:lineRule="auto"/>
              <w:jc w:val="center"/>
              <w:rPr>
                <w:rFonts w:hint="eastAsia" w:ascii="宋体" w:hAnsi="宋体"/>
                <w:b w:val="0"/>
                <w:bCs w:val="0"/>
                <w:sz w:val="21"/>
                <w:szCs w:val="21"/>
              </w:rPr>
            </w:pPr>
            <w:r>
              <w:rPr>
                <w:rFonts w:hint="default" w:ascii="Times New Roman" w:hAnsi="Times New Roman" w:cs="Times New Roman"/>
                <w:b w:val="0"/>
                <w:bCs w:val="0"/>
                <w:color w:val="auto"/>
                <w:sz w:val="21"/>
                <w:szCs w:val="21"/>
                <w:highlight w:val="none"/>
              </w:rPr>
              <w:t>技术方案</w:t>
            </w:r>
          </w:p>
        </w:tc>
        <w:tc>
          <w:tcPr>
            <w:tcW w:w="5830" w:type="dxa"/>
            <w:tcBorders>
              <w:top w:val="single" w:color="auto" w:sz="4" w:space="0"/>
              <w:left w:val="single" w:color="auto" w:sz="4" w:space="0"/>
              <w:bottom w:val="single" w:color="auto" w:sz="4" w:space="0"/>
              <w:right w:val="single" w:color="auto" w:sz="4" w:space="0"/>
            </w:tcBorders>
            <w:vAlign w:val="center"/>
          </w:tcPr>
          <w:p w14:paraId="358DF484">
            <w:pPr>
              <w:spacing w:line="360" w:lineRule="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投标人根据本项目特点和实际需求，提出相应的技术方案，包括但不限于：现状分析、系统组成图、平面布局图、功能特色、</w:t>
            </w:r>
            <w:r>
              <w:rPr>
                <w:rFonts w:hint="eastAsia" w:ascii="Times New Roman" w:hAnsi="Times New Roman" w:eastAsia="宋体" w:cs="Times New Roman"/>
                <w:b w:val="0"/>
                <w:bCs w:val="0"/>
                <w:color w:val="auto"/>
                <w:sz w:val="21"/>
                <w:szCs w:val="21"/>
                <w:highlight w:val="none"/>
                <w:lang w:val="en-US" w:eastAsia="zh-CN"/>
              </w:rPr>
              <w:t>现场地勘</w:t>
            </w:r>
            <w:r>
              <w:rPr>
                <w:rFonts w:hint="default" w:ascii="Times New Roman" w:hAnsi="Times New Roman" w:eastAsia="宋体" w:cs="Times New Roman"/>
                <w:b w:val="0"/>
                <w:bCs w:val="0"/>
                <w:color w:val="auto"/>
                <w:sz w:val="21"/>
                <w:szCs w:val="21"/>
                <w:highlight w:val="none"/>
                <w:lang w:eastAsia="zh-CN"/>
              </w:rPr>
              <w:t>等方面。</w:t>
            </w:r>
          </w:p>
          <w:p w14:paraId="12849572">
            <w:pPr>
              <w:spacing w:line="360" w:lineRule="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评标委员会根据投标人提供的技术方案进行综合评审。</w:t>
            </w:r>
          </w:p>
          <w:p w14:paraId="0AA4DCF4">
            <w:pPr>
              <w:spacing w:line="360" w:lineRule="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 xml:space="preserve">（1）方案内容突出全面、科学合理，可操作性强的得 </w:t>
            </w:r>
            <w:r>
              <w:rPr>
                <w:rFonts w:hint="eastAsia" w:ascii="Times New Roman" w:hAnsi="Times New Roman" w:eastAsia="宋体" w:cs="Times New Roman"/>
                <w:b w:val="0"/>
                <w:bCs w:val="0"/>
                <w:color w:val="auto"/>
                <w:sz w:val="21"/>
                <w:szCs w:val="21"/>
                <w:highlight w:val="none"/>
                <w:lang w:val="en-US" w:eastAsia="zh-CN"/>
              </w:rPr>
              <w:t>7＜F≤</w:t>
            </w:r>
            <w:r>
              <w:rPr>
                <w:rFonts w:hint="default" w:ascii="Times New Roman" w:hAnsi="Times New Roman" w:eastAsia="宋体" w:cs="Times New Roman"/>
                <w:b w:val="0"/>
                <w:bCs w:val="0"/>
                <w:color w:val="auto"/>
                <w:sz w:val="21"/>
                <w:szCs w:val="21"/>
                <w:highlight w:val="none"/>
                <w:lang w:eastAsia="zh-CN"/>
              </w:rPr>
              <w:t>1</w:t>
            </w:r>
            <w:r>
              <w:rPr>
                <w:rFonts w:hint="eastAsia" w:ascii="Times New Roman" w:hAnsi="Times New Roman" w:eastAsia="宋体" w:cs="Times New Roman"/>
                <w:b w:val="0"/>
                <w:bCs w:val="0"/>
                <w:color w:val="auto"/>
                <w:sz w:val="21"/>
                <w:szCs w:val="21"/>
                <w:highlight w:val="none"/>
                <w:lang w:val="en-US" w:eastAsia="zh-CN"/>
              </w:rPr>
              <w:t>0</w:t>
            </w:r>
            <w:r>
              <w:rPr>
                <w:rFonts w:hint="default" w:ascii="Times New Roman" w:hAnsi="Times New Roman" w:eastAsia="宋体" w:cs="Times New Roman"/>
                <w:b w:val="0"/>
                <w:bCs w:val="0"/>
                <w:color w:val="auto"/>
                <w:sz w:val="21"/>
                <w:szCs w:val="21"/>
                <w:highlight w:val="none"/>
                <w:lang w:eastAsia="zh-CN"/>
              </w:rPr>
              <w:t xml:space="preserve"> 分；</w:t>
            </w:r>
          </w:p>
          <w:p w14:paraId="6C669BEC">
            <w:pPr>
              <w:spacing w:line="360" w:lineRule="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w:t>
            </w:r>
            <w:r>
              <w:rPr>
                <w:rFonts w:hint="eastAsia" w:ascii="Times New Roman" w:hAnsi="Times New Roman" w:eastAsia="宋体" w:cs="Times New Roman"/>
                <w:b w:val="0"/>
                <w:bCs w:val="0"/>
                <w:color w:val="auto"/>
                <w:sz w:val="21"/>
                <w:szCs w:val="21"/>
                <w:highlight w:val="none"/>
                <w:lang w:val="en-US" w:eastAsia="zh-CN"/>
              </w:rPr>
              <w:t>2</w:t>
            </w:r>
            <w:r>
              <w:rPr>
                <w:rFonts w:hint="default" w:ascii="Times New Roman" w:hAnsi="Times New Roman" w:eastAsia="宋体" w:cs="Times New Roman"/>
                <w:b w:val="0"/>
                <w:bCs w:val="0"/>
                <w:color w:val="auto"/>
                <w:sz w:val="21"/>
                <w:szCs w:val="21"/>
                <w:highlight w:val="none"/>
                <w:lang w:eastAsia="zh-CN"/>
              </w:rPr>
              <w:t xml:space="preserve">）方案内容一般，可操作性一般的得 </w:t>
            </w:r>
            <w:r>
              <w:rPr>
                <w:rFonts w:hint="eastAsia" w:ascii="Times New Roman" w:hAnsi="Times New Roman" w:eastAsia="宋体" w:cs="Times New Roman"/>
                <w:b w:val="0"/>
                <w:bCs w:val="0"/>
                <w:color w:val="auto"/>
                <w:sz w:val="21"/>
                <w:szCs w:val="21"/>
                <w:highlight w:val="none"/>
                <w:lang w:val="en-US" w:eastAsia="zh-CN"/>
              </w:rPr>
              <w:t>3＜F≤7</w:t>
            </w:r>
            <w:r>
              <w:rPr>
                <w:rFonts w:hint="default" w:ascii="Times New Roman" w:hAnsi="Times New Roman" w:eastAsia="宋体" w:cs="Times New Roman"/>
                <w:b w:val="0"/>
                <w:bCs w:val="0"/>
                <w:color w:val="auto"/>
                <w:sz w:val="21"/>
                <w:szCs w:val="21"/>
                <w:highlight w:val="none"/>
                <w:lang w:eastAsia="zh-CN"/>
              </w:rPr>
              <w:t>分；</w:t>
            </w:r>
          </w:p>
          <w:p w14:paraId="49F2DEB7">
            <w:pPr>
              <w:spacing w:line="360" w:lineRule="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w:t>
            </w:r>
            <w:r>
              <w:rPr>
                <w:rFonts w:hint="eastAsia" w:ascii="Times New Roman" w:hAnsi="Times New Roman" w:eastAsia="宋体" w:cs="Times New Roman"/>
                <w:b w:val="0"/>
                <w:bCs w:val="0"/>
                <w:color w:val="auto"/>
                <w:sz w:val="21"/>
                <w:szCs w:val="21"/>
                <w:highlight w:val="none"/>
                <w:lang w:val="en-US" w:eastAsia="zh-CN"/>
              </w:rPr>
              <w:t>3</w:t>
            </w:r>
            <w:r>
              <w:rPr>
                <w:rFonts w:hint="default" w:ascii="Times New Roman" w:hAnsi="Times New Roman" w:eastAsia="宋体" w:cs="Times New Roman"/>
                <w:b w:val="0"/>
                <w:bCs w:val="0"/>
                <w:color w:val="auto"/>
                <w:sz w:val="21"/>
                <w:szCs w:val="21"/>
                <w:highlight w:val="none"/>
                <w:lang w:eastAsia="zh-CN"/>
              </w:rPr>
              <w:t>）方案内容较差，可操作性较差的得</w:t>
            </w:r>
            <w:r>
              <w:rPr>
                <w:rFonts w:hint="eastAsia" w:ascii="Times New Roman" w:hAnsi="Times New Roman" w:eastAsia="宋体" w:cs="Times New Roman"/>
                <w:b w:val="0"/>
                <w:bCs w:val="0"/>
                <w:color w:val="auto"/>
                <w:sz w:val="21"/>
                <w:szCs w:val="21"/>
                <w:highlight w:val="none"/>
                <w:lang w:val="en-US" w:eastAsia="zh-CN"/>
              </w:rPr>
              <w:t>0＜F≤3</w:t>
            </w:r>
            <w:r>
              <w:rPr>
                <w:rFonts w:hint="default" w:ascii="Times New Roman" w:hAnsi="Times New Roman" w:eastAsia="宋体" w:cs="Times New Roman"/>
                <w:b w:val="0"/>
                <w:bCs w:val="0"/>
                <w:color w:val="auto"/>
                <w:sz w:val="21"/>
                <w:szCs w:val="21"/>
                <w:highlight w:val="none"/>
                <w:lang w:eastAsia="zh-CN"/>
              </w:rPr>
              <w:t>分；</w:t>
            </w:r>
          </w:p>
          <w:p w14:paraId="2B0F017B">
            <w:pPr>
              <w:pStyle w:val="19"/>
              <w:rPr>
                <w:rFonts w:hint="default"/>
                <w:b w:val="0"/>
                <w:bCs w:val="0"/>
                <w:color w:val="auto"/>
                <w:sz w:val="21"/>
                <w:szCs w:val="21"/>
                <w:lang w:eastAsia="zh-CN"/>
              </w:rPr>
            </w:pPr>
            <w:r>
              <w:rPr>
                <w:rFonts w:hint="eastAsia" w:ascii="Times New Roman" w:hAnsi="Times New Roman" w:eastAsia="宋体" w:cs="Times New Roman"/>
                <w:b w:val="0"/>
                <w:bCs w:val="0"/>
                <w:color w:val="auto"/>
                <w:sz w:val="21"/>
                <w:szCs w:val="21"/>
                <w:highlight w:val="none"/>
                <w:lang w:eastAsia="zh-CN"/>
              </w:rPr>
              <w:t>（</w:t>
            </w:r>
            <w:r>
              <w:rPr>
                <w:rFonts w:hint="eastAsia" w:ascii="Times New Roman" w:hAnsi="Times New Roman" w:eastAsia="宋体" w:cs="Times New Roman"/>
                <w:b w:val="0"/>
                <w:bCs w:val="0"/>
                <w:color w:val="auto"/>
                <w:sz w:val="21"/>
                <w:szCs w:val="21"/>
                <w:highlight w:val="none"/>
                <w:lang w:val="en-US" w:eastAsia="zh-CN"/>
              </w:rPr>
              <w:t>4</w:t>
            </w:r>
            <w:r>
              <w:rPr>
                <w:rFonts w:hint="eastAsia"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lang w:eastAsia="zh-CN"/>
              </w:rPr>
              <w:t>未提供的或提供不符合要求的不得分。</w:t>
            </w:r>
          </w:p>
          <w:p w14:paraId="542B2141">
            <w:pPr>
              <w:spacing w:line="360" w:lineRule="auto"/>
              <w:ind w:right="-10"/>
              <w:jc w:val="left"/>
              <w:rPr>
                <w:rFonts w:ascii="宋体" w:hAnsi="宋体"/>
                <w:sz w:val="21"/>
                <w:szCs w:val="21"/>
              </w:rPr>
            </w:pPr>
            <w:r>
              <w:rPr>
                <w:rFonts w:hint="eastAsia" w:ascii="宋体" w:hAnsi="宋体"/>
                <w:b/>
                <w:bCs/>
                <w:kern w:val="2"/>
                <w:sz w:val="21"/>
                <w:szCs w:val="21"/>
                <w:highlight w:val="none"/>
                <w:lang w:val="en-US" w:eastAsia="zh-CN" w:bidi="ar-SA"/>
              </w:rPr>
              <w:t>注：F为投标人本项得分。</w:t>
            </w:r>
          </w:p>
        </w:tc>
        <w:tc>
          <w:tcPr>
            <w:tcW w:w="1095" w:type="dxa"/>
            <w:tcBorders>
              <w:top w:val="single" w:color="auto" w:sz="4" w:space="0"/>
              <w:left w:val="single" w:color="auto" w:sz="4" w:space="0"/>
              <w:bottom w:val="single" w:color="auto" w:sz="4" w:space="0"/>
              <w:right w:val="single" w:color="auto" w:sz="4" w:space="0"/>
            </w:tcBorders>
            <w:vAlign w:val="center"/>
          </w:tcPr>
          <w:p w14:paraId="17F28872">
            <w:pPr>
              <w:spacing w:line="360" w:lineRule="auto"/>
              <w:jc w:val="center"/>
              <w:rPr>
                <w:rFonts w:hint="default" w:ascii="宋体" w:hAnsi="宋体" w:eastAsia="宋体"/>
                <w:b w:val="0"/>
                <w:bCs w:val="0"/>
                <w:sz w:val="21"/>
                <w:szCs w:val="21"/>
                <w:lang w:val="en-US" w:eastAsia="zh-CN"/>
              </w:rPr>
            </w:pPr>
            <w:r>
              <w:rPr>
                <w:rFonts w:hint="eastAsia" w:ascii="宋体" w:hAnsi="宋体"/>
                <w:b w:val="0"/>
                <w:bCs w:val="0"/>
                <w:sz w:val="21"/>
                <w:szCs w:val="21"/>
                <w:lang w:val="en-US" w:eastAsia="zh-CN"/>
              </w:rPr>
              <w:t>0-10分</w:t>
            </w:r>
          </w:p>
        </w:tc>
      </w:tr>
      <w:tr w14:paraId="1041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continue"/>
            <w:tcBorders>
              <w:left w:val="single" w:color="auto" w:sz="4" w:space="0"/>
              <w:right w:val="single" w:color="auto" w:sz="4" w:space="0"/>
            </w:tcBorders>
            <w:vAlign w:val="center"/>
          </w:tcPr>
          <w:p w14:paraId="7AA7A2FE">
            <w:pPr>
              <w:spacing w:line="360" w:lineRule="auto"/>
              <w:ind w:firstLine="435"/>
              <w:jc w:val="center"/>
              <w:rPr>
                <w:rFonts w:ascii="宋体" w:hAnsi="宋体"/>
                <w:b/>
                <w:bCs/>
                <w:sz w:val="21"/>
                <w:szCs w:val="21"/>
              </w:rPr>
            </w:pPr>
          </w:p>
        </w:tc>
        <w:tc>
          <w:tcPr>
            <w:tcW w:w="1052" w:type="dxa"/>
            <w:tcBorders>
              <w:top w:val="single" w:color="auto" w:sz="4" w:space="0"/>
              <w:left w:val="single" w:color="auto" w:sz="4" w:space="0"/>
              <w:bottom w:val="single" w:color="auto" w:sz="4" w:space="0"/>
              <w:right w:val="single" w:color="auto" w:sz="4" w:space="0"/>
            </w:tcBorders>
            <w:vAlign w:val="center"/>
          </w:tcPr>
          <w:p w14:paraId="635C84FA">
            <w:pPr>
              <w:spacing w:line="360" w:lineRule="auto"/>
              <w:jc w:val="center"/>
              <w:rPr>
                <w:rFonts w:hint="eastAsia" w:ascii="宋体" w:hAnsi="宋体"/>
                <w:b w:val="0"/>
                <w:bCs w:val="0"/>
                <w:sz w:val="21"/>
                <w:szCs w:val="21"/>
              </w:rPr>
            </w:pPr>
            <w:r>
              <w:rPr>
                <w:rFonts w:hint="eastAsia" w:ascii="宋体" w:hAnsi="宋体"/>
                <w:b w:val="0"/>
                <w:bCs w:val="0"/>
                <w:sz w:val="21"/>
                <w:szCs w:val="21"/>
              </w:rPr>
              <w:t>供货方案</w:t>
            </w:r>
          </w:p>
        </w:tc>
        <w:tc>
          <w:tcPr>
            <w:tcW w:w="5830" w:type="dxa"/>
            <w:tcBorders>
              <w:top w:val="single" w:color="auto" w:sz="4" w:space="0"/>
              <w:left w:val="single" w:color="auto" w:sz="4" w:space="0"/>
              <w:bottom w:val="single" w:color="auto" w:sz="4" w:space="0"/>
              <w:right w:val="single" w:color="auto" w:sz="4" w:space="0"/>
            </w:tcBorders>
            <w:vAlign w:val="center"/>
          </w:tcPr>
          <w:p w14:paraId="56A22FF5">
            <w:pPr>
              <w:numPr>
                <w:ilvl w:val="0"/>
                <w:numId w:val="9"/>
              </w:numPr>
              <w:spacing w:line="360" w:lineRule="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供货进度计划:总体网络进度计划的合理性，科学性及可靠度</w:t>
            </w:r>
            <w:r>
              <w:rPr>
                <w:rFonts w:hint="eastAsia"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lang w:eastAsia="zh-CN"/>
              </w:rPr>
              <w:t>工期保证措施；</w:t>
            </w:r>
          </w:p>
          <w:p w14:paraId="68B914AD">
            <w:pPr>
              <w:numPr>
                <w:ilvl w:val="0"/>
                <w:numId w:val="9"/>
              </w:numPr>
              <w:spacing w:line="360" w:lineRule="auto"/>
              <w:rPr>
                <w:rFonts w:hint="default"/>
                <w:lang w:eastAsia="zh-CN"/>
              </w:rPr>
            </w:pPr>
            <w:r>
              <w:rPr>
                <w:rFonts w:hint="default" w:ascii="Times New Roman" w:hAnsi="Times New Roman" w:eastAsia="宋体" w:cs="Times New Roman"/>
                <w:b w:val="0"/>
                <w:bCs w:val="0"/>
                <w:color w:val="auto"/>
                <w:sz w:val="21"/>
                <w:szCs w:val="21"/>
                <w:highlight w:val="none"/>
                <w:lang w:eastAsia="zh-CN"/>
              </w:rPr>
              <w:t>项目人员配备：是否建立完整的项目管理团队、分工是否明确、以及是否有人员的管理措施；评委根据以上内容综合评分。</w:t>
            </w:r>
          </w:p>
          <w:p w14:paraId="7B32B59F">
            <w:pPr>
              <w:spacing w:line="360" w:lineRule="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 xml:space="preserve">（1）方案内容突出全面、科学合理，可操作性强的得 </w:t>
            </w:r>
            <w:r>
              <w:rPr>
                <w:rFonts w:hint="eastAsia" w:ascii="Times New Roman" w:hAnsi="Times New Roman" w:eastAsia="宋体" w:cs="Times New Roman"/>
                <w:b w:val="0"/>
                <w:bCs w:val="0"/>
                <w:color w:val="auto"/>
                <w:sz w:val="21"/>
                <w:szCs w:val="21"/>
                <w:highlight w:val="none"/>
                <w:lang w:val="en-US" w:eastAsia="zh-CN"/>
              </w:rPr>
              <w:t>7＜F≤</w:t>
            </w:r>
            <w:r>
              <w:rPr>
                <w:rFonts w:hint="default" w:ascii="Times New Roman" w:hAnsi="Times New Roman" w:eastAsia="宋体" w:cs="Times New Roman"/>
                <w:b w:val="0"/>
                <w:bCs w:val="0"/>
                <w:color w:val="auto"/>
                <w:sz w:val="21"/>
                <w:szCs w:val="21"/>
                <w:highlight w:val="none"/>
                <w:lang w:eastAsia="zh-CN"/>
              </w:rPr>
              <w:t>1</w:t>
            </w:r>
            <w:r>
              <w:rPr>
                <w:rFonts w:hint="eastAsia" w:ascii="Times New Roman" w:hAnsi="Times New Roman" w:eastAsia="宋体" w:cs="Times New Roman"/>
                <w:b w:val="0"/>
                <w:bCs w:val="0"/>
                <w:color w:val="auto"/>
                <w:sz w:val="21"/>
                <w:szCs w:val="21"/>
                <w:highlight w:val="none"/>
                <w:lang w:val="en-US" w:eastAsia="zh-CN"/>
              </w:rPr>
              <w:t>0</w:t>
            </w:r>
            <w:r>
              <w:rPr>
                <w:rFonts w:hint="default" w:ascii="Times New Roman" w:hAnsi="Times New Roman" w:eastAsia="宋体" w:cs="Times New Roman"/>
                <w:b w:val="0"/>
                <w:bCs w:val="0"/>
                <w:color w:val="auto"/>
                <w:sz w:val="21"/>
                <w:szCs w:val="21"/>
                <w:highlight w:val="none"/>
                <w:lang w:eastAsia="zh-CN"/>
              </w:rPr>
              <w:t>分；</w:t>
            </w:r>
          </w:p>
          <w:p w14:paraId="4CE7A41C">
            <w:pPr>
              <w:spacing w:line="360" w:lineRule="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w:t>
            </w:r>
            <w:r>
              <w:rPr>
                <w:rFonts w:hint="eastAsia" w:ascii="Times New Roman" w:hAnsi="Times New Roman" w:eastAsia="宋体" w:cs="Times New Roman"/>
                <w:b w:val="0"/>
                <w:bCs w:val="0"/>
                <w:color w:val="auto"/>
                <w:sz w:val="21"/>
                <w:szCs w:val="21"/>
                <w:highlight w:val="none"/>
                <w:lang w:val="en-US" w:eastAsia="zh-CN"/>
              </w:rPr>
              <w:t>2</w:t>
            </w:r>
            <w:r>
              <w:rPr>
                <w:rFonts w:hint="default" w:ascii="Times New Roman" w:hAnsi="Times New Roman" w:eastAsia="宋体" w:cs="Times New Roman"/>
                <w:b w:val="0"/>
                <w:bCs w:val="0"/>
                <w:color w:val="auto"/>
                <w:sz w:val="21"/>
                <w:szCs w:val="21"/>
                <w:highlight w:val="none"/>
                <w:lang w:eastAsia="zh-CN"/>
              </w:rPr>
              <w:t xml:space="preserve">）方案内容一般，可操作性一般的得 </w:t>
            </w:r>
            <w:r>
              <w:rPr>
                <w:rFonts w:hint="eastAsia" w:ascii="Times New Roman" w:hAnsi="Times New Roman" w:eastAsia="宋体" w:cs="Times New Roman"/>
                <w:b w:val="0"/>
                <w:bCs w:val="0"/>
                <w:color w:val="auto"/>
                <w:sz w:val="21"/>
                <w:szCs w:val="21"/>
                <w:highlight w:val="none"/>
                <w:lang w:val="en-US" w:eastAsia="zh-CN"/>
              </w:rPr>
              <w:t>3＜F≤7</w:t>
            </w:r>
            <w:r>
              <w:rPr>
                <w:rFonts w:hint="default" w:ascii="Times New Roman" w:hAnsi="Times New Roman" w:eastAsia="宋体" w:cs="Times New Roman"/>
                <w:b w:val="0"/>
                <w:bCs w:val="0"/>
                <w:color w:val="auto"/>
                <w:sz w:val="21"/>
                <w:szCs w:val="21"/>
                <w:highlight w:val="none"/>
                <w:lang w:eastAsia="zh-CN"/>
              </w:rPr>
              <w:t xml:space="preserve"> 分；</w:t>
            </w:r>
          </w:p>
          <w:p w14:paraId="291104C1">
            <w:pPr>
              <w:spacing w:line="360" w:lineRule="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w:t>
            </w:r>
            <w:r>
              <w:rPr>
                <w:rFonts w:hint="eastAsia" w:ascii="Times New Roman" w:hAnsi="Times New Roman" w:eastAsia="宋体" w:cs="Times New Roman"/>
                <w:b w:val="0"/>
                <w:bCs w:val="0"/>
                <w:color w:val="auto"/>
                <w:sz w:val="21"/>
                <w:szCs w:val="21"/>
                <w:highlight w:val="none"/>
                <w:lang w:val="en-US" w:eastAsia="zh-CN"/>
              </w:rPr>
              <w:t>3</w:t>
            </w:r>
            <w:r>
              <w:rPr>
                <w:rFonts w:hint="default" w:ascii="Times New Roman" w:hAnsi="Times New Roman" w:eastAsia="宋体" w:cs="Times New Roman"/>
                <w:b w:val="0"/>
                <w:bCs w:val="0"/>
                <w:color w:val="auto"/>
                <w:sz w:val="21"/>
                <w:szCs w:val="21"/>
                <w:highlight w:val="none"/>
                <w:lang w:eastAsia="zh-CN"/>
              </w:rPr>
              <w:t>）方案内容较差，可操作性较差的得</w:t>
            </w:r>
            <w:r>
              <w:rPr>
                <w:rFonts w:hint="eastAsia" w:ascii="Times New Roman" w:hAnsi="Times New Roman" w:eastAsia="宋体" w:cs="Times New Roman"/>
                <w:b w:val="0"/>
                <w:bCs w:val="0"/>
                <w:color w:val="auto"/>
                <w:sz w:val="21"/>
                <w:szCs w:val="21"/>
                <w:highlight w:val="none"/>
                <w:lang w:val="en-US" w:eastAsia="zh-CN"/>
              </w:rPr>
              <w:t>0＜F≤3</w:t>
            </w:r>
            <w:r>
              <w:rPr>
                <w:rFonts w:hint="default" w:ascii="Times New Roman" w:hAnsi="Times New Roman" w:eastAsia="宋体" w:cs="Times New Roman"/>
                <w:b w:val="0"/>
                <w:bCs w:val="0"/>
                <w:color w:val="auto"/>
                <w:sz w:val="21"/>
                <w:szCs w:val="21"/>
                <w:highlight w:val="none"/>
                <w:lang w:eastAsia="zh-CN"/>
              </w:rPr>
              <w:t xml:space="preserve"> 分；</w:t>
            </w:r>
          </w:p>
          <w:p w14:paraId="087BF40D">
            <w:pPr>
              <w:pStyle w:val="19"/>
              <w:rPr>
                <w:rFonts w:hint="default"/>
                <w:b w:val="0"/>
                <w:bCs w:val="0"/>
                <w:color w:val="auto"/>
                <w:sz w:val="21"/>
                <w:szCs w:val="21"/>
                <w:lang w:eastAsia="zh-CN"/>
              </w:rPr>
            </w:pPr>
            <w:r>
              <w:rPr>
                <w:rFonts w:hint="eastAsia" w:ascii="Times New Roman" w:hAnsi="Times New Roman" w:eastAsia="宋体" w:cs="Times New Roman"/>
                <w:b w:val="0"/>
                <w:bCs w:val="0"/>
                <w:color w:val="auto"/>
                <w:sz w:val="21"/>
                <w:szCs w:val="21"/>
                <w:highlight w:val="none"/>
                <w:lang w:eastAsia="zh-CN"/>
              </w:rPr>
              <w:t>（</w:t>
            </w:r>
            <w:r>
              <w:rPr>
                <w:rFonts w:hint="eastAsia" w:ascii="Times New Roman" w:hAnsi="Times New Roman" w:eastAsia="宋体" w:cs="Times New Roman"/>
                <w:b w:val="0"/>
                <w:bCs w:val="0"/>
                <w:color w:val="auto"/>
                <w:sz w:val="21"/>
                <w:szCs w:val="21"/>
                <w:highlight w:val="none"/>
                <w:lang w:val="en-US" w:eastAsia="zh-CN"/>
              </w:rPr>
              <w:t>4</w:t>
            </w:r>
            <w:r>
              <w:rPr>
                <w:rFonts w:hint="eastAsia"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lang w:eastAsia="zh-CN"/>
              </w:rPr>
              <w:t>未提供的或提供不符合要求的不得分。</w:t>
            </w:r>
          </w:p>
          <w:p w14:paraId="01AC9476">
            <w:pPr>
              <w:spacing w:line="360" w:lineRule="auto"/>
              <w:rPr>
                <w:rFonts w:hint="eastAsia" w:ascii="宋体" w:hAnsi="宋体"/>
                <w:b/>
                <w:bCs/>
                <w:kern w:val="2"/>
                <w:sz w:val="21"/>
                <w:szCs w:val="24"/>
                <w:highlight w:val="none"/>
                <w:lang w:val="en-US" w:eastAsia="zh-CN" w:bidi="ar-SA"/>
              </w:rPr>
            </w:pPr>
            <w:r>
              <w:rPr>
                <w:rFonts w:hint="eastAsia" w:ascii="宋体" w:hAnsi="宋体"/>
                <w:b/>
                <w:bCs/>
                <w:kern w:val="2"/>
                <w:sz w:val="21"/>
                <w:szCs w:val="24"/>
                <w:highlight w:val="none"/>
                <w:lang w:val="en-US" w:eastAsia="zh-CN" w:bidi="ar-SA"/>
              </w:rPr>
              <w:t>注：F为投标人本项得分。</w:t>
            </w:r>
          </w:p>
        </w:tc>
        <w:tc>
          <w:tcPr>
            <w:tcW w:w="1095" w:type="dxa"/>
            <w:tcBorders>
              <w:top w:val="single" w:color="auto" w:sz="4" w:space="0"/>
              <w:left w:val="single" w:color="auto" w:sz="4" w:space="0"/>
              <w:bottom w:val="single" w:color="auto" w:sz="4" w:space="0"/>
              <w:right w:val="single" w:color="auto" w:sz="4" w:space="0"/>
            </w:tcBorders>
            <w:vAlign w:val="center"/>
          </w:tcPr>
          <w:p w14:paraId="760C0236">
            <w:pPr>
              <w:spacing w:line="360" w:lineRule="auto"/>
              <w:jc w:val="center"/>
              <w:rPr>
                <w:rFonts w:hint="eastAsia" w:ascii="宋体" w:hAnsi="宋体"/>
                <w:b w:val="0"/>
                <w:bCs w:val="0"/>
                <w:sz w:val="21"/>
                <w:szCs w:val="21"/>
              </w:rPr>
            </w:pPr>
            <w:r>
              <w:rPr>
                <w:rFonts w:hint="eastAsia" w:ascii="宋体" w:hAnsi="宋体"/>
                <w:b w:val="0"/>
                <w:bCs w:val="0"/>
                <w:sz w:val="21"/>
                <w:szCs w:val="21"/>
              </w:rPr>
              <w:t>0-</w:t>
            </w:r>
            <w:r>
              <w:rPr>
                <w:rFonts w:hint="eastAsia" w:ascii="宋体" w:hAnsi="宋体"/>
                <w:b w:val="0"/>
                <w:bCs w:val="0"/>
                <w:sz w:val="21"/>
                <w:szCs w:val="21"/>
                <w:lang w:val="en-US" w:eastAsia="zh-CN"/>
              </w:rPr>
              <w:t>10</w:t>
            </w:r>
            <w:r>
              <w:rPr>
                <w:rFonts w:hint="eastAsia" w:ascii="宋体" w:hAnsi="宋体"/>
                <w:b w:val="0"/>
                <w:bCs w:val="0"/>
                <w:sz w:val="21"/>
                <w:szCs w:val="21"/>
              </w:rPr>
              <w:t>分</w:t>
            </w:r>
          </w:p>
        </w:tc>
      </w:tr>
      <w:tr w14:paraId="5F25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continue"/>
            <w:tcBorders>
              <w:left w:val="single" w:color="auto" w:sz="4" w:space="0"/>
              <w:right w:val="single" w:color="auto" w:sz="4" w:space="0"/>
            </w:tcBorders>
            <w:vAlign w:val="center"/>
          </w:tcPr>
          <w:p w14:paraId="3D9A575E">
            <w:pPr>
              <w:spacing w:line="360" w:lineRule="auto"/>
              <w:ind w:firstLine="435"/>
              <w:jc w:val="center"/>
              <w:rPr>
                <w:rFonts w:ascii="宋体" w:hAnsi="宋体"/>
                <w:b/>
                <w:bCs/>
                <w:sz w:val="21"/>
                <w:szCs w:val="21"/>
              </w:rPr>
            </w:pPr>
          </w:p>
        </w:tc>
        <w:tc>
          <w:tcPr>
            <w:tcW w:w="1052" w:type="dxa"/>
            <w:tcBorders>
              <w:top w:val="single" w:color="auto" w:sz="4" w:space="0"/>
              <w:left w:val="single" w:color="auto" w:sz="4" w:space="0"/>
              <w:bottom w:val="single" w:color="auto" w:sz="4" w:space="0"/>
              <w:right w:val="single" w:color="auto" w:sz="4" w:space="0"/>
            </w:tcBorders>
            <w:vAlign w:val="center"/>
          </w:tcPr>
          <w:p w14:paraId="31ED14A8">
            <w:pPr>
              <w:spacing w:line="360" w:lineRule="auto"/>
              <w:jc w:val="center"/>
              <w:rPr>
                <w:rFonts w:ascii="宋体" w:hAnsi="宋体"/>
                <w:b w:val="0"/>
                <w:bCs w:val="0"/>
                <w:sz w:val="21"/>
                <w:szCs w:val="21"/>
              </w:rPr>
            </w:pPr>
            <w:r>
              <w:rPr>
                <w:rFonts w:hint="eastAsia" w:ascii="宋体" w:hAnsi="宋体"/>
                <w:b w:val="0"/>
                <w:bCs w:val="0"/>
                <w:sz w:val="21"/>
                <w:szCs w:val="21"/>
              </w:rPr>
              <w:t>安装方案</w:t>
            </w:r>
          </w:p>
        </w:tc>
        <w:tc>
          <w:tcPr>
            <w:tcW w:w="5830" w:type="dxa"/>
            <w:tcBorders>
              <w:top w:val="single" w:color="auto" w:sz="4" w:space="0"/>
              <w:left w:val="single" w:color="auto" w:sz="4" w:space="0"/>
              <w:bottom w:val="single" w:color="auto" w:sz="4" w:space="0"/>
              <w:right w:val="single" w:color="auto" w:sz="4" w:space="0"/>
            </w:tcBorders>
            <w:vAlign w:val="center"/>
          </w:tcPr>
          <w:p w14:paraId="2C821067">
            <w:pPr>
              <w:spacing w:line="360" w:lineRule="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1.安全、文明施工管理体系与措施：建立安全、文明施工保证体系、分工明确、安全教育培训措施、专人负责安全文明施工管理；</w:t>
            </w:r>
          </w:p>
          <w:p w14:paraId="73273AC7">
            <w:pPr>
              <w:spacing w:line="360" w:lineRule="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2.项目人员配备：是否建立完整的项目管理团队、分工是否明确、以及是否有人员的管理措施；评委根据以上内容综合评分。</w:t>
            </w:r>
          </w:p>
          <w:p w14:paraId="647F11B6">
            <w:pPr>
              <w:spacing w:line="360" w:lineRule="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 xml:space="preserve">（1）方案内容突出全面、科学合理，可操作性强的得 </w:t>
            </w:r>
            <w:r>
              <w:rPr>
                <w:rFonts w:hint="eastAsia" w:ascii="Times New Roman" w:hAnsi="Times New Roman" w:eastAsia="宋体" w:cs="Times New Roman"/>
                <w:b w:val="0"/>
                <w:bCs w:val="0"/>
                <w:color w:val="auto"/>
                <w:sz w:val="21"/>
                <w:szCs w:val="21"/>
                <w:highlight w:val="none"/>
                <w:lang w:val="en-US" w:eastAsia="zh-CN"/>
              </w:rPr>
              <w:t>7＜F≤</w:t>
            </w:r>
            <w:r>
              <w:rPr>
                <w:rFonts w:hint="default" w:ascii="Times New Roman" w:hAnsi="Times New Roman" w:eastAsia="宋体" w:cs="Times New Roman"/>
                <w:b w:val="0"/>
                <w:bCs w:val="0"/>
                <w:color w:val="auto"/>
                <w:sz w:val="21"/>
                <w:szCs w:val="21"/>
                <w:highlight w:val="none"/>
                <w:lang w:eastAsia="zh-CN"/>
              </w:rPr>
              <w:t>1</w:t>
            </w:r>
            <w:r>
              <w:rPr>
                <w:rFonts w:hint="eastAsia" w:ascii="Times New Roman" w:hAnsi="Times New Roman" w:eastAsia="宋体" w:cs="Times New Roman"/>
                <w:b w:val="0"/>
                <w:bCs w:val="0"/>
                <w:color w:val="auto"/>
                <w:sz w:val="21"/>
                <w:szCs w:val="21"/>
                <w:highlight w:val="none"/>
                <w:lang w:val="en-US" w:eastAsia="zh-CN"/>
              </w:rPr>
              <w:t>0</w:t>
            </w:r>
            <w:r>
              <w:rPr>
                <w:rFonts w:hint="default" w:ascii="Times New Roman" w:hAnsi="Times New Roman" w:eastAsia="宋体" w:cs="Times New Roman"/>
                <w:b w:val="0"/>
                <w:bCs w:val="0"/>
                <w:color w:val="auto"/>
                <w:sz w:val="21"/>
                <w:szCs w:val="21"/>
                <w:highlight w:val="none"/>
                <w:lang w:eastAsia="zh-CN"/>
              </w:rPr>
              <w:t>分；</w:t>
            </w:r>
          </w:p>
          <w:p w14:paraId="564F90AF">
            <w:pPr>
              <w:spacing w:line="360" w:lineRule="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w:t>
            </w:r>
            <w:r>
              <w:rPr>
                <w:rFonts w:hint="eastAsia" w:ascii="Times New Roman" w:hAnsi="Times New Roman" w:eastAsia="宋体" w:cs="Times New Roman"/>
                <w:b w:val="0"/>
                <w:bCs w:val="0"/>
                <w:color w:val="auto"/>
                <w:sz w:val="21"/>
                <w:szCs w:val="21"/>
                <w:highlight w:val="none"/>
                <w:lang w:val="en-US" w:eastAsia="zh-CN"/>
              </w:rPr>
              <w:t>2</w:t>
            </w:r>
            <w:r>
              <w:rPr>
                <w:rFonts w:hint="default" w:ascii="Times New Roman" w:hAnsi="Times New Roman" w:eastAsia="宋体" w:cs="Times New Roman"/>
                <w:b w:val="0"/>
                <w:bCs w:val="0"/>
                <w:color w:val="auto"/>
                <w:sz w:val="21"/>
                <w:szCs w:val="21"/>
                <w:highlight w:val="none"/>
                <w:lang w:eastAsia="zh-CN"/>
              </w:rPr>
              <w:t xml:space="preserve">）方案内容一般，可操作性一般的得 </w:t>
            </w:r>
            <w:r>
              <w:rPr>
                <w:rFonts w:hint="eastAsia" w:ascii="Times New Roman" w:hAnsi="Times New Roman" w:eastAsia="宋体" w:cs="Times New Roman"/>
                <w:b w:val="0"/>
                <w:bCs w:val="0"/>
                <w:color w:val="auto"/>
                <w:sz w:val="21"/>
                <w:szCs w:val="21"/>
                <w:highlight w:val="none"/>
                <w:lang w:val="en-US" w:eastAsia="zh-CN"/>
              </w:rPr>
              <w:t>3＜F≤7</w:t>
            </w:r>
            <w:r>
              <w:rPr>
                <w:rFonts w:hint="default" w:ascii="Times New Roman" w:hAnsi="Times New Roman" w:eastAsia="宋体" w:cs="Times New Roman"/>
                <w:b w:val="0"/>
                <w:bCs w:val="0"/>
                <w:color w:val="auto"/>
                <w:sz w:val="21"/>
                <w:szCs w:val="21"/>
                <w:highlight w:val="none"/>
                <w:lang w:eastAsia="zh-CN"/>
              </w:rPr>
              <w:t xml:space="preserve"> 分；</w:t>
            </w:r>
          </w:p>
          <w:p w14:paraId="58BF3EC6">
            <w:pPr>
              <w:spacing w:line="360" w:lineRule="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w:t>
            </w:r>
            <w:r>
              <w:rPr>
                <w:rFonts w:hint="eastAsia" w:ascii="Times New Roman" w:hAnsi="Times New Roman" w:eastAsia="宋体" w:cs="Times New Roman"/>
                <w:b w:val="0"/>
                <w:bCs w:val="0"/>
                <w:color w:val="auto"/>
                <w:sz w:val="21"/>
                <w:szCs w:val="21"/>
                <w:highlight w:val="none"/>
                <w:lang w:val="en-US" w:eastAsia="zh-CN"/>
              </w:rPr>
              <w:t>3</w:t>
            </w:r>
            <w:r>
              <w:rPr>
                <w:rFonts w:hint="default" w:ascii="Times New Roman" w:hAnsi="Times New Roman" w:eastAsia="宋体" w:cs="Times New Roman"/>
                <w:b w:val="0"/>
                <w:bCs w:val="0"/>
                <w:color w:val="auto"/>
                <w:sz w:val="21"/>
                <w:szCs w:val="21"/>
                <w:highlight w:val="none"/>
                <w:lang w:eastAsia="zh-CN"/>
              </w:rPr>
              <w:t>）方案内容较差，可操作性较差的得</w:t>
            </w:r>
            <w:r>
              <w:rPr>
                <w:rFonts w:hint="eastAsia" w:ascii="Times New Roman" w:hAnsi="Times New Roman" w:eastAsia="宋体" w:cs="Times New Roman"/>
                <w:b w:val="0"/>
                <w:bCs w:val="0"/>
                <w:color w:val="auto"/>
                <w:sz w:val="21"/>
                <w:szCs w:val="21"/>
                <w:highlight w:val="none"/>
                <w:lang w:val="en-US" w:eastAsia="zh-CN"/>
              </w:rPr>
              <w:t>0＜F≤3</w:t>
            </w:r>
            <w:r>
              <w:rPr>
                <w:rFonts w:hint="default" w:ascii="Times New Roman" w:hAnsi="Times New Roman" w:eastAsia="宋体" w:cs="Times New Roman"/>
                <w:b w:val="0"/>
                <w:bCs w:val="0"/>
                <w:color w:val="auto"/>
                <w:sz w:val="21"/>
                <w:szCs w:val="21"/>
                <w:highlight w:val="none"/>
                <w:lang w:eastAsia="zh-CN"/>
              </w:rPr>
              <w:t xml:space="preserve"> 分；</w:t>
            </w:r>
          </w:p>
          <w:p w14:paraId="3395EDE8">
            <w:pPr>
              <w:pStyle w:val="19"/>
              <w:rPr>
                <w:rFonts w:hint="default"/>
                <w:b w:val="0"/>
                <w:bCs w:val="0"/>
                <w:color w:val="auto"/>
                <w:sz w:val="21"/>
                <w:szCs w:val="21"/>
                <w:lang w:eastAsia="zh-CN"/>
              </w:rPr>
            </w:pPr>
            <w:r>
              <w:rPr>
                <w:rFonts w:hint="eastAsia" w:ascii="Times New Roman" w:hAnsi="Times New Roman" w:eastAsia="宋体" w:cs="Times New Roman"/>
                <w:b w:val="0"/>
                <w:bCs w:val="0"/>
                <w:color w:val="auto"/>
                <w:sz w:val="21"/>
                <w:szCs w:val="21"/>
                <w:highlight w:val="none"/>
                <w:lang w:eastAsia="zh-CN"/>
              </w:rPr>
              <w:t>（</w:t>
            </w:r>
            <w:r>
              <w:rPr>
                <w:rFonts w:hint="eastAsia" w:ascii="Times New Roman" w:hAnsi="Times New Roman" w:eastAsia="宋体" w:cs="Times New Roman"/>
                <w:b w:val="0"/>
                <w:bCs w:val="0"/>
                <w:color w:val="auto"/>
                <w:sz w:val="21"/>
                <w:szCs w:val="21"/>
                <w:highlight w:val="none"/>
                <w:lang w:val="en-US" w:eastAsia="zh-CN"/>
              </w:rPr>
              <w:t>4</w:t>
            </w:r>
            <w:r>
              <w:rPr>
                <w:rFonts w:hint="eastAsia"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lang w:eastAsia="zh-CN"/>
              </w:rPr>
              <w:t>未提供的或提供不符合要求的不得分。</w:t>
            </w:r>
          </w:p>
          <w:p w14:paraId="68453C6D">
            <w:pPr>
              <w:spacing w:line="360" w:lineRule="auto"/>
              <w:rPr>
                <w:rFonts w:ascii="宋体" w:hAnsi="宋体"/>
                <w:sz w:val="21"/>
                <w:szCs w:val="21"/>
              </w:rPr>
            </w:pPr>
            <w:r>
              <w:rPr>
                <w:rFonts w:hint="eastAsia" w:ascii="宋体" w:hAnsi="宋体"/>
                <w:b/>
                <w:bCs/>
                <w:kern w:val="2"/>
                <w:sz w:val="21"/>
                <w:szCs w:val="24"/>
                <w:highlight w:val="none"/>
                <w:lang w:val="en-US" w:eastAsia="zh-CN" w:bidi="ar-SA"/>
              </w:rPr>
              <w:t>注：F为投标人本项得分。</w:t>
            </w:r>
          </w:p>
        </w:tc>
        <w:tc>
          <w:tcPr>
            <w:tcW w:w="1095" w:type="dxa"/>
            <w:tcBorders>
              <w:top w:val="single" w:color="auto" w:sz="4" w:space="0"/>
              <w:left w:val="single" w:color="auto" w:sz="4" w:space="0"/>
              <w:bottom w:val="single" w:color="auto" w:sz="4" w:space="0"/>
              <w:right w:val="single" w:color="auto" w:sz="4" w:space="0"/>
            </w:tcBorders>
            <w:vAlign w:val="center"/>
          </w:tcPr>
          <w:p w14:paraId="101D42DE">
            <w:pPr>
              <w:spacing w:line="360" w:lineRule="auto"/>
              <w:jc w:val="center"/>
              <w:rPr>
                <w:rFonts w:ascii="宋体" w:hAnsi="宋体"/>
                <w:b w:val="0"/>
                <w:bCs w:val="0"/>
                <w:sz w:val="21"/>
                <w:szCs w:val="21"/>
              </w:rPr>
            </w:pPr>
            <w:r>
              <w:rPr>
                <w:rFonts w:hint="eastAsia" w:ascii="宋体" w:hAnsi="宋体"/>
                <w:b w:val="0"/>
                <w:bCs w:val="0"/>
                <w:sz w:val="21"/>
                <w:szCs w:val="21"/>
              </w:rPr>
              <w:t>0-</w:t>
            </w:r>
            <w:r>
              <w:rPr>
                <w:rFonts w:hint="eastAsia" w:ascii="宋体" w:hAnsi="宋体"/>
                <w:b w:val="0"/>
                <w:bCs w:val="0"/>
                <w:sz w:val="21"/>
                <w:szCs w:val="21"/>
                <w:lang w:val="en-US" w:eastAsia="zh-CN"/>
              </w:rPr>
              <w:t>10</w:t>
            </w:r>
            <w:r>
              <w:rPr>
                <w:rFonts w:hint="eastAsia" w:ascii="宋体" w:hAnsi="宋体"/>
                <w:b w:val="0"/>
                <w:bCs w:val="0"/>
                <w:sz w:val="21"/>
                <w:szCs w:val="21"/>
              </w:rPr>
              <w:t>分</w:t>
            </w:r>
          </w:p>
        </w:tc>
      </w:tr>
      <w:tr w14:paraId="33D6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continue"/>
            <w:tcBorders>
              <w:left w:val="single" w:color="auto" w:sz="4" w:space="0"/>
              <w:right w:val="single" w:color="auto" w:sz="4" w:space="0"/>
            </w:tcBorders>
            <w:vAlign w:val="center"/>
          </w:tcPr>
          <w:p w14:paraId="1A0F80FB">
            <w:pPr>
              <w:spacing w:line="360" w:lineRule="auto"/>
              <w:ind w:firstLine="435"/>
              <w:jc w:val="center"/>
              <w:rPr>
                <w:rFonts w:ascii="宋体" w:hAnsi="宋体"/>
                <w:b/>
                <w:bCs/>
                <w:sz w:val="21"/>
                <w:szCs w:val="21"/>
              </w:rPr>
            </w:pPr>
          </w:p>
        </w:tc>
        <w:tc>
          <w:tcPr>
            <w:tcW w:w="1052" w:type="dxa"/>
            <w:tcBorders>
              <w:top w:val="single" w:color="auto" w:sz="4" w:space="0"/>
              <w:left w:val="single" w:color="auto" w:sz="4" w:space="0"/>
              <w:bottom w:val="single" w:color="auto" w:sz="4" w:space="0"/>
              <w:right w:val="single" w:color="auto" w:sz="4" w:space="0"/>
            </w:tcBorders>
            <w:vAlign w:val="center"/>
          </w:tcPr>
          <w:p w14:paraId="52EA616D">
            <w:pPr>
              <w:spacing w:line="360" w:lineRule="auto"/>
              <w:jc w:val="center"/>
              <w:rPr>
                <w:rFonts w:ascii="宋体" w:hAnsi="宋体"/>
                <w:b w:val="0"/>
                <w:bCs w:val="0"/>
                <w:sz w:val="21"/>
                <w:szCs w:val="21"/>
              </w:rPr>
            </w:pPr>
            <w:r>
              <w:rPr>
                <w:rFonts w:hint="eastAsia" w:ascii="宋体" w:hAnsi="宋体" w:cs="Times New Roman"/>
                <w:b w:val="0"/>
                <w:bCs w:val="0"/>
                <w:color w:val="000000"/>
                <w:sz w:val="21"/>
                <w:szCs w:val="21"/>
              </w:rPr>
              <w:t>售后服务方案</w:t>
            </w:r>
          </w:p>
        </w:tc>
        <w:tc>
          <w:tcPr>
            <w:tcW w:w="5830" w:type="dxa"/>
            <w:tcBorders>
              <w:top w:val="single" w:color="auto" w:sz="4" w:space="0"/>
              <w:left w:val="single" w:color="auto" w:sz="4" w:space="0"/>
              <w:bottom w:val="single" w:color="auto" w:sz="4" w:space="0"/>
              <w:right w:val="single" w:color="auto" w:sz="4" w:space="0"/>
            </w:tcBorders>
          </w:tcPr>
          <w:p w14:paraId="25046D6B">
            <w:pPr>
              <w:spacing w:line="360" w:lineRule="auto"/>
              <w:rPr>
                <w:rFonts w:hint="default"/>
                <w:b w:val="0"/>
                <w:bCs w:val="0"/>
                <w:color w:val="auto"/>
                <w:sz w:val="21"/>
                <w:szCs w:val="21"/>
                <w:lang w:val="en-US" w:eastAsia="zh-CN"/>
              </w:rPr>
            </w:pPr>
            <w:r>
              <w:rPr>
                <w:rFonts w:hint="default"/>
                <w:b w:val="0"/>
                <w:bCs w:val="0"/>
                <w:color w:val="auto"/>
                <w:sz w:val="21"/>
                <w:szCs w:val="21"/>
                <w:lang w:val="en-US" w:eastAsia="zh-CN"/>
              </w:rPr>
              <w:t>投标人根据提供的售后服务及维保方案进行综合评价，提供详细的响应速度、培训计划(包括目标、课程、 教材、时间、培训对象等)、售后服务承诺、售后服务能力认证，确保售后服务的及时性和有效性，评委根据以上内容综合评分。</w:t>
            </w:r>
          </w:p>
          <w:p w14:paraId="04D40314">
            <w:pPr>
              <w:spacing w:line="360" w:lineRule="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 xml:space="preserve">（1）方案内容突出全面、科学合理，可操作性强的得 </w:t>
            </w:r>
            <w:r>
              <w:rPr>
                <w:rFonts w:hint="eastAsia" w:ascii="Times New Roman" w:hAnsi="Times New Roman" w:eastAsia="宋体" w:cs="Times New Roman"/>
                <w:b w:val="0"/>
                <w:bCs w:val="0"/>
                <w:color w:val="auto"/>
                <w:sz w:val="21"/>
                <w:szCs w:val="21"/>
                <w:highlight w:val="none"/>
                <w:lang w:val="en-US" w:eastAsia="zh-CN"/>
              </w:rPr>
              <w:t>7＜F≤</w:t>
            </w:r>
            <w:r>
              <w:rPr>
                <w:rFonts w:hint="default" w:ascii="Times New Roman" w:hAnsi="Times New Roman" w:eastAsia="宋体" w:cs="Times New Roman"/>
                <w:b w:val="0"/>
                <w:bCs w:val="0"/>
                <w:color w:val="auto"/>
                <w:sz w:val="21"/>
                <w:szCs w:val="21"/>
                <w:highlight w:val="none"/>
                <w:lang w:eastAsia="zh-CN"/>
              </w:rPr>
              <w:t>1</w:t>
            </w:r>
            <w:r>
              <w:rPr>
                <w:rFonts w:hint="eastAsia" w:ascii="Times New Roman" w:hAnsi="Times New Roman" w:eastAsia="宋体" w:cs="Times New Roman"/>
                <w:b w:val="0"/>
                <w:bCs w:val="0"/>
                <w:color w:val="auto"/>
                <w:sz w:val="21"/>
                <w:szCs w:val="21"/>
                <w:highlight w:val="none"/>
                <w:lang w:val="en-US" w:eastAsia="zh-CN"/>
              </w:rPr>
              <w:t>0</w:t>
            </w:r>
            <w:r>
              <w:rPr>
                <w:rFonts w:hint="default" w:ascii="Times New Roman" w:hAnsi="Times New Roman" w:eastAsia="宋体" w:cs="Times New Roman"/>
                <w:b w:val="0"/>
                <w:bCs w:val="0"/>
                <w:color w:val="auto"/>
                <w:sz w:val="21"/>
                <w:szCs w:val="21"/>
                <w:highlight w:val="none"/>
                <w:lang w:eastAsia="zh-CN"/>
              </w:rPr>
              <w:t>分；</w:t>
            </w:r>
          </w:p>
          <w:p w14:paraId="75901E5B">
            <w:pPr>
              <w:spacing w:line="360" w:lineRule="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w:t>
            </w:r>
            <w:r>
              <w:rPr>
                <w:rFonts w:hint="eastAsia" w:ascii="Times New Roman" w:hAnsi="Times New Roman" w:eastAsia="宋体" w:cs="Times New Roman"/>
                <w:b w:val="0"/>
                <w:bCs w:val="0"/>
                <w:color w:val="auto"/>
                <w:sz w:val="21"/>
                <w:szCs w:val="21"/>
                <w:highlight w:val="none"/>
                <w:lang w:val="en-US" w:eastAsia="zh-CN"/>
              </w:rPr>
              <w:t>2</w:t>
            </w:r>
            <w:r>
              <w:rPr>
                <w:rFonts w:hint="default" w:ascii="Times New Roman" w:hAnsi="Times New Roman" w:eastAsia="宋体" w:cs="Times New Roman"/>
                <w:b w:val="0"/>
                <w:bCs w:val="0"/>
                <w:color w:val="auto"/>
                <w:sz w:val="21"/>
                <w:szCs w:val="21"/>
                <w:highlight w:val="none"/>
                <w:lang w:eastAsia="zh-CN"/>
              </w:rPr>
              <w:t>）方案内容一般，可操作性一般的得</w:t>
            </w:r>
            <w:r>
              <w:rPr>
                <w:rFonts w:hint="eastAsia" w:ascii="Times New Roman" w:hAnsi="Times New Roman" w:eastAsia="宋体" w:cs="Times New Roman"/>
                <w:b w:val="0"/>
                <w:bCs w:val="0"/>
                <w:color w:val="auto"/>
                <w:sz w:val="21"/>
                <w:szCs w:val="21"/>
                <w:highlight w:val="none"/>
                <w:lang w:val="en-US" w:eastAsia="zh-CN"/>
              </w:rPr>
              <w:t>3＜F≤7</w:t>
            </w:r>
            <w:r>
              <w:rPr>
                <w:rFonts w:hint="default" w:ascii="Times New Roman" w:hAnsi="Times New Roman" w:eastAsia="宋体" w:cs="Times New Roman"/>
                <w:b w:val="0"/>
                <w:bCs w:val="0"/>
                <w:color w:val="auto"/>
                <w:sz w:val="21"/>
                <w:szCs w:val="21"/>
                <w:highlight w:val="none"/>
                <w:lang w:eastAsia="zh-CN"/>
              </w:rPr>
              <w:t xml:space="preserve"> 分；</w:t>
            </w:r>
          </w:p>
          <w:p w14:paraId="6A8C676C">
            <w:pPr>
              <w:spacing w:line="360" w:lineRule="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w:t>
            </w:r>
            <w:r>
              <w:rPr>
                <w:rFonts w:hint="eastAsia" w:ascii="Times New Roman" w:hAnsi="Times New Roman" w:eastAsia="宋体" w:cs="Times New Roman"/>
                <w:b w:val="0"/>
                <w:bCs w:val="0"/>
                <w:color w:val="auto"/>
                <w:sz w:val="21"/>
                <w:szCs w:val="21"/>
                <w:highlight w:val="none"/>
                <w:lang w:val="en-US" w:eastAsia="zh-CN"/>
              </w:rPr>
              <w:t>3</w:t>
            </w:r>
            <w:r>
              <w:rPr>
                <w:rFonts w:hint="default" w:ascii="Times New Roman" w:hAnsi="Times New Roman" w:eastAsia="宋体" w:cs="Times New Roman"/>
                <w:b w:val="0"/>
                <w:bCs w:val="0"/>
                <w:color w:val="auto"/>
                <w:sz w:val="21"/>
                <w:szCs w:val="21"/>
                <w:highlight w:val="none"/>
                <w:lang w:eastAsia="zh-CN"/>
              </w:rPr>
              <w:t xml:space="preserve">）方案内容较差，可操作性较差的得 </w:t>
            </w:r>
            <w:r>
              <w:rPr>
                <w:rFonts w:hint="eastAsia" w:ascii="Times New Roman" w:hAnsi="Times New Roman" w:eastAsia="宋体" w:cs="Times New Roman"/>
                <w:b w:val="0"/>
                <w:bCs w:val="0"/>
                <w:color w:val="auto"/>
                <w:sz w:val="21"/>
                <w:szCs w:val="21"/>
                <w:highlight w:val="none"/>
                <w:lang w:val="en-US" w:eastAsia="zh-CN"/>
              </w:rPr>
              <w:t>0＜F≤3</w:t>
            </w:r>
            <w:r>
              <w:rPr>
                <w:rFonts w:hint="default" w:ascii="Times New Roman" w:hAnsi="Times New Roman" w:eastAsia="宋体" w:cs="Times New Roman"/>
                <w:b w:val="0"/>
                <w:bCs w:val="0"/>
                <w:color w:val="auto"/>
                <w:sz w:val="21"/>
                <w:szCs w:val="21"/>
                <w:highlight w:val="none"/>
                <w:lang w:eastAsia="zh-CN"/>
              </w:rPr>
              <w:t xml:space="preserve"> 分；</w:t>
            </w:r>
          </w:p>
          <w:p w14:paraId="4C3D6CA1">
            <w:pPr>
              <w:pStyle w:val="19"/>
              <w:rPr>
                <w:rFonts w:hint="default"/>
                <w:b w:val="0"/>
                <w:bCs w:val="0"/>
                <w:color w:val="auto"/>
                <w:sz w:val="21"/>
                <w:szCs w:val="21"/>
                <w:lang w:eastAsia="zh-CN"/>
              </w:rPr>
            </w:pPr>
            <w:r>
              <w:rPr>
                <w:rFonts w:hint="eastAsia" w:ascii="Times New Roman" w:hAnsi="Times New Roman" w:eastAsia="宋体" w:cs="Times New Roman"/>
                <w:b w:val="0"/>
                <w:bCs w:val="0"/>
                <w:color w:val="auto"/>
                <w:sz w:val="21"/>
                <w:szCs w:val="21"/>
                <w:highlight w:val="none"/>
                <w:lang w:eastAsia="zh-CN"/>
              </w:rPr>
              <w:t>（</w:t>
            </w:r>
            <w:r>
              <w:rPr>
                <w:rFonts w:hint="eastAsia" w:ascii="Times New Roman" w:hAnsi="Times New Roman" w:eastAsia="宋体" w:cs="Times New Roman"/>
                <w:b w:val="0"/>
                <w:bCs w:val="0"/>
                <w:color w:val="auto"/>
                <w:sz w:val="21"/>
                <w:szCs w:val="21"/>
                <w:highlight w:val="none"/>
                <w:lang w:val="en-US" w:eastAsia="zh-CN"/>
              </w:rPr>
              <w:t>4</w:t>
            </w:r>
            <w:r>
              <w:rPr>
                <w:rFonts w:hint="eastAsia" w:ascii="Times New Roman" w:hAnsi="Times New Roman" w:eastAsia="宋体" w:cs="Times New Roman"/>
                <w:b w:val="0"/>
                <w:bCs w:val="0"/>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lang w:eastAsia="zh-CN"/>
              </w:rPr>
              <w:t>未提供的或提供不符合要求的不得分。</w:t>
            </w:r>
          </w:p>
          <w:p w14:paraId="696CE0D1">
            <w:pPr>
              <w:spacing w:line="360" w:lineRule="auto"/>
              <w:jc w:val="left"/>
              <w:rPr>
                <w:rFonts w:ascii="宋体" w:hAnsi="宋体"/>
                <w:sz w:val="21"/>
                <w:szCs w:val="21"/>
              </w:rPr>
            </w:pPr>
            <w:r>
              <w:rPr>
                <w:rFonts w:hint="eastAsia" w:ascii="宋体" w:hAnsi="宋体"/>
                <w:b/>
                <w:bCs/>
                <w:kern w:val="2"/>
                <w:sz w:val="21"/>
                <w:szCs w:val="24"/>
                <w:highlight w:val="none"/>
                <w:lang w:val="en-US" w:eastAsia="zh-CN" w:bidi="ar-SA"/>
              </w:rPr>
              <w:t>注：F为投标人本项得分。</w:t>
            </w:r>
          </w:p>
        </w:tc>
        <w:tc>
          <w:tcPr>
            <w:tcW w:w="1095" w:type="dxa"/>
            <w:tcBorders>
              <w:top w:val="single" w:color="auto" w:sz="4" w:space="0"/>
              <w:left w:val="single" w:color="auto" w:sz="4" w:space="0"/>
              <w:bottom w:val="single" w:color="auto" w:sz="4" w:space="0"/>
              <w:right w:val="single" w:color="auto" w:sz="4" w:space="0"/>
            </w:tcBorders>
            <w:vAlign w:val="center"/>
          </w:tcPr>
          <w:p w14:paraId="4C3B0362">
            <w:pPr>
              <w:spacing w:line="360" w:lineRule="auto"/>
              <w:jc w:val="center"/>
              <w:rPr>
                <w:rFonts w:ascii="宋体" w:hAnsi="宋体"/>
                <w:b w:val="0"/>
                <w:bCs w:val="0"/>
                <w:sz w:val="21"/>
                <w:szCs w:val="21"/>
              </w:rPr>
            </w:pPr>
            <w:r>
              <w:rPr>
                <w:rFonts w:ascii="宋体" w:hAnsi="宋体"/>
                <w:b w:val="0"/>
                <w:bCs w:val="0"/>
                <w:sz w:val="21"/>
                <w:szCs w:val="21"/>
              </w:rPr>
              <w:t>0-</w:t>
            </w:r>
            <w:r>
              <w:rPr>
                <w:rFonts w:hint="eastAsia" w:ascii="宋体" w:hAnsi="宋体"/>
                <w:b w:val="0"/>
                <w:bCs w:val="0"/>
                <w:sz w:val="21"/>
                <w:szCs w:val="21"/>
                <w:lang w:val="en-US" w:eastAsia="zh-CN"/>
              </w:rPr>
              <w:t>10</w:t>
            </w:r>
            <w:r>
              <w:rPr>
                <w:rFonts w:ascii="宋体" w:hAnsi="宋体"/>
                <w:b w:val="0"/>
                <w:bCs w:val="0"/>
                <w:sz w:val="21"/>
                <w:szCs w:val="21"/>
              </w:rPr>
              <w:t>分</w:t>
            </w:r>
          </w:p>
        </w:tc>
      </w:tr>
      <w:tr w14:paraId="5A15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tcBorders>
              <w:left w:val="single" w:color="auto" w:sz="4" w:space="0"/>
              <w:right w:val="single" w:color="auto" w:sz="4" w:space="0"/>
            </w:tcBorders>
            <w:vAlign w:val="center"/>
          </w:tcPr>
          <w:p w14:paraId="26E40353">
            <w:pPr>
              <w:spacing w:line="360" w:lineRule="auto"/>
              <w:jc w:val="center"/>
              <w:rPr>
                <w:rFonts w:ascii="宋体" w:hAnsi="宋体"/>
                <w:b/>
                <w:bCs/>
                <w:sz w:val="21"/>
                <w:szCs w:val="21"/>
              </w:rPr>
            </w:pPr>
            <w:r>
              <w:rPr>
                <w:rFonts w:hint="eastAsia" w:ascii="宋体" w:hAnsi="宋体"/>
                <w:b/>
                <w:bCs/>
                <w:sz w:val="21"/>
                <w:szCs w:val="21"/>
              </w:rPr>
              <w:t>价格分</w:t>
            </w:r>
          </w:p>
          <w:p w14:paraId="656FC740">
            <w:pPr>
              <w:spacing w:line="360" w:lineRule="auto"/>
              <w:jc w:val="center"/>
              <w:rPr>
                <w:rFonts w:ascii="宋体" w:hAnsi="宋体"/>
                <w:b/>
                <w:bCs/>
                <w:sz w:val="21"/>
                <w:szCs w:val="21"/>
              </w:rPr>
            </w:pPr>
            <w:r>
              <w:rPr>
                <w:rFonts w:hint="eastAsia" w:ascii="宋体" w:hAnsi="宋体"/>
                <w:b/>
                <w:bCs/>
                <w:sz w:val="21"/>
                <w:szCs w:val="21"/>
              </w:rPr>
              <w:t>（</w:t>
            </w:r>
            <w:r>
              <w:rPr>
                <w:rFonts w:hint="eastAsia" w:ascii="宋体" w:hAnsi="宋体"/>
                <w:b/>
                <w:bCs/>
                <w:sz w:val="21"/>
                <w:szCs w:val="21"/>
                <w:u w:val="single"/>
              </w:rPr>
              <w:t>3</w:t>
            </w:r>
            <w:r>
              <w:rPr>
                <w:rFonts w:hint="eastAsia" w:ascii="宋体" w:hAnsi="宋体"/>
                <w:b/>
                <w:bCs/>
                <w:sz w:val="21"/>
                <w:szCs w:val="21"/>
                <w:u w:val="single"/>
                <w:lang w:val="en-US" w:eastAsia="zh-CN"/>
              </w:rPr>
              <w:t>5</w:t>
            </w:r>
            <w:r>
              <w:rPr>
                <w:rFonts w:hint="eastAsia" w:ascii="宋体" w:hAnsi="宋体"/>
                <w:b/>
                <w:bCs/>
                <w:sz w:val="21"/>
                <w:szCs w:val="21"/>
              </w:rPr>
              <w:t>分）</w:t>
            </w:r>
          </w:p>
        </w:tc>
        <w:tc>
          <w:tcPr>
            <w:tcW w:w="7977" w:type="dxa"/>
            <w:gridSpan w:val="3"/>
            <w:tcBorders>
              <w:top w:val="single" w:color="auto" w:sz="4" w:space="0"/>
              <w:left w:val="single" w:color="auto" w:sz="4" w:space="0"/>
              <w:bottom w:val="single" w:color="auto" w:sz="4" w:space="0"/>
              <w:right w:val="single" w:color="auto" w:sz="4" w:space="0"/>
            </w:tcBorders>
            <w:vAlign w:val="center"/>
          </w:tcPr>
          <w:p w14:paraId="2D596F99">
            <w:pPr>
              <w:spacing w:line="360" w:lineRule="auto"/>
              <w:rPr>
                <w:rFonts w:ascii="宋体" w:hAnsi="宋体"/>
                <w:b/>
                <w:bCs/>
                <w:sz w:val="21"/>
                <w:szCs w:val="21"/>
              </w:rPr>
            </w:pPr>
            <w:r>
              <w:rPr>
                <w:rFonts w:hint="eastAsia" w:ascii="宋体" w:hAnsi="宋体"/>
                <w:b/>
                <w:bCs/>
                <w:sz w:val="21"/>
                <w:szCs w:val="21"/>
              </w:rPr>
              <w:t>价格分统一采用低价优先法，即满足招标文件要求且价格最低的最后报价为评标基准价，其价格分为满分</w:t>
            </w:r>
            <w:r>
              <w:rPr>
                <w:rFonts w:hint="eastAsia" w:ascii="宋体" w:hAnsi="宋体"/>
                <w:b/>
                <w:bCs/>
                <w:sz w:val="21"/>
                <w:szCs w:val="21"/>
                <w:u w:val="single"/>
              </w:rPr>
              <w:t>30</w:t>
            </w:r>
            <w:r>
              <w:rPr>
                <w:rFonts w:hint="eastAsia" w:ascii="宋体" w:hAnsi="宋体"/>
                <w:b/>
                <w:bCs/>
                <w:sz w:val="21"/>
                <w:szCs w:val="21"/>
              </w:rPr>
              <w:t>分。其他投标人的价格分统一按照下列公式计算：</w:t>
            </w:r>
          </w:p>
          <w:p w14:paraId="7A64DAC5">
            <w:pPr>
              <w:spacing w:line="360" w:lineRule="auto"/>
              <w:rPr>
                <w:rFonts w:ascii="宋体" w:hAnsi="宋体"/>
                <w:b/>
                <w:bCs/>
                <w:sz w:val="21"/>
                <w:szCs w:val="21"/>
              </w:rPr>
            </w:pPr>
            <w:r>
              <w:rPr>
                <w:rFonts w:hint="eastAsia" w:ascii="宋体" w:hAnsi="宋体"/>
                <w:b/>
                <w:bCs/>
                <w:sz w:val="21"/>
                <w:szCs w:val="21"/>
              </w:rPr>
              <w:t>最后报价得分＝（评标基准价/最后报价）×</w:t>
            </w:r>
            <w:r>
              <w:rPr>
                <w:rFonts w:hint="eastAsia" w:ascii="宋体" w:hAnsi="宋体"/>
                <w:b/>
                <w:bCs/>
                <w:sz w:val="21"/>
                <w:szCs w:val="21"/>
                <w:u w:val="single"/>
              </w:rPr>
              <w:t xml:space="preserve"> 3</w:t>
            </w:r>
            <w:r>
              <w:rPr>
                <w:rFonts w:hint="eastAsia" w:ascii="宋体" w:hAnsi="宋体"/>
                <w:b/>
                <w:bCs/>
                <w:sz w:val="21"/>
                <w:szCs w:val="21"/>
                <w:u w:val="single"/>
                <w:lang w:val="en-US" w:eastAsia="zh-CN"/>
              </w:rPr>
              <w:t>5</w:t>
            </w:r>
            <w:r>
              <w:rPr>
                <w:rFonts w:hint="eastAsia" w:ascii="宋体" w:hAnsi="宋体"/>
                <w:b/>
                <w:bCs/>
                <w:sz w:val="21"/>
                <w:szCs w:val="21"/>
                <w:u w:val="single"/>
              </w:rPr>
              <w:t xml:space="preserve"> </w:t>
            </w:r>
            <w:r>
              <w:rPr>
                <w:rFonts w:hint="eastAsia" w:ascii="宋体" w:hAnsi="宋体"/>
                <w:b/>
                <w:bCs/>
                <w:sz w:val="21"/>
                <w:szCs w:val="21"/>
              </w:rPr>
              <w:t>％×100</w:t>
            </w:r>
          </w:p>
        </w:tc>
      </w:tr>
    </w:tbl>
    <w:p w14:paraId="4B5A248C">
      <w:pPr>
        <w:adjustRightInd w:val="0"/>
        <w:spacing w:line="360" w:lineRule="auto"/>
        <w:ind w:firstLine="480" w:firstLineChars="200"/>
        <w:jc w:val="left"/>
        <w:outlineLvl w:val="1"/>
        <w:rPr>
          <w:rFonts w:ascii="Times New Roman" w:hAnsi="Times New Roman" w:cs="Times New Roman"/>
          <w:sz w:val="24"/>
        </w:rPr>
      </w:pPr>
    </w:p>
    <w:p w14:paraId="0FF37570">
      <w:pPr>
        <w:jc w:val="center"/>
        <w:rPr>
          <w:rFonts w:ascii="Times New Roman" w:hAnsi="Times New Roman" w:cs="Times New Roman"/>
          <w:b/>
          <w:sz w:val="28"/>
        </w:rPr>
      </w:pPr>
      <w:bookmarkStart w:id="30" w:name="_Toc66363490"/>
    </w:p>
    <w:p w14:paraId="4E13BCC8">
      <w:pPr>
        <w:pStyle w:val="2"/>
      </w:pPr>
    </w:p>
    <w:p w14:paraId="6004E3AC">
      <w:pPr>
        <w:pStyle w:val="31"/>
        <w:ind w:left="420" w:hanging="420"/>
      </w:pPr>
    </w:p>
    <w:p w14:paraId="28004F48">
      <w:pPr>
        <w:pStyle w:val="31"/>
        <w:ind w:left="420" w:hanging="420"/>
      </w:pPr>
    </w:p>
    <w:p w14:paraId="2B3230EA">
      <w:pPr>
        <w:pStyle w:val="31"/>
        <w:ind w:left="420" w:hanging="420"/>
      </w:pPr>
    </w:p>
    <w:p w14:paraId="16A37732">
      <w:pPr>
        <w:pStyle w:val="31"/>
        <w:ind w:left="420" w:hanging="420"/>
      </w:pPr>
    </w:p>
    <w:p w14:paraId="12D7015C">
      <w:pPr>
        <w:pStyle w:val="31"/>
        <w:ind w:left="420" w:hanging="420"/>
      </w:pPr>
    </w:p>
    <w:p w14:paraId="24CA0E5F">
      <w:pPr>
        <w:pStyle w:val="31"/>
        <w:ind w:left="420" w:hanging="420"/>
      </w:pPr>
    </w:p>
    <w:p w14:paraId="3D351B02">
      <w:pPr>
        <w:pStyle w:val="31"/>
        <w:ind w:left="420" w:hanging="420"/>
      </w:pPr>
    </w:p>
    <w:p w14:paraId="6B4C9247">
      <w:pPr>
        <w:pStyle w:val="31"/>
        <w:ind w:left="420" w:hanging="420"/>
      </w:pPr>
    </w:p>
    <w:p w14:paraId="5B227903">
      <w:pPr>
        <w:pStyle w:val="31"/>
        <w:ind w:left="420" w:hanging="420"/>
      </w:pPr>
    </w:p>
    <w:p w14:paraId="695A41C5">
      <w:pPr>
        <w:pStyle w:val="31"/>
        <w:ind w:left="420" w:hanging="420"/>
      </w:pPr>
    </w:p>
    <w:p w14:paraId="67B479F2">
      <w:pPr>
        <w:pStyle w:val="31"/>
        <w:ind w:left="420" w:hanging="420"/>
      </w:pPr>
    </w:p>
    <w:p w14:paraId="38F2001C">
      <w:pPr>
        <w:pStyle w:val="31"/>
        <w:ind w:left="420" w:hanging="420"/>
      </w:pPr>
    </w:p>
    <w:p w14:paraId="5C588109">
      <w:pPr>
        <w:pStyle w:val="31"/>
        <w:ind w:left="420" w:hanging="420"/>
      </w:pPr>
    </w:p>
    <w:p w14:paraId="0874433F">
      <w:pPr>
        <w:pStyle w:val="31"/>
        <w:ind w:left="420" w:hanging="420"/>
      </w:pPr>
    </w:p>
    <w:p w14:paraId="29382FC1">
      <w:pPr>
        <w:pStyle w:val="31"/>
        <w:ind w:left="420" w:hanging="420"/>
      </w:pPr>
    </w:p>
    <w:p w14:paraId="740F8426">
      <w:pPr>
        <w:pStyle w:val="31"/>
        <w:ind w:left="420" w:hanging="420"/>
      </w:pPr>
    </w:p>
    <w:p w14:paraId="3A41130B">
      <w:pPr>
        <w:pStyle w:val="31"/>
        <w:ind w:left="420" w:hanging="420"/>
      </w:pPr>
    </w:p>
    <w:p w14:paraId="2C46369D">
      <w:pPr>
        <w:pStyle w:val="31"/>
        <w:ind w:left="420" w:hanging="420"/>
      </w:pPr>
    </w:p>
    <w:p w14:paraId="19BC3AD8">
      <w:pPr>
        <w:pStyle w:val="31"/>
      </w:pPr>
    </w:p>
    <w:p w14:paraId="43E29BCE">
      <w:pPr>
        <w:pStyle w:val="31"/>
      </w:pPr>
    </w:p>
    <w:p w14:paraId="4C4CF9A0">
      <w:pPr>
        <w:jc w:val="both"/>
        <w:rPr>
          <w:rFonts w:ascii="Times New Roman" w:hAnsi="Times New Roman" w:cs="Times New Roman"/>
          <w:b/>
          <w:sz w:val="28"/>
        </w:rPr>
      </w:pPr>
    </w:p>
    <w:p w14:paraId="40301EAB">
      <w:pPr>
        <w:jc w:val="center"/>
        <w:rPr>
          <w:rFonts w:ascii="Times New Roman" w:hAnsi="Times New Roman" w:eastAsia="黑体" w:cs="Times New Roman"/>
          <w:bCs/>
        </w:rPr>
      </w:pPr>
      <w:r>
        <w:rPr>
          <w:rFonts w:ascii="Times New Roman" w:hAnsi="Times New Roman" w:cs="Times New Roman"/>
          <w:b/>
          <w:sz w:val="28"/>
        </w:rPr>
        <w:t>第</w:t>
      </w:r>
      <w:r>
        <w:rPr>
          <w:rFonts w:hint="eastAsia" w:ascii="Times New Roman" w:hAnsi="Times New Roman" w:cs="Times New Roman"/>
          <w:b/>
          <w:sz w:val="28"/>
        </w:rPr>
        <w:t>五</w:t>
      </w:r>
      <w:r>
        <w:rPr>
          <w:rFonts w:ascii="Times New Roman" w:hAnsi="Times New Roman" w:cs="Times New Roman"/>
          <w:b/>
          <w:sz w:val="28"/>
        </w:rPr>
        <w:t>章  合同条款及格式</w:t>
      </w:r>
      <w:bookmarkEnd w:id="30"/>
    </w:p>
    <w:p w14:paraId="36FDFF9B">
      <w:pPr>
        <w:spacing w:line="360" w:lineRule="auto"/>
        <w:rPr>
          <w:rFonts w:ascii="Times New Roman" w:hAnsi="Times New Roman" w:cs="Times New Roman"/>
          <w:szCs w:val="21"/>
          <w:lang w:bidi="ar"/>
        </w:rPr>
      </w:pPr>
    </w:p>
    <w:p w14:paraId="07CB65E1">
      <w:pPr>
        <w:jc w:val="center"/>
        <w:rPr>
          <w:rFonts w:ascii="Times New Roman" w:hAnsi="Times New Roman" w:cs="Times New Roman"/>
          <w:b/>
          <w:sz w:val="28"/>
        </w:rPr>
      </w:pPr>
      <w:r>
        <w:rPr>
          <w:rFonts w:ascii="Times New Roman" w:hAnsi="Times New Roman" w:cs="Times New Roman"/>
          <w:b/>
          <w:sz w:val="28"/>
        </w:rPr>
        <w:t>合同</w:t>
      </w:r>
      <w:r>
        <w:rPr>
          <w:rFonts w:hint="eastAsia" w:ascii="Times New Roman" w:hAnsi="Times New Roman" w:cs="Times New Roman"/>
          <w:b/>
          <w:sz w:val="28"/>
        </w:rPr>
        <w:t>参考范本</w:t>
      </w:r>
    </w:p>
    <w:p w14:paraId="2A175CD3">
      <w:pPr>
        <w:jc w:val="center"/>
        <w:rPr>
          <w:rFonts w:ascii="Times New Roman" w:hAnsi="Times New Roman" w:cs="Times New Roman"/>
          <w:b/>
          <w:sz w:val="28"/>
        </w:rPr>
      </w:pPr>
      <w:r>
        <w:rPr>
          <w:rFonts w:hint="eastAsia" w:ascii="Times New Roman" w:hAnsi="Times New Roman" w:cs="Times New Roman"/>
          <w:b/>
          <w:sz w:val="28"/>
        </w:rPr>
        <w:t>（货物类）</w:t>
      </w:r>
    </w:p>
    <w:p w14:paraId="4A75FF90">
      <w:pPr>
        <w:spacing w:line="480" w:lineRule="auto"/>
        <w:jc w:val="center"/>
        <w:rPr>
          <w:rFonts w:ascii="宋体" w:hAnsi="宋体"/>
          <w:b/>
          <w:sz w:val="24"/>
        </w:rPr>
      </w:pPr>
    </w:p>
    <w:p w14:paraId="02B34CA7">
      <w:pPr>
        <w:spacing w:line="480" w:lineRule="auto"/>
        <w:jc w:val="center"/>
        <w:rPr>
          <w:rFonts w:ascii="宋体" w:hAnsi="宋体"/>
          <w:b/>
          <w:sz w:val="24"/>
        </w:rPr>
      </w:pPr>
    </w:p>
    <w:p w14:paraId="1D8A6A4F">
      <w:pPr>
        <w:spacing w:line="360" w:lineRule="auto"/>
        <w:jc w:val="center"/>
        <w:outlineLvl w:val="2"/>
        <w:rPr>
          <w:rFonts w:ascii="宋体" w:hAnsi="宋体"/>
          <w:b/>
          <w:sz w:val="24"/>
        </w:rPr>
      </w:pPr>
      <w:r>
        <w:rPr>
          <w:rFonts w:hint="eastAsia" w:ascii="宋体" w:hAnsi="宋体"/>
          <w:b/>
          <w:sz w:val="24"/>
        </w:rPr>
        <w:t>第一部分 合同书</w:t>
      </w:r>
    </w:p>
    <w:p w14:paraId="34757F05">
      <w:pPr>
        <w:spacing w:line="480" w:lineRule="auto"/>
        <w:rPr>
          <w:rFonts w:ascii="宋体" w:hAnsi="宋体"/>
          <w:b/>
          <w:sz w:val="24"/>
        </w:rPr>
      </w:pPr>
    </w:p>
    <w:p w14:paraId="13F57E58">
      <w:pPr>
        <w:spacing w:before="120" w:line="480" w:lineRule="auto"/>
        <w:ind w:left="960"/>
        <w:rPr>
          <w:rFonts w:ascii="宋体" w:hAnsi="宋体"/>
          <w:sz w:val="24"/>
          <w:u w:val="single"/>
        </w:rPr>
      </w:pPr>
      <w:r>
        <w:rPr>
          <w:rFonts w:hint="eastAsia" w:ascii="宋体" w:hAnsi="宋体"/>
          <w:sz w:val="24"/>
        </w:rPr>
        <w:t>项目名称：</w:t>
      </w:r>
      <w:r>
        <w:rPr>
          <w:rFonts w:hint="eastAsia" w:ascii="Times New Roman" w:hAnsi="Times New Roman" w:cs="Times New Roman"/>
          <w:spacing w:val="20"/>
          <w:sz w:val="24"/>
          <w:szCs w:val="24"/>
          <w:u w:val="single"/>
          <w:lang w:eastAsia="zh-CN"/>
        </w:rPr>
        <w:t>望湖城公共文化空间智能化设备采购</w:t>
      </w:r>
      <w:r>
        <w:rPr>
          <w:rFonts w:hint="eastAsia" w:ascii="宋体" w:hAnsi="宋体"/>
          <w:sz w:val="24"/>
          <w:u w:val="single"/>
        </w:rPr>
        <w:t xml:space="preserve"> </w:t>
      </w:r>
    </w:p>
    <w:p w14:paraId="0CA31B4C">
      <w:pPr>
        <w:spacing w:before="120" w:line="480" w:lineRule="auto"/>
        <w:ind w:left="960"/>
        <w:rPr>
          <w:rFonts w:ascii="宋体" w:hAnsi="宋体"/>
          <w:sz w:val="24"/>
          <w:u w:val="single"/>
        </w:rPr>
      </w:pPr>
      <w:r>
        <w:rPr>
          <w:rFonts w:hint="eastAsia" w:ascii="宋体" w:hAnsi="宋体"/>
          <w:sz w:val="24"/>
        </w:rPr>
        <w:t>项目编号：</w:t>
      </w:r>
      <w:r>
        <w:rPr>
          <w:rFonts w:hint="eastAsia" w:ascii="宋体" w:hAnsi="宋体"/>
          <w:sz w:val="24"/>
          <w:u w:val="single"/>
        </w:rPr>
        <w:t xml:space="preserve">   JSCM-ZTB-202</w:t>
      </w:r>
      <w:r>
        <w:rPr>
          <w:rFonts w:hint="eastAsia" w:ascii="宋体" w:hAnsi="宋体"/>
          <w:sz w:val="24"/>
          <w:u w:val="single"/>
          <w:lang w:val="en-US" w:eastAsia="zh-CN"/>
        </w:rPr>
        <w:t>4</w:t>
      </w:r>
      <w:r>
        <w:rPr>
          <w:rFonts w:hint="eastAsia" w:ascii="宋体" w:hAnsi="宋体"/>
          <w:sz w:val="24"/>
          <w:u w:val="single"/>
        </w:rPr>
        <w:t>-0</w:t>
      </w:r>
      <w:r>
        <w:rPr>
          <w:rFonts w:hint="eastAsia" w:ascii="宋体" w:hAnsi="宋体"/>
          <w:sz w:val="24"/>
          <w:u w:val="single"/>
          <w:lang w:val="en-US" w:eastAsia="zh-CN"/>
        </w:rPr>
        <w:t>2</w:t>
      </w:r>
      <w:r>
        <w:rPr>
          <w:rFonts w:ascii="宋体" w:hAnsi="宋体"/>
          <w:sz w:val="24"/>
          <w:u w:val="single"/>
        </w:rPr>
        <w:t xml:space="preserve">                </w:t>
      </w:r>
      <w:r>
        <w:rPr>
          <w:rFonts w:hint="eastAsia" w:ascii="宋体" w:hAnsi="宋体"/>
          <w:sz w:val="24"/>
          <w:u w:val="single"/>
        </w:rPr>
        <w:t xml:space="preserve">  </w:t>
      </w:r>
    </w:p>
    <w:p w14:paraId="4580212B">
      <w:pPr>
        <w:spacing w:before="120" w:line="480" w:lineRule="auto"/>
        <w:ind w:left="960"/>
        <w:rPr>
          <w:rFonts w:hint="eastAsia" w:ascii="宋体" w:hAnsi="宋体" w:eastAsia="宋体"/>
          <w:sz w:val="24"/>
          <w:u w:val="single"/>
          <w:lang w:eastAsia="zh-CN"/>
        </w:rPr>
      </w:pPr>
      <w:r>
        <w:rPr>
          <w:rFonts w:hint="eastAsia" w:ascii="宋体" w:hAnsi="宋体"/>
          <w:sz w:val="24"/>
        </w:rPr>
        <w:t>甲方（招标人）：</w:t>
      </w:r>
      <w:r>
        <w:rPr>
          <w:rFonts w:hint="eastAsia" w:ascii="宋体" w:hAnsi="宋体"/>
          <w:sz w:val="24"/>
          <w:u w:val="single"/>
          <w:lang w:eastAsia="zh-CN"/>
        </w:rPr>
        <w:t>合肥滨湖时光教育管理有限公司</w:t>
      </w:r>
    </w:p>
    <w:p w14:paraId="7B5587B6">
      <w:pPr>
        <w:spacing w:before="120" w:line="480" w:lineRule="auto"/>
        <w:ind w:left="960"/>
        <w:rPr>
          <w:rFonts w:ascii="宋体" w:hAnsi="宋体"/>
          <w:sz w:val="24"/>
          <w:u w:val="single"/>
        </w:rPr>
      </w:pPr>
      <w:r>
        <w:rPr>
          <w:rFonts w:hint="eastAsia" w:ascii="宋体" w:hAnsi="宋体"/>
          <w:sz w:val="24"/>
        </w:rPr>
        <w:t>乙方（中标人）：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5AAA9932">
      <w:pPr>
        <w:spacing w:before="120" w:line="480" w:lineRule="auto"/>
        <w:ind w:firstLine="960" w:firstLineChars="400"/>
        <w:rPr>
          <w:rFonts w:ascii="宋体" w:hAnsi="宋体"/>
          <w:sz w:val="24"/>
          <w:u w:val="single"/>
        </w:rPr>
      </w:pPr>
      <w:r>
        <w:rPr>
          <w:rFonts w:hint="eastAsia" w:ascii="宋体" w:hAnsi="宋体"/>
          <w:sz w:val="24"/>
        </w:rPr>
        <w:t>签订地：</w:t>
      </w:r>
      <w:r>
        <w:rPr>
          <w:rFonts w:hint="eastAsia" w:ascii="宋体" w:hAnsi="宋体"/>
          <w:sz w:val="24"/>
          <w:u w:val="single"/>
        </w:rPr>
        <w:t xml:space="preserve">                                     </w:t>
      </w:r>
    </w:p>
    <w:p w14:paraId="088C805C">
      <w:pPr>
        <w:spacing w:before="120" w:line="480" w:lineRule="auto"/>
        <w:ind w:firstLine="960" w:firstLineChars="400"/>
        <w:rPr>
          <w:rFonts w:ascii="宋体" w:hAnsi="宋体"/>
          <w:sz w:val="24"/>
          <w:u w:val="single"/>
        </w:rPr>
      </w:pPr>
      <w:r>
        <w:rPr>
          <w:rFonts w:hint="eastAsia" w:ascii="宋体" w:hAnsi="宋体"/>
          <w:sz w:val="24"/>
        </w:rPr>
        <w:t>签订日期：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1D5FA10">
      <w:pPr>
        <w:autoSpaceDE w:val="0"/>
        <w:autoSpaceDN w:val="0"/>
        <w:adjustRightInd w:val="0"/>
        <w:spacing w:line="600" w:lineRule="exact"/>
        <w:ind w:firstLine="640"/>
        <w:jc w:val="center"/>
        <w:rPr>
          <w:rFonts w:ascii="宋体" w:hAnsi="宋体"/>
          <w:sz w:val="24"/>
        </w:rPr>
        <w:sectPr>
          <w:footerReference r:id="rId7" w:type="default"/>
          <w:pgSz w:w="11907" w:h="16840"/>
          <w:pgMar w:top="1474" w:right="1814" w:bottom="1474" w:left="1814" w:header="851" w:footer="992" w:gutter="0"/>
          <w:pgNumType w:start="46"/>
          <w:cols w:space="720" w:num="1"/>
          <w:docGrid w:linePitch="462" w:charSpace="0"/>
        </w:sectPr>
      </w:pPr>
    </w:p>
    <w:p w14:paraId="4A04C32A">
      <w:pPr>
        <w:spacing w:line="360" w:lineRule="auto"/>
        <w:ind w:firstLine="435"/>
        <w:rPr>
          <w:rFonts w:ascii="宋体" w:hAnsi="宋体"/>
          <w:sz w:val="24"/>
          <w:lang w:val="zh-CN"/>
        </w:rPr>
      </w:pPr>
      <w:r>
        <w:rPr>
          <w:rFonts w:hint="eastAsia" w:ascii="宋体" w:hAnsi="宋体"/>
          <w:sz w:val="24"/>
        </w:rPr>
        <w:t>根据《中华人民共和国民法典》、《中华人民共和国招标投标法》等相关法律法规之规定，按照平等、自愿、公平和诚实信用的原则，经甲方和乙方协商一致，约定以下合同条款，以兹共同遵守、全面履行。</w:t>
      </w:r>
    </w:p>
    <w:p w14:paraId="0855DB18">
      <w:pPr>
        <w:spacing w:line="360" w:lineRule="auto"/>
        <w:ind w:firstLine="437"/>
        <w:outlineLvl w:val="3"/>
        <w:rPr>
          <w:rFonts w:ascii="宋体" w:hAnsi="宋体"/>
          <w:b/>
          <w:bCs/>
          <w:sz w:val="24"/>
          <w:lang w:val="zh-CN"/>
        </w:rPr>
      </w:pPr>
      <w:bookmarkStart w:id="31" w:name="_Toc24059"/>
      <w:bookmarkStart w:id="32" w:name="_Toc3029"/>
      <w:bookmarkStart w:id="33" w:name="_Toc2232"/>
      <w:r>
        <w:rPr>
          <w:rFonts w:hint="eastAsia" w:ascii="宋体" w:hAnsi="宋体"/>
          <w:b/>
          <w:bCs/>
          <w:sz w:val="24"/>
          <w:lang w:val="zh-CN"/>
        </w:rPr>
        <w:t>1.1</w:t>
      </w:r>
      <w:r>
        <w:rPr>
          <w:rFonts w:ascii="宋体" w:hAnsi="宋体"/>
          <w:b/>
          <w:bCs/>
          <w:sz w:val="24"/>
          <w:lang w:val="zh-CN"/>
        </w:rPr>
        <w:t xml:space="preserve"> </w:t>
      </w:r>
      <w:r>
        <w:rPr>
          <w:rFonts w:hint="eastAsia" w:ascii="宋体" w:hAnsi="宋体"/>
          <w:b/>
          <w:bCs/>
          <w:sz w:val="24"/>
          <w:lang w:val="zh-CN"/>
        </w:rPr>
        <w:t>合同组成部分</w:t>
      </w:r>
      <w:bookmarkEnd w:id="31"/>
      <w:bookmarkEnd w:id="32"/>
      <w:bookmarkEnd w:id="33"/>
    </w:p>
    <w:p w14:paraId="7A0A7DD8">
      <w:pPr>
        <w:spacing w:line="360" w:lineRule="auto"/>
        <w:ind w:firstLine="435"/>
        <w:rPr>
          <w:rFonts w:ascii="宋体" w:hAnsi="宋体"/>
          <w:sz w:val="24"/>
          <w:lang w:val="zh-CN"/>
        </w:rPr>
      </w:pPr>
      <w:r>
        <w:rPr>
          <w:rFonts w:hint="eastAsia" w:ascii="宋体" w:hAnsi="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50201DA5">
      <w:pPr>
        <w:spacing w:line="360" w:lineRule="auto"/>
        <w:ind w:firstLine="435"/>
        <w:rPr>
          <w:rFonts w:ascii="宋体" w:hAnsi="宋体"/>
          <w:sz w:val="24"/>
          <w:lang w:val="zh-CN"/>
        </w:rPr>
      </w:pPr>
      <w:r>
        <w:rPr>
          <w:rFonts w:hint="eastAsia" w:ascii="宋体" w:hAnsi="宋体"/>
          <w:sz w:val="24"/>
          <w:lang w:val="zh-CN"/>
        </w:rPr>
        <w:t>1.1.1本合同及其补充合同、变更协议；</w:t>
      </w:r>
    </w:p>
    <w:p w14:paraId="0647C120">
      <w:pPr>
        <w:spacing w:line="360" w:lineRule="auto"/>
        <w:ind w:firstLine="435"/>
        <w:rPr>
          <w:rFonts w:ascii="宋体" w:hAnsi="宋体"/>
          <w:sz w:val="24"/>
          <w:lang w:val="zh-CN"/>
        </w:rPr>
      </w:pPr>
      <w:r>
        <w:rPr>
          <w:rFonts w:hint="eastAsia" w:ascii="宋体" w:hAnsi="宋体"/>
          <w:sz w:val="24"/>
          <w:lang w:val="zh-CN"/>
        </w:rPr>
        <w:t>1.1.2中标通知书；</w:t>
      </w:r>
    </w:p>
    <w:p w14:paraId="54580B4C">
      <w:pPr>
        <w:spacing w:line="360" w:lineRule="auto"/>
        <w:ind w:firstLine="435"/>
        <w:rPr>
          <w:rFonts w:ascii="宋体" w:hAnsi="宋体"/>
          <w:sz w:val="24"/>
          <w:lang w:val="zh-CN"/>
        </w:rPr>
      </w:pPr>
      <w:r>
        <w:rPr>
          <w:rFonts w:hint="eastAsia" w:ascii="宋体" w:hAnsi="宋体"/>
          <w:sz w:val="24"/>
          <w:lang w:val="zh-CN"/>
        </w:rPr>
        <w:t>1.1.3</w:t>
      </w:r>
      <w:r>
        <w:rPr>
          <w:rFonts w:hint="eastAsia" w:ascii="宋体" w:hAnsi="宋体"/>
          <w:sz w:val="24"/>
        </w:rPr>
        <w:t>投标</w:t>
      </w:r>
      <w:r>
        <w:rPr>
          <w:rFonts w:hint="eastAsia" w:ascii="宋体" w:hAnsi="宋体"/>
          <w:sz w:val="24"/>
          <w:lang w:val="zh-CN"/>
        </w:rPr>
        <w:t>文件（含澄清或者说明文件）；</w:t>
      </w:r>
    </w:p>
    <w:p w14:paraId="689B718B">
      <w:pPr>
        <w:spacing w:line="360" w:lineRule="auto"/>
        <w:ind w:firstLine="435"/>
        <w:rPr>
          <w:rFonts w:ascii="宋体" w:hAnsi="宋体"/>
          <w:sz w:val="24"/>
          <w:lang w:val="zh-CN"/>
        </w:rPr>
      </w:pPr>
      <w:r>
        <w:rPr>
          <w:rFonts w:hint="eastAsia" w:ascii="宋体" w:hAnsi="宋体"/>
          <w:sz w:val="24"/>
          <w:lang w:val="zh-CN"/>
        </w:rPr>
        <w:t>1.1.4</w:t>
      </w:r>
      <w:r>
        <w:rPr>
          <w:rFonts w:hint="eastAsia" w:ascii="宋体" w:hAnsi="宋体"/>
          <w:sz w:val="24"/>
        </w:rPr>
        <w:t>招标</w:t>
      </w:r>
      <w:r>
        <w:rPr>
          <w:rFonts w:hint="eastAsia" w:ascii="宋体" w:hAnsi="宋体"/>
          <w:sz w:val="24"/>
          <w:lang w:val="zh-CN"/>
        </w:rPr>
        <w:t>文件（含澄清或者修改文件）；</w:t>
      </w:r>
    </w:p>
    <w:p w14:paraId="15A5EB66">
      <w:pPr>
        <w:spacing w:line="360" w:lineRule="auto"/>
        <w:ind w:firstLine="435"/>
        <w:rPr>
          <w:rFonts w:ascii="宋体" w:hAnsi="宋体"/>
          <w:sz w:val="24"/>
          <w:lang w:val="zh-CN"/>
        </w:rPr>
      </w:pPr>
      <w:r>
        <w:rPr>
          <w:rFonts w:hint="eastAsia" w:ascii="宋体" w:hAnsi="宋体"/>
          <w:sz w:val="24"/>
          <w:lang w:val="zh-CN"/>
        </w:rPr>
        <w:t>1.1.5其他相关采购文件。</w:t>
      </w:r>
    </w:p>
    <w:p w14:paraId="45D71590">
      <w:pPr>
        <w:spacing w:line="360" w:lineRule="auto"/>
        <w:ind w:firstLine="437"/>
        <w:outlineLvl w:val="3"/>
        <w:rPr>
          <w:rFonts w:ascii="宋体" w:hAnsi="宋体"/>
          <w:b/>
          <w:bCs/>
          <w:sz w:val="24"/>
          <w:lang w:val="zh-CN"/>
        </w:rPr>
      </w:pPr>
      <w:bookmarkStart w:id="34" w:name="_Toc27126"/>
      <w:bookmarkStart w:id="35" w:name="_Toc24300"/>
      <w:bookmarkStart w:id="36" w:name="_Toc21295"/>
      <w:r>
        <w:rPr>
          <w:rFonts w:hint="eastAsia" w:ascii="宋体" w:hAnsi="宋体"/>
          <w:b/>
          <w:bCs/>
          <w:sz w:val="24"/>
          <w:lang w:val="zh-CN"/>
        </w:rPr>
        <w:t>1.2</w:t>
      </w:r>
      <w:r>
        <w:rPr>
          <w:rFonts w:ascii="宋体" w:hAnsi="宋体"/>
          <w:b/>
          <w:bCs/>
          <w:sz w:val="24"/>
          <w:lang w:val="zh-CN"/>
        </w:rPr>
        <w:t xml:space="preserve"> </w:t>
      </w:r>
      <w:r>
        <w:rPr>
          <w:rFonts w:hint="eastAsia" w:ascii="宋体" w:hAnsi="宋体"/>
          <w:b/>
          <w:bCs/>
          <w:sz w:val="24"/>
          <w:lang w:val="zh-CN"/>
        </w:rPr>
        <w:t>货物</w:t>
      </w:r>
      <w:bookmarkEnd w:id="34"/>
      <w:bookmarkEnd w:id="35"/>
      <w:bookmarkEnd w:id="36"/>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15"/>
        <w:gridCol w:w="1515"/>
        <w:gridCol w:w="1512"/>
        <w:gridCol w:w="1512"/>
        <w:gridCol w:w="1508"/>
      </w:tblGrid>
      <w:tr w14:paraId="04EC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60" w:type="dxa"/>
          </w:tcPr>
          <w:p w14:paraId="4828EF8E">
            <w:pPr>
              <w:jc w:val="center"/>
              <w:rPr>
                <w:rFonts w:ascii="宋体" w:hAnsi="宋体"/>
                <w:sz w:val="24"/>
                <w:lang w:val="zh-CN"/>
              </w:rPr>
            </w:pPr>
            <w:r>
              <w:rPr>
                <w:rFonts w:hint="eastAsia" w:ascii="宋体" w:hAnsi="宋体"/>
                <w:sz w:val="24"/>
                <w:lang w:val="zh-CN"/>
              </w:rPr>
              <w:t>序号</w:t>
            </w:r>
          </w:p>
        </w:tc>
        <w:tc>
          <w:tcPr>
            <w:tcW w:w="1515" w:type="dxa"/>
            <w:vAlign w:val="center"/>
          </w:tcPr>
          <w:p w14:paraId="7C210E59">
            <w:pPr>
              <w:jc w:val="center"/>
              <w:rPr>
                <w:rFonts w:ascii="宋体" w:hAnsi="宋体"/>
                <w:sz w:val="24"/>
                <w:lang w:val="zh-CN"/>
              </w:rPr>
            </w:pPr>
            <w:r>
              <w:rPr>
                <w:rFonts w:hint="eastAsia" w:ascii="宋体" w:hAnsi="宋体"/>
                <w:sz w:val="24"/>
                <w:lang w:val="zh-CN"/>
              </w:rPr>
              <w:t>货物名称</w:t>
            </w:r>
          </w:p>
        </w:tc>
        <w:tc>
          <w:tcPr>
            <w:tcW w:w="1515" w:type="dxa"/>
            <w:vAlign w:val="center"/>
          </w:tcPr>
          <w:p w14:paraId="1F3E251D">
            <w:pPr>
              <w:jc w:val="center"/>
              <w:rPr>
                <w:rFonts w:ascii="宋体" w:hAnsi="宋体"/>
                <w:sz w:val="24"/>
                <w:lang w:val="zh-CN"/>
              </w:rPr>
            </w:pPr>
            <w:r>
              <w:rPr>
                <w:rFonts w:hint="eastAsia" w:ascii="宋体" w:hAnsi="宋体"/>
                <w:sz w:val="24"/>
                <w:lang w:val="zh-CN"/>
              </w:rPr>
              <w:t>规格型号</w:t>
            </w:r>
          </w:p>
        </w:tc>
        <w:tc>
          <w:tcPr>
            <w:tcW w:w="1512" w:type="dxa"/>
            <w:vAlign w:val="center"/>
          </w:tcPr>
          <w:p w14:paraId="22713727">
            <w:pPr>
              <w:jc w:val="center"/>
              <w:rPr>
                <w:rFonts w:ascii="宋体" w:hAnsi="宋体"/>
                <w:sz w:val="24"/>
                <w:lang w:val="zh-CN"/>
              </w:rPr>
            </w:pPr>
            <w:r>
              <w:rPr>
                <w:rFonts w:hint="eastAsia" w:ascii="宋体" w:hAnsi="宋体"/>
                <w:sz w:val="24"/>
                <w:lang w:val="zh-CN"/>
              </w:rPr>
              <w:t>单位</w:t>
            </w:r>
          </w:p>
        </w:tc>
        <w:tc>
          <w:tcPr>
            <w:tcW w:w="1512" w:type="dxa"/>
            <w:vAlign w:val="center"/>
          </w:tcPr>
          <w:p w14:paraId="018B1F98">
            <w:pPr>
              <w:jc w:val="center"/>
              <w:rPr>
                <w:rFonts w:ascii="宋体" w:hAnsi="宋体"/>
                <w:sz w:val="24"/>
                <w:lang w:val="zh-CN"/>
              </w:rPr>
            </w:pPr>
            <w:r>
              <w:rPr>
                <w:rFonts w:hint="eastAsia" w:ascii="宋体" w:hAnsi="宋体"/>
                <w:sz w:val="24"/>
                <w:lang w:val="zh-CN"/>
              </w:rPr>
              <w:t>数量</w:t>
            </w:r>
          </w:p>
        </w:tc>
        <w:tc>
          <w:tcPr>
            <w:tcW w:w="1508" w:type="dxa"/>
            <w:vAlign w:val="center"/>
          </w:tcPr>
          <w:p w14:paraId="32BFCEAD">
            <w:pPr>
              <w:jc w:val="center"/>
              <w:rPr>
                <w:rFonts w:ascii="宋体" w:hAnsi="宋体"/>
                <w:sz w:val="24"/>
                <w:lang w:val="zh-CN"/>
              </w:rPr>
            </w:pPr>
            <w:r>
              <w:rPr>
                <w:rFonts w:hint="eastAsia" w:ascii="宋体" w:hAnsi="宋体"/>
                <w:sz w:val="24"/>
                <w:lang w:val="zh-CN"/>
              </w:rPr>
              <w:t>生产厂商</w:t>
            </w:r>
          </w:p>
        </w:tc>
      </w:tr>
      <w:tr w14:paraId="6894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0A802E7C">
            <w:pPr>
              <w:jc w:val="center"/>
              <w:rPr>
                <w:rFonts w:ascii="宋体" w:hAnsi="宋体"/>
                <w:sz w:val="24"/>
                <w:lang w:val="zh-CN"/>
              </w:rPr>
            </w:pPr>
            <w:r>
              <w:rPr>
                <w:rFonts w:hint="eastAsia" w:ascii="宋体" w:hAnsi="宋体"/>
                <w:sz w:val="24"/>
                <w:lang w:val="zh-CN"/>
              </w:rPr>
              <w:t>1</w:t>
            </w:r>
          </w:p>
        </w:tc>
        <w:tc>
          <w:tcPr>
            <w:tcW w:w="1515" w:type="dxa"/>
            <w:vAlign w:val="center"/>
          </w:tcPr>
          <w:p w14:paraId="712A6C23">
            <w:pPr>
              <w:jc w:val="center"/>
              <w:rPr>
                <w:rFonts w:ascii="宋体" w:hAnsi="宋体"/>
                <w:sz w:val="24"/>
                <w:lang w:val="zh-CN"/>
              </w:rPr>
            </w:pPr>
          </w:p>
        </w:tc>
        <w:tc>
          <w:tcPr>
            <w:tcW w:w="1515" w:type="dxa"/>
            <w:vAlign w:val="center"/>
          </w:tcPr>
          <w:p w14:paraId="5D97CE61">
            <w:pPr>
              <w:jc w:val="center"/>
              <w:rPr>
                <w:rFonts w:ascii="宋体" w:hAnsi="宋体"/>
                <w:sz w:val="24"/>
                <w:lang w:val="zh-CN"/>
              </w:rPr>
            </w:pPr>
          </w:p>
        </w:tc>
        <w:tc>
          <w:tcPr>
            <w:tcW w:w="1512" w:type="dxa"/>
            <w:vAlign w:val="center"/>
          </w:tcPr>
          <w:p w14:paraId="53EF22F6">
            <w:pPr>
              <w:jc w:val="center"/>
              <w:rPr>
                <w:rFonts w:ascii="宋体" w:hAnsi="宋体"/>
                <w:sz w:val="24"/>
                <w:lang w:val="zh-CN"/>
              </w:rPr>
            </w:pPr>
          </w:p>
        </w:tc>
        <w:tc>
          <w:tcPr>
            <w:tcW w:w="1512" w:type="dxa"/>
            <w:vAlign w:val="center"/>
          </w:tcPr>
          <w:p w14:paraId="6CBCCCDB">
            <w:pPr>
              <w:jc w:val="center"/>
              <w:rPr>
                <w:rFonts w:ascii="宋体" w:hAnsi="宋体"/>
                <w:sz w:val="24"/>
                <w:lang w:val="zh-CN"/>
              </w:rPr>
            </w:pPr>
          </w:p>
        </w:tc>
        <w:tc>
          <w:tcPr>
            <w:tcW w:w="1508" w:type="dxa"/>
            <w:vAlign w:val="center"/>
          </w:tcPr>
          <w:p w14:paraId="6C7FD6DC">
            <w:pPr>
              <w:jc w:val="center"/>
              <w:rPr>
                <w:rFonts w:ascii="宋体" w:hAnsi="宋体"/>
                <w:sz w:val="24"/>
                <w:lang w:val="zh-CN"/>
              </w:rPr>
            </w:pPr>
          </w:p>
        </w:tc>
      </w:tr>
      <w:tr w14:paraId="0ECC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7FC856D7">
            <w:pPr>
              <w:jc w:val="center"/>
              <w:rPr>
                <w:rFonts w:ascii="宋体" w:hAnsi="宋体"/>
                <w:sz w:val="24"/>
                <w:lang w:val="zh-CN"/>
              </w:rPr>
            </w:pPr>
            <w:r>
              <w:rPr>
                <w:rFonts w:hint="eastAsia" w:ascii="宋体" w:hAnsi="宋体"/>
                <w:sz w:val="24"/>
                <w:lang w:val="zh-CN"/>
              </w:rPr>
              <w:t>2</w:t>
            </w:r>
          </w:p>
        </w:tc>
        <w:tc>
          <w:tcPr>
            <w:tcW w:w="1515" w:type="dxa"/>
            <w:vAlign w:val="center"/>
          </w:tcPr>
          <w:p w14:paraId="26E16D7B">
            <w:pPr>
              <w:jc w:val="center"/>
              <w:rPr>
                <w:rFonts w:ascii="宋体" w:hAnsi="宋体"/>
                <w:sz w:val="24"/>
                <w:lang w:val="zh-CN"/>
              </w:rPr>
            </w:pPr>
          </w:p>
        </w:tc>
        <w:tc>
          <w:tcPr>
            <w:tcW w:w="1515" w:type="dxa"/>
            <w:vAlign w:val="center"/>
          </w:tcPr>
          <w:p w14:paraId="0146EBF9">
            <w:pPr>
              <w:jc w:val="center"/>
              <w:rPr>
                <w:rFonts w:ascii="宋体" w:hAnsi="宋体"/>
                <w:sz w:val="24"/>
                <w:lang w:val="zh-CN"/>
              </w:rPr>
            </w:pPr>
          </w:p>
        </w:tc>
        <w:tc>
          <w:tcPr>
            <w:tcW w:w="1512" w:type="dxa"/>
            <w:vAlign w:val="center"/>
          </w:tcPr>
          <w:p w14:paraId="3C3F881A">
            <w:pPr>
              <w:jc w:val="center"/>
              <w:rPr>
                <w:rFonts w:ascii="宋体" w:hAnsi="宋体"/>
                <w:sz w:val="24"/>
                <w:lang w:val="zh-CN"/>
              </w:rPr>
            </w:pPr>
          </w:p>
        </w:tc>
        <w:tc>
          <w:tcPr>
            <w:tcW w:w="1512" w:type="dxa"/>
            <w:vAlign w:val="center"/>
          </w:tcPr>
          <w:p w14:paraId="73A17260">
            <w:pPr>
              <w:jc w:val="center"/>
              <w:rPr>
                <w:rFonts w:ascii="宋体" w:hAnsi="宋体"/>
                <w:sz w:val="24"/>
                <w:lang w:val="zh-CN"/>
              </w:rPr>
            </w:pPr>
          </w:p>
        </w:tc>
        <w:tc>
          <w:tcPr>
            <w:tcW w:w="1508" w:type="dxa"/>
            <w:vAlign w:val="center"/>
          </w:tcPr>
          <w:p w14:paraId="27BD9A98">
            <w:pPr>
              <w:jc w:val="center"/>
              <w:rPr>
                <w:rFonts w:ascii="宋体" w:hAnsi="宋体"/>
                <w:sz w:val="24"/>
                <w:lang w:val="zh-CN"/>
              </w:rPr>
            </w:pPr>
          </w:p>
        </w:tc>
      </w:tr>
      <w:tr w14:paraId="1A04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411F22AD">
            <w:pPr>
              <w:jc w:val="center"/>
              <w:rPr>
                <w:rFonts w:ascii="宋体" w:hAnsi="宋体"/>
                <w:sz w:val="24"/>
                <w:lang w:val="zh-CN"/>
              </w:rPr>
            </w:pPr>
            <w:r>
              <w:rPr>
                <w:rFonts w:ascii="宋体" w:hAnsi="宋体"/>
                <w:sz w:val="24"/>
                <w:lang w:val="zh-CN"/>
              </w:rPr>
              <w:t>3</w:t>
            </w:r>
          </w:p>
        </w:tc>
        <w:tc>
          <w:tcPr>
            <w:tcW w:w="1515" w:type="dxa"/>
            <w:vAlign w:val="center"/>
          </w:tcPr>
          <w:p w14:paraId="3B668031">
            <w:pPr>
              <w:jc w:val="center"/>
              <w:rPr>
                <w:rFonts w:ascii="宋体" w:hAnsi="宋体"/>
                <w:sz w:val="24"/>
                <w:lang w:val="zh-CN"/>
              </w:rPr>
            </w:pPr>
          </w:p>
        </w:tc>
        <w:tc>
          <w:tcPr>
            <w:tcW w:w="1515" w:type="dxa"/>
            <w:vAlign w:val="center"/>
          </w:tcPr>
          <w:p w14:paraId="7F086A21">
            <w:pPr>
              <w:jc w:val="center"/>
              <w:rPr>
                <w:rFonts w:ascii="宋体" w:hAnsi="宋体"/>
                <w:sz w:val="24"/>
                <w:lang w:val="zh-CN"/>
              </w:rPr>
            </w:pPr>
          </w:p>
        </w:tc>
        <w:tc>
          <w:tcPr>
            <w:tcW w:w="1512" w:type="dxa"/>
            <w:vAlign w:val="center"/>
          </w:tcPr>
          <w:p w14:paraId="49454D30">
            <w:pPr>
              <w:jc w:val="center"/>
              <w:rPr>
                <w:rFonts w:ascii="宋体" w:hAnsi="宋体"/>
                <w:sz w:val="24"/>
                <w:lang w:val="zh-CN"/>
              </w:rPr>
            </w:pPr>
          </w:p>
        </w:tc>
        <w:tc>
          <w:tcPr>
            <w:tcW w:w="1512" w:type="dxa"/>
            <w:vAlign w:val="center"/>
          </w:tcPr>
          <w:p w14:paraId="4BA87D93">
            <w:pPr>
              <w:jc w:val="center"/>
              <w:rPr>
                <w:rFonts w:ascii="宋体" w:hAnsi="宋体"/>
                <w:sz w:val="24"/>
                <w:lang w:val="zh-CN"/>
              </w:rPr>
            </w:pPr>
          </w:p>
        </w:tc>
        <w:tc>
          <w:tcPr>
            <w:tcW w:w="1508" w:type="dxa"/>
            <w:vAlign w:val="center"/>
          </w:tcPr>
          <w:p w14:paraId="7826813A">
            <w:pPr>
              <w:jc w:val="center"/>
              <w:rPr>
                <w:rFonts w:ascii="宋体" w:hAnsi="宋体"/>
                <w:sz w:val="24"/>
                <w:lang w:val="zh-CN"/>
              </w:rPr>
            </w:pPr>
          </w:p>
        </w:tc>
      </w:tr>
      <w:tr w14:paraId="2BF9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7576141E">
            <w:pPr>
              <w:jc w:val="center"/>
              <w:rPr>
                <w:rFonts w:ascii="宋体" w:hAnsi="宋体"/>
                <w:sz w:val="24"/>
                <w:lang w:val="zh-CN"/>
              </w:rPr>
            </w:pPr>
            <w:r>
              <w:rPr>
                <w:rFonts w:hint="eastAsia" w:ascii="宋体" w:hAnsi="宋体"/>
                <w:sz w:val="24"/>
                <w:lang w:val="zh-CN"/>
              </w:rPr>
              <w:t>……</w:t>
            </w:r>
          </w:p>
        </w:tc>
        <w:tc>
          <w:tcPr>
            <w:tcW w:w="1515" w:type="dxa"/>
            <w:vAlign w:val="center"/>
          </w:tcPr>
          <w:p w14:paraId="544FA8A1">
            <w:pPr>
              <w:jc w:val="center"/>
              <w:rPr>
                <w:rFonts w:ascii="宋体" w:hAnsi="宋体"/>
                <w:sz w:val="24"/>
                <w:lang w:val="zh-CN"/>
              </w:rPr>
            </w:pPr>
          </w:p>
        </w:tc>
        <w:tc>
          <w:tcPr>
            <w:tcW w:w="1515" w:type="dxa"/>
            <w:vAlign w:val="center"/>
          </w:tcPr>
          <w:p w14:paraId="7586C177">
            <w:pPr>
              <w:jc w:val="center"/>
              <w:rPr>
                <w:rFonts w:ascii="宋体" w:hAnsi="宋体"/>
                <w:sz w:val="24"/>
                <w:lang w:val="zh-CN"/>
              </w:rPr>
            </w:pPr>
          </w:p>
        </w:tc>
        <w:tc>
          <w:tcPr>
            <w:tcW w:w="1512" w:type="dxa"/>
            <w:vAlign w:val="center"/>
          </w:tcPr>
          <w:p w14:paraId="329BB1D3">
            <w:pPr>
              <w:jc w:val="center"/>
              <w:rPr>
                <w:rFonts w:ascii="宋体" w:hAnsi="宋体"/>
                <w:sz w:val="24"/>
                <w:lang w:val="zh-CN"/>
              </w:rPr>
            </w:pPr>
          </w:p>
        </w:tc>
        <w:tc>
          <w:tcPr>
            <w:tcW w:w="1512" w:type="dxa"/>
            <w:vAlign w:val="center"/>
          </w:tcPr>
          <w:p w14:paraId="1879B60B">
            <w:pPr>
              <w:jc w:val="center"/>
              <w:rPr>
                <w:rFonts w:ascii="宋体" w:hAnsi="宋体"/>
                <w:sz w:val="24"/>
                <w:lang w:val="zh-CN"/>
              </w:rPr>
            </w:pPr>
          </w:p>
        </w:tc>
        <w:tc>
          <w:tcPr>
            <w:tcW w:w="1508" w:type="dxa"/>
            <w:vAlign w:val="center"/>
          </w:tcPr>
          <w:p w14:paraId="2F90FDB1">
            <w:pPr>
              <w:jc w:val="center"/>
              <w:rPr>
                <w:rFonts w:ascii="宋体" w:hAnsi="宋体"/>
                <w:sz w:val="24"/>
                <w:lang w:val="zh-CN"/>
              </w:rPr>
            </w:pPr>
          </w:p>
        </w:tc>
      </w:tr>
    </w:tbl>
    <w:p w14:paraId="6D12F9BF">
      <w:pPr>
        <w:spacing w:line="360" w:lineRule="auto"/>
        <w:ind w:firstLine="437"/>
        <w:outlineLvl w:val="3"/>
        <w:rPr>
          <w:rFonts w:ascii="宋体" w:hAnsi="宋体"/>
          <w:b/>
          <w:bCs/>
          <w:sz w:val="24"/>
          <w:lang w:val="zh-CN"/>
        </w:rPr>
      </w:pPr>
      <w:bookmarkStart w:id="37" w:name="_Toc21551"/>
      <w:bookmarkStart w:id="38" w:name="_Toc23292"/>
      <w:bookmarkStart w:id="39" w:name="_Toc21631"/>
      <w:r>
        <w:rPr>
          <w:rFonts w:hint="eastAsia" w:ascii="宋体" w:hAnsi="宋体"/>
          <w:b/>
          <w:bCs/>
          <w:sz w:val="24"/>
          <w:lang w:val="zh-CN"/>
        </w:rPr>
        <w:t>1.</w:t>
      </w:r>
      <w:r>
        <w:rPr>
          <w:rFonts w:ascii="宋体" w:hAnsi="宋体"/>
          <w:b/>
          <w:bCs/>
          <w:sz w:val="24"/>
          <w:lang w:val="zh-CN"/>
        </w:rPr>
        <w:t xml:space="preserve">3 </w:t>
      </w:r>
      <w:r>
        <w:rPr>
          <w:rFonts w:hint="eastAsia" w:ascii="宋体" w:hAnsi="宋体"/>
          <w:b/>
          <w:bCs/>
          <w:sz w:val="24"/>
          <w:lang w:val="zh-CN"/>
        </w:rPr>
        <w:t>价款</w:t>
      </w:r>
      <w:bookmarkEnd w:id="37"/>
      <w:bookmarkEnd w:id="38"/>
      <w:bookmarkEnd w:id="39"/>
    </w:p>
    <w:p w14:paraId="2C66F77A">
      <w:pPr>
        <w:spacing w:line="360" w:lineRule="auto"/>
        <w:ind w:firstLine="435"/>
        <w:rPr>
          <w:rFonts w:ascii="宋体" w:hAnsi="宋体"/>
          <w:sz w:val="24"/>
        </w:rPr>
      </w:pPr>
      <w:r>
        <w:rPr>
          <w:rFonts w:ascii="宋体" w:hAnsi="宋体"/>
          <w:sz w:val="24"/>
        </w:rPr>
        <w:t>本合同总价为</w:t>
      </w:r>
      <w:r>
        <w:rPr>
          <w:rFonts w:hint="eastAsia" w:ascii="宋体" w:hAnsi="宋体"/>
          <w:sz w:val="24"/>
        </w:rPr>
        <w:t>：￥</w:t>
      </w:r>
      <w:r>
        <w:rPr>
          <w:rFonts w:hint="eastAsia" w:ascii="宋体" w:hAnsi="宋体"/>
          <w:sz w:val="24"/>
          <w:u w:val="single"/>
        </w:rPr>
        <w:t xml:space="preserve">           </w:t>
      </w:r>
      <w:r>
        <w:rPr>
          <w:rFonts w:ascii="宋体" w:hAnsi="宋体"/>
          <w:sz w:val="24"/>
        </w:rPr>
        <w:t>元</w:t>
      </w:r>
      <w:r>
        <w:rPr>
          <w:rFonts w:hint="eastAsia" w:ascii="宋体" w:hAnsi="宋体"/>
          <w:sz w:val="24"/>
        </w:rPr>
        <w:t>（大写：人民币</w:t>
      </w:r>
      <w:r>
        <w:rPr>
          <w:rFonts w:hint="eastAsia" w:ascii="宋体" w:hAnsi="宋体"/>
          <w:sz w:val="24"/>
          <w:u w:val="single"/>
        </w:rPr>
        <w:t xml:space="preserve">                 </w:t>
      </w:r>
      <w:r>
        <w:rPr>
          <w:rFonts w:hint="eastAsia" w:ascii="宋体" w:hAnsi="宋体"/>
          <w:sz w:val="24"/>
        </w:rPr>
        <w:t>元）</w:t>
      </w:r>
      <w:r>
        <w:rPr>
          <w:rFonts w:ascii="宋体" w:hAnsi="宋体"/>
          <w:sz w:val="24"/>
        </w:rPr>
        <w:t>。</w:t>
      </w:r>
    </w:p>
    <w:p w14:paraId="22C4A825">
      <w:pPr>
        <w:spacing w:line="360" w:lineRule="auto"/>
        <w:ind w:firstLine="435"/>
        <w:rPr>
          <w:rFonts w:ascii="宋体" w:hAnsi="宋体"/>
          <w:sz w:val="24"/>
          <w:u w:val="single"/>
        </w:rPr>
      </w:pPr>
      <w:r>
        <w:rPr>
          <w:rFonts w:ascii="宋体" w:hAnsi="宋体"/>
          <w:sz w:val="24"/>
        </w:rPr>
        <w:t>分项价格：</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5D10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48BF8A3F">
            <w:pPr>
              <w:jc w:val="center"/>
              <w:rPr>
                <w:rFonts w:ascii="宋体" w:hAnsi="宋体"/>
                <w:sz w:val="24"/>
                <w:lang w:val="zh-CN"/>
              </w:rPr>
            </w:pPr>
            <w:r>
              <w:rPr>
                <w:rFonts w:ascii="宋体" w:hAnsi="宋体"/>
                <w:sz w:val="24"/>
                <w:lang w:val="zh-CN"/>
              </w:rPr>
              <w:t>序号</w:t>
            </w:r>
          </w:p>
        </w:tc>
        <w:tc>
          <w:tcPr>
            <w:tcW w:w="4316" w:type="dxa"/>
            <w:vAlign w:val="center"/>
          </w:tcPr>
          <w:p w14:paraId="05562FF2">
            <w:pPr>
              <w:pStyle w:val="95"/>
              <w:ind w:firstLine="200"/>
              <w:jc w:val="center"/>
              <w:rPr>
                <w:rFonts w:ascii="宋体" w:hAnsi="宋体" w:eastAsia="宋体"/>
                <w:sz w:val="24"/>
                <w:szCs w:val="24"/>
              </w:rPr>
            </w:pPr>
            <w:r>
              <w:rPr>
                <w:rFonts w:hint="eastAsia" w:ascii="宋体" w:hAnsi="宋体" w:eastAsia="宋体"/>
                <w:sz w:val="24"/>
                <w:szCs w:val="24"/>
              </w:rPr>
              <w:t>分项名称</w:t>
            </w:r>
          </w:p>
        </w:tc>
        <w:tc>
          <w:tcPr>
            <w:tcW w:w="3237" w:type="dxa"/>
            <w:gridSpan w:val="2"/>
            <w:vAlign w:val="center"/>
          </w:tcPr>
          <w:p w14:paraId="37540285">
            <w:pPr>
              <w:pStyle w:val="95"/>
              <w:jc w:val="center"/>
              <w:rPr>
                <w:rFonts w:ascii="宋体" w:hAnsi="宋体" w:eastAsia="宋体"/>
                <w:sz w:val="24"/>
                <w:szCs w:val="24"/>
              </w:rPr>
            </w:pPr>
            <w:r>
              <w:rPr>
                <w:rFonts w:ascii="宋体" w:hAnsi="宋体" w:eastAsia="宋体"/>
                <w:sz w:val="24"/>
                <w:szCs w:val="24"/>
              </w:rPr>
              <w:t>分项价格</w:t>
            </w:r>
          </w:p>
        </w:tc>
      </w:tr>
      <w:tr w14:paraId="67FD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7AE15CC6">
            <w:pPr>
              <w:jc w:val="center"/>
              <w:rPr>
                <w:rFonts w:ascii="宋体" w:hAnsi="宋体"/>
                <w:sz w:val="24"/>
                <w:lang w:val="zh-CN"/>
              </w:rPr>
            </w:pPr>
            <w:r>
              <w:rPr>
                <w:rFonts w:hint="eastAsia" w:ascii="宋体" w:hAnsi="宋体"/>
                <w:sz w:val="24"/>
                <w:lang w:val="zh-CN"/>
              </w:rPr>
              <w:t>1</w:t>
            </w:r>
          </w:p>
        </w:tc>
        <w:tc>
          <w:tcPr>
            <w:tcW w:w="4316" w:type="dxa"/>
            <w:vAlign w:val="center"/>
          </w:tcPr>
          <w:p w14:paraId="58247F40">
            <w:pPr>
              <w:pStyle w:val="95"/>
              <w:ind w:firstLine="200"/>
              <w:jc w:val="center"/>
              <w:rPr>
                <w:rFonts w:ascii="宋体" w:hAnsi="宋体" w:eastAsia="宋体"/>
                <w:sz w:val="24"/>
                <w:szCs w:val="24"/>
              </w:rPr>
            </w:pPr>
          </w:p>
        </w:tc>
        <w:tc>
          <w:tcPr>
            <w:tcW w:w="3237" w:type="dxa"/>
            <w:gridSpan w:val="2"/>
            <w:vAlign w:val="center"/>
          </w:tcPr>
          <w:p w14:paraId="098F77CB">
            <w:pPr>
              <w:pStyle w:val="95"/>
              <w:ind w:firstLine="200"/>
              <w:jc w:val="center"/>
              <w:rPr>
                <w:rFonts w:ascii="宋体" w:hAnsi="宋体" w:eastAsia="宋体"/>
                <w:sz w:val="24"/>
                <w:szCs w:val="24"/>
              </w:rPr>
            </w:pPr>
          </w:p>
        </w:tc>
      </w:tr>
      <w:tr w14:paraId="05F6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442D680">
            <w:pPr>
              <w:jc w:val="center"/>
              <w:rPr>
                <w:rFonts w:ascii="宋体" w:hAnsi="宋体"/>
                <w:sz w:val="24"/>
                <w:lang w:val="zh-CN"/>
              </w:rPr>
            </w:pPr>
            <w:r>
              <w:rPr>
                <w:rFonts w:hint="eastAsia" w:ascii="宋体" w:hAnsi="宋体"/>
                <w:sz w:val="24"/>
                <w:lang w:val="zh-CN"/>
              </w:rPr>
              <w:t>2</w:t>
            </w:r>
          </w:p>
        </w:tc>
        <w:tc>
          <w:tcPr>
            <w:tcW w:w="4316" w:type="dxa"/>
            <w:vAlign w:val="center"/>
          </w:tcPr>
          <w:p w14:paraId="131A4CE8">
            <w:pPr>
              <w:pStyle w:val="95"/>
              <w:ind w:firstLine="200"/>
              <w:jc w:val="center"/>
              <w:rPr>
                <w:rFonts w:ascii="宋体" w:hAnsi="宋体" w:eastAsia="宋体"/>
                <w:sz w:val="24"/>
                <w:szCs w:val="24"/>
              </w:rPr>
            </w:pPr>
          </w:p>
        </w:tc>
        <w:tc>
          <w:tcPr>
            <w:tcW w:w="3237" w:type="dxa"/>
            <w:gridSpan w:val="2"/>
            <w:vAlign w:val="center"/>
          </w:tcPr>
          <w:p w14:paraId="0C899CA2">
            <w:pPr>
              <w:pStyle w:val="95"/>
              <w:ind w:firstLine="200"/>
              <w:jc w:val="center"/>
              <w:rPr>
                <w:rFonts w:ascii="宋体" w:hAnsi="宋体" w:eastAsia="宋体"/>
                <w:sz w:val="24"/>
                <w:szCs w:val="24"/>
              </w:rPr>
            </w:pPr>
          </w:p>
        </w:tc>
      </w:tr>
      <w:tr w14:paraId="6857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7BCEDAC2">
            <w:pPr>
              <w:jc w:val="center"/>
              <w:rPr>
                <w:rFonts w:ascii="宋体" w:hAnsi="宋体"/>
                <w:sz w:val="24"/>
                <w:lang w:val="zh-CN"/>
              </w:rPr>
            </w:pPr>
            <w:r>
              <w:rPr>
                <w:rFonts w:ascii="宋体" w:hAnsi="宋体"/>
                <w:sz w:val="24"/>
                <w:lang w:val="zh-CN"/>
              </w:rPr>
              <w:t>3</w:t>
            </w:r>
          </w:p>
        </w:tc>
        <w:tc>
          <w:tcPr>
            <w:tcW w:w="4316" w:type="dxa"/>
            <w:vAlign w:val="center"/>
          </w:tcPr>
          <w:p w14:paraId="246FC6AC">
            <w:pPr>
              <w:pStyle w:val="95"/>
              <w:ind w:firstLine="200"/>
              <w:jc w:val="center"/>
              <w:rPr>
                <w:rFonts w:ascii="宋体" w:hAnsi="宋体" w:eastAsia="宋体"/>
                <w:sz w:val="24"/>
                <w:szCs w:val="24"/>
              </w:rPr>
            </w:pPr>
          </w:p>
        </w:tc>
        <w:tc>
          <w:tcPr>
            <w:tcW w:w="3237" w:type="dxa"/>
            <w:gridSpan w:val="2"/>
            <w:vAlign w:val="center"/>
          </w:tcPr>
          <w:p w14:paraId="491EE074">
            <w:pPr>
              <w:pStyle w:val="95"/>
              <w:ind w:firstLine="200"/>
              <w:jc w:val="center"/>
              <w:rPr>
                <w:rFonts w:ascii="宋体" w:hAnsi="宋体" w:eastAsia="宋体"/>
                <w:sz w:val="24"/>
                <w:szCs w:val="24"/>
              </w:rPr>
            </w:pPr>
          </w:p>
        </w:tc>
      </w:tr>
      <w:tr w14:paraId="3197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1E15CBD">
            <w:pPr>
              <w:jc w:val="center"/>
              <w:rPr>
                <w:rFonts w:ascii="宋体" w:hAnsi="宋体"/>
                <w:sz w:val="24"/>
                <w:lang w:val="zh-CN"/>
              </w:rPr>
            </w:pPr>
            <w:r>
              <w:rPr>
                <w:rFonts w:hint="eastAsia" w:ascii="宋体" w:hAnsi="宋体"/>
                <w:sz w:val="24"/>
                <w:lang w:val="zh-CN"/>
              </w:rPr>
              <w:t>……</w:t>
            </w:r>
          </w:p>
        </w:tc>
        <w:tc>
          <w:tcPr>
            <w:tcW w:w="4316" w:type="dxa"/>
            <w:vAlign w:val="center"/>
          </w:tcPr>
          <w:p w14:paraId="3D5541D2">
            <w:pPr>
              <w:pStyle w:val="95"/>
              <w:ind w:firstLine="200"/>
              <w:jc w:val="center"/>
              <w:rPr>
                <w:rFonts w:ascii="宋体" w:hAnsi="宋体" w:eastAsia="宋体"/>
                <w:sz w:val="24"/>
                <w:szCs w:val="24"/>
              </w:rPr>
            </w:pPr>
          </w:p>
        </w:tc>
        <w:tc>
          <w:tcPr>
            <w:tcW w:w="3237" w:type="dxa"/>
            <w:gridSpan w:val="2"/>
            <w:vAlign w:val="center"/>
          </w:tcPr>
          <w:p w14:paraId="197D0637">
            <w:pPr>
              <w:pStyle w:val="95"/>
              <w:ind w:firstLine="200"/>
              <w:jc w:val="center"/>
              <w:rPr>
                <w:rFonts w:ascii="宋体" w:hAnsi="宋体" w:eastAsia="宋体"/>
                <w:sz w:val="24"/>
                <w:szCs w:val="24"/>
              </w:rPr>
            </w:pPr>
          </w:p>
        </w:tc>
      </w:tr>
      <w:tr w14:paraId="2B83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7F3FB6D6">
            <w:pPr>
              <w:pStyle w:val="95"/>
              <w:ind w:firstLine="200"/>
              <w:jc w:val="center"/>
              <w:rPr>
                <w:rFonts w:ascii="宋体" w:hAnsi="宋体" w:eastAsia="宋体"/>
                <w:sz w:val="24"/>
                <w:szCs w:val="24"/>
              </w:rPr>
            </w:pPr>
            <w:r>
              <w:rPr>
                <w:rFonts w:hint="eastAsia" w:ascii="宋体" w:hAnsi="宋体" w:eastAsia="宋体"/>
                <w:sz w:val="24"/>
                <w:szCs w:val="24"/>
              </w:rPr>
              <w:t>总价</w:t>
            </w:r>
          </w:p>
        </w:tc>
        <w:tc>
          <w:tcPr>
            <w:tcW w:w="3237" w:type="dxa"/>
            <w:gridSpan w:val="2"/>
            <w:vAlign w:val="center"/>
          </w:tcPr>
          <w:p w14:paraId="209F1BCB">
            <w:pPr>
              <w:pStyle w:val="95"/>
              <w:ind w:firstLine="200"/>
              <w:jc w:val="center"/>
              <w:rPr>
                <w:rFonts w:ascii="宋体" w:hAnsi="宋体" w:eastAsia="宋体"/>
                <w:sz w:val="24"/>
                <w:szCs w:val="24"/>
              </w:rPr>
            </w:pPr>
          </w:p>
        </w:tc>
      </w:tr>
    </w:tbl>
    <w:p w14:paraId="5219FC21">
      <w:pPr>
        <w:spacing w:line="360" w:lineRule="auto"/>
        <w:ind w:firstLine="437"/>
        <w:outlineLvl w:val="3"/>
        <w:rPr>
          <w:rFonts w:ascii="宋体" w:hAnsi="宋体"/>
          <w:b/>
          <w:bCs/>
          <w:sz w:val="24"/>
          <w:lang w:val="zh-CN"/>
        </w:rPr>
      </w:pPr>
      <w:bookmarkStart w:id="40" w:name="_Toc1814"/>
      <w:bookmarkStart w:id="41" w:name="_Toc10340"/>
      <w:bookmarkStart w:id="42" w:name="_Toc22618"/>
      <w:r>
        <w:rPr>
          <w:rFonts w:hint="eastAsia" w:ascii="宋体" w:hAnsi="宋体"/>
          <w:b/>
          <w:bCs/>
          <w:sz w:val="24"/>
          <w:lang w:val="zh-CN"/>
        </w:rPr>
        <w:t>1.</w:t>
      </w:r>
      <w:r>
        <w:rPr>
          <w:rFonts w:ascii="宋体" w:hAnsi="宋体"/>
          <w:b/>
          <w:bCs/>
          <w:sz w:val="24"/>
          <w:lang w:val="zh-CN"/>
        </w:rPr>
        <w:t>4 付款和发票</w:t>
      </w:r>
      <w:bookmarkEnd w:id="40"/>
      <w:bookmarkEnd w:id="41"/>
      <w:bookmarkEnd w:id="42"/>
    </w:p>
    <w:p w14:paraId="6CC0D10A">
      <w:pPr>
        <w:spacing w:line="360" w:lineRule="auto"/>
        <w:ind w:firstLine="435"/>
        <w:rPr>
          <w:rFonts w:ascii="宋体" w:hAnsi="宋体"/>
          <w:sz w:val="24"/>
        </w:rPr>
      </w:pPr>
      <w:r>
        <w:rPr>
          <w:rFonts w:hint="eastAsia" w:ascii="宋体" w:hAnsi="宋体"/>
          <w:sz w:val="24"/>
        </w:rPr>
        <w:t>1.4.1付款方式：</w:t>
      </w:r>
      <w:r>
        <w:rPr>
          <w:rFonts w:hint="eastAsia" w:ascii="宋体" w:hAnsi="宋体"/>
          <w:sz w:val="24"/>
          <w:u w:val="single"/>
        </w:rPr>
        <w:t xml:space="preserve">                                     </w:t>
      </w:r>
      <w:r>
        <w:rPr>
          <w:rFonts w:hint="eastAsia" w:ascii="宋体" w:hAnsi="宋体"/>
          <w:sz w:val="24"/>
        </w:rPr>
        <w:t>；</w:t>
      </w:r>
    </w:p>
    <w:p w14:paraId="76905BF4">
      <w:pPr>
        <w:spacing w:line="360" w:lineRule="auto"/>
        <w:ind w:firstLine="435"/>
        <w:rPr>
          <w:rFonts w:ascii="宋体" w:hAnsi="宋体"/>
          <w:sz w:val="24"/>
        </w:rPr>
      </w:pPr>
      <w:r>
        <w:rPr>
          <w:rFonts w:hint="eastAsia" w:ascii="宋体" w:hAnsi="宋体"/>
          <w:sz w:val="24"/>
        </w:rPr>
        <w:t>1.4.2发票类型：</w:t>
      </w:r>
      <w:r>
        <w:rPr>
          <w:rFonts w:hint="eastAsia" w:ascii="宋体" w:hAnsi="宋体"/>
          <w:sz w:val="24"/>
          <w:u w:val="single"/>
        </w:rPr>
        <w:t xml:space="preserve">增值税专用发票                      </w:t>
      </w:r>
      <w:r>
        <w:rPr>
          <w:rFonts w:hint="eastAsia" w:ascii="宋体" w:hAnsi="宋体"/>
          <w:sz w:val="24"/>
        </w:rPr>
        <w:t>；</w:t>
      </w:r>
    </w:p>
    <w:p w14:paraId="41B303E9">
      <w:pPr>
        <w:spacing w:line="360" w:lineRule="auto"/>
        <w:ind w:firstLine="435"/>
        <w:rPr>
          <w:rFonts w:ascii="宋体" w:hAnsi="宋体"/>
          <w:sz w:val="24"/>
        </w:rPr>
      </w:pPr>
      <w:r>
        <w:rPr>
          <w:rFonts w:hint="eastAsia" w:ascii="宋体" w:hAnsi="宋体"/>
          <w:sz w:val="24"/>
        </w:rPr>
        <w:t>1.4.3发票开具方式：</w:t>
      </w:r>
      <w:r>
        <w:rPr>
          <w:rFonts w:hint="eastAsia" w:ascii="宋体" w:hAnsi="宋体"/>
          <w:sz w:val="24"/>
          <w:u w:val="single"/>
        </w:rPr>
        <w:t xml:space="preserve">                                </w:t>
      </w:r>
      <w:r>
        <w:rPr>
          <w:rFonts w:hint="eastAsia" w:ascii="宋体" w:hAnsi="宋体"/>
          <w:sz w:val="24"/>
        </w:rPr>
        <w:t>。</w:t>
      </w:r>
    </w:p>
    <w:p w14:paraId="1BECEFC7">
      <w:pPr>
        <w:spacing w:line="360" w:lineRule="auto"/>
        <w:ind w:firstLine="437"/>
        <w:outlineLvl w:val="3"/>
        <w:rPr>
          <w:rFonts w:ascii="宋体" w:hAnsi="宋体"/>
          <w:b/>
          <w:bCs/>
          <w:sz w:val="24"/>
          <w:lang w:val="zh-CN"/>
        </w:rPr>
      </w:pPr>
      <w:bookmarkStart w:id="43" w:name="_Toc2846"/>
      <w:bookmarkStart w:id="44" w:name="_Toc19304"/>
      <w:bookmarkStart w:id="45" w:name="_Toc32071"/>
      <w:r>
        <w:rPr>
          <w:rFonts w:hint="eastAsia" w:ascii="宋体" w:hAnsi="宋体"/>
          <w:b/>
          <w:bCs/>
          <w:sz w:val="24"/>
          <w:lang w:val="zh-CN"/>
        </w:rPr>
        <w:t>1.</w:t>
      </w:r>
      <w:r>
        <w:rPr>
          <w:rFonts w:ascii="宋体" w:hAnsi="宋体"/>
          <w:b/>
          <w:bCs/>
          <w:sz w:val="24"/>
          <w:lang w:val="zh-CN"/>
        </w:rPr>
        <w:t>5 货物交付期限</w:t>
      </w:r>
      <w:r>
        <w:rPr>
          <w:rFonts w:hint="eastAsia" w:ascii="宋体" w:hAnsi="宋体"/>
          <w:b/>
          <w:bCs/>
          <w:sz w:val="24"/>
          <w:lang w:val="zh-CN"/>
        </w:rPr>
        <w:t>、地点和方式</w:t>
      </w:r>
      <w:bookmarkEnd w:id="43"/>
      <w:bookmarkEnd w:id="44"/>
      <w:bookmarkEnd w:id="45"/>
    </w:p>
    <w:p w14:paraId="075F2298">
      <w:pPr>
        <w:spacing w:line="360" w:lineRule="auto"/>
        <w:ind w:firstLine="435"/>
        <w:rPr>
          <w:rFonts w:ascii="宋体" w:hAnsi="宋体"/>
          <w:sz w:val="24"/>
          <w:u w:val="single"/>
        </w:rPr>
      </w:pPr>
      <w:r>
        <w:rPr>
          <w:rFonts w:hint="eastAsia" w:ascii="宋体" w:hAnsi="宋体"/>
          <w:sz w:val="24"/>
        </w:rPr>
        <w:t>1.5.1交付期限</w:t>
      </w:r>
      <w:r>
        <w:rPr>
          <w:rFonts w:ascii="宋体" w:hAnsi="宋体"/>
          <w:sz w:val="24"/>
        </w:rPr>
        <w:t>：</w:t>
      </w:r>
      <w:r>
        <w:rPr>
          <w:rFonts w:hint="eastAsia" w:ascii="宋体" w:hAnsi="宋体"/>
          <w:sz w:val="24"/>
          <w:u w:val="single"/>
        </w:rPr>
        <w:t xml:space="preserve">                                                </w:t>
      </w:r>
      <w:r>
        <w:rPr>
          <w:rFonts w:hint="eastAsia" w:ascii="宋体" w:hAnsi="宋体"/>
          <w:sz w:val="24"/>
        </w:rPr>
        <w:t>；</w:t>
      </w:r>
    </w:p>
    <w:p w14:paraId="4EAC22C4">
      <w:pPr>
        <w:spacing w:line="360" w:lineRule="auto"/>
        <w:ind w:firstLine="435"/>
        <w:rPr>
          <w:rFonts w:ascii="宋体" w:hAnsi="宋体"/>
          <w:sz w:val="24"/>
        </w:rPr>
      </w:pPr>
      <w:r>
        <w:rPr>
          <w:rFonts w:hint="eastAsia" w:ascii="宋体" w:hAnsi="宋体"/>
          <w:sz w:val="24"/>
        </w:rPr>
        <w:t>1.5.2交付地点</w:t>
      </w:r>
      <w:r>
        <w:rPr>
          <w:rFonts w:ascii="宋体" w:hAnsi="宋体"/>
          <w:sz w:val="24"/>
        </w:rPr>
        <w:t>：</w:t>
      </w:r>
      <w:r>
        <w:rPr>
          <w:rFonts w:hint="eastAsia" w:ascii="宋体" w:hAnsi="宋体"/>
          <w:sz w:val="24"/>
          <w:u w:val="single"/>
        </w:rPr>
        <w:t xml:space="preserve">                                                </w:t>
      </w:r>
      <w:r>
        <w:rPr>
          <w:rFonts w:hint="eastAsia" w:ascii="宋体" w:hAnsi="宋体"/>
          <w:sz w:val="24"/>
        </w:rPr>
        <w:t>；</w:t>
      </w:r>
    </w:p>
    <w:p w14:paraId="4684FF66">
      <w:pPr>
        <w:spacing w:line="360" w:lineRule="auto"/>
        <w:ind w:firstLine="435"/>
        <w:rPr>
          <w:rFonts w:ascii="宋体" w:hAnsi="宋体"/>
          <w:sz w:val="24"/>
        </w:rPr>
      </w:pPr>
      <w:r>
        <w:rPr>
          <w:rFonts w:hint="eastAsia" w:ascii="宋体" w:hAnsi="宋体"/>
          <w:sz w:val="24"/>
        </w:rPr>
        <w:t>1.5.3交付方式：</w:t>
      </w:r>
      <w:r>
        <w:rPr>
          <w:rFonts w:hint="eastAsia" w:ascii="宋体" w:hAnsi="宋体"/>
          <w:sz w:val="24"/>
          <w:u w:val="single"/>
        </w:rPr>
        <w:t xml:space="preserve">                                                </w:t>
      </w:r>
      <w:r>
        <w:rPr>
          <w:rFonts w:hint="eastAsia" w:ascii="宋体" w:hAnsi="宋体"/>
          <w:sz w:val="24"/>
        </w:rPr>
        <w:t>。</w:t>
      </w:r>
    </w:p>
    <w:p w14:paraId="338A70C2">
      <w:pPr>
        <w:spacing w:line="360" w:lineRule="auto"/>
        <w:ind w:firstLine="437"/>
        <w:outlineLvl w:val="3"/>
        <w:rPr>
          <w:rFonts w:ascii="宋体" w:hAnsi="宋体"/>
          <w:b/>
          <w:bCs/>
          <w:sz w:val="24"/>
          <w:lang w:val="zh-CN"/>
        </w:rPr>
      </w:pPr>
      <w:bookmarkStart w:id="46" w:name="_Toc21423"/>
      <w:bookmarkStart w:id="47" w:name="_Toc19554"/>
      <w:bookmarkStart w:id="48" w:name="_Toc27250"/>
      <w:r>
        <w:rPr>
          <w:rFonts w:hint="eastAsia" w:ascii="宋体" w:hAnsi="宋体"/>
          <w:b/>
          <w:bCs/>
          <w:sz w:val="24"/>
          <w:lang w:val="zh-CN"/>
        </w:rPr>
        <w:t>1.6 违约责任</w:t>
      </w:r>
      <w:bookmarkEnd w:id="46"/>
      <w:bookmarkEnd w:id="47"/>
      <w:bookmarkEnd w:id="48"/>
    </w:p>
    <w:p w14:paraId="03E14CE7">
      <w:pPr>
        <w:spacing w:line="360" w:lineRule="auto"/>
        <w:ind w:firstLine="435"/>
        <w:rPr>
          <w:rFonts w:ascii="宋体" w:hAnsi="宋体"/>
          <w:sz w:val="24"/>
        </w:rPr>
      </w:pPr>
      <w:r>
        <w:rPr>
          <w:rFonts w:hint="eastAsia" w:ascii="宋体" w:hAnsi="宋体"/>
          <w:sz w:val="24"/>
        </w:rPr>
        <w:t>1.6.1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地点和方式交付货物，那么甲方可要求乙方支付违约金</w:t>
      </w:r>
      <w:r>
        <w:rPr>
          <w:rFonts w:hint="eastAsia" w:ascii="宋体" w:hAnsi="宋体"/>
          <w:sz w:val="24"/>
        </w:rPr>
        <w:t>，</w:t>
      </w:r>
      <w:r>
        <w:rPr>
          <w:rFonts w:ascii="宋体" w:hAnsi="宋体"/>
          <w:sz w:val="24"/>
        </w:rPr>
        <w:t>违约金按每迟延交付货物一日的应交付而未交付货物价格的</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ascii="宋体" w:hAnsi="宋体"/>
          <w:sz w:val="24"/>
        </w:rPr>
        <w:t>%计算</w:t>
      </w:r>
      <w:r>
        <w:rPr>
          <w:rFonts w:hint="eastAsia" w:ascii="宋体" w:hAnsi="宋体"/>
          <w:sz w:val="24"/>
        </w:rPr>
        <w:t>，</w:t>
      </w:r>
      <w:r>
        <w:rPr>
          <w:rFonts w:ascii="宋体" w:hAnsi="宋体"/>
          <w:sz w:val="24"/>
        </w:rPr>
        <w:t>最高限额为</w:t>
      </w:r>
      <w:r>
        <w:rPr>
          <w:rFonts w:hint="eastAsia" w:ascii="宋体" w:hAnsi="宋体"/>
          <w:sz w:val="24"/>
        </w:rPr>
        <w:t>本</w:t>
      </w:r>
      <w:r>
        <w:rPr>
          <w:rFonts w:ascii="宋体" w:hAnsi="宋体"/>
          <w:sz w:val="24"/>
        </w:rPr>
        <w:t>合同总价的</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ascii="宋体" w:hAnsi="宋体"/>
          <w:sz w:val="24"/>
        </w:rPr>
        <w:t>%</w:t>
      </w:r>
      <w:r>
        <w:rPr>
          <w:rFonts w:hint="eastAsia" w:ascii="宋体" w:hAnsi="宋体"/>
          <w:sz w:val="24"/>
        </w:rPr>
        <w:t>；</w:t>
      </w:r>
      <w:r>
        <w:rPr>
          <w:rFonts w:ascii="宋体" w:hAnsi="宋体"/>
          <w:sz w:val="24"/>
        </w:rPr>
        <w:t>迟延交付货物的违约金计算数额达到前述最高限额之日起</w:t>
      </w:r>
      <w:r>
        <w:rPr>
          <w:rFonts w:hint="eastAsia" w:ascii="宋体" w:hAnsi="宋体"/>
          <w:sz w:val="24"/>
        </w:rPr>
        <w:t>，</w:t>
      </w:r>
      <w:r>
        <w:rPr>
          <w:rFonts w:ascii="宋体" w:hAnsi="宋体"/>
          <w:sz w:val="24"/>
        </w:rPr>
        <w:t>甲方有权在要求乙方支付违约金的同时</w:t>
      </w:r>
      <w:r>
        <w:rPr>
          <w:rFonts w:hint="eastAsia" w:ascii="宋体" w:hAnsi="宋体"/>
          <w:sz w:val="24"/>
        </w:rPr>
        <w:t>，书面通知乙方</w:t>
      </w:r>
      <w:r>
        <w:rPr>
          <w:rFonts w:ascii="宋体" w:hAnsi="宋体"/>
          <w:sz w:val="24"/>
        </w:rPr>
        <w:t>解除本合同</w:t>
      </w:r>
      <w:r>
        <w:rPr>
          <w:rFonts w:hint="eastAsia" w:ascii="宋体" w:hAnsi="宋体"/>
          <w:sz w:val="24"/>
        </w:rPr>
        <w:t>；</w:t>
      </w:r>
    </w:p>
    <w:p w14:paraId="5E63F759">
      <w:pPr>
        <w:spacing w:line="360" w:lineRule="auto"/>
        <w:ind w:firstLine="435"/>
        <w:rPr>
          <w:rFonts w:ascii="宋体" w:hAnsi="宋体"/>
          <w:sz w:val="24"/>
        </w:rPr>
      </w:pPr>
      <w:r>
        <w:rPr>
          <w:rFonts w:hint="eastAsia" w:ascii="宋体" w:hAnsi="宋体"/>
          <w:sz w:val="24"/>
        </w:rPr>
        <w:t>1.6.2</w:t>
      </w:r>
      <w:r>
        <w:rPr>
          <w:rFonts w:ascii="宋体" w:hAnsi="宋体"/>
          <w:sz w:val="24"/>
        </w:rPr>
        <w:t>除不可抗力外，如果甲方没有按照本合同约定的付款方式付款，那么乙方可要求甲方支付违约金</w:t>
      </w:r>
      <w:r>
        <w:rPr>
          <w:rFonts w:hint="eastAsia" w:ascii="宋体" w:hAnsi="宋体"/>
          <w:sz w:val="24"/>
        </w:rPr>
        <w:t>，</w:t>
      </w:r>
      <w:r>
        <w:rPr>
          <w:rFonts w:ascii="宋体" w:hAnsi="宋体"/>
          <w:sz w:val="24"/>
        </w:rPr>
        <w:t>违约金按每迟延</w:t>
      </w:r>
      <w:r>
        <w:rPr>
          <w:rFonts w:hint="eastAsia" w:ascii="宋体" w:hAnsi="宋体"/>
          <w:sz w:val="24"/>
        </w:rPr>
        <w:t>付款</w:t>
      </w:r>
      <w:r>
        <w:rPr>
          <w:rFonts w:ascii="宋体" w:hAnsi="宋体"/>
          <w:sz w:val="24"/>
        </w:rPr>
        <w:t>一日的应付而未付款的</w:t>
      </w:r>
      <w:r>
        <w:rPr>
          <w:rFonts w:hint="eastAsia" w:ascii="宋体" w:hAnsi="宋体"/>
          <w:sz w:val="24"/>
          <w:u w:val="single"/>
        </w:rPr>
        <w:t xml:space="preserve"> </w:t>
      </w:r>
      <w:r>
        <w:rPr>
          <w:rFonts w:hint="eastAsia" w:ascii="宋体" w:hAnsi="宋体"/>
          <w:sz w:val="24"/>
          <w:u w:val="single"/>
          <w:lang w:val="en-US" w:eastAsia="zh-CN"/>
        </w:rPr>
        <w:t>0.4</w:t>
      </w:r>
      <w:r>
        <w:rPr>
          <w:rFonts w:hint="eastAsia" w:ascii="宋体" w:hAnsi="宋体"/>
          <w:sz w:val="24"/>
          <w:u w:val="single"/>
        </w:rPr>
        <w:t xml:space="preserve"> </w:t>
      </w:r>
      <w:r>
        <w:rPr>
          <w:rFonts w:ascii="宋体" w:hAnsi="宋体"/>
          <w:sz w:val="24"/>
        </w:rPr>
        <w:t>%计算</w:t>
      </w:r>
      <w:r>
        <w:rPr>
          <w:rFonts w:hint="eastAsia" w:ascii="宋体" w:hAnsi="宋体"/>
          <w:sz w:val="24"/>
        </w:rPr>
        <w:t>，</w:t>
      </w:r>
      <w:r>
        <w:rPr>
          <w:rFonts w:ascii="宋体" w:hAnsi="宋体"/>
          <w:sz w:val="24"/>
        </w:rPr>
        <w:t>最高限额为</w:t>
      </w:r>
      <w:r>
        <w:rPr>
          <w:rFonts w:hint="eastAsia" w:ascii="宋体" w:hAnsi="宋体"/>
          <w:sz w:val="24"/>
        </w:rPr>
        <w:t>本</w:t>
      </w:r>
      <w:r>
        <w:rPr>
          <w:rFonts w:ascii="宋体" w:hAnsi="宋体"/>
          <w:sz w:val="24"/>
        </w:rPr>
        <w:t>合同总价的</w:t>
      </w:r>
      <w:r>
        <w:rPr>
          <w:rFonts w:hint="eastAsia" w:ascii="宋体" w:hAnsi="宋体"/>
          <w:sz w:val="24"/>
          <w:u w:val="single"/>
        </w:rPr>
        <w:t xml:space="preserve"> </w:t>
      </w:r>
      <w:r>
        <w:rPr>
          <w:rFonts w:hint="eastAsia" w:ascii="宋体" w:hAnsi="宋体"/>
          <w:sz w:val="24"/>
          <w:u w:val="single"/>
          <w:lang w:val="en-US" w:eastAsia="zh-CN"/>
        </w:rPr>
        <w:t>2</w:t>
      </w:r>
      <w:r>
        <w:rPr>
          <w:rFonts w:hint="eastAsia" w:ascii="宋体" w:hAnsi="宋体"/>
          <w:sz w:val="24"/>
          <w:u w:val="single"/>
        </w:rPr>
        <w:t xml:space="preserve"> </w:t>
      </w:r>
      <w:r>
        <w:rPr>
          <w:rFonts w:ascii="宋体" w:hAnsi="宋体"/>
          <w:sz w:val="24"/>
        </w:rPr>
        <w:t>%</w:t>
      </w:r>
      <w:r>
        <w:rPr>
          <w:rFonts w:hint="eastAsia" w:ascii="宋体" w:hAnsi="宋体"/>
          <w:sz w:val="24"/>
        </w:rPr>
        <w:t>；</w:t>
      </w:r>
      <w:r>
        <w:rPr>
          <w:rFonts w:ascii="宋体" w:hAnsi="宋体"/>
          <w:sz w:val="24"/>
        </w:rPr>
        <w:t>迟延</w:t>
      </w:r>
      <w:r>
        <w:rPr>
          <w:rFonts w:hint="eastAsia" w:ascii="宋体" w:hAnsi="宋体"/>
          <w:sz w:val="24"/>
        </w:rPr>
        <w:t>付款</w:t>
      </w:r>
      <w:r>
        <w:rPr>
          <w:rFonts w:ascii="宋体" w:hAnsi="宋体"/>
          <w:sz w:val="24"/>
        </w:rPr>
        <w:t>的违约金计算数额达到前述最高限额之日起</w:t>
      </w:r>
      <w:r>
        <w:rPr>
          <w:rFonts w:hint="eastAsia" w:ascii="宋体" w:hAnsi="宋体"/>
          <w:sz w:val="24"/>
        </w:rPr>
        <w:t>，乙</w:t>
      </w:r>
      <w:r>
        <w:rPr>
          <w:rFonts w:ascii="宋体" w:hAnsi="宋体"/>
          <w:sz w:val="24"/>
        </w:rPr>
        <w:t>方有权在要求甲方支付违约金的同时</w:t>
      </w:r>
      <w:r>
        <w:rPr>
          <w:rFonts w:hint="eastAsia" w:ascii="宋体" w:hAnsi="宋体"/>
          <w:sz w:val="24"/>
        </w:rPr>
        <w:t>，书面通知甲方</w:t>
      </w:r>
      <w:r>
        <w:rPr>
          <w:rFonts w:ascii="宋体" w:hAnsi="宋体"/>
          <w:sz w:val="24"/>
        </w:rPr>
        <w:t>解除本合同</w:t>
      </w:r>
      <w:r>
        <w:rPr>
          <w:rFonts w:hint="eastAsia" w:ascii="宋体" w:hAnsi="宋体"/>
          <w:sz w:val="24"/>
        </w:rPr>
        <w:t>；</w:t>
      </w:r>
    </w:p>
    <w:p w14:paraId="5185EBD9">
      <w:pPr>
        <w:spacing w:line="360" w:lineRule="auto"/>
        <w:ind w:firstLine="435"/>
        <w:rPr>
          <w:rFonts w:ascii="宋体" w:hAnsi="宋体"/>
          <w:sz w:val="24"/>
        </w:rPr>
      </w:pPr>
      <w:r>
        <w:rPr>
          <w:rFonts w:hint="eastAsia" w:ascii="宋体" w:hAnsi="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8A33327">
      <w:pPr>
        <w:spacing w:line="360" w:lineRule="auto"/>
        <w:ind w:firstLine="435"/>
        <w:rPr>
          <w:rFonts w:ascii="宋体" w:hAnsi="宋体"/>
          <w:sz w:val="24"/>
        </w:rPr>
      </w:pPr>
      <w:r>
        <w:rPr>
          <w:rFonts w:hint="eastAsia" w:ascii="宋体" w:hAnsi="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C60EAD1">
      <w:pPr>
        <w:spacing w:line="360" w:lineRule="auto"/>
        <w:ind w:firstLine="435"/>
        <w:rPr>
          <w:rFonts w:ascii="宋体" w:hAnsi="宋体"/>
          <w:sz w:val="24"/>
        </w:rPr>
      </w:pPr>
      <w:r>
        <w:rPr>
          <w:rFonts w:hint="eastAsia" w:ascii="宋体" w:hAnsi="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A44BD52">
      <w:pPr>
        <w:spacing w:line="360" w:lineRule="auto"/>
        <w:ind w:firstLine="435"/>
        <w:rPr>
          <w:rFonts w:ascii="宋体" w:hAnsi="宋体"/>
          <w:sz w:val="24"/>
        </w:rPr>
      </w:pPr>
      <w:r>
        <w:rPr>
          <w:rFonts w:hint="eastAsia" w:ascii="宋体" w:hAnsi="宋体"/>
          <w:sz w:val="24"/>
        </w:rPr>
        <w:t>1.6.6如果出现招标投标监督管理部门在处理投诉事项期间，书面通知甲方暂停招标活动的情形，或者询问或异议事项可能影响中标结果的，导致甲方中止履行合同的情形，均不视为甲方违约。</w:t>
      </w:r>
    </w:p>
    <w:p w14:paraId="60DA517A">
      <w:pPr>
        <w:spacing w:line="360" w:lineRule="auto"/>
        <w:ind w:firstLine="437"/>
        <w:outlineLvl w:val="3"/>
        <w:rPr>
          <w:rFonts w:ascii="宋体" w:hAnsi="宋体"/>
          <w:b/>
          <w:bCs/>
          <w:sz w:val="24"/>
          <w:lang w:val="zh-CN"/>
        </w:rPr>
      </w:pPr>
      <w:bookmarkStart w:id="49" w:name="_Toc15583"/>
      <w:bookmarkStart w:id="50" w:name="_Toc28375"/>
      <w:bookmarkStart w:id="51" w:name="_Toc16021"/>
      <w:r>
        <w:rPr>
          <w:rFonts w:hint="eastAsia" w:ascii="宋体" w:hAnsi="宋体"/>
          <w:b/>
          <w:bCs/>
          <w:sz w:val="24"/>
          <w:lang w:val="zh-CN"/>
        </w:rPr>
        <w:t>1.7</w:t>
      </w:r>
      <w:r>
        <w:rPr>
          <w:rFonts w:ascii="宋体" w:hAnsi="宋体"/>
          <w:b/>
          <w:bCs/>
          <w:sz w:val="24"/>
          <w:lang w:val="zh-CN"/>
        </w:rPr>
        <w:t xml:space="preserve"> </w:t>
      </w:r>
      <w:r>
        <w:rPr>
          <w:rFonts w:hint="eastAsia" w:ascii="宋体" w:hAnsi="宋体"/>
          <w:b/>
          <w:bCs/>
          <w:sz w:val="24"/>
          <w:lang w:val="zh-CN"/>
        </w:rPr>
        <w:t>合同</w:t>
      </w:r>
      <w:r>
        <w:rPr>
          <w:rFonts w:ascii="宋体" w:hAnsi="宋体"/>
          <w:b/>
          <w:bCs/>
          <w:sz w:val="24"/>
          <w:lang w:val="zh-CN"/>
        </w:rPr>
        <w:t>争议的解决</w:t>
      </w:r>
      <w:bookmarkEnd w:id="49"/>
      <w:bookmarkEnd w:id="50"/>
      <w:bookmarkEnd w:id="51"/>
    </w:p>
    <w:p w14:paraId="4C0FB67D">
      <w:pPr>
        <w:spacing w:line="360" w:lineRule="auto"/>
        <w:ind w:firstLine="435"/>
        <w:rPr>
          <w:rFonts w:ascii="宋体" w:hAnsi="宋体"/>
          <w:sz w:val="24"/>
        </w:rPr>
      </w:pPr>
      <w:r>
        <w:rPr>
          <w:rFonts w:hint="eastAsia" w:ascii="宋体" w:hAnsi="宋体"/>
          <w:sz w:val="24"/>
        </w:rPr>
        <w:t>本合</w:t>
      </w:r>
      <w:r>
        <w:rPr>
          <w:rFonts w:ascii="宋体" w:hAnsi="宋体"/>
          <w:sz w:val="24"/>
        </w:rPr>
        <w:t>同履行过程中发生的任何争议，双方当事人均可</w:t>
      </w:r>
      <w:r>
        <w:rPr>
          <w:rFonts w:hint="eastAsia" w:ascii="宋体" w:hAnsi="宋体"/>
          <w:sz w:val="24"/>
        </w:rPr>
        <w:t>通过和解或者调解解决；不愿和解、调解或者和解、调解不成的，可以选择下列第</w:t>
      </w:r>
      <w:r>
        <w:rPr>
          <w:rFonts w:hint="eastAsia" w:ascii="宋体" w:hAnsi="宋体"/>
          <w:sz w:val="24"/>
          <w:u w:val="single"/>
        </w:rPr>
        <w:t xml:space="preserve">    </w:t>
      </w:r>
      <w:r>
        <w:rPr>
          <w:rFonts w:hint="eastAsia" w:ascii="宋体" w:hAnsi="宋体"/>
          <w:sz w:val="24"/>
        </w:rPr>
        <w:t>种方式解决：</w:t>
      </w:r>
    </w:p>
    <w:p w14:paraId="5C847631">
      <w:pPr>
        <w:spacing w:line="360" w:lineRule="auto"/>
        <w:ind w:firstLine="435"/>
        <w:rPr>
          <w:rFonts w:ascii="宋体" w:hAnsi="宋体"/>
          <w:sz w:val="24"/>
        </w:rPr>
      </w:pPr>
      <w:r>
        <w:rPr>
          <w:rFonts w:hint="eastAsia" w:ascii="宋体" w:hAnsi="宋体"/>
          <w:sz w:val="24"/>
        </w:rPr>
        <w:t>1.7.1将争议提交</w:t>
      </w:r>
      <w:r>
        <w:rPr>
          <w:rFonts w:hint="eastAsia" w:ascii="宋体" w:hAnsi="宋体"/>
          <w:sz w:val="24"/>
          <w:u w:val="single"/>
        </w:rPr>
        <w:t xml:space="preserve">              </w:t>
      </w:r>
      <w:r>
        <w:rPr>
          <w:rFonts w:hint="eastAsia" w:ascii="宋体" w:hAnsi="宋体"/>
          <w:sz w:val="24"/>
        </w:rPr>
        <w:t>仲裁委员会依申请仲裁时其现行有效的仲裁规则裁决；</w:t>
      </w:r>
    </w:p>
    <w:p w14:paraId="6836EC5D">
      <w:pPr>
        <w:spacing w:line="360" w:lineRule="auto"/>
        <w:ind w:firstLine="435"/>
        <w:rPr>
          <w:rFonts w:ascii="宋体" w:hAnsi="宋体"/>
          <w:sz w:val="24"/>
        </w:rPr>
      </w:pPr>
      <w:r>
        <w:rPr>
          <w:rFonts w:hint="eastAsia" w:ascii="宋体" w:hAnsi="宋体"/>
          <w:sz w:val="24"/>
        </w:rPr>
        <w:t>1.7.2向</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人民法院起诉。</w:t>
      </w:r>
    </w:p>
    <w:p w14:paraId="33EAEC22">
      <w:pPr>
        <w:spacing w:line="360" w:lineRule="auto"/>
        <w:ind w:firstLine="437"/>
        <w:outlineLvl w:val="3"/>
        <w:rPr>
          <w:rFonts w:ascii="宋体" w:hAnsi="宋体"/>
          <w:b/>
          <w:bCs/>
          <w:sz w:val="24"/>
          <w:lang w:val="zh-CN"/>
        </w:rPr>
      </w:pPr>
      <w:bookmarkStart w:id="52" w:name="_Toc15322"/>
      <w:bookmarkStart w:id="53" w:name="_Toc7245"/>
      <w:bookmarkStart w:id="54" w:name="_Toc11173"/>
      <w:r>
        <w:rPr>
          <w:rFonts w:hint="eastAsia" w:ascii="宋体" w:hAnsi="宋体"/>
          <w:b/>
          <w:bCs/>
          <w:sz w:val="24"/>
          <w:lang w:val="zh-CN"/>
        </w:rPr>
        <w:t>1.8</w:t>
      </w:r>
      <w:r>
        <w:rPr>
          <w:rFonts w:ascii="宋体" w:hAnsi="宋体"/>
          <w:b/>
          <w:bCs/>
          <w:sz w:val="24"/>
          <w:lang w:val="zh-CN"/>
        </w:rPr>
        <w:t xml:space="preserve"> 合同生效</w:t>
      </w:r>
      <w:bookmarkEnd w:id="52"/>
      <w:bookmarkEnd w:id="53"/>
      <w:bookmarkEnd w:id="54"/>
    </w:p>
    <w:p w14:paraId="3794422E">
      <w:pPr>
        <w:spacing w:line="360" w:lineRule="auto"/>
        <w:ind w:firstLine="435"/>
        <w:rPr>
          <w:rFonts w:ascii="宋体" w:hAnsi="宋体"/>
          <w:sz w:val="24"/>
        </w:rPr>
      </w:pPr>
      <w:r>
        <w:rPr>
          <w:rFonts w:ascii="宋体" w:hAnsi="宋体"/>
          <w:sz w:val="24"/>
        </w:rPr>
        <w:t>本合同自</w:t>
      </w:r>
      <w:r>
        <w:rPr>
          <w:rFonts w:hint="eastAsia" w:ascii="宋体" w:hAnsi="宋体"/>
          <w:sz w:val="24"/>
        </w:rPr>
        <w:t>双方当事人盖章时</w:t>
      </w:r>
      <w:r>
        <w:rPr>
          <w:rFonts w:ascii="宋体" w:hAnsi="宋体"/>
          <w:sz w:val="24"/>
        </w:rPr>
        <w:t>生效。</w:t>
      </w:r>
    </w:p>
    <w:p w14:paraId="30031959">
      <w:pPr>
        <w:autoSpaceDE w:val="0"/>
        <w:autoSpaceDN w:val="0"/>
        <w:adjustRightInd w:val="0"/>
        <w:spacing w:line="560" w:lineRule="exact"/>
        <w:rPr>
          <w:rFonts w:ascii="宋体" w:hAnsi="宋体"/>
          <w:sz w:val="24"/>
          <w:lang w:val="zh-CN"/>
        </w:rPr>
      </w:pPr>
    </w:p>
    <w:p w14:paraId="455EE024">
      <w:pPr>
        <w:autoSpaceDE w:val="0"/>
        <w:autoSpaceDN w:val="0"/>
        <w:adjustRightInd w:val="0"/>
        <w:spacing w:line="560" w:lineRule="exact"/>
        <w:rPr>
          <w:rFonts w:ascii="宋体" w:hAnsi="宋体"/>
          <w:sz w:val="24"/>
          <w:lang w:val="zh-CN"/>
        </w:rPr>
      </w:pPr>
    </w:p>
    <w:p w14:paraId="6932F270">
      <w:pPr>
        <w:autoSpaceDE w:val="0"/>
        <w:autoSpaceDN w:val="0"/>
        <w:adjustRightInd w:val="0"/>
        <w:spacing w:line="560" w:lineRule="exact"/>
        <w:rPr>
          <w:rFonts w:ascii="宋体" w:hAnsi="宋体"/>
          <w:sz w:val="24"/>
          <w:lang w:val="zh-CN"/>
        </w:rPr>
      </w:pPr>
    </w:p>
    <w:p w14:paraId="2CDB81A9">
      <w:pPr>
        <w:autoSpaceDE w:val="0"/>
        <w:autoSpaceDN w:val="0"/>
        <w:adjustRightInd w:val="0"/>
        <w:spacing w:line="560" w:lineRule="exact"/>
        <w:rPr>
          <w:rFonts w:ascii="宋体" w:hAnsi="宋体"/>
          <w:bCs/>
          <w:sz w:val="24"/>
          <w:lang w:val="zh-CN"/>
        </w:rPr>
      </w:pPr>
      <w:r>
        <w:rPr>
          <w:rFonts w:hint="eastAsia" w:ascii="宋体" w:hAnsi="宋体"/>
          <w:bCs/>
          <w:sz w:val="24"/>
          <w:lang w:val="zh-CN"/>
        </w:rPr>
        <w:t xml:space="preserve">甲 </w:t>
      </w:r>
      <w:r>
        <w:rPr>
          <w:rFonts w:ascii="宋体" w:hAnsi="宋体"/>
          <w:bCs/>
          <w:sz w:val="24"/>
          <w:lang w:val="zh-CN"/>
        </w:rPr>
        <w:t xml:space="preserve">   </w:t>
      </w:r>
      <w:r>
        <w:rPr>
          <w:rFonts w:hint="eastAsia" w:ascii="宋体" w:hAnsi="宋体"/>
          <w:bCs/>
          <w:sz w:val="24"/>
          <w:lang w:val="zh-CN"/>
        </w:rPr>
        <w:t>方：</w:t>
      </w:r>
      <w:r>
        <w:rPr>
          <w:rFonts w:hint="eastAsia" w:ascii="宋体" w:hAnsi="宋体"/>
          <w:bCs/>
          <w:sz w:val="24"/>
          <w:u w:val="single"/>
          <w:lang w:val="zh-CN"/>
        </w:rPr>
        <w:t xml:space="preserve">    （单位盖章）     </w:t>
      </w:r>
      <w:r>
        <w:rPr>
          <w:rFonts w:hint="eastAsia" w:ascii="宋体" w:hAnsi="宋体"/>
          <w:bCs/>
          <w:sz w:val="24"/>
          <w:lang w:val="zh-CN"/>
        </w:rPr>
        <w:t xml:space="preserve">          乙方：</w:t>
      </w:r>
      <w:r>
        <w:rPr>
          <w:rFonts w:hint="eastAsia" w:ascii="宋体" w:hAnsi="宋体"/>
          <w:bCs/>
          <w:sz w:val="24"/>
          <w:u w:val="single"/>
          <w:lang w:val="zh-CN"/>
        </w:rPr>
        <w:t xml:space="preserve">    （单位盖章）     </w:t>
      </w:r>
    </w:p>
    <w:p w14:paraId="27769481">
      <w:pPr>
        <w:autoSpaceDE w:val="0"/>
        <w:autoSpaceDN w:val="0"/>
        <w:adjustRightInd w:val="0"/>
        <w:spacing w:line="560" w:lineRule="exact"/>
        <w:rPr>
          <w:rFonts w:ascii="宋体" w:hAnsi="宋体"/>
          <w:sz w:val="24"/>
          <w:lang w:val="zh-CN"/>
        </w:rPr>
      </w:pPr>
      <w:r>
        <w:rPr>
          <w:rFonts w:hint="eastAsia" w:ascii="宋体" w:hAnsi="宋体"/>
          <w:sz w:val="24"/>
          <w:lang w:val="zh-CN"/>
        </w:rPr>
        <w:t xml:space="preserve">法定代表人                             </w:t>
      </w:r>
      <w:r>
        <w:rPr>
          <w:rFonts w:ascii="宋体" w:hAnsi="宋体"/>
          <w:sz w:val="24"/>
          <w:lang w:val="zh-CN"/>
        </w:rPr>
        <w:t xml:space="preserve">  </w:t>
      </w:r>
      <w:r>
        <w:rPr>
          <w:rFonts w:hint="eastAsia" w:ascii="宋体" w:hAnsi="宋体"/>
          <w:sz w:val="24"/>
          <w:lang w:val="zh-CN"/>
        </w:rPr>
        <w:t>法定代表人</w:t>
      </w:r>
    </w:p>
    <w:p w14:paraId="0330A619">
      <w:pPr>
        <w:autoSpaceDE w:val="0"/>
        <w:autoSpaceDN w:val="0"/>
        <w:adjustRightInd w:val="0"/>
        <w:spacing w:line="560" w:lineRule="exact"/>
        <w:rPr>
          <w:rFonts w:ascii="宋体" w:hAnsi="宋体"/>
          <w:sz w:val="24"/>
          <w:lang w:val="zh-CN"/>
        </w:rPr>
      </w:pPr>
      <w:r>
        <w:rPr>
          <w:rFonts w:hint="eastAsia" w:ascii="宋体" w:hAnsi="宋体"/>
          <w:sz w:val="24"/>
          <w:lang w:val="zh-CN"/>
        </w:rPr>
        <w:t>或授权代表（签字）：                      或授权代表（签字）：</w:t>
      </w:r>
    </w:p>
    <w:p w14:paraId="4669775C">
      <w:pPr>
        <w:widowControl/>
        <w:spacing w:line="560" w:lineRule="exact"/>
        <w:jc w:val="left"/>
        <w:rPr>
          <w:rFonts w:ascii="宋体" w:hAnsi="宋体"/>
          <w:bCs/>
          <w:sz w:val="24"/>
        </w:rPr>
      </w:pPr>
      <w:bookmarkStart w:id="55" w:name="_Toc331685783"/>
      <w:r>
        <w:rPr>
          <w:rFonts w:hint="eastAsia" w:ascii="宋体" w:hAnsi="宋体"/>
          <w:bCs/>
          <w:sz w:val="24"/>
        </w:rPr>
        <w:t>时间：</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日               时间：</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u w:val="single"/>
        </w:rPr>
        <w:t xml:space="preserve">  </w:t>
      </w:r>
      <w:r>
        <w:rPr>
          <w:rFonts w:hint="eastAsia" w:ascii="宋体" w:hAnsi="宋体"/>
          <w:bCs/>
          <w:sz w:val="24"/>
        </w:rPr>
        <w:t>日</w:t>
      </w:r>
    </w:p>
    <w:p w14:paraId="617CECDC">
      <w:pPr>
        <w:widowControl/>
        <w:jc w:val="left"/>
        <w:rPr>
          <w:rFonts w:ascii="宋体" w:hAnsi="宋体"/>
          <w:b/>
          <w:sz w:val="24"/>
        </w:rPr>
      </w:pPr>
      <w:r>
        <w:rPr>
          <w:rFonts w:ascii="宋体" w:hAnsi="宋体"/>
          <w:b/>
          <w:sz w:val="24"/>
        </w:rPr>
        <w:br w:type="page"/>
      </w:r>
    </w:p>
    <w:p w14:paraId="1A047050">
      <w:pPr>
        <w:spacing w:line="360" w:lineRule="auto"/>
        <w:jc w:val="center"/>
        <w:outlineLvl w:val="2"/>
        <w:rPr>
          <w:rFonts w:ascii="宋体" w:hAnsi="宋体"/>
          <w:b/>
          <w:sz w:val="24"/>
        </w:rPr>
      </w:pPr>
      <w:r>
        <w:rPr>
          <w:rFonts w:hint="eastAsia" w:ascii="宋体" w:hAnsi="宋体"/>
          <w:b/>
          <w:sz w:val="24"/>
        </w:rPr>
        <w:t>第二部分</w:t>
      </w:r>
      <w:r>
        <w:rPr>
          <w:rFonts w:ascii="宋体" w:hAnsi="宋体"/>
          <w:b/>
          <w:sz w:val="24"/>
        </w:rPr>
        <w:t xml:space="preserve"> </w:t>
      </w:r>
      <w:r>
        <w:rPr>
          <w:rFonts w:hint="eastAsia" w:ascii="宋体" w:hAnsi="宋体"/>
          <w:b/>
          <w:sz w:val="24"/>
        </w:rPr>
        <w:t>合同一般条款</w:t>
      </w:r>
      <w:bookmarkEnd w:id="55"/>
    </w:p>
    <w:p w14:paraId="01E11EF6">
      <w:pPr>
        <w:spacing w:line="360" w:lineRule="auto"/>
        <w:ind w:firstLine="437"/>
        <w:outlineLvl w:val="3"/>
        <w:rPr>
          <w:rFonts w:ascii="宋体" w:hAnsi="宋体"/>
          <w:b/>
          <w:bCs/>
          <w:sz w:val="24"/>
          <w:lang w:val="zh-CN"/>
        </w:rPr>
      </w:pPr>
      <w:bookmarkStart w:id="56" w:name="_Ref467378499"/>
      <w:bookmarkStart w:id="57" w:name="_Ref467378404"/>
      <w:bookmarkStart w:id="58" w:name="_Toc487900349"/>
      <w:bookmarkStart w:id="59" w:name="_Toc19614"/>
      <w:bookmarkStart w:id="60" w:name="_Ref467378463"/>
      <w:bookmarkStart w:id="61" w:name="_Ref467379225"/>
      <w:bookmarkStart w:id="62" w:name="_Toc28763"/>
      <w:bookmarkStart w:id="63" w:name="_Toc279701240"/>
      <w:bookmarkStart w:id="64" w:name="_Ref467379195"/>
      <w:bookmarkStart w:id="65" w:name="_Toc259093669"/>
      <w:bookmarkStart w:id="66" w:name="_Ref467379214"/>
      <w:bookmarkStart w:id="67" w:name="_Ref467379101"/>
      <w:bookmarkStart w:id="68" w:name="_Ref467379109"/>
      <w:bookmarkStart w:id="69" w:name="_Toc16917"/>
      <w:bookmarkStart w:id="70" w:name="_Ref467379205"/>
      <w:bookmarkStart w:id="71" w:name="_Ref467379094"/>
      <w:r>
        <w:rPr>
          <w:rFonts w:hint="eastAsia" w:ascii="宋体" w:hAnsi="宋体"/>
          <w:b/>
          <w:bCs/>
          <w:sz w:val="24"/>
          <w:lang w:val="zh-CN"/>
        </w:rPr>
        <w:t>2.1</w:t>
      </w:r>
      <w:r>
        <w:rPr>
          <w:rFonts w:ascii="宋体" w:hAnsi="宋体"/>
          <w:b/>
          <w:bCs/>
          <w:sz w:val="24"/>
          <w:lang w:val="zh-CN"/>
        </w:rPr>
        <w:t xml:space="preserve"> 定义</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C8C02BC">
      <w:pPr>
        <w:spacing w:line="360" w:lineRule="auto"/>
        <w:ind w:firstLine="435"/>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633C05DC">
      <w:pPr>
        <w:spacing w:line="360" w:lineRule="auto"/>
        <w:ind w:firstLine="435"/>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w:t>
      </w:r>
      <w:r>
        <w:rPr>
          <w:rFonts w:ascii="宋体" w:hAnsi="宋体"/>
          <w:sz w:val="24"/>
        </w:rPr>
        <w:t>“合同”系指招标人和中标人签订的载明双方当事人所达成的协议，并包括所有的附件、附录和构成合同的其他文件。</w:t>
      </w:r>
    </w:p>
    <w:p w14:paraId="702F1578">
      <w:pPr>
        <w:spacing w:line="360" w:lineRule="auto"/>
        <w:ind w:firstLine="435"/>
        <w:rPr>
          <w:rFonts w:ascii="宋体" w:hAnsi="宋体"/>
          <w:sz w:val="24"/>
        </w:rPr>
      </w:pPr>
      <w:r>
        <w:rPr>
          <w:rFonts w:hint="eastAsia" w:ascii="宋体" w:hAnsi="宋体"/>
          <w:sz w:val="24"/>
        </w:rPr>
        <w:t>2.</w:t>
      </w:r>
      <w:r>
        <w:rPr>
          <w:rFonts w:ascii="宋体" w:hAnsi="宋体"/>
          <w:sz w:val="24"/>
        </w:rPr>
        <w:t>1.2“合同价”系指根据合同约定，中标人在完全履行合同义务后</w:t>
      </w:r>
      <w:r>
        <w:rPr>
          <w:rFonts w:hint="eastAsia" w:ascii="宋体" w:hAnsi="宋体"/>
          <w:sz w:val="24"/>
        </w:rPr>
        <w:t>，</w:t>
      </w:r>
      <w:r>
        <w:rPr>
          <w:rFonts w:ascii="宋体" w:hAnsi="宋体"/>
          <w:sz w:val="24"/>
        </w:rPr>
        <w:t>招标人应支付给中标人的价格。</w:t>
      </w:r>
    </w:p>
    <w:p w14:paraId="64FF4016">
      <w:pPr>
        <w:spacing w:line="360" w:lineRule="auto"/>
        <w:ind w:firstLine="435"/>
        <w:rPr>
          <w:rFonts w:ascii="宋体" w:hAnsi="宋体"/>
          <w:sz w:val="24"/>
        </w:rPr>
      </w:pPr>
      <w:r>
        <w:rPr>
          <w:rFonts w:hint="eastAsia" w:ascii="宋体" w:hAnsi="宋体"/>
          <w:sz w:val="24"/>
        </w:rPr>
        <w:t>2.</w:t>
      </w:r>
      <w:r>
        <w:rPr>
          <w:rFonts w:ascii="宋体" w:hAnsi="宋体"/>
          <w:sz w:val="24"/>
        </w:rPr>
        <w:t>1.3“货物”系指</w:t>
      </w:r>
      <w:r>
        <w:rPr>
          <w:rFonts w:hint="eastAsia" w:ascii="宋体" w:hAnsi="宋体"/>
          <w:sz w:val="24"/>
        </w:rPr>
        <w:t>中标人</w:t>
      </w:r>
      <w:r>
        <w:rPr>
          <w:rFonts w:ascii="宋体" w:hAnsi="宋体"/>
          <w:sz w:val="24"/>
        </w:rPr>
        <w:t>根据合同约定应向招标人交付的一切</w:t>
      </w:r>
      <w:r>
        <w:rPr>
          <w:rFonts w:hint="eastAsia" w:ascii="宋体" w:hAnsi="宋体"/>
          <w:sz w:val="24"/>
        </w:rPr>
        <w:t>各种形态和种类的物品，包括原材料、燃料、设备、</w:t>
      </w:r>
      <w:r>
        <w:rPr>
          <w:rFonts w:ascii="宋体" w:hAnsi="宋体"/>
          <w:sz w:val="24"/>
        </w:rPr>
        <w:t>机械、仪表、备件</w:t>
      </w:r>
      <w:r>
        <w:rPr>
          <w:rFonts w:hint="eastAsia" w:ascii="宋体" w:hAnsi="宋体"/>
          <w:sz w:val="24"/>
        </w:rPr>
        <w:t>、计算机软件、产品等</w:t>
      </w:r>
      <w:r>
        <w:rPr>
          <w:rFonts w:ascii="宋体" w:hAnsi="宋体"/>
          <w:sz w:val="24"/>
        </w:rPr>
        <w:t>，并包括工具、手册等其他相关资料。</w:t>
      </w:r>
    </w:p>
    <w:p w14:paraId="6491FFAB">
      <w:pPr>
        <w:spacing w:line="360" w:lineRule="auto"/>
        <w:ind w:firstLine="435"/>
        <w:rPr>
          <w:rFonts w:ascii="宋体" w:hAnsi="宋体"/>
          <w:sz w:val="24"/>
        </w:rPr>
      </w:pPr>
      <w:bookmarkStart w:id="72" w:name="_Ref467378840"/>
      <w:r>
        <w:rPr>
          <w:rFonts w:hint="eastAsia" w:ascii="宋体" w:hAnsi="宋体"/>
          <w:sz w:val="24"/>
        </w:rPr>
        <w:t>2.</w:t>
      </w:r>
      <w:r>
        <w:rPr>
          <w:rFonts w:ascii="宋体" w:hAnsi="宋体"/>
          <w:sz w:val="24"/>
        </w:rPr>
        <w:t>1.</w:t>
      </w: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sz w:val="24"/>
        </w:rPr>
        <w:t>中标人</w:t>
      </w:r>
      <w:r>
        <w:rPr>
          <w:rFonts w:ascii="宋体" w:hAnsi="宋体"/>
          <w:sz w:val="24"/>
        </w:rPr>
        <w:t>签署合同的招标人</w:t>
      </w:r>
      <w:bookmarkEnd w:id="72"/>
      <w:r>
        <w:rPr>
          <w:rFonts w:hint="eastAsia" w:ascii="宋体" w:hAnsi="宋体"/>
          <w:sz w:val="24"/>
        </w:rPr>
        <w:t>；招标人委托招标代理机构代表其与乙方签订合同的，招标人的授权委托书作为合同附件。</w:t>
      </w:r>
    </w:p>
    <w:p w14:paraId="3AFB59E1">
      <w:pPr>
        <w:spacing w:line="360" w:lineRule="auto"/>
        <w:ind w:firstLine="435"/>
        <w:rPr>
          <w:rFonts w:ascii="宋体" w:hAnsi="宋体"/>
          <w:sz w:val="24"/>
        </w:rPr>
      </w:pPr>
      <w:bookmarkStart w:id="73" w:name="_Ref467379400"/>
      <w:r>
        <w:rPr>
          <w:rFonts w:hint="eastAsia" w:ascii="宋体" w:hAnsi="宋体"/>
          <w:sz w:val="24"/>
        </w:rPr>
        <w:t>2.</w:t>
      </w:r>
      <w:r>
        <w:rPr>
          <w:rFonts w:ascii="宋体" w:hAnsi="宋体"/>
          <w:sz w:val="24"/>
        </w:rPr>
        <w:t>1.</w:t>
      </w:r>
      <w:r>
        <w:rPr>
          <w:rFonts w:hint="eastAsia" w:ascii="宋体" w:hAnsi="宋体"/>
          <w:sz w:val="24"/>
        </w:rPr>
        <w:t>5</w:t>
      </w:r>
      <w:r>
        <w:rPr>
          <w:rFonts w:ascii="宋体" w:hAnsi="宋体"/>
          <w:sz w:val="24"/>
        </w:rPr>
        <w:t>“乙方”系指根据合同约定交付货物的中标人</w:t>
      </w:r>
      <w:bookmarkEnd w:id="73"/>
      <w:r>
        <w:rPr>
          <w:rFonts w:hint="eastAsia" w:ascii="宋体" w:hAnsi="宋体"/>
          <w:sz w:val="24"/>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04C182D0">
      <w:pPr>
        <w:spacing w:line="360" w:lineRule="auto"/>
        <w:ind w:firstLine="435"/>
        <w:rPr>
          <w:rFonts w:ascii="宋体" w:hAnsi="宋体"/>
          <w:sz w:val="24"/>
        </w:rPr>
      </w:pPr>
      <w:bookmarkStart w:id="74" w:name="_Ref467379436"/>
      <w:r>
        <w:rPr>
          <w:rFonts w:hint="eastAsia" w:ascii="宋体" w:hAnsi="宋体"/>
          <w:sz w:val="24"/>
        </w:rPr>
        <w:t>2.</w:t>
      </w:r>
      <w:r>
        <w:rPr>
          <w:rFonts w:ascii="宋体" w:hAnsi="宋体"/>
          <w:sz w:val="24"/>
        </w:rPr>
        <w:t>1.</w:t>
      </w:r>
      <w:r>
        <w:rPr>
          <w:rFonts w:hint="eastAsia" w:ascii="宋体" w:hAnsi="宋体"/>
          <w:sz w:val="24"/>
        </w:rPr>
        <w:t>6</w:t>
      </w:r>
      <w:r>
        <w:rPr>
          <w:rFonts w:ascii="宋体" w:hAnsi="宋体"/>
          <w:sz w:val="24"/>
        </w:rPr>
        <w:t>“现场”系指合同约定货物将要运至</w:t>
      </w:r>
      <w:r>
        <w:rPr>
          <w:rFonts w:hint="eastAsia" w:ascii="宋体" w:hAnsi="宋体"/>
          <w:sz w:val="24"/>
        </w:rPr>
        <w:t>或者</w:t>
      </w:r>
      <w:r>
        <w:rPr>
          <w:rFonts w:ascii="宋体" w:hAnsi="宋体"/>
          <w:sz w:val="24"/>
        </w:rPr>
        <w:t>安装的地点。</w:t>
      </w:r>
      <w:bookmarkEnd w:id="74"/>
    </w:p>
    <w:p w14:paraId="3CEDC69C">
      <w:pPr>
        <w:spacing w:line="360" w:lineRule="auto"/>
        <w:ind w:firstLine="437"/>
        <w:outlineLvl w:val="3"/>
        <w:rPr>
          <w:rFonts w:ascii="宋体" w:hAnsi="宋体"/>
          <w:b/>
          <w:bCs/>
          <w:sz w:val="24"/>
          <w:lang w:val="zh-CN"/>
        </w:rPr>
      </w:pPr>
      <w:bookmarkStart w:id="75" w:name="_Toc279701241"/>
      <w:bookmarkStart w:id="76" w:name="_Toc27635"/>
      <w:bookmarkStart w:id="77" w:name="_Toc259093670"/>
      <w:bookmarkStart w:id="78" w:name="_Toc32504"/>
      <w:bookmarkStart w:id="79" w:name="_Toc13336"/>
      <w:bookmarkStart w:id="80" w:name="_Toc487900350"/>
      <w:r>
        <w:rPr>
          <w:rFonts w:hint="eastAsia" w:ascii="宋体" w:hAnsi="宋体"/>
          <w:b/>
          <w:bCs/>
          <w:sz w:val="24"/>
          <w:lang w:val="zh-CN"/>
        </w:rPr>
        <w:t>2.</w:t>
      </w:r>
      <w:r>
        <w:rPr>
          <w:rFonts w:ascii="宋体" w:hAnsi="宋体"/>
          <w:b/>
          <w:bCs/>
          <w:sz w:val="24"/>
          <w:lang w:val="zh-CN"/>
        </w:rPr>
        <w:t>2 技术规范</w:t>
      </w:r>
      <w:bookmarkEnd w:id="75"/>
      <w:bookmarkEnd w:id="76"/>
      <w:bookmarkEnd w:id="77"/>
      <w:bookmarkEnd w:id="78"/>
      <w:bookmarkEnd w:id="79"/>
      <w:bookmarkEnd w:id="80"/>
    </w:p>
    <w:p w14:paraId="10DF14A9">
      <w:pPr>
        <w:spacing w:line="360" w:lineRule="auto"/>
        <w:ind w:firstLine="435"/>
        <w:rPr>
          <w:rFonts w:ascii="宋体" w:hAnsi="宋体"/>
          <w:sz w:val="24"/>
        </w:rPr>
      </w:pPr>
      <w:r>
        <w:rPr>
          <w:rFonts w:ascii="宋体" w:hAnsi="宋体"/>
          <w:sz w:val="24"/>
        </w:rPr>
        <w:t>货物所应遵守的技术规范应与采购文件规定的技术规范和技术规范附件(如果有的话)及其技术规范偏差表(如果被甲方接受的话)相一致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7C87D8DE">
      <w:pPr>
        <w:spacing w:line="360" w:lineRule="auto"/>
        <w:ind w:firstLine="437"/>
        <w:outlineLvl w:val="3"/>
        <w:rPr>
          <w:rFonts w:ascii="宋体" w:hAnsi="宋体"/>
          <w:b/>
          <w:bCs/>
          <w:sz w:val="24"/>
          <w:lang w:val="zh-CN"/>
        </w:rPr>
      </w:pPr>
      <w:bookmarkStart w:id="81" w:name="_Toc31634"/>
      <w:bookmarkStart w:id="82" w:name="_Toc259093671"/>
      <w:bookmarkStart w:id="83" w:name="_Toc279701242"/>
      <w:bookmarkStart w:id="84" w:name="_Toc487900351"/>
      <w:bookmarkStart w:id="85" w:name="_Toc27853"/>
      <w:bookmarkStart w:id="86" w:name="_Toc9829"/>
      <w:r>
        <w:rPr>
          <w:rFonts w:hint="eastAsia" w:ascii="宋体" w:hAnsi="宋体"/>
          <w:b/>
          <w:bCs/>
          <w:sz w:val="24"/>
          <w:lang w:val="zh-CN"/>
        </w:rPr>
        <w:t>2.</w:t>
      </w:r>
      <w:r>
        <w:rPr>
          <w:rFonts w:ascii="宋体" w:hAnsi="宋体"/>
          <w:b/>
          <w:bCs/>
          <w:sz w:val="24"/>
          <w:lang w:val="zh-CN"/>
        </w:rPr>
        <w:t>3 知识产权</w:t>
      </w:r>
      <w:bookmarkEnd w:id="81"/>
      <w:bookmarkEnd w:id="82"/>
      <w:bookmarkEnd w:id="83"/>
      <w:bookmarkEnd w:id="84"/>
      <w:bookmarkEnd w:id="85"/>
      <w:bookmarkEnd w:id="86"/>
    </w:p>
    <w:p w14:paraId="321F6BB4">
      <w:pPr>
        <w:spacing w:line="360" w:lineRule="auto"/>
        <w:ind w:firstLine="435"/>
        <w:rPr>
          <w:rFonts w:ascii="宋体" w:hAnsi="宋体"/>
          <w:sz w:val="24"/>
        </w:rPr>
      </w:pPr>
      <w:r>
        <w:rPr>
          <w:rFonts w:hint="eastAsia" w:ascii="宋体" w:hAnsi="宋体"/>
          <w:sz w:val="24"/>
        </w:rPr>
        <w:t>2.3.1乙</w:t>
      </w:r>
      <w:r>
        <w:rPr>
          <w:rFonts w:ascii="宋体" w:hAnsi="宋体"/>
          <w:sz w:val="24"/>
        </w:rPr>
        <w:t>方应保证甲方在使用该货物或其任何一部分时不受任何第三方提出的侵犯其著作权、商标权、专利权等知识产权方面的起诉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w:t>
      </w:r>
    </w:p>
    <w:p w14:paraId="288D0AB4">
      <w:pPr>
        <w:spacing w:line="360" w:lineRule="auto"/>
        <w:ind w:firstLine="435"/>
        <w:rPr>
          <w:rFonts w:ascii="宋体" w:hAnsi="宋体"/>
          <w:sz w:val="24"/>
        </w:rPr>
      </w:pPr>
      <w:r>
        <w:rPr>
          <w:rFonts w:hint="eastAsia" w:ascii="宋体" w:hAnsi="宋体"/>
          <w:sz w:val="24"/>
        </w:rPr>
        <w:t>2.3.2具有知识产权的计算机软件等货物的知识产权归属，</w:t>
      </w:r>
      <w:r>
        <w:rPr>
          <w:rFonts w:ascii="宋体" w:hAnsi="宋体"/>
          <w:sz w:val="24"/>
        </w:rPr>
        <w:t>详见</w:t>
      </w:r>
      <w:r>
        <w:rPr>
          <w:rFonts w:ascii="宋体" w:hAnsi="宋体"/>
          <w:b/>
          <w:i/>
          <w:sz w:val="24"/>
          <w:u w:val="single"/>
        </w:rPr>
        <w:t>合同专用条款</w:t>
      </w:r>
      <w:r>
        <w:rPr>
          <w:rFonts w:ascii="宋体" w:hAnsi="宋体"/>
          <w:sz w:val="24"/>
        </w:rPr>
        <w:t>。</w:t>
      </w:r>
    </w:p>
    <w:p w14:paraId="4983DDFE">
      <w:pPr>
        <w:spacing w:line="360" w:lineRule="auto"/>
        <w:ind w:firstLine="437"/>
        <w:outlineLvl w:val="3"/>
        <w:rPr>
          <w:rFonts w:ascii="宋体" w:hAnsi="宋体"/>
          <w:b/>
          <w:sz w:val="24"/>
        </w:rPr>
      </w:pPr>
      <w:bookmarkStart w:id="87" w:name="_Toc29149"/>
      <w:bookmarkStart w:id="88" w:name="_Toc11932"/>
      <w:bookmarkStart w:id="89" w:name="_Toc4194"/>
      <w:r>
        <w:rPr>
          <w:rFonts w:hint="eastAsia" w:ascii="宋体" w:hAnsi="宋体"/>
          <w:b/>
          <w:bCs/>
          <w:sz w:val="24"/>
          <w:lang w:val="zh-CN"/>
        </w:rPr>
        <w:t>2.4</w:t>
      </w:r>
      <w:r>
        <w:rPr>
          <w:rFonts w:ascii="宋体" w:hAnsi="宋体"/>
          <w:b/>
          <w:bCs/>
          <w:sz w:val="24"/>
          <w:lang w:val="zh-CN"/>
        </w:rPr>
        <w:t xml:space="preserve"> </w:t>
      </w:r>
      <w:r>
        <w:rPr>
          <w:rFonts w:hint="eastAsia" w:ascii="宋体" w:hAnsi="宋体"/>
          <w:b/>
          <w:bCs/>
          <w:sz w:val="24"/>
          <w:lang w:val="zh-CN"/>
        </w:rPr>
        <w:t>包装和装运</w:t>
      </w:r>
      <w:bookmarkEnd w:id="87"/>
      <w:bookmarkEnd w:id="88"/>
      <w:bookmarkEnd w:id="89"/>
    </w:p>
    <w:p w14:paraId="7F163304">
      <w:pPr>
        <w:spacing w:line="360" w:lineRule="auto"/>
        <w:ind w:firstLine="435"/>
        <w:rPr>
          <w:rFonts w:ascii="宋体" w:hAnsi="宋体"/>
          <w:sz w:val="24"/>
        </w:rPr>
      </w:pPr>
      <w:r>
        <w:rPr>
          <w:rFonts w:hint="eastAsia" w:ascii="宋体" w:hAnsi="宋体"/>
          <w:sz w:val="24"/>
        </w:rPr>
        <w:t>2.4.1除</w:t>
      </w:r>
      <w:r>
        <w:rPr>
          <w:rFonts w:ascii="宋体" w:hAnsi="宋体"/>
          <w:b/>
          <w:i/>
          <w:sz w:val="24"/>
          <w:u w:val="single"/>
        </w:rPr>
        <w:t>合同专用条款</w:t>
      </w:r>
      <w:r>
        <w:rPr>
          <w:rFonts w:hint="eastAsia" w:ascii="宋体" w:hAnsi="宋体"/>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266B6694">
      <w:pPr>
        <w:spacing w:line="360" w:lineRule="auto"/>
        <w:ind w:firstLine="435"/>
        <w:rPr>
          <w:rFonts w:ascii="宋体" w:hAnsi="宋体"/>
          <w:sz w:val="24"/>
        </w:rPr>
      </w:pPr>
      <w:r>
        <w:rPr>
          <w:rFonts w:hint="eastAsia" w:ascii="宋体" w:hAnsi="宋体"/>
          <w:sz w:val="24"/>
        </w:rPr>
        <w:t>2.4.2装运货物的要求和通知，详见</w:t>
      </w:r>
      <w:r>
        <w:rPr>
          <w:rFonts w:ascii="宋体" w:hAnsi="宋体"/>
          <w:b/>
          <w:i/>
          <w:sz w:val="24"/>
          <w:u w:val="single"/>
        </w:rPr>
        <w:t>合同专用条款</w:t>
      </w:r>
      <w:r>
        <w:rPr>
          <w:rFonts w:hint="eastAsia" w:ascii="宋体" w:hAnsi="宋体"/>
          <w:sz w:val="24"/>
        </w:rPr>
        <w:t>。</w:t>
      </w:r>
    </w:p>
    <w:p w14:paraId="3E2933D2">
      <w:pPr>
        <w:spacing w:line="360" w:lineRule="auto"/>
        <w:ind w:firstLine="437"/>
        <w:outlineLvl w:val="3"/>
        <w:rPr>
          <w:rFonts w:ascii="宋体" w:hAnsi="宋体"/>
          <w:b/>
          <w:bCs/>
          <w:sz w:val="24"/>
          <w:lang w:val="zh-CN"/>
        </w:rPr>
      </w:pPr>
      <w:bookmarkStart w:id="90" w:name="_Toc279701245"/>
      <w:bookmarkStart w:id="91" w:name="_Ref467378591"/>
      <w:bookmarkStart w:id="92" w:name="_Ref467379527"/>
      <w:bookmarkStart w:id="93" w:name="_Toc487900354"/>
      <w:bookmarkStart w:id="94" w:name="_Ref467378541"/>
      <w:bookmarkStart w:id="95" w:name="_Ref467379536"/>
      <w:bookmarkStart w:id="96" w:name="_Toc259093674"/>
      <w:bookmarkStart w:id="97" w:name="_Ref467379542"/>
      <w:bookmarkStart w:id="98" w:name="_Toc19074"/>
      <w:bookmarkStart w:id="99" w:name="_Toc26182"/>
      <w:bookmarkStart w:id="100" w:name="_Toc30272"/>
      <w:r>
        <w:rPr>
          <w:rFonts w:hint="eastAsia" w:ascii="宋体" w:hAnsi="宋体"/>
          <w:b/>
          <w:bCs/>
          <w:sz w:val="24"/>
          <w:lang w:val="zh-CN"/>
        </w:rPr>
        <w:t>2.</w:t>
      </w:r>
      <w:bookmarkEnd w:id="90"/>
      <w:bookmarkEnd w:id="91"/>
      <w:bookmarkEnd w:id="92"/>
      <w:bookmarkEnd w:id="93"/>
      <w:bookmarkEnd w:id="94"/>
      <w:bookmarkEnd w:id="95"/>
      <w:bookmarkEnd w:id="96"/>
      <w:bookmarkEnd w:id="97"/>
      <w:r>
        <w:rPr>
          <w:rFonts w:hint="eastAsia" w:ascii="宋体" w:hAnsi="宋体"/>
          <w:b/>
          <w:bCs/>
          <w:sz w:val="24"/>
          <w:lang w:val="zh-CN"/>
        </w:rPr>
        <w:t>5</w:t>
      </w:r>
      <w:r>
        <w:rPr>
          <w:rFonts w:ascii="宋体" w:hAnsi="宋体"/>
          <w:b/>
          <w:bCs/>
          <w:sz w:val="24"/>
          <w:lang w:val="zh-CN"/>
        </w:rPr>
        <w:t xml:space="preserve"> </w:t>
      </w:r>
      <w:r>
        <w:rPr>
          <w:rFonts w:hint="eastAsia" w:ascii="宋体" w:hAnsi="宋体"/>
          <w:b/>
          <w:bCs/>
          <w:sz w:val="24"/>
          <w:lang w:val="zh-CN"/>
        </w:rPr>
        <w:t>履约检查和问题反馈</w:t>
      </w:r>
      <w:bookmarkEnd w:id="98"/>
      <w:bookmarkEnd w:id="99"/>
      <w:bookmarkEnd w:id="100"/>
    </w:p>
    <w:p w14:paraId="76635334">
      <w:pPr>
        <w:spacing w:line="360" w:lineRule="auto"/>
        <w:ind w:firstLine="435"/>
        <w:rPr>
          <w:rFonts w:ascii="宋体" w:hAnsi="宋体"/>
          <w:sz w:val="24"/>
        </w:rPr>
      </w:pPr>
      <w:bookmarkStart w:id="101" w:name="_Ref467379657"/>
      <w:r>
        <w:rPr>
          <w:rFonts w:hint="eastAsia" w:ascii="宋体" w:hAnsi="宋体"/>
          <w:sz w:val="24"/>
        </w:rPr>
        <w:t>2.5</w:t>
      </w:r>
      <w:r>
        <w:rPr>
          <w:rFonts w:ascii="宋体" w:hAnsi="宋体"/>
          <w:sz w:val="24"/>
        </w:rPr>
        <w:t>.1</w:t>
      </w:r>
      <w:bookmarkEnd w:id="101"/>
      <w:bookmarkStart w:id="102" w:name="_Toc186431854"/>
      <w:bookmarkStart w:id="103" w:name="_Ref467379793"/>
      <w:bookmarkStart w:id="104" w:name="_Toc487900357"/>
      <w:bookmarkStart w:id="105" w:name="_Toc279701247"/>
      <w:bookmarkStart w:id="106" w:name="_Ref467379807"/>
      <w:bookmarkStart w:id="107" w:name="_Toc259093676"/>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，对乙方是否能够按照合同约定交付货物进行履约检查，以确保乙方所交付的货物能够依约满足甲方项目需求，但不得因履约检查妨碍乙方的正常工作，乙方应予积极配合；</w:t>
      </w:r>
    </w:p>
    <w:p w14:paraId="76C3EFBC">
      <w:pPr>
        <w:spacing w:line="360" w:lineRule="auto"/>
        <w:ind w:firstLine="435"/>
        <w:rPr>
          <w:rFonts w:ascii="宋体" w:hAnsi="宋体"/>
          <w:sz w:val="24"/>
        </w:rPr>
      </w:pPr>
      <w:r>
        <w:rPr>
          <w:rFonts w:hint="eastAsia" w:ascii="宋体" w:hAnsi="宋体"/>
          <w:sz w:val="24"/>
        </w:rPr>
        <w:t>2.5.2合同履行期间，甲方有权将履行过程中出现的问题反馈给乙方，双方当事人应以书面形式约定需要完善和改进的内容</w:t>
      </w:r>
      <w:bookmarkEnd w:id="102"/>
      <w:bookmarkStart w:id="108" w:name="_Toc186431855"/>
      <w:r>
        <w:rPr>
          <w:rFonts w:hint="eastAsia" w:ascii="宋体" w:hAnsi="宋体"/>
          <w:sz w:val="24"/>
        </w:rPr>
        <w:t>。</w:t>
      </w:r>
    </w:p>
    <w:bookmarkEnd w:id="108"/>
    <w:p w14:paraId="1E985B16">
      <w:pPr>
        <w:spacing w:line="360" w:lineRule="auto"/>
        <w:ind w:firstLine="437"/>
        <w:outlineLvl w:val="3"/>
        <w:rPr>
          <w:rFonts w:ascii="宋体" w:hAnsi="宋体"/>
          <w:b/>
          <w:bCs/>
          <w:sz w:val="24"/>
          <w:lang w:val="zh-CN"/>
        </w:rPr>
      </w:pPr>
      <w:bookmarkStart w:id="109" w:name="_Toc28451"/>
      <w:bookmarkStart w:id="110" w:name="_Toc19219"/>
      <w:bookmarkStart w:id="111" w:name="_Toc7836"/>
      <w:r>
        <w:rPr>
          <w:rFonts w:hint="eastAsia" w:ascii="宋体" w:hAnsi="宋体"/>
          <w:b/>
          <w:bCs/>
          <w:sz w:val="24"/>
          <w:lang w:val="zh-CN"/>
        </w:rPr>
        <w:t xml:space="preserve">2.6 </w:t>
      </w:r>
      <w:r>
        <w:rPr>
          <w:rFonts w:ascii="宋体" w:hAnsi="宋体"/>
          <w:b/>
          <w:bCs/>
          <w:sz w:val="24"/>
          <w:lang w:val="zh-CN"/>
        </w:rPr>
        <w:t>结算方式和付款条件</w:t>
      </w:r>
      <w:bookmarkEnd w:id="103"/>
      <w:bookmarkEnd w:id="104"/>
      <w:bookmarkEnd w:id="105"/>
      <w:bookmarkEnd w:id="106"/>
      <w:bookmarkEnd w:id="107"/>
      <w:bookmarkEnd w:id="109"/>
      <w:bookmarkEnd w:id="110"/>
      <w:bookmarkEnd w:id="111"/>
    </w:p>
    <w:p w14:paraId="06558CF6">
      <w:pPr>
        <w:spacing w:line="360" w:lineRule="auto"/>
        <w:ind w:firstLine="435"/>
        <w:rPr>
          <w:rFonts w:ascii="宋体" w:hAnsi="宋体"/>
          <w:sz w:val="24"/>
        </w:rPr>
      </w:pPr>
      <w:r>
        <w:rPr>
          <w:rFonts w:ascii="宋体" w:hAnsi="宋体"/>
          <w:sz w:val="24"/>
        </w:rPr>
        <w:t>详见</w:t>
      </w:r>
      <w:r>
        <w:rPr>
          <w:rFonts w:ascii="宋体" w:hAnsi="宋体"/>
          <w:b/>
          <w:i/>
          <w:sz w:val="24"/>
          <w:u w:val="single"/>
        </w:rPr>
        <w:t>合同专用条款</w:t>
      </w:r>
      <w:r>
        <w:rPr>
          <w:rFonts w:ascii="宋体" w:hAnsi="宋体"/>
          <w:sz w:val="24"/>
        </w:rPr>
        <w:t>。</w:t>
      </w:r>
    </w:p>
    <w:p w14:paraId="2DAB042C">
      <w:pPr>
        <w:spacing w:line="360" w:lineRule="auto"/>
        <w:ind w:firstLine="437"/>
        <w:outlineLvl w:val="3"/>
        <w:rPr>
          <w:rFonts w:ascii="宋体" w:hAnsi="宋体"/>
          <w:b/>
          <w:bCs/>
          <w:sz w:val="24"/>
          <w:lang w:val="zh-CN"/>
        </w:rPr>
      </w:pPr>
      <w:bookmarkStart w:id="112" w:name="_Ref467379863"/>
      <w:bookmarkStart w:id="113" w:name="_Ref467379852"/>
      <w:bookmarkStart w:id="114" w:name="_Toc259093677"/>
      <w:bookmarkStart w:id="115" w:name="_Ref467379923"/>
      <w:bookmarkStart w:id="116" w:name="_Toc487900358"/>
      <w:bookmarkStart w:id="117" w:name="_Toc279701248"/>
      <w:bookmarkStart w:id="118" w:name="_Toc774"/>
      <w:bookmarkStart w:id="119" w:name="_Toc16110"/>
      <w:bookmarkStart w:id="120" w:name="_Toc3225"/>
      <w:r>
        <w:rPr>
          <w:rFonts w:hint="eastAsia" w:ascii="宋体" w:hAnsi="宋体"/>
          <w:b/>
          <w:bCs/>
          <w:sz w:val="24"/>
          <w:lang w:val="zh-CN"/>
        </w:rPr>
        <w:t xml:space="preserve">2.7 </w:t>
      </w:r>
      <w:r>
        <w:rPr>
          <w:rFonts w:ascii="宋体" w:hAnsi="宋体"/>
          <w:b/>
          <w:bCs/>
          <w:sz w:val="24"/>
          <w:lang w:val="zh-CN"/>
        </w:rPr>
        <w:t>技术资料</w:t>
      </w:r>
      <w:bookmarkEnd w:id="112"/>
      <w:bookmarkEnd w:id="113"/>
      <w:bookmarkEnd w:id="114"/>
      <w:bookmarkEnd w:id="115"/>
      <w:bookmarkEnd w:id="116"/>
      <w:bookmarkEnd w:id="117"/>
      <w:r>
        <w:rPr>
          <w:rFonts w:ascii="宋体" w:hAnsi="宋体"/>
          <w:b/>
          <w:bCs/>
          <w:sz w:val="24"/>
          <w:lang w:val="zh-CN"/>
        </w:rPr>
        <w:t>和保密义务</w:t>
      </w:r>
      <w:bookmarkEnd w:id="118"/>
      <w:bookmarkEnd w:id="119"/>
      <w:bookmarkEnd w:id="120"/>
    </w:p>
    <w:p w14:paraId="39B3F743">
      <w:pPr>
        <w:spacing w:line="360" w:lineRule="auto"/>
        <w:ind w:firstLine="435"/>
        <w:rPr>
          <w:rFonts w:ascii="宋体" w:hAnsi="宋体"/>
          <w:sz w:val="24"/>
        </w:rPr>
      </w:pPr>
      <w:r>
        <w:rPr>
          <w:rFonts w:hint="eastAsia" w:ascii="宋体" w:hAnsi="宋体"/>
          <w:sz w:val="24"/>
        </w:rPr>
        <w:t>2.7</w:t>
      </w:r>
      <w:r>
        <w:rPr>
          <w:rFonts w:ascii="宋体" w:hAnsi="宋体"/>
          <w:sz w:val="24"/>
        </w:rPr>
        <w:t>.1</w:t>
      </w:r>
      <w:r>
        <w:rPr>
          <w:rFonts w:hint="eastAsia" w:ascii="宋体" w:hAnsi="宋体"/>
          <w:sz w:val="24"/>
        </w:rPr>
        <w:t>乙方有权依据合同约定和项目需要，向甲方了解有关情况，调阅有关资料等，甲方应予积极配合；</w:t>
      </w:r>
    </w:p>
    <w:p w14:paraId="278D1EC1">
      <w:pPr>
        <w:spacing w:line="360" w:lineRule="auto"/>
        <w:ind w:firstLine="435"/>
        <w:rPr>
          <w:rFonts w:ascii="宋体" w:hAnsi="宋体"/>
          <w:sz w:val="24"/>
        </w:rPr>
      </w:pPr>
      <w:r>
        <w:rPr>
          <w:rFonts w:hint="eastAsia" w:ascii="宋体" w:hAnsi="宋体"/>
          <w:sz w:val="24"/>
        </w:rPr>
        <w:t>2.7.2乙方有义务妥善保管和保护由甲方提供的前款信息和资料等；</w:t>
      </w:r>
    </w:p>
    <w:p w14:paraId="7DC7263E">
      <w:pPr>
        <w:spacing w:line="360" w:lineRule="auto"/>
        <w:ind w:firstLine="435"/>
        <w:rPr>
          <w:rFonts w:ascii="宋体" w:hAnsi="宋体"/>
          <w:sz w:val="24"/>
        </w:rPr>
      </w:pPr>
      <w:r>
        <w:rPr>
          <w:rFonts w:hint="eastAsia" w:ascii="宋体" w:hAnsi="宋体"/>
          <w:sz w:val="24"/>
        </w:rPr>
        <w:t>2.7</w:t>
      </w:r>
      <w:r>
        <w:rPr>
          <w:rFonts w:ascii="宋体" w:hAnsi="宋体"/>
          <w:sz w:val="24"/>
        </w:rPr>
        <w:t>.</w:t>
      </w: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5A68883E">
      <w:pPr>
        <w:spacing w:line="360" w:lineRule="auto"/>
        <w:ind w:firstLine="437"/>
        <w:outlineLvl w:val="3"/>
        <w:rPr>
          <w:rFonts w:ascii="宋体" w:hAnsi="宋体"/>
          <w:b/>
          <w:bCs/>
          <w:sz w:val="24"/>
          <w:lang w:val="zh-CN"/>
        </w:rPr>
      </w:pPr>
      <w:bookmarkStart w:id="121" w:name="_Toc7860"/>
      <w:r>
        <w:rPr>
          <w:rFonts w:ascii="宋体" w:hAnsi="宋体"/>
          <w:b/>
          <w:bCs/>
          <w:sz w:val="24"/>
          <w:lang w:val="zh-CN"/>
        </w:rPr>
        <w:t>2.8 质量保证</w:t>
      </w:r>
      <w:bookmarkEnd w:id="121"/>
    </w:p>
    <w:p w14:paraId="1496712E">
      <w:pPr>
        <w:spacing w:line="360" w:lineRule="auto"/>
        <w:ind w:firstLine="435"/>
        <w:rPr>
          <w:rFonts w:ascii="宋体" w:hAnsi="宋体"/>
          <w:sz w:val="24"/>
        </w:rPr>
      </w:pPr>
      <w:r>
        <w:rPr>
          <w:rFonts w:hint="eastAsia" w:ascii="宋体" w:hAnsi="宋体"/>
          <w:sz w:val="24"/>
        </w:rPr>
        <w:t>2.8.1乙方应建立和完善履行合同的内部质量保证体系，并提供相关内部规章制度给甲方，以便甲方进行监督检查；</w:t>
      </w:r>
    </w:p>
    <w:p w14:paraId="7AC09F00">
      <w:pPr>
        <w:spacing w:line="360" w:lineRule="auto"/>
        <w:ind w:firstLine="435"/>
        <w:rPr>
          <w:rFonts w:ascii="宋体" w:hAnsi="宋体"/>
          <w:sz w:val="24"/>
        </w:rPr>
      </w:pPr>
      <w:r>
        <w:rPr>
          <w:rFonts w:hint="eastAsia" w:ascii="宋体" w:hAnsi="宋体"/>
          <w:sz w:val="24"/>
        </w:rPr>
        <w:t>2.8.2乙方应保证履行合同的人员数量和素质、软件和硬件设备的配置、场地、环境和设施等满足全面履行合同的要求，并应接受甲方的监督检查。</w:t>
      </w:r>
    </w:p>
    <w:p w14:paraId="7BF54A82">
      <w:pPr>
        <w:spacing w:line="360" w:lineRule="auto"/>
        <w:ind w:firstLine="437"/>
        <w:outlineLvl w:val="3"/>
        <w:rPr>
          <w:rFonts w:ascii="宋体" w:hAnsi="宋体"/>
          <w:b/>
          <w:bCs/>
          <w:sz w:val="24"/>
          <w:lang w:val="zh-CN"/>
        </w:rPr>
      </w:pPr>
      <w:bookmarkStart w:id="122" w:name="_Toc17244"/>
      <w:bookmarkStart w:id="123" w:name="_Toc259093681"/>
      <w:bookmarkStart w:id="124" w:name="_Toc487900362"/>
      <w:bookmarkStart w:id="125" w:name="_Toc279701252"/>
      <w:r>
        <w:rPr>
          <w:rFonts w:ascii="宋体" w:hAnsi="宋体"/>
          <w:b/>
          <w:bCs/>
          <w:sz w:val="24"/>
          <w:lang w:val="zh-CN"/>
        </w:rPr>
        <w:t>2.9 货物的风险负担</w:t>
      </w:r>
      <w:bookmarkEnd w:id="122"/>
    </w:p>
    <w:p w14:paraId="6A88D05A">
      <w:pPr>
        <w:spacing w:line="360" w:lineRule="auto"/>
        <w:ind w:firstLine="435"/>
        <w:rPr>
          <w:rFonts w:ascii="宋体" w:hAnsi="宋体"/>
          <w:b/>
          <w:sz w:val="24"/>
        </w:rPr>
      </w:pPr>
      <w:r>
        <w:rPr>
          <w:rFonts w:hint="eastAsia" w:ascii="宋体" w:hAnsi="宋体"/>
          <w:sz w:val="24"/>
        </w:rPr>
        <w:t>货物或者在途货物或者交付给第一承运人后的货物毁损、灭失的风险负担</w:t>
      </w:r>
      <w:r>
        <w:rPr>
          <w:rFonts w:ascii="宋体" w:hAnsi="宋体"/>
          <w:sz w:val="24"/>
        </w:rPr>
        <w:t>详见</w:t>
      </w:r>
      <w:r>
        <w:rPr>
          <w:rFonts w:ascii="宋体" w:hAnsi="宋体"/>
          <w:b/>
          <w:i/>
          <w:sz w:val="24"/>
          <w:u w:val="single"/>
        </w:rPr>
        <w:t>合同专用条款</w:t>
      </w:r>
      <w:r>
        <w:rPr>
          <w:rFonts w:ascii="宋体" w:hAnsi="宋体"/>
          <w:sz w:val="24"/>
        </w:rPr>
        <w:t>。</w:t>
      </w:r>
    </w:p>
    <w:p w14:paraId="40EC1849">
      <w:pPr>
        <w:spacing w:line="360" w:lineRule="auto"/>
        <w:ind w:firstLine="437"/>
        <w:outlineLvl w:val="3"/>
        <w:rPr>
          <w:rFonts w:ascii="宋体" w:hAnsi="宋体"/>
          <w:b/>
          <w:bCs/>
          <w:sz w:val="24"/>
          <w:lang w:val="zh-CN"/>
        </w:rPr>
      </w:pPr>
      <w:bookmarkStart w:id="126" w:name="_Toc14055"/>
      <w:r>
        <w:rPr>
          <w:rFonts w:ascii="宋体" w:hAnsi="宋体"/>
          <w:b/>
          <w:bCs/>
          <w:sz w:val="24"/>
          <w:lang w:val="zh-CN"/>
        </w:rPr>
        <w:t>2.10 延迟交货</w:t>
      </w:r>
      <w:bookmarkEnd w:id="123"/>
      <w:bookmarkEnd w:id="124"/>
      <w:bookmarkEnd w:id="125"/>
      <w:bookmarkEnd w:id="126"/>
    </w:p>
    <w:p w14:paraId="508C4E62">
      <w:pPr>
        <w:spacing w:line="360" w:lineRule="auto"/>
        <w:ind w:firstLine="435"/>
        <w:rPr>
          <w:rFonts w:ascii="宋体" w:hAnsi="宋体"/>
          <w:sz w:val="24"/>
        </w:rPr>
      </w:pPr>
      <w:r>
        <w:rPr>
          <w:rFonts w:ascii="宋体" w:hAnsi="宋体"/>
          <w:sz w:val="24"/>
        </w:rPr>
        <w:t>在合同履行过程中，如果乙方遇到不能按时交付货物的情况，应及时以书面形式将不能按时</w:t>
      </w:r>
      <w:r>
        <w:rPr>
          <w:rFonts w:hint="eastAsia" w:ascii="宋体" w:hAnsi="宋体"/>
          <w:sz w:val="24"/>
        </w:rPr>
        <w:t>交付货物</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方收到乙方通知后，认为其理由正当的，可以书面形式酌情同意乙方可以延长交货的具体时间。</w:t>
      </w:r>
    </w:p>
    <w:p w14:paraId="59D7DC4C">
      <w:pPr>
        <w:spacing w:line="360" w:lineRule="auto"/>
        <w:ind w:firstLine="437"/>
        <w:outlineLvl w:val="3"/>
        <w:rPr>
          <w:rFonts w:ascii="宋体" w:hAnsi="宋体"/>
          <w:b/>
          <w:bCs/>
          <w:sz w:val="24"/>
          <w:lang w:val="zh-CN"/>
        </w:rPr>
      </w:pPr>
      <w:bookmarkStart w:id="127" w:name="_Toc7502"/>
      <w:bookmarkStart w:id="128" w:name="_Toc259093683"/>
      <w:bookmarkStart w:id="129" w:name="_Toc487900364"/>
      <w:bookmarkStart w:id="130" w:name="_Toc279701254"/>
      <w:bookmarkStart w:id="131" w:name="_Ref467378121"/>
      <w:r>
        <w:rPr>
          <w:rFonts w:ascii="宋体" w:hAnsi="宋体"/>
          <w:b/>
          <w:bCs/>
          <w:sz w:val="24"/>
          <w:lang w:val="zh-CN"/>
        </w:rPr>
        <w:t>2.11 合同变更</w:t>
      </w:r>
      <w:bookmarkEnd w:id="127"/>
    </w:p>
    <w:p w14:paraId="3BA81CC1">
      <w:pPr>
        <w:spacing w:line="360" w:lineRule="auto"/>
        <w:ind w:firstLine="435"/>
        <w:rPr>
          <w:rFonts w:ascii="宋体" w:hAnsi="宋体"/>
          <w:sz w:val="24"/>
        </w:rPr>
      </w:pPr>
      <w:r>
        <w:rPr>
          <w:rFonts w:hint="eastAsia" w:ascii="宋体" w:hAnsi="宋体"/>
          <w:sz w:val="24"/>
        </w:rPr>
        <w:t>2.11.1双方当事人协商一致，可以签订书面补充合同的形式变更合同，但不得违背采购文件确定的事项；</w:t>
      </w:r>
    </w:p>
    <w:p w14:paraId="3281C41D">
      <w:pPr>
        <w:spacing w:line="360" w:lineRule="auto"/>
        <w:ind w:firstLine="435"/>
        <w:rPr>
          <w:rFonts w:ascii="宋体" w:hAnsi="宋体"/>
          <w:sz w:val="24"/>
        </w:rPr>
      </w:pPr>
      <w:r>
        <w:rPr>
          <w:rFonts w:hint="eastAsia" w:ascii="宋体" w:hAnsi="宋体"/>
          <w:sz w:val="24"/>
        </w:rPr>
        <w:t>2.11.2合同继续履行将损害国家利益和社会公共利益的，双方当事人应当以书面形式变更合同。有过错的一方应当承担赔偿责任，双方当事人都有过错的，各自承担相应的责任。</w:t>
      </w:r>
      <w:bookmarkStart w:id="132" w:name="_Toc487900369"/>
      <w:bookmarkStart w:id="133" w:name="_Toc259093688"/>
      <w:bookmarkStart w:id="134" w:name="_Toc279701259"/>
    </w:p>
    <w:p w14:paraId="0D2810BF">
      <w:pPr>
        <w:spacing w:line="360" w:lineRule="auto"/>
        <w:ind w:firstLine="437"/>
        <w:outlineLvl w:val="3"/>
        <w:rPr>
          <w:rFonts w:ascii="宋体" w:hAnsi="宋体"/>
          <w:b/>
          <w:bCs/>
          <w:sz w:val="24"/>
          <w:lang w:val="zh-CN"/>
        </w:rPr>
      </w:pPr>
      <w:bookmarkStart w:id="135" w:name="_Toc22955"/>
      <w:bookmarkStart w:id="136" w:name="_Toc15237"/>
      <w:bookmarkStart w:id="137" w:name="_Toc10366"/>
      <w:r>
        <w:rPr>
          <w:rFonts w:hint="eastAsia" w:ascii="宋体" w:hAnsi="宋体"/>
          <w:b/>
          <w:bCs/>
          <w:sz w:val="24"/>
          <w:lang w:val="zh-CN"/>
        </w:rPr>
        <w:t xml:space="preserve">2.12 </w:t>
      </w:r>
      <w:r>
        <w:rPr>
          <w:rFonts w:ascii="宋体" w:hAnsi="宋体"/>
          <w:b/>
          <w:bCs/>
          <w:sz w:val="24"/>
          <w:lang w:val="zh-CN"/>
        </w:rPr>
        <w:t>合同转让</w:t>
      </w:r>
      <w:bookmarkEnd w:id="132"/>
      <w:bookmarkEnd w:id="133"/>
      <w:bookmarkEnd w:id="134"/>
      <w:r>
        <w:rPr>
          <w:rFonts w:ascii="宋体" w:hAnsi="宋体"/>
          <w:b/>
          <w:bCs/>
          <w:sz w:val="24"/>
          <w:lang w:val="zh-CN"/>
        </w:rPr>
        <w:t>和分包</w:t>
      </w:r>
      <w:bookmarkEnd w:id="135"/>
      <w:bookmarkEnd w:id="136"/>
      <w:bookmarkEnd w:id="137"/>
    </w:p>
    <w:p w14:paraId="25D815E1">
      <w:pPr>
        <w:spacing w:line="360" w:lineRule="auto"/>
        <w:ind w:firstLine="435"/>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与分包投标人就分包项目向甲方承担连带责任。</w:t>
      </w:r>
    </w:p>
    <w:p w14:paraId="65181293">
      <w:pPr>
        <w:spacing w:line="360" w:lineRule="auto"/>
        <w:ind w:firstLine="437"/>
        <w:outlineLvl w:val="3"/>
        <w:rPr>
          <w:rFonts w:ascii="宋体" w:hAnsi="宋体"/>
          <w:b/>
          <w:bCs/>
          <w:sz w:val="24"/>
          <w:lang w:val="zh-CN"/>
        </w:rPr>
      </w:pPr>
      <w:bookmarkStart w:id="138" w:name="_Toc14066"/>
      <w:bookmarkStart w:id="139" w:name="_Toc16508"/>
      <w:bookmarkStart w:id="140" w:name="_Toc13566"/>
      <w:r>
        <w:rPr>
          <w:rFonts w:hint="eastAsia" w:ascii="宋体" w:hAnsi="宋体"/>
          <w:b/>
          <w:bCs/>
          <w:sz w:val="24"/>
          <w:lang w:val="zh-CN"/>
        </w:rPr>
        <w:t>2.13</w:t>
      </w:r>
      <w:r>
        <w:rPr>
          <w:rFonts w:ascii="宋体" w:hAnsi="宋体"/>
          <w:b/>
          <w:bCs/>
          <w:sz w:val="24"/>
          <w:lang w:val="zh-CN"/>
        </w:rPr>
        <w:t xml:space="preserve"> 不可抗力</w:t>
      </w:r>
      <w:bookmarkEnd w:id="138"/>
      <w:bookmarkEnd w:id="139"/>
      <w:bookmarkEnd w:id="140"/>
    </w:p>
    <w:p w14:paraId="6428B280">
      <w:pPr>
        <w:spacing w:line="360" w:lineRule="auto"/>
        <w:ind w:firstLine="435"/>
        <w:rPr>
          <w:rFonts w:ascii="宋体" w:hAnsi="宋体"/>
          <w:sz w:val="24"/>
        </w:rPr>
      </w:pPr>
      <w:r>
        <w:rPr>
          <w:rFonts w:hint="eastAsia" w:ascii="宋体" w:hAnsi="宋体"/>
          <w:sz w:val="24"/>
        </w:rPr>
        <w:t>2.13</w:t>
      </w:r>
      <w:r>
        <w:rPr>
          <w:rFonts w:ascii="宋体" w:hAnsi="宋体"/>
          <w:sz w:val="24"/>
        </w:rPr>
        <w:t>.1如果任何一方遭遇法律规定的不可抗力，致使合同履行受阻时，履行合同的期限应予延长，延长的期限应相当于不可抗力所影响的时间</w:t>
      </w:r>
      <w:r>
        <w:rPr>
          <w:rFonts w:hint="eastAsia" w:ascii="宋体" w:hAnsi="宋体"/>
          <w:sz w:val="24"/>
        </w:rPr>
        <w:t>；</w:t>
      </w:r>
    </w:p>
    <w:p w14:paraId="7E30742D">
      <w:pPr>
        <w:spacing w:line="360" w:lineRule="auto"/>
        <w:ind w:firstLine="435"/>
        <w:rPr>
          <w:rFonts w:ascii="宋体" w:hAnsi="宋体"/>
          <w:sz w:val="24"/>
        </w:rPr>
      </w:pPr>
      <w:r>
        <w:rPr>
          <w:rFonts w:hint="eastAsia" w:ascii="宋体" w:hAnsi="宋体"/>
          <w:sz w:val="24"/>
        </w:rPr>
        <w:t>2.13.2因不可抗力致使不能实现合同目的的，当事人可以解除合同；</w:t>
      </w:r>
    </w:p>
    <w:p w14:paraId="54E10F48">
      <w:pPr>
        <w:spacing w:line="360" w:lineRule="auto"/>
        <w:ind w:firstLine="435"/>
        <w:rPr>
          <w:rFonts w:ascii="宋体" w:hAnsi="宋体"/>
          <w:sz w:val="24"/>
        </w:rPr>
      </w:pPr>
      <w:r>
        <w:rPr>
          <w:rFonts w:hint="eastAsia" w:ascii="宋体" w:hAnsi="宋体"/>
          <w:sz w:val="24"/>
        </w:rPr>
        <w:t>2.13.3因</w:t>
      </w:r>
      <w:r>
        <w:rPr>
          <w:rFonts w:ascii="宋体" w:hAnsi="宋体"/>
          <w:sz w:val="24"/>
        </w:rPr>
        <w:t>不可抗力致使合同有变更必要的，双方当事人应在</w:t>
      </w:r>
      <w:r>
        <w:rPr>
          <w:rFonts w:ascii="宋体" w:hAnsi="宋体"/>
          <w:b/>
          <w:i/>
          <w:sz w:val="24"/>
          <w:u w:val="single"/>
        </w:rPr>
        <w:t>合同专用条款</w:t>
      </w:r>
      <w:r>
        <w:rPr>
          <w:rFonts w:ascii="宋体" w:hAnsi="宋体"/>
          <w:sz w:val="24"/>
        </w:rPr>
        <w:t>约定时间内以书面形式变更合同</w:t>
      </w:r>
      <w:r>
        <w:rPr>
          <w:rFonts w:hint="eastAsia" w:ascii="宋体" w:hAnsi="宋体"/>
          <w:sz w:val="24"/>
        </w:rPr>
        <w:t>；</w:t>
      </w:r>
    </w:p>
    <w:p w14:paraId="4838460E">
      <w:pPr>
        <w:spacing w:line="360" w:lineRule="auto"/>
        <w:ind w:firstLine="435"/>
        <w:rPr>
          <w:rFonts w:ascii="宋体" w:hAnsi="宋体"/>
          <w:sz w:val="24"/>
        </w:rPr>
      </w:pPr>
      <w:r>
        <w:rPr>
          <w:rFonts w:hint="eastAsia" w:ascii="宋体" w:hAnsi="宋体"/>
          <w:sz w:val="24"/>
        </w:rPr>
        <w:t>2.13</w:t>
      </w:r>
      <w:r>
        <w:rPr>
          <w:rFonts w:ascii="宋体" w:hAnsi="宋体"/>
          <w:sz w:val="24"/>
        </w:rPr>
        <w:t>.</w:t>
      </w: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ascii="宋体" w:hAnsi="宋体"/>
          <w:b/>
          <w:i/>
          <w:sz w:val="24"/>
          <w:u w:val="single"/>
        </w:rPr>
        <w:t>合同专用条款</w:t>
      </w:r>
      <w:r>
        <w:rPr>
          <w:rFonts w:ascii="宋体" w:hAnsi="宋体"/>
          <w:sz w:val="24"/>
        </w:rPr>
        <w:t>约定时间内以书面形式通知</w:t>
      </w:r>
      <w:r>
        <w:rPr>
          <w:rFonts w:hint="eastAsia" w:ascii="宋体" w:hAnsi="宋体"/>
          <w:sz w:val="24"/>
        </w:rPr>
        <w:t>对</w:t>
      </w:r>
      <w:r>
        <w:rPr>
          <w:rFonts w:ascii="宋体" w:hAnsi="宋体"/>
          <w:sz w:val="24"/>
        </w:rPr>
        <w:t>方当事人，并在</w:t>
      </w:r>
      <w:r>
        <w:rPr>
          <w:rFonts w:ascii="宋体" w:hAnsi="宋体"/>
          <w:b/>
          <w:i/>
          <w:sz w:val="24"/>
          <w:u w:val="single"/>
        </w:rPr>
        <w:t>合同专用条款</w:t>
      </w:r>
      <w:r>
        <w:rPr>
          <w:rFonts w:ascii="宋体" w:hAnsi="宋体"/>
          <w:sz w:val="24"/>
        </w:rPr>
        <w:t>约定时间内，将有关部门出具的证明文件送达</w:t>
      </w:r>
      <w:r>
        <w:rPr>
          <w:rFonts w:hint="eastAsia" w:ascii="宋体" w:hAnsi="宋体"/>
          <w:sz w:val="24"/>
        </w:rPr>
        <w:t>对方当事人</w:t>
      </w:r>
      <w:r>
        <w:rPr>
          <w:rFonts w:ascii="宋体" w:hAnsi="宋体"/>
          <w:sz w:val="24"/>
        </w:rPr>
        <w:t>。</w:t>
      </w:r>
    </w:p>
    <w:p w14:paraId="33AB8988">
      <w:pPr>
        <w:spacing w:line="360" w:lineRule="auto"/>
        <w:ind w:firstLine="437"/>
        <w:outlineLvl w:val="3"/>
        <w:rPr>
          <w:rFonts w:ascii="宋体" w:hAnsi="宋体"/>
          <w:b/>
          <w:bCs/>
          <w:sz w:val="24"/>
          <w:lang w:val="zh-CN"/>
        </w:rPr>
      </w:pPr>
      <w:bookmarkStart w:id="141" w:name="_Toc279701255"/>
      <w:bookmarkStart w:id="142" w:name="_Toc30676"/>
      <w:bookmarkStart w:id="143" w:name="_Toc259093684"/>
      <w:bookmarkStart w:id="144" w:name="_Toc6969"/>
      <w:bookmarkStart w:id="145" w:name="_Toc487900365"/>
      <w:bookmarkStart w:id="146" w:name="_Toc689"/>
      <w:r>
        <w:rPr>
          <w:rFonts w:hint="eastAsia" w:ascii="宋体" w:hAnsi="宋体"/>
          <w:b/>
          <w:bCs/>
          <w:sz w:val="24"/>
          <w:lang w:val="zh-CN"/>
        </w:rPr>
        <w:t>2.</w:t>
      </w:r>
      <w:r>
        <w:rPr>
          <w:rFonts w:ascii="宋体" w:hAnsi="宋体"/>
          <w:b/>
          <w:bCs/>
          <w:sz w:val="24"/>
          <w:lang w:val="zh-CN"/>
        </w:rPr>
        <w:t>1</w:t>
      </w:r>
      <w:r>
        <w:rPr>
          <w:rFonts w:hint="eastAsia" w:ascii="宋体" w:hAnsi="宋体"/>
          <w:b/>
          <w:bCs/>
          <w:sz w:val="24"/>
          <w:lang w:val="zh-CN"/>
        </w:rPr>
        <w:t xml:space="preserve">4 </w:t>
      </w:r>
      <w:r>
        <w:rPr>
          <w:rFonts w:ascii="宋体" w:hAnsi="宋体"/>
          <w:b/>
          <w:bCs/>
          <w:sz w:val="24"/>
          <w:lang w:val="zh-CN"/>
        </w:rPr>
        <w:t>税费</w:t>
      </w:r>
      <w:bookmarkEnd w:id="141"/>
      <w:bookmarkEnd w:id="142"/>
      <w:bookmarkEnd w:id="143"/>
      <w:bookmarkEnd w:id="144"/>
      <w:bookmarkEnd w:id="145"/>
      <w:bookmarkEnd w:id="146"/>
    </w:p>
    <w:p w14:paraId="32390BA7">
      <w:pPr>
        <w:spacing w:line="360" w:lineRule="auto"/>
        <w:ind w:firstLine="435"/>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w:t>
      </w:r>
      <w:r>
        <w:rPr>
          <w:rFonts w:hint="eastAsia" w:ascii="宋体" w:hAnsi="宋体"/>
          <w:sz w:val="24"/>
        </w:rPr>
        <w:t>缴纳</w:t>
      </w:r>
      <w:r>
        <w:rPr>
          <w:rFonts w:ascii="宋体" w:hAnsi="宋体"/>
          <w:sz w:val="24"/>
        </w:rPr>
        <w:t>。</w:t>
      </w:r>
    </w:p>
    <w:p w14:paraId="3C1C5CD4">
      <w:pPr>
        <w:spacing w:line="360" w:lineRule="auto"/>
        <w:ind w:firstLine="437"/>
        <w:outlineLvl w:val="3"/>
        <w:rPr>
          <w:rFonts w:ascii="宋体" w:hAnsi="宋体"/>
          <w:b/>
          <w:bCs/>
          <w:sz w:val="24"/>
          <w:lang w:val="zh-CN"/>
        </w:rPr>
      </w:pPr>
      <w:bookmarkStart w:id="147" w:name="_Toc7102"/>
      <w:bookmarkStart w:id="148" w:name="_Toc487900368"/>
      <w:bookmarkStart w:id="149" w:name="_Toc16959"/>
      <w:bookmarkStart w:id="150" w:name="_Toc259093687"/>
      <w:bookmarkStart w:id="151" w:name="_Toc8298"/>
      <w:bookmarkStart w:id="152" w:name="_Toc279701258"/>
      <w:r>
        <w:rPr>
          <w:rFonts w:hint="eastAsia" w:ascii="宋体" w:hAnsi="宋体"/>
          <w:b/>
          <w:bCs/>
          <w:sz w:val="24"/>
          <w:lang w:val="zh-CN"/>
        </w:rPr>
        <w:t>2.</w:t>
      </w:r>
      <w:r>
        <w:rPr>
          <w:rFonts w:ascii="宋体" w:hAnsi="宋体"/>
          <w:b/>
          <w:bCs/>
          <w:sz w:val="24"/>
          <w:lang w:val="zh-CN"/>
        </w:rPr>
        <w:t>1</w:t>
      </w:r>
      <w:r>
        <w:rPr>
          <w:rFonts w:hint="eastAsia" w:ascii="宋体" w:hAnsi="宋体"/>
          <w:b/>
          <w:bCs/>
          <w:sz w:val="24"/>
          <w:lang w:val="zh-CN"/>
        </w:rPr>
        <w:t xml:space="preserve">5 </w:t>
      </w:r>
      <w:r>
        <w:rPr>
          <w:rFonts w:ascii="宋体" w:hAnsi="宋体"/>
          <w:b/>
          <w:bCs/>
          <w:sz w:val="24"/>
          <w:lang w:val="zh-CN"/>
        </w:rPr>
        <w:t>乙方破产</w:t>
      </w:r>
      <w:bookmarkEnd w:id="147"/>
      <w:bookmarkEnd w:id="148"/>
      <w:bookmarkEnd w:id="149"/>
      <w:bookmarkEnd w:id="150"/>
      <w:bookmarkEnd w:id="151"/>
      <w:bookmarkEnd w:id="152"/>
    </w:p>
    <w:p w14:paraId="53008782">
      <w:pPr>
        <w:spacing w:line="360" w:lineRule="auto"/>
        <w:ind w:firstLine="435"/>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26742780">
      <w:pPr>
        <w:spacing w:line="360" w:lineRule="auto"/>
        <w:ind w:firstLine="437"/>
        <w:outlineLvl w:val="3"/>
        <w:rPr>
          <w:rFonts w:ascii="宋体" w:hAnsi="宋体"/>
          <w:b/>
          <w:sz w:val="24"/>
        </w:rPr>
      </w:pPr>
      <w:bookmarkStart w:id="153" w:name="_Toc29333"/>
      <w:bookmarkStart w:id="154" w:name="_Toc15387"/>
      <w:bookmarkStart w:id="155" w:name="_Toc6134"/>
      <w:r>
        <w:rPr>
          <w:rFonts w:hint="eastAsia" w:ascii="宋体" w:hAnsi="宋体"/>
          <w:b/>
          <w:bCs/>
          <w:sz w:val="24"/>
          <w:lang w:val="zh-CN"/>
        </w:rPr>
        <w:t>2.16 合同中止、终止</w:t>
      </w:r>
      <w:bookmarkEnd w:id="153"/>
      <w:bookmarkEnd w:id="154"/>
      <w:bookmarkEnd w:id="155"/>
    </w:p>
    <w:p w14:paraId="3E40FFE0">
      <w:pPr>
        <w:spacing w:line="360" w:lineRule="auto"/>
        <w:ind w:firstLine="435"/>
        <w:rPr>
          <w:rFonts w:ascii="宋体" w:hAnsi="宋体"/>
          <w:sz w:val="24"/>
        </w:rPr>
      </w:pPr>
      <w:r>
        <w:rPr>
          <w:rFonts w:hint="eastAsia" w:ascii="宋体" w:hAnsi="宋体"/>
          <w:sz w:val="24"/>
        </w:rPr>
        <w:t>2.16.1双方当事人不得擅自中止或者终止合同；</w:t>
      </w:r>
    </w:p>
    <w:p w14:paraId="2F03D719">
      <w:pPr>
        <w:spacing w:line="360" w:lineRule="auto"/>
        <w:ind w:firstLine="435"/>
        <w:rPr>
          <w:rFonts w:ascii="宋体" w:hAnsi="宋体"/>
          <w:sz w:val="24"/>
        </w:rPr>
      </w:pPr>
      <w:r>
        <w:rPr>
          <w:rFonts w:hint="eastAsia" w:ascii="宋体" w:hAnsi="宋体"/>
          <w:sz w:val="24"/>
        </w:rPr>
        <w:t>2.16.2合同继续履行将损害国家利益和社会公共利益的，双方当事人应当中止或者终止合同。有过错的一方应当承担赔偿责任，双方当事人都有过错的，各自承担相应的责任。</w:t>
      </w:r>
    </w:p>
    <w:p w14:paraId="724AA4E1">
      <w:pPr>
        <w:spacing w:line="360" w:lineRule="auto"/>
        <w:ind w:firstLine="437"/>
        <w:outlineLvl w:val="3"/>
        <w:rPr>
          <w:rFonts w:ascii="宋体" w:hAnsi="宋体"/>
          <w:b/>
          <w:bCs/>
          <w:sz w:val="24"/>
          <w:lang w:val="zh-CN"/>
        </w:rPr>
      </w:pPr>
      <w:bookmarkStart w:id="156" w:name="_Toc6596"/>
      <w:bookmarkStart w:id="157" w:name="_Toc14563"/>
      <w:bookmarkStart w:id="158" w:name="_Toc1125"/>
      <w:r>
        <w:rPr>
          <w:rFonts w:hint="eastAsia" w:ascii="宋体" w:hAnsi="宋体"/>
          <w:b/>
          <w:bCs/>
          <w:sz w:val="24"/>
          <w:lang w:val="zh-CN"/>
        </w:rPr>
        <w:t>2.17 检验和验收</w:t>
      </w:r>
      <w:bookmarkEnd w:id="156"/>
      <w:bookmarkEnd w:id="157"/>
      <w:bookmarkEnd w:id="158"/>
    </w:p>
    <w:p w14:paraId="3057EF43">
      <w:pPr>
        <w:spacing w:line="360" w:lineRule="auto"/>
        <w:ind w:firstLine="435"/>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7</w:t>
      </w:r>
      <w:r>
        <w:rPr>
          <w:rFonts w:ascii="宋体" w:hAnsi="宋体"/>
          <w:sz w:val="24"/>
        </w:rPr>
        <w:t>.</w:t>
      </w:r>
      <w:r>
        <w:rPr>
          <w:rFonts w:hint="eastAsia" w:ascii="宋体" w:hAnsi="宋体"/>
          <w:sz w:val="24"/>
        </w:rPr>
        <w:t>1货物交付前，乙方应对货物的质量、数量等方面进行详细、全面的检验，并向甲方出具证明货物符合合同约定的文件；货物交付时，乙方在</w:t>
      </w:r>
      <w:r>
        <w:rPr>
          <w:rFonts w:hint="eastAsia" w:ascii="宋体" w:hAnsi="宋体"/>
          <w:b/>
          <w:i/>
          <w:sz w:val="24"/>
          <w:u w:val="single"/>
        </w:rPr>
        <w:t>合同专用条款</w:t>
      </w:r>
      <w:r>
        <w:rPr>
          <w:rFonts w:hint="eastAsia" w:ascii="宋体" w:hAnsi="宋体"/>
          <w:sz w:val="24"/>
        </w:rPr>
        <w:t>约定时间内组织验收，并可依法邀请相关方参加，验收应出具验收书。</w:t>
      </w:r>
    </w:p>
    <w:p w14:paraId="1427CFBE">
      <w:pPr>
        <w:spacing w:line="360" w:lineRule="auto"/>
        <w:ind w:firstLine="435"/>
        <w:rPr>
          <w:rFonts w:ascii="宋体" w:hAnsi="宋体"/>
          <w:sz w:val="24"/>
        </w:rPr>
      </w:pPr>
      <w:r>
        <w:rPr>
          <w:rFonts w:hint="eastAsia" w:ascii="宋体" w:hAnsi="宋体"/>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694686D">
      <w:pPr>
        <w:spacing w:line="360" w:lineRule="auto"/>
        <w:ind w:firstLine="435"/>
        <w:rPr>
          <w:rFonts w:ascii="宋体" w:hAnsi="宋体"/>
          <w:sz w:val="24"/>
        </w:rPr>
      </w:pPr>
      <w:r>
        <w:rPr>
          <w:rFonts w:hint="eastAsia" w:ascii="宋体" w:hAnsi="宋体"/>
          <w:sz w:val="24"/>
        </w:rPr>
        <w:t>2.17.3检验和验收标准、程序等具体内容以及前述验收书的效力详见</w:t>
      </w:r>
      <w:r>
        <w:rPr>
          <w:rFonts w:ascii="宋体" w:hAnsi="宋体"/>
          <w:b/>
          <w:i/>
          <w:sz w:val="24"/>
          <w:u w:val="single"/>
        </w:rPr>
        <w:t>合同专用条款</w:t>
      </w:r>
      <w:r>
        <w:rPr>
          <w:rFonts w:hint="eastAsia" w:ascii="宋体" w:hAnsi="宋体"/>
          <w:i/>
          <w:sz w:val="24"/>
        </w:rPr>
        <w:t>。</w:t>
      </w:r>
    </w:p>
    <w:bookmarkEnd w:id="128"/>
    <w:bookmarkEnd w:id="129"/>
    <w:bookmarkEnd w:id="130"/>
    <w:bookmarkEnd w:id="131"/>
    <w:p w14:paraId="13A6F5F4">
      <w:pPr>
        <w:spacing w:line="360" w:lineRule="auto"/>
        <w:ind w:firstLine="437"/>
        <w:outlineLvl w:val="3"/>
        <w:rPr>
          <w:rFonts w:ascii="宋体" w:hAnsi="宋体"/>
          <w:b/>
          <w:sz w:val="24"/>
        </w:rPr>
      </w:pPr>
      <w:bookmarkStart w:id="159" w:name="_Toc279701262"/>
      <w:bookmarkStart w:id="160" w:name="_Toc487900372"/>
      <w:bookmarkStart w:id="161" w:name="_Toc259093691"/>
      <w:bookmarkStart w:id="162" w:name="_Toc30599"/>
      <w:bookmarkStart w:id="163" w:name="_Toc4355"/>
      <w:bookmarkStart w:id="164" w:name="_Toc18540"/>
      <w:r>
        <w:rPr>
          <w:rFonts w:hint="eastAsia" w:ascii="宋体" w:hAnsi="宋体"/>
          <w:b/>
          <w:bCs/>
          <w:sz w:val="24"/>
          <w:lang w:val="zh-CN"/>
        </w:rPr>
        <w:t>2.1</w:t>
      </w:r>
      <w:r>
        <w:rPr>
          <w:rFonts w:ascii="宋体" w:hAnsi="宋体"/>
          <w:b/>
          <w:bCs/>
          <w:sz w:val="24"/>
          <w:lang w:val="zh-CN"/>
        </w:rPr>
        <w:t>8</w:t>
      </w:r>
      <w:r>
        <w:rPr>
          <w:rFonts w:hint="eastAsia" w:ascii="宋体" w:hAnsi="宋体"/>
          <w:b/>
          <w:bCs/>
          <w:sz w:val="24"/>
          <w:lang w:val="zh-CN"/>
        </w:rPr>
        <w:t xml:space="preserve"> </w:t>
      </w:r>
      <w:r>
        <w:rPr>
          <w:rFonts w:ascii="宋体" w:hAnsi="宋体"/>
          <w:b/>
          <w:bCs/>
          <w:sz w:val="24"/>
          <w:lang w:val="zh-CN"/>
        </w:rPr>
        <w:t>计量单位</w:t>
      </w:r>
      <w:bookmarkEnd w:id="159"/>
      <w:bookmarkEnd w:id="160"/>
      <w:bookmarkEnd w:id="161"/>
      <w:bookmarkEnd w:id="162"/>
      <w:bookmarkEnd w:id="163"/>
      <w:bookmarkEnd w:id="164"/>
    </w:p>
    <w:p w14:paraId="16269F29">
      <w:pPr>
        <w:spacing w:line="360" w:lineRule="auto"/>
        <w:ind w:firstLine="435"/>
        <w:rPr>
          <w:rFonts w:ascii="宋体" w:hAnsi="宋体"/>
          <w:sz w:val="24"/>
        </w:rPr>
      </w:pPr>
      <w:r>
        <w:rPr>
          <w:rFonts w:ascii="宋体" w:hAnsi="宋体"/>
          <w:sz w:val="24"/>
        </w:rPr>
        <w:t>除技术规范中另有规定外,合同的计量单位均使用国家法定计量单位。</w:t>
      </w:r>
    </w:p>
    <w:p w14:paraId="341AD828">
      <w:pPr>
        <w:spacing w:line="360" w:lineRule="auto"/>
        <w:ind w:firstLine="437"/>
        <w:outlineLvl w:val="3"/>
        <w:rPr>
          <w:rFonts w:ascii="宋体" w:hAnsi="宋体"/>
          <w:b/>
          <w:bCs/>
          <w:sz w:val="24"/>
        </w:rPr>
      </w:pPr>
      <w:bookmarkStart w:id="165" w:name="_Toc279701263"/>
      <w:bookmarkStart w:id="166" w:name="_Toc487900373"/>
      <w:bookmarkStart w:id="167" w:name="_Toc259093692"/>
      <w:bookmarkStart w:id="168" w:name="_Toc18567"/>
      <w:bookmarkStart w:id="169" w:name="_Toc10330"/>
      <w:bookmarkStart w:id="170" w:name="_Toc12773"/>
      <w:r>
        <w:rPr>
          <w:rFonts w:hint="eastAsia" w:ascii="宋体" w:hAnsi="宋体"/>
          <w:b/>
          <w:bCs/>
          <w:sz w:val="24"/>
        </w:rPr>
        <w:t>2.</w:t>
      </w:r>
      <w:r>
        <w:rPr>
          <w:rFonts w:ascii="宋体" w:hAnsi="宋体"/>
          <w:b/>
          <w:bCs/>
          <w:sz w:val="24"/>
        </w:rPr>
        <w:t>19</w:t>
      </w:r>
      <w:r>
        <w:rPr>
          <w:rFonts w:hint="eastAsia" w:ascii="宋体" w:hAnsi="宋体"/>
          <w:b/>
          <w:bCs/>
          <w:sz w:val="24"/>
        </w:rPr>
        <w:t xml:space="preserve"> </w:t>
      </w:r>
      <w:r>
        <w:rPr>
          <w:rFonts w:hint="eastAsia" w:ascii="宋体" w:hAnsi="宋体"/>
          <w:b/>
          <w:bCs/>
          <w:sz w:val="24"/>
          <w:lang w:val="zh-CN"/>
        </w:rPr>
        <w:t>合同使用的文字和</w:t>
      </w:r>
      <w:r>
        <w:rPr>
          <w:rFonts w:ascii="宋体" w:hAnsi="宋体"/>
          <w:b/>
          <w:bCs/>
          <w:sz w:val="24"/>
          <w:lang w:val="zh-CN"/>
        </w:rPr>
        <w:t>适用的法律</w:t>
      </w:r>
      <w:bookmarkEnd w:id="165"/>
      <w:bookmarkEnd w:id="166"/>
      <w:bookmarkEnd w:id="167"/>
      <w:bookmarkEnd w:id="168"/>
      <w:bookmarkEnd w:id="169"/>
      <w:bookmarkEnd w:id="170"/>
    </w:p>
    <w:p w14:paraId="6A5F9EB9">
      <w:pPr>
        <w:spacing w:line="360" w:lineRule="auto"/>
        <w:ind w:firstLine="435"/>
        <w:rPr>
          <w:rFonts w:ascii="宋体" w:hAnsi="宋体"/>
          <w:sz w:val="24"/>
        </w:rPr>
      </w:pPr>
      <w:r>
        <w:rPr>
          <w:rFonts w:hint="eastAsia" w:ascii="宋体" w:hAnsi="宋体"/>
          <w:sz w:val="24"/>
        </w:rPr>
        <w:t>2.</w:t>
      </w:r>
      <w:r>
        <w:rPr>
          <w:rFonts w:ascii="宋体" w:hAnsi="宋体"/>
          <w:sz w:val="24"/>
        </w:rPr>
        <w:t>19.1合同使用汉语书就</w:t>
      </w:r>
      <w:r>
        <w:rPr>
          <w:rFonts w:hint="eastAsia" w:ascii="宋体" w:hAnsi="宋体"/>
          <w:sz w:val="24"/>
        </w:rPr>
        <w:t>、</w:t>
      </w:r>
      <w:r>
        <w:rPr>
          <w:rFonts w:ascii="宋体" w:hAnsi="宋体"/>
          <w:sz w:val="24"/>
        </w:rPr>
        <w:t>变更和解释</w:t>
      </w:r>
      <w:r>
        <w:rPr>
          <w:rFonts w:hint="eastAsia" w:ascii="宋体" w:hAnsi="宋体"/>
          <w:sz w:val="24"/>
        </w:rPr>
        <w:t>；</w:t>
      </w:r>
    </w:p>
    <w:p w14:paraId="3EC776E7">
      <w:pPr>
        <w:spacing w:line="360" w:lineRule="auto"/>
        <w:ind w:firstLine="435"/>
        <w:rPr>
          <w:rFonts w:ascii="宋体" w:hAnsi="宋体"/>
          <w:sz w:val="24"/>
        </w:rPr>
      </w:pPr>
      <w:r>
        <w:rPr>
          <w:rFonts w:hint="eastAsia" w:ascii="宋体" w:hAnsi="宋体"/>
          <w:sz w:val="24"/>
        </w:rPr>
        <w:t>2.</w:t>
      </w:r>
      <w:r>
        <w:rPr>
          <w:rFonts w:ascii="宋体" w:hAnsi="宋体"/>
          <w:sz w:val="24"/>
        </w:rPr>
        <w:t>19</w:t>
      </w:r>
      <w:r>
        <w:rPr>
          <w:rFonts w:hint="eastAsia" w:ascii="宋体" w:hAnsi="宋体"/>
          <w:sz w:val="24"/>
        </w:rPr>
        <w:t>.2合同适用</w:t>
      </w:r>
      <w:r>
        <w:rPr>
          <w:rFonts w:ascii="宋体" w:hAnsi="宋体"/>
          <w:sz w:val="24"/>
        </w:rPr>
        <w:t>中华人民共和国法律。</w:t>
      </w:r>
    </w:p>
    <w:p w14:paraId="3D7E8D97">
      <w:pPr>
        <w:spacing w:line="360" w:lineRule="auto"/>
        <w:ind w:firstLine="437"/>
        <w:outlineLvl w:val="3"/>
        <w:rPr>
          <w:rFonts w:ascii="宋体" w:hAnsi="宋体"/>
          <w:b/>
          <w:sz w:val="24"/>
        </w:rPr>
      </w:pPr>
      <w:bookmarkStart w:id="171" w:name="_Toc259093693"/>
      <w:bookmarkStart w:id="172" w:name="_Toc279701264"/>
      <w:bookmarkStart w:id="173" w:name="_Toc12004"/>
      <w:bookmarkStart w:id="174" w:name="_Toc16673"/>
      <w:bookmarkStart w:id="175" w:name="_Toc3148"/>
      <w:bookmarkStart w:id="176" w:name="_Toc487900374"/>
      <w:r>
        <w:rPr>
          <w:rFonts w:hint="eastAsia" w:ascii="宋体" w:hAnsi="宋体"/>
          <w:b/>
          <w:bCs/>
          <w:sz w:val="24"/>
          <w:lang w:val="zh-CN"/>
        </w:rPr>
        <w:t>2.2</w:t>
      </w:r>
      <w:r>
        <w:rPr>
          <w:rFonts w:ascii="宋体" w:hAnsi="宋体"/>
          <w:b/>
          <w:bCs/>
          <w:sz w:val="24"/>
          <w:lang w:val="zh-CN"/>
        </w:rPr>
        <w:t>0</w:t>
      </w:r>
      <w:r>
        <w:rPr>
          <w:rFonts w:hint="eastAsia" w:ascii="宋体" w:hAnsi="宋体"/>
          <w:b/>
          <w:bCs/>
          <w:sz w:val="24"/>
          <w:lang w:val="zh-CN"/>
        </w:rPr>
        <w:t xml:space="preserve"> </w:t>
      </w:r>
      <w:r>
        <w:rPr>
          <w:rFonts w:ascii="宋体" w:hAnsi="宋体"/>
          <w:b/>
          <w:bCs/>
          <w:sz w:val="24"/>
          <w:lang w:val="zh-CN"/>
        </w:rPr>
        <w:t>履约保证金</w:t>
      </w:r>
      <w:bookmarkEnd w:id="171"/>
      <w:bookmarkEnd w:id="172"/>
      <w:bookmarkEnd w:id="173"/>
      <w:bookmarkEnd w:id="174"/>
      <w:bookmarkEnd w:id="175"/>
    </w:p>
    <w:p w14:paraId="48B0D13A">
      <w:pPr>
        <w:spacing w:line="360" w:lineRule="auto"/>
        <w:ind w:firstLine="435"/>
        <w:rPr>
          <w:rFonts w:ascii="宋体" w:hAnsi="宋体"/>
          <w:sz w:val="24"/>
        </w:rPr>
      </w:pPr>
      <w:r>
        <w:rPr>
          <w:rFonts w:hint="eastAsia" w:ascii="宋体" w:hAnsi="宋体"/>
          <w:sz w:val="24"/>
        </w:rPr>
        <w:t>2.2</w:t>
      </w:r>
      <w:r>
        <w:rPr>
          <w:rFonts w:ascii="宋体" w:hAnsi="宋体"/>
          <w:sz w:val="24"/>
        </w:rPr>
        <w:t>0</w:t>
      </w:r>
      <w:r>
        <w:rPr>
          <w:rFonts w:hint="eastAsia" w:ascii="宋体" w:hAnsi="宋体"/>
          <w:sz w:val="24"/>
        </w:rPr>
        <w:t>.1招标文件要求乙方提交履约保证金的，乙方</w:t>
      </w:r>
      <w:r>
        <w:rPr>
          <w:rFonts w:ascii="宋体" w:hAnsi="宋体"/>
          <w:sz w:val="24"/>
        </w:rPr>
        <w:t>应按</w:t>
      </w:r>
      <w:r>
        <w:rPr>
          <w:rFonts w:ascii="宋体" w:hAnsi="宋体"/>
          <w:b/>
          <w:i/>
          <w:sz w:val="24"/>
          <w:u w:val="single"/>
        </w:rPr>
        <w:t>合同专用条款</w:t>
      </w:r>
      <w:r>
        <w:rPr>
          <w:rFonts w:ascii="宋体" w:hAnsi="宋体"/>
          <w:sz w:val="24"/>
        </w:rPr>
        <w:t>约定的方式</w:t>
      </w:r>
      <w:r>
        <w:rPr>
          <w:rFonts w:hint="eastAsia" w:ascii="宋体" w:hAnsi="宋体"/>
          <w:sz w:val="24"/>
        </w:rPr>
        <w:t>，以支票、汇票、本票或者金融机构、担保机构出具的保函等非现金形式，提交不超过合同价10%的履约保证金；</w:t>
      </w:r>
    </w:p>
    <w:p w14:paraId="33892F66">
      <w:pPr>
        <w:spacing w:line="360" w:lineRule="auto"/>
        <w:ind w:firstLine="435"/>
        <w:rPr>
          <w:rFonts w:ascii="宋体" w:hAnsi="宋体"/>
          <w:sz w:val="24"/>
        </w:rPr>
      </w:pPr>
      <w:r>
        <w:rPr>
          <w:rFonts w:hint="eastAsia" w:ascii="宋体" w:hAnsi="宋体"/>
          <w:sz w:val="24"/>
        </w:rPr>
        <w:t>2.2</w:t>
      </w:r>
      <w:r>
        <w:rPr>
          <w:rFonts w:ascii="宋体" w:hAnsi="宋体"/>
          <w:sz w:val="24"/>
        </w:rPr>
        <w:t>0.2履约保证金在</w:t>
      </w:r>
      <w:r>
        <w:rPr>
          <w:rFonts w:ascii="宋体" w:hAnsi="宋体"/>
          <w:b/>
          <w:i/>
          <w:sz w:val="24"/>
          <w:u w:val="single"/>
        </w:rPr>
        <w:t>合同专用条款</w:t>
      </w:r>
      <w:r>
        <w:rPr>
          <w:rFonts w:ascii="宋体" w:hAnsi="宋体"/>
          <w:sz w:val="24"/>
        </w:rPr>
        <w:t>约定期间内或者货物质量保证期内不予退还或者应完全有效</w:t>
      </w:r>
      <w:r>
        <w:rPr>
          <w:rFonts w:hint="eastAsia" w:ascii="宋体" w:hAnsi="宋体"/>
          <w:sz w:val="24"/>
        </w:rPr>
        <w:t>，前述约定期间届满或者</w:t>
      </w:r>
      <w:r>
        <w:rPr>
          <w:rFonts w:ascii="宋体" w:hAnsi="宋体"/>
          <w:sz w:val="24"/>
        </w:rPr>
        <w:t>货物质量保证期届满之日起</w:t>
      </w:r>
      <w:r>
        <w:rPr>
          <w:rFonts w:hint="eastAsia" w:ascii="宋体" w:hAnsi="宋体"/>
          <w:sz w:val="24"/>
          <w:u w:val="single"/>
        </w:rPr>
        <w:t xml:space="preserve">  </w:t>
      </w:r>
      <w:r>
        <w:rPr>
          <w:rFonts w:hint="eastAsia" w:ascii="宋体" w:hAnsi="宋体"/>
          <w:sz w:val="24"/>
        </w:rPr>
        <w:t>个</w:t>
      </w:r>
      <w:r>
        <w:rPr>
          <w:rFonts w:ascii="宋体" w:hAnsi="宋体"/>
          <w:sz w:val="24"/>
        </w:rPr>
        <w:t>工作日内，甲方应将履约保证金退还乙方</w:t>
      </w:r>
      <w:r>
        <w:rPr>
          <w:rFonts w:hint="eastAsia" w:ascii="宋体" w:hAnsi="宋体"/>
          <w:sz w:val="24"/>
        </w:rPr>
        <w:t>；</w:t>
      </w:r>
    </w:p>
    <w:p w14:paraId="4430DA3D">
      <w:pPr>
        <w:spacing w:line="360" w:lineRule="auto"/>
        <w:ind w:firstLine="435"/>
        <w:rPr>
          <w:rFonts w:ascii="宋体" w:hAnsi="宋体"/>
          <w:sz w:val="24"/>
        </w:rPr>
      </w:pPr>
      <w:r>
        <w:rPr>
          <w:rFonts w:hint="eastAsia" w:ascii="宋体" w:hAnsi="宋体"/>
          <w:sz w:val="24"/>
        </w:rPr>
        <w:t>2.2</w:t>
      </w:r>
      <w:r>
        <w:rPr>
          <w:rFonts w:ascii="宋体" w:hAnsi="宋体"/>
          <w:sz w:val="24"/>
        </w:rPr>
        <w:t>0</w:t>
      </w:r>
      <w:r>
        <w:rPr>
          <w:rFonts w:hint="eastAsia" w:ascii="宋体" w:hAnsi="宋体"/>
          <w:sz w:val="24"/>
        </w:rPr>
        <w:t>.3</w:t>
      </w:r>
      <w:r>
        <w:rPr>
          <w:rFonts w:ascii="宋体" w:hAnsi="宋体"/>
          <w:sz w:val="24"/>
        </w:rPr>
        <w:t>如果乙方不履行合同</w:t>
      </w:r>
      <w:r>
        <w:rPr>
          <w:rFonts w:hint="eastAsia" w:ascii="宋体" w:hAnsi="宋体"/>
          <w:sz w:val="24"/>
        </w:rPr>
        <w:t>，履约保证金不予退还；如果乙方</w:t>
      </w:r>
      <w:r>
        <w:rPr>
          <w:rFonts w:ascii="宋体" w:hAnsi="宋体"/>
          <w:sz w:val="24"/>
        </w:rPr>
        <w:t>未能按合同</w:t>
      </w:r>
      <w:r>
        <w:rPr>
          <w:rFonts w:hint="eastAsia" w:ascii="宋体" w:hAnsi="宋体"/>
          <w:sz w:val="24"/>
        </w:rPr>
        <w:t>约</w:t>
      </w:r>
      <w:r>
        <w:rPr>
          <w:rFonts w:ascii="宋体" w:hAnsi="宋体"/>
          <w:sz w:val="24"/>
        </w:rPr>
        <w:t>定全面履行义务，那么甲方有权从履约保证金中取得补偿或赔偿</w:t>
      </w:r>
      <w:r>
        <w:rPr>
          <w:rFonts w:hint="eastAsia" w:ascii="宋体" w:hAnsi="宋体"/>
          <w:sz w:val="24"/>
        </w:rPr>
        <w:t>，同时不影响甲方要求乙方承担合同约定的超过履约保证金的违约责任的权利。</w:t>
      </w:r>
    </w:p>
    <w:bookmarkEnd w:id="176"/>
    <w:p w14:paraId="0EA4948C">
      <w:pPr>
        <w:spacing w:line="360" w:lineRule="auto"/>
        <w:ind w:firstLine="437"/>
        <w:outlineLvl w:val="3"/>
        <w:rPr>
          <w:rFonts w:ascii="宋体" w:hAnsi="宋体"/>
          <w:b/>
          <w:sz w:val="24"/>
        </w:rPr>
      </w:pPr>
      <w:bookmarkStart w:id="177" w:name="_Toc6885"/>
      <w:bookmarkStart w:id="178" w:name="_Toc19890"/>
      <w:bookmarkStart w:id="179" w:name="_Toc14001"/>
      <w:r>
        <w:rPr>
          <w:rFonts w:hint="eastAsia" w:ascii="宋体" w:hAnsi="宋体"/>
          <w:b/>
          <w:bCs/>
          <w:sz w:val="24"/>
          <w:lang w:val="zh-CN"/>
        </w:rPr>
        <w:t>2.2</w:t>
      </w:r>
      <w:r>
        <w:rPr>
          <w:rFonts w:ascii="宋体" w:hAnsi="宋体"/>
          <w:b/>
          <w:bCs/>
          <w:sz w:val="24"/>
          <w:lang w:val="zh-CN"/>
        </w:rPr>
        <w:t>1</w:t>
      </w:r>
      <w:r>
        <w:rPr>
          <w:rFonts w:hint="eastAsia" w:ascii="宋体" w:hAnsi="宋体"/>
          <w:b/>
          <w:bCs/>
          <w:sz w:val="24"/>
          <w:lang w:val="zh-CN"/>
        </w:rPr>
        <w:t xml:space="preserve"> 合同份数</w:t>
      </w:r>
      <w:bookmarkEnd w:id="177"/>
      <w:bookmarkEnd w:id="178"/>
      <w:bookmarkEnd w:id="179"/>
    </w:p>
    <w:p w14:paraId="4EF6A43E">
      <w:pPr>
        <w:spacing w:line="360" w:lineRule="auto"/>
        <w:ind w:firstLine="435"/>
        <w:rPr>
          <w:rFonts w:ascii="宋体" w:hAnsi="宋体"/>
          <w:sz w:val="24"/>
        </w:rPr>
      </w:pPr>
      <w:r>
        <w:rPr>
          <w:rFonts w:ascii="宋体" w:hAnsi="宋体"/>
          <w:sz w:val="24"/>
        </w:rPr>
        <w:t>合同份数按</w:t>
      </w:r>
      <w:r>
        <w:rPr>
          <w:rFonts w:ascii="宋体" w:hAnsi="宋体"/>
          <w:b/>
          <w:i/>
          <w:sz w:val="24"/>
          <w:u w:val="single"/>
        </w:rPr>
        <w:t>合同专用条款</w:t>
      </w:r>
      <w:r>
        <w:rPr>
          <w:rFonts w:ascii="宋体" w:hAnsi="宋体"/>
          <w:sz w:val="24"/>
        </w:rPr>
        <w:t>规定</w:t>
      </w:r>
      <w:r>
        <w:rPr>
          <w:rFonts w:hint="eastAsia" w:ascii="宋体" w:hAnsi="宋体"/>
          <w:sz w:val="24"/>
        </w:rPr>
        <w:t>，</w:t>
      </w:r>
      <w:r>
        <w:rPr>
          <w:rFonts w:ascii="宋体" w:hAnsi="宋体"/>
          <w:sz w:val="24"/>
        </w:rPr>
        <w:t>每份均具有同等法律效力</w:t>
      </w:r>
      <w:r>
        <w:rPr>
          <w:rFonts w:hint="eastAsia" w:ascii="宋体" w:hAnsi="宋体"/>
          <w:sz w:val="24"/>
        </w:rPr>
        <w:t>。</w:t>
      </w:r>
    </w:p>
    <w:p w14:paraId="6FE747F7">
      <w:pPr>
        <w:spacing w:line="360" w:lineRule="auto"/>
        <w:jc w:val="center"/>
        <w:outlineLvl w:val="2"/>
        <w:rPr>
          <w:rFonts w:ascii="宋体" w:hAnsi="宋体"/>
          <w:b/>
          <w:sz w:val="24"/>
        </w:rPr>
      </w:pPr>
      <w:r>
        <w:rPr>
          <w:rFonts w:ascii="宋体" w:hAnsi="宋体"/>
          <w:sz w:val="24"/>
        </w:rPr>
        <w:br w:type="page"/>
      </w:r>
      <w:bookmarkStart w:id="180" w:name="_Toc331685784"/>
      <w:r>
        <w:rPr>
          <w:rFonts w:hint="eastAsia" w:ascii="宋体" w:hAnsi="宋体"/>
          <w:b/>
          <w:sz w:val="24"/>
        </w:rPr>
        <w:t>第三部分</w:t>
      </w:r>
      <w:r>
        <w:rPr>
          <w:rFonts w:ascii="宋体" w:hAnsi="宋体"/>
          <w:b/>
          <w:sz w:val="24"/>
        </w:rPr>
        <w:t xml:space="preserve"> </w:t>
      </w:r>
      <w:r>
        <w:rPr>
          <w:rFonts w:hint="eastAsia" w:ascii="宋体" w:hAnsi="宋体"/>
          <w:b/>
          <w:sz w:val="24"/>
        </w:rPr>
        <w:t>合同专用条款</w:t>
      </w:r>
      <w:bookmarkEnd w:id="180"/>
    </w:p>
    <w:p w14:paraId="47FDCBEC">
      <w:pPr>
        <w:spacing w:line="360" w:lineRule="auto"/>
        <w:ind w:firstLine="435"/>
        <w:rPr>
          <w:rFonts w:ascii="宋体" w:hAnsi="宋体"/>
          <w:sz w:val="24"/>
        </w:rPr>
      </w:pPr>
      <w:r>
        <w:rPr>
          <w:rFonts w:hint="eastAsia" w:ascii="宋体" w:hAnsi="宋体"/>
          <w:sz w:val="24"/>
        </w:rPr>
        <w:t>本部分</w:t>
      </w:r>
      <w:r>
        <w:rPr>
          <w:rFonts w:ascii="宋体" w:hAnsi="宋体"/>
          <w:sz w:val="24"/>
        </w:rPr>
        <w:t>是对</w:t>
      </w:r>
      <w:r>
        <w:rPr>
          <w:rFonts w:hint="eastAsia" w:ascii="宋体" w:hAnsi="宋体"/>
          <w:sz w:val="24"/>
        </w:rPr>
        <w:t>前两</w:t>
      </w:r>
      <w:r>
        <w:rPr>
          <w:rFonts w:ascii="宋体" w:hAnsi="宋体"/>
          <w:sz w:val="24"/>
        </w:rPr>
        <w:t>部分的补充和修改</w:t>
      </w:r>
      <w:r>
        <w:rPr>
          <w:rFonts w:hint="eastAsia" w:ascii="宋体" w:hAnsi="宋体"/>
          <w:sz w:val="24"/>
        </w:rPr>
        <w:t>，</w:t>
      </w:r>
      <w:r>
        <w:rPr>
          <w:rFonts w:ascii="宋体" w:hAnsi="宋体"/>
          <w:sz w:val="24"/>
        </w:rPr>
        <w:t>如果</w:t>
      </w:r>
      <w:r>
        <w:rPr>
          <w:rFonts w:hint="eastAsia" w:ascii="宋体" w:hAnsi="宋体"/>
          <w:sz w:val="24"/>
        </w:rPr>
        <w:t>前两</w:t>
      </w:r>
      <w:r>
        <w:rPr>
          <w:rFonts w:ascii="宋体" w:hAnsi="宋体"/>
          <w:sz w:val="24"/>
        </w:rPr>
        <w:t>部分和本部分的约定不一致</w:t>
      </w:r>
      <w:r>
        <w:rPr>
          <w:rFonts w:hint="eastAsia" w:ascii="宋体" w:hAnsi="宋体"/>
          <w:sz w:val="24"/>
        </w:rPr>
        <w:t>，</w:t>
      </w:r>
      <w:r>
        <w:rPr>
          <w:rFonts w:ascii="宋体" w:hAnsi="宋体"/>
          <w:sz w:val="24"/>
        </w:rPr>
        <w:t>应以本部分的约定为准</w:t>
      </w:r>
      <w:r>
        <w:rPr>
          <w:rFonts w:hint="eastAsia" w:ascii="宋体" w:hAnsi="宋体"/>
          <w:sz w:val="24"/>
        </w:rPr>
        <w:t>。</w:t>
      </w:r>
      <w:r>
        <w:rPr>
          <w:rFonts w:ascii="宋体" w:hAnsi="宋体"/>
          <w:sz w:val="24"/>
        </w:rPr>
        <w:t>本部分的条款号应与</w:t>
      </w:r>
      <w:r>
        <w:rPr>
          <w:rFonts w:hint="eastAsia" w:ascii="宋体" w:hAnsi="宋体"/>
          <w:sz w:val="24"/>
        </w:rPr>
        <w:t>前两部分</w:t>
      </w:r>
      <w:r>
        <w:rPr>
          <w:rFonts w:ascii="宋体" w:hAnsi="宋体"/>
          <w:sz w:val="24"/>
        </w:rPr>
        <w:t>的条款号保持对应</w:t>
      </w:r>
      <w:r>
        <w:rPr>
          <w:rFonts w:hint="eastAsia" w:ascii="宋体" w:hAnsi="宋体"/>
          <w:sz w:val="24"/>
        </w:rPr>
        <w:t>；与前两部分</w:t>
      </w:r>
      <w:r>
        <w:rPr>
          <w:rFonts w:ascii="宋体" w:hAnsi="宋体"/>
          <w:sz w:val="24"/>
        </w:rPr>
        <w:t>无对应关系的内容可另行编制条款号</w:t>
      </w:r>
      <w:r>
        <w:rPr>
          <w:rFonts w:hint="eastAsia" w:ascii="宋体" w:hAnsi="宋体"/>
          <w:sz w:val="24"/>
        </w:rPr>
        <w:t>。</w:t>
      </w:r>
    </w:p>
    <w:tbl>
      <w:tblPr>
        <w:tblStyle w:val="41"/>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263AC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46201D34">
            <w:pPr>
              <w:jc w:val="center"/>
              <w:rPr>
                <w:rFonts w:ascii="宋体" w:hAnsi="宋体"/>
                <w:b/>
                <w:sz w:val="24"/>
              </w:rPr>
            </w:pPr>
            <w:r>
              <w:rPr>
                <w:rFonts w:ascii="宋体" w:hAnsi="宋体"/>
                <w:b/>
                <w:sz w:val="24"/>
              </w:rPr>
              <w:t>条款号</w:t>
            </w:r>
          </w:p>
        </w:tc>
        <w:tc>
          <w:tcPr>
            <w:tcW w:w="7568" w:type="dxa"/>
            <w:vAlign w:val="center"/>
          </w:tcPr>
          <w:p w14:paraId="48C18AD7">
            <w:pPr>
              <w:jc w:val="center"/>
              <w:rPr>
                <w:rFonts w:ascii="宋体" w:hAnsi="宋体"/>
                <w:b/>
                <w:sz w:val="24"/>
              </w:rPr>
            </w:pPr>
            <w:r>
              <w:rPr>
                <w:rFonts w:ascii="宋体" w:hAnsi="宋体"/>
                <w:b/>
                <w:sz w:val="24"/>
              </w:rPr>
              <w:t>约定内容</w:t>
            </w:r>
          </w:p>
        </w:tc>
      </w:tr>
      <w:tr w14:paraId="0197D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5AA512E3">
            <w:pPr>
              <w:spacing w:line="560" w:lineRule="exact"/>
              <w:rPr>
                <w:rFonts w:ascii="宋体" w:hAnsi="宋体"/>
                <w:sz w:val="24"/>
              </w:rPr>
            </w:pPr>
          </w:p>
        </w:tc>
        <w:tc>
          <w:tcPr>
            <w:tcW w:w="7568" w:type="dxa"/>
            <w:vAlign w:val="center"/>
          </w:tcPr>
          <w:p w14:paraId="4F8C2EFF">
            <w:pPr>
              <w:spacing w:line="560" w:lineRule="exact"/>
              <w:rPr>
                <w:rFonts w:ascii="宋体" w:hAnsi="宋体"/>
                <w:sz w:val="24"/>
              </w:rPr>
            </w:pPr>
          </w:p>
        </w:tc>
      </w:tr>
      <w:tr w14:paraId="00823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F2CDE51">
            <w:pPr>
              <w:spacing w:line="560" w:lineRule="exact"/>
              <w:rPr>
                <w:rFonts w:ascii="宋体" w:hAnsi="宋体"/>
                <w:sz w:val="24"/>
              </w:rPr>
            </w:pPr>
          </w:p>
        </w:tc>
        <w:tc>
          <w:tcPr>
            <w:tcW w:w="7568" w:type="dxa"/>
            <w:vAlign w:val="center"/>
          </w:tcPr>
          <w:p w14:paraId="67329613">
            <w:pPr>
              <w:spacing w:line="560" w:lineRule="exact"/>
              <w:rPr>
                <w:rFonts w:ascii="宋体" w:hAnsi="宋体"/>
                <w:sz w:val="24"/>
              </w:rPr>
            </w:pPr>
          </w:p>
        </w:tc>
      </w:tr>
      <w:tr w14:paraId="69A97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452CEC1">
            <w:pPr>
              <w:spacing w:line="560" w:lineRule="exact"/>
              <w:rPr>
                <w:rFonts w:ascii="宋体" w:hAnsi="宋体"/>
                <w:sz w:val="24"/>
              </w:rPr>
            </w:pPr>
          </w:p>
        </w:tc>
        <w:tc>
          <w:tcPr>
            <w:tcW w:w="7568" w:type="dxa"/>
            <w:vAlign w:val="center"/>
          </w:tcPr>
          <w:p w14:paraId="09F89588">
            <w:pPr>
              <w:spacing w:line="560" w:lineRule="exact"/>
              <w:rPr>
                <w:rFonts w:ascii="宋体" w:hAnsi="宋体"/>
                <w:sz w:val="24"/>
              </w:rPr>
            </w:pPr>
          </w:p>
        </w:tc>
      </w:tr>
      <w:tr w14:paraId="71617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31C1D45">
            <w:pPr>
              <w:spacing w:line="560" w:lineRule="exact"/>
              <w:rPr>
                <w:rFonts w:ascii="宋体" w:hAnsi="宋体"/>
                <w:sz w:val="24"/>
              </w:rPr>
            </w:pPr>
          </w:p>
        </w:tc>
        <w:tc>
          <w:tcPr>
            <w:tcW w:w="7568" w:type="dxa"/>
            <w:vAlign w:val="center"/>
          </w:tcPr>
          <w:p w14:paraId="7676307F">
            <w:pPr>
              <w:spacing w:line="560" w:lineRule="exact"/>
              <w:rPr>
                <w:rFonts w:ascii="宋体" w:hAnsi="宋体"/>
                <w:sz w:val="24"/>
              </w:rPr>
            </w:pPr>
          </w:p>
        </w:tc>
      </w:tr>
      <w:tr w14:paraId="75016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9FF3312">
            <w:pPr>
              <w:spacing w:line="560" w:lineRule="exact"/>
              <w:rPr>
                <w:rFonts w:ascii="宋体" w:hAnsi="宋体"/>
                <w:sz w:val="24"/>
              </w:rPr>
            </w:pPr>
          </w:p>
        </w:tc>
        <w:tc>
          <w:tcPr>
            <w:tcW w:w="7568" w:type="dxa"/>
            <w:vAlign w:val="center"/>
          </w:tcPr>
          <w:p w14:paraId="58896F66">
            <w:pPr>
              <w:spacing w:line="560" w:lineRule="exact"/>
              <w:rPr>
                <w:rFonts w:ascii="宋体" w:hAnsi="宋体"/>
                <w:sz w:val="24"/>
                <w:u w:val="single"/>
              </w:rPr>
            </w:pPr>
          </w:p>
        </w:tc>
      </w:tr>
      <w:tr w14:paraId="2FF1B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A47250B">
            <w:pPr>
              <w:spacing w:line="560" w:lineRule="exact"/>
              <w:rPr>
                <w:rFonts w:ascii="宋体" w:hAnsi="宋体"/>
                <w:sz w:val="24"/>
              </w:rPr>
            </w:pPr>
          </w:p>
        </w:tc>
        <w:tc>
          <w:tcPr>
            <w:tcW w:w="7568" w:type="dxa"/>
            <w:vAlign w:val="center"/>
          </w:tcPr>
          <w:p w14:paraId="075BBF51">
            <w:pPr>
              <w:spacing w:line="560" w:lineRule="exact"/>
              <w:rPr>
                <w:rFonts w:ascii="宋体" w:hAnsi="宋体"/>
                <w:sz w:val="24"/>
              </w:rPr>
            </w:pPr>
          </w:p>
        </w:tc>
      </w:tr>
      <w:tr w14:paraId="29688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1ADB253">
            <w:pPr>
              <w:spacing w:line="560" w:lineRule="exact"/>
              <w:rPr>
                <w:rFonts w:ascii="宋体" w:hAnsi="宋体"/>
                <w:sz w:val="24"/>
              </w:rPr>
            </w:pPr>
          </w:p>
        </w:tc>
        <w:tc>
          <w:tcPr>
            <w:tcW w:w="7568" w:type="dxa"/>
            <w:vAlign w:val="center"/>
          </w:tcPr>
          <w:p w14:paraId="18BAF9D8">
            <w:pPr>
              <w:spacing w:line="560" w:lineRule="exact"/>
              <w:rPr>
                <w:rFonts w:ascii="宋体" w:hAnsi="宋体"/>
                <w:sz w:val="24"/>
                <w:u w:val="single"/>
              </w:rPr>
            </w:pPr>
          </w:p>
        </w:tc>
      </w:tr>
      <w:tr w14:paraId="49C20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0066652">
            <w:pPr>
              <w:spacing w:line="560" w:lineRule="exact"/>
              <w:rPr>
                <w:rFonts w:ascii="宋体" w:hAnsi="宋体"/>
                <w:sz w:val="24"/>
              </w:rPr>
            </w:pPr>
          </w:p>
        </w:tc>
        <w:tc>
          <w:tcPr>
            <w:tcW w:w="7568" w:type="dxa"/>
            <w:vAlign w:val="center"/>
          </w:tcPr>
          <w:p w14:paraId="57CBFE21">
            <w:pPr>
              <w:spacing w:line="560" w:lineRule="exact"/>
              <w:rPr>
                <w:rFonts w:ascii="宋体" w:hAnsi="宋体"/>
                <w:sz w:val="24"/>
              </w:rPr>
            </w:pPr>
          </w:p>
        </w:tc>
      </w:tr>
      <w:tr w14:paraId="1F30C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C447A24">
            <w:pPr>
              <w:spacing w:line="560" w:lineRule="exact"/>
              <w:rPr>
                <w:rFonts w:ascii="宋体" w:hAnsi="宋体"/>
                <w:sz w:val="24"/>
              </w:rPr>
            </w:pPr>
          </w:p>
        </w:tc>
        <w:tc>
          <w:tcPr>
            <w:tcW w:w="7568" w:type="dxa"/>
            <w:vAlign w:val="center"/>
          </w:tcPr>
          <w:p w14:paraId="09DF69C0">
            <w:pPr>
              <w:spacing w:line="560" w:lineRule="exact"/>
              <w:rPr>
                <w:rFonts w:ascii="宋体" w:hAnsi="宋体"/>
                <w:sz w:val="24"/>
              </w:rPr>
            </w:pPr>
          </w:p>
        </w:tc>
      </w:tr>
      <w:tr w14:paraId="64DD5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AA3950C">
            <w:pPr>
              <w:spacing w:line="560" w:lineRule="exact"/>
              <w:rPr>
                <w:rFonts w:ascii="宋体" w:hAnsi="宋体"/>
                <w:sz w:val="24"/>
              </w:rPr>
            </w:pPr>
          </w:p>
        </w:tc>
        <w:tc>
          <w:tcPr>
            <w:tcW w:w="7568" w:type="dxa"/>
            <w:vAlign w:val="center"/>
          </w:tcPr>
          <w:p w14:paraId="4D4CC093">
            <w:pPr>
              <w:spacing w:line="560" w:lineRule="exact"/>
              <w:rPr>
                <w:rFonts w:ascii="宋体" w:hAnsi="宋体"/>
                <w:sz w:val="24"/>
              </w:rPr>
            </w:pPr>
          </w:p>
        </w:tc>
      </w:tr>
      <w:tr w14:paraId="7149F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7B19A660">
            <w:pPr>
              <w:spacing w:line="560" w:lineRule="exact"/>
              <w:rPr>
                <w:rFonts w:ascii="宋体" w:hAnsi="宋体"/>
                <w:sz w:val="24"/>
              </w:rPr>
            </w:pPr>
          </w:p>
        </w:tc>
        <w:tc>
          <w:tcPr>
            <w:tcW w:w="7568" w:type="dxa"/>
            <w:tcBorders>
              <w:top w:val="single" w:color="auto" w:sz="6" w:space="0"/>
              <w:left w:val="single" w:color="auto" w:sz="6" w:space="0"/>
              <w:bottom w:val="single" w:color="auto" w:sz="6" w:space="0"/>
              <w:right w:val="single" w:color="auto" w:sz="6" w:space="0"/>
            </w:tcBorders>
            <w:vAlign w:val="center"/>
          </w:tcPr>
          <w:p w14:paraId="55A1258C">
            <w:pPr>
              <w:spacing w:line="560" w:lineRule="exact"/>
              <w:rPr>
                <w:rFonts w:ascii="宋体" w:hAnsi="宋体"/>
                <w:sz w:val="24"/>
              </w:rPr>
            </w:pPr>
          </w:p>
        </w:tc>
      </w:tr>
      <w:tr w14:paraId="7FCBD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7B188FF9">
            <w:pPr>
              <w:spacing w:line="560" w:lineRule="exact"/>
              <w:rPr>
                <w:rFonts w:ascii="宋体" w:hAnsi="宋体"/>
                <w:sz w:val="24"/>
              </w:rPr>
            </w:pPr>
          </w:p>
        </w:tc>
        <w:tc>
          <w:tcPr>
            <w:tcW w:w="7568" w:type="dxa"/>
            <w:tcBorders>
              <w:top w:val="single" w:color="auto" w:sz="6" w:space="0"/>
              <w:left w:val="single" w:color="auto" w:sz="6" w:space="0"/>
              <w:bottom w:val="single" w:color="auto" w:sz="6" w:space="0"/>
              <w:right w:val="single" w:color="auto" w:sz="6" w:space="0"/>
            </w:tcBorders>
            <w:vAlign w:val="center"/>
          </w:tcPr>
          <w:p w14:paraId="627FD8AC">
            <w:pPr>
              <w:spacing w:line="560" w:lineRule="exact"/>
              <w:rPr>
                <w:rFonts w:ascii="宋体" w:hAnsi="宋体"/>
                <w:sz w:val="24"/>
              </w:rPr>
            </w:pPr>
          </w:p>
        </w:tc>
      </w:tr>
    </w:tbl>
    <w:p w14:paraId="3AEB2D25">
      <w:pPr>
        <w:widowControl/>
        <w:jc w:val="left"/>
        <w:rPr>
          <w:rFonts w:ascii="宋体" w:hAnsi="宋体"/>
          <w:sz w:val="24"/>
        </w:rPr>
      </w:pPr>
    </w:p>
    <w:p w14:paraId="6D42308D">
      <w:pPr>
        <w:spacing w:line="360" w:lineRule="auto"/>
        <w:ind w:firstLine="435"/>
        <w:rPr>
          <w:rFonts w:ascii="宋体" w:hAnsi="宋体"/>
          <w:sz w:val="24"/>
        </w:rPr>
      </w:pPr>
    </w:p>
    <w:p w14:paraId="0817EF4D">
      <w:pPr>
        <w:widowControl/>
        <w:tabs>
          <w:tab w:val="left" w:pos="993"/>
        </w:tabs>
        <w:adjustRightInd w:val="0"/>
        <w:snapToGrid w:val="0"/>
        <w:spacing w:line="360" w:lineRule="auto"/>
        <w:outlineLvl w:val="1"/>
        <w:rPr>
          <w:rFonts w:ascii="Times New Roman" w:hAnsi="Times New Roman" w:cs="Times New Roman"/>
        </w:rPr>
      </w:pPr>
      <w:bookmarkStart w:id="181" w:name="_Toc184635123"/>
      <w:bookmarkStart w:id="182" w:name="_Toc300835200"/>
      <w:bookmarkStart w:id="183" w:name="_Toc247514198"/>
      <w:bookmarkStart w:id="184" w:name="_Toc26646056"/>
      <w:bookmarkStart w:id="185" w:name="_Toc247527799"/>
    </w:p>
    <w:p w14:paraId="1E212F4E">
      <w:pPr>
        <w:pStyle w:val="2"/>
        <w:rPr>
          <w:rFonts w:ascii="Times New Roman" w:hAnsi="Times New Roman" w:cs="Times New Roman"/>
        </w:rPr>
      </w:pPr>
    </w:p>
    <w:p w14:paraId="44A89F34">
      <w:pPr>
        <w:pStyle w:val="40"/>
        <w:ind w:right="-21" w:firstLine="630"/>
      </w:pPr>
    </w:p>
    <w:p w14:paraId="3DAEC580"/>
    <w:p w14:paraId="5B924454">
      <w:pPr>
        <w:pStyle w:val="34"/>
        <w:jc w:val="center"/>
        <w:rPr>
          <w:rFonts w:ascii="宋体" w:hAnsi="宋体"/>
          <w:b/>
          <w:sz w:val="24"/>
        </w:rPr>
      </w:pPr>
    </w:p>
    <w:p w14:paraId="594B2BF6">
      <w:pPr>
        <w:pStyle w:val="34"/>
        <w:jc w:val="center"/>
        <w:rPr>
          <w:rFonts w:ascii="宋体" w:hAnsi="宋体"/>
          <w:b/>
          <w:sz w:val="24"/>
        </w:rPr>
      </w:pPr>
    </w:p>
    <w:p w14:paraId="28AF66DC">
      <w:pPr>
        <w:pStyle w:val="34"/>
        <w:jc w:val="center"/>
        <w:rPr>
          <w:rFonts w:ascii="宋体" w:hAnsi="宋体"/>
          <w:b/>
          <w:sz w:val="24"/>
        </w:rPr>
      </w:pPr>
    </w:p>
    <w:p w14:paraId="445C5768">
      <w:pPr>
        <w:pStyle w:val="34"/>
        <w:jc w:val="center"/>
        <w:rPr>
          <w:rFonts w:ascii="宋体" w:hAnsi="宋体"/>
          <w:b/>
          <w:sz w:val="24"/>
        </w:rPr>
      </w:pPr>
    </w:p>
    <w:p w14:paraId="1CE95C46">
      <w:pPr>
        <w:pStyle w:val="34"/>
        <w:jc w:val="center"/>
        <w:rPr>
          <w:rFonts w:ascii="宋体" w:hAnsi="宋体"/>
          <w:b/>
          <w:sz w:val="24"/>
        </w:rPr>
      </w:pPr>
    </w:p>
    <w:bookmarkEnd w:id="181"/>
    <w:bookmarkEnd w:id="182"/>
    <w:bookmarkEnd w:id="183"/>
    <w:bookmarkEnd w:id="184"/>
    <w:bookmarkEnd w:id="185"/>
    <w:p w14:paraId="761891B1">
      <w:pPr>
        <w:pStyle w:val="7"/>
        <w:widowControl/>
        <w:rPr>
          <w:rFonts w:ascii="Times New Roman" w:hAnsi="Times New Roman" w:cs="Times New Roman"/>
          <w:bCs w:val="0"/>
          <w:kern w:val="0"/>
          <w:sz w:val="30"/>
          <w:szCs w:val="30"/>
        </w:rPr>
      </w:pPr>
      <w:r>
        <w:rPr>
          <w:rFonts w:ascii="Times New Roman" w:hAnsi="Times New Roman" w:cs="Times New Roman"/>
          <w:bCs w:val="0"/>
          <w:kern w:val="0"/>
          <w:sz w:val="30"/>
          <w:szCs w:val="30"/>
        </w:rPr>
        <w:t>附件</w:t>
      </w:r>
      <w:r>
        <w:rPr>
          <w:rFonts w:hint="eastAsia" w:ascii="Times New Roman" w:hAnsi="Times New Roman" w:cs="Times New Roman"/>
          <w:bCs w:val="0"/>
          <w:kern w:val="0"/>
          <w:sz w:val="30"/>
          <w:szCs w:val="30"/>
        </w:rPr>
        <w:t>1</w:t>
      </w:r>
      <w:r>
        <w:rPr>
          <w:rFonts w:ascii="Times New Roman" w:hAnsi="Times New Roman" w:cs="Times New Roman"/>
          <w:bCs w:val="0"/>
          <w:kern w:val="0"/>
          <w:sz w:val="30"/>
          <w:szCs w:val="30"/>
        </w:rPr>
        <w:t>：</w:t>
      </w:r>
    </w:p>
    <w:p w14:paraId="26496F48">
      <w:pPr>
        <w:widowControl/>
        <w:spacing w:line="360" w:lineRule="auto"/>
        <w:ind w:firstLine="643"/>
        <w:jc w:val="center"/>
        <w:rPr>
          <w:rFonts w:ascii="Times New Roman" w:hAnsi="Times New Roman" w:cs="Times New Roman"/>
          <w:b/>
          <w:bCs/>
          <w:kern w:val="0"/>
          <w:sz w:val="32"/>
          <w:szCs w:val="32"/>
        </w:rPr>
      </w:pPr>
      <w:r>
        <w:rPr>
          <w:rFonts w:ascii="Times New Roman" w:hAnsi="Times New Roman" w:cs="Times New Roman"/>
          <w:b/>
          <w:bCs/>
          <w:kern w:val="0"/>
          <w:sz w:val="32"/>
          <w:szCs w:val="32"/>
          <w:lang w:bidi="ar"/>
        </w:rPr>
        <w:t>廉 政 协 议</w:t>
      </w:r>
    </w:p>
    <w:p w14:paraId="4B9E0645">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为促进双方诚信经营、廉洁从业，防范商业贿赂，保护国家、集体和当事人的合法权益，根据国家有关法律法规和安徽省、合肥市廉政建设的规定，</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(以下称甲方)与</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(以下称乙方)，特此订立本协议共同遵照执行。</w:t>
      </w:r>
    </w:p>
    <w:p w14:paraId="15658DC8">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第一条 甲乙双方的权利和义务</w:t>
      </w:r>
    </w:p>
    <w:p w14:paraId="3705E74D">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46B94D63">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（二）严格执行</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的合同要求，自觉履行合同约定的相关义务。</w:t>
      </w:r>
    </w:p>
    <w:p w14:paraId="65CFD82B">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（三）在业务活动中坚持公开、公正、诚信、透明的原则，不得损害国家、集体利益。</w:t>
      </w:r>
    </w:p>
    <w:p w14:paraId="242DFEB6">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（四）建立健全廉政制度，开展廉政教育，公布举报电话，监督并认真查处违法违纪行为。</w:t>
      </w:r>
    </w:p>
    <w:p w14:paraId="5684874F">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（五）发现对方在业务活动中有违反廉政规定的行为，应及时提醒对方纠正。情节严重的，应向其上级有关部门举报、建议给予处理，并有权要求告知处理结果。</w:t>
      </w:r>
    </w:p>
    <w:p w14:paraId="78507EC8">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第二条 甲方的义务</w:t>
      </w:r>
    </w:p>
    <w:p w14:paraId="7A1DA8B3">
      <w:pPr>
        <w:widowControl/>
        <w:spacing w:line="360" w:lineRule="auto"/>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(一)甲方及其工作人员不得索要或接受乙方的礼金、有价证券和贵重物品，不得在乙方报销任何应由甲方单位或个人支付的费用等。</w:t>
      </w:r>
    </w:p>
    <w:p w14:paraId="6BD325FC">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7BB1C54A">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（三） 甲方及其工作人员不得要求或者接受乙方为其住房装修、婚丧嫁娶活动、配偶子女工作安排以及出国出境、旅游等提供方便等。</w:t>
      </w:r>
    </w:p>
    <w:p w14:paraId="302F3C98">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（四） 甲方工作人员不得在乙方有股权关联的企业兼职，不得向乙方介绍家属或者亲友从事与甲方业务有关的经济活动。</w:t>
      </w:r>
    </w:p>
    <w:p w14:paraId="248E2794">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（五）甲方工作人员不得以明显低于市场的价格向乙方购买房屋、汽车等物品；不得以明显高于市场的价格向乙方出售房屋、汽车等物品；不得以其他交易形式非法收受请托人财物。</w:t>
      </w:r>
    </w:p>
    <w:p w14:paraId="33672235">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（六）甲方工作人员不得利用职务之便收受乙方以回扣、手续费、加班费、咨询费、劳务费、协调费、辛苦费等各种名义给予或赠送的钱物。</w:t>
      </w:r>
    </w:p>
    <w:p w14:paraId="4DC9CBA7">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（七）甲方工作人员不得接受乙方给予或赠送的干股或红利。</w:t>
      </w:r>
    </w:p>
    <w:p w14:paraId="5DBCA043">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（八）甲方任何人不得以个人的名义向乙方推荐设备、部件等供货商以及其它合作单位。</w:t>
      </w:r>
    </w:p>
    <w:p w14:paraId="0C874A4B">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第三条 乙方的义务</w:t>
      </w:r>
    </w:p>
    <w:p w14:paraId="5954BB00">
      <w:pPr>
        <w:widowControl/>
        <w:spacing w:line="360" w:lineRule="auto"/>
        <w:ind w:firstLine="525" w:firstLineChars="250"/>
        <w:jc w:val="left"/>
        <w:rPr>
          <w:rFonts w:ascii="Times New Roman" w:hAnsi="Times New Roman" w:cs="Times New Roman"/>
          <w:kern w:val="0"/>
          <w:szCs w:val="21"/>
        </w:rPr>
      </w:pPr>
      <w:r>
        <w:rPr>
          <w:rFonts w:ascii="Times New Roman" w:hAnsi="Times New Roman" w:cs="Times New Roman"/>
          <w:kern w:val="0"/>
          <w:szCs w:val="21"/>
          <w:lang w:bidi="ar"/>
        </w:rPr>
        <w:t>(一)乙方不得以任何理由向甲方及其工作人员行贿或馈赠礼金、有价证券、贵重礼品。</w:t>
      </w:r>
    </w:p>
    <w:p w14:paraId="1FE80CCB">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（二)乙方不得以任何名义为甲方及其工作人员报销应由甲方单位或个人支付的任何费用。</w:t>
      </w:r>
    </w:p>
    <w:p w14:paraId="185F24E4">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(三)乙方不得以任何理由安排甲方工作人员参加可能影响相关业务公开、公正、公平性的宴请及娱乐活动。</w:t>
      </w:r>
    </w:p>
    <w:p w14:paraId="36EB059B">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（四）乙方不得为甲方单位和个人购置或提供通讯工具和高档办公用品等物品，也不得为甲方提供与工作无关的房屋、汽车等。</w:t>
      </w:r>
    </w:p>
    <w:p w14:paraId="31B8C06F">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（五）乙方不得与甲方工作人员就合同中的质量、数量、价格、工程量、验收等条款进行私下商谈或者达成默契。</w:t>
      </w:r>
    </w:p>
    <w:p w14:paraId="6BE53640">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（六）乙方不得以回扣、手续费、加班费、咨询费、劳务费、协调费、辛苦费等各种名义向甲方工作人员给予或赠送钱物。</w:t>
      </w:r>
    </w:p>
    <w:p w14:paraId="2C8F6B89">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（七）乙方不得向甲方工作人员提供干股或红利。</w:t>
      </w:r>
    </w:p>
    <w:p w14:paraId="02621258">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（八）乙方须按</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专项纪检监察工作组(如有)要求开展相关工作。</w:t>
      </w:r>
    </w:p>
    <w:p w14:paraId="01D0D254">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第四条 违约责任</w:t>
      </w:r>
    </w:p>
    <w:p w14:paraId="1DB1A529">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3699546F">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甲方投诉联系部门：</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，联系电话：</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w:t>
      </w:r>
    </w:p>
    <w:p w14:paraId="06FDB9B1">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（二）乙方及其工作人员违反本协议第一、三条规定。根据具体情节和造成的后果，甲方有权对乙方采取以下一种或多种处理办法：</w:t>
      </w:r>
    </w:p>
    <w:p w14:paraId="7F960552">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1.全额收取乙方合同履约保证金不予退还； </w:t>
      </w:r>
    </w:p>
    <w:p w14:paraId="6CB39319">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2.追究乙方其他违约责任；</w:t>
      </w:r>
    </w:p>
    <w:p w14:paraId="2E160B00">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3.终止或解除双方已签订的包括本合同在内的所有合同；</w:t>
      </w:r>
    </w:p>
    <w:p w14:paraId="67106AB4">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4.乙方一定期限内（6个月至3年，具体由甲方根据情况而定）不得参与甲方作为发包人（业主）的工程项目投标。</w:t>
      </w:r>
    </w:p>
    <w:p w14:paraId="113192F2">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甲方作出的处理意见，乙方应无条件接受并承担给甲方造成的损失，全额返还通过不正当手段从甲方获取的非法所得，并承担相应的法律责任。</w:t>
      </w:r>
    </w:p>
    <w:p w14:paraId="2DF07815">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第五条 双方约定</w:t>
      </w:r>
    </w:p>
    <w:p w14:paraId="2E44E1C9">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本协议由双方或双方上级单位负责监督。可由甲方或甲方上级单位的纪检监察部门约请乙方或乙方上级单位的纪检监察部门对本协议履行情况进行检查，提出在本协议规定范围内的裁定意见。</w:t>
      </w:r>
    </w:p>
    <w:p w14:paraId="39A8B522">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第六条  本协议有效期为甲乙双方签署之日起至合同终止。  </w:t>
      </w:r>
    </w:p>
    <w:p w14:paraId="4DEB7A5A">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第七条  本协议作为合同的附件，与本合同具有同等法律效力。</w:t>
      </w:r>
    </w:p>
    <w:p w14:paraId="35D6355A">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 </w:t>
      </w:r>
    </w:p>
    <w:p w14:paraId="72E502E7">
      <w:pPr>
        <w:widowControl/>
        <w:spacing w:line="360" w:lineRule="auto"/>
        <w:ind w:firstLine="420" w:firstLineChars="200"/>
        <w:jc w:val="left"/>
        <w:rPr>
          <w:rFonts w:ascii="Times New Roman" w:hAnsi="Times New Roman" w:cs="Times New Roman"/>
          <w:kern w:val="0"/>
          <w:szCs w:val="21"/>
        </w:rPr>
      </w:pPr>
    </w:p>
    <w:p w14:paraId="4B4E04F5">
      <w:pPr>
        <w:widowControl/>
        <w:spacing w:line="360" w:lineRule="auto"/>
        <w:ind w:firstLine="420" w:firstLineChars="200"/>
        <w:jc w:val="left"/>
        <w:rPr>
          <w:rFonts w:ascii="Times New Roman" w:hAnsi="Times New Roman" w:cs="Times New Roman"/>
          <w:kern w:val="0"/>
          <w:szCs w:val="21"/>
        </w:rPr>
      </w:pPr>
    </w:p>
    <w:p w14:paraId="35E44AE4">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 xml:space="preserve">甲方（盖章）： </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乙方（盖章）：</w:t>
      </w:r>
      <w:r>
        <w:rPr>
          <w:rFonts w:ascii="Times New Roman" w:hAnsi="Times New Roman" w:cs="Times New Roman"/>
          <w:kern w:val="0"/>
          <w:szCs w:val="21"/>
          <w:u w:val="single"/>
          <w:lang w:bidi="ar"/>
        </w:rPr>
        <w:t xml:space="preserve">                      </w:t>
      </w:r>
    </w:p>
    <w:p w14:paraId="26AF9AE8">
      <w:pPr>
        <w:widowControl/>
        <w:spacing w:line="360" w:lineRule="auto"/>
        <w:ind w:firstLine="420" w:firstLineChars="200"/>
        <w:jc w:val="left"/>
        <w:rPr>
          <w:rFonts w:ascii="Times New Roman" w:hAnsi="Times New Roman" w:cs="Times New Roman"/>
          <w:kern w:val="0"/>
          <w:szCs w:val="21"/>
        </w:rPr>
      </w:pPr>
    </w:p>
    <w:p w14:paraId="7C75DBB9">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法定代表人或                                法定代表人或</w:t>
      </w:r>
    </w:p>
    <w:p w14:paraId="56302495">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授权代表：</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(职务)              授权代表：</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(职务)</w:t>
      </w:r>
    </w:p>
    <w:p w14:paraId="0E843DB6">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姓名：</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姓名：</w:t>
      </w:r>
      <w:r>
        <w:rPr>
          <w:rFonts w:ascii="Times New Roman" w:hAnsi="Times New Roman" w:cs="Times New Roman"/>
          <w:kern w:val="0"/>
          <w:szCs w:val="21"/>
          <w:u w:val="single"/>
          <w:lang w:bidi="ar"/>
        </w:rPr>
        <w:t xml:space="preserve">             </w:t>
      </w:r>
    </w:p>
    <w:p w14:paraId="2FF12C9F">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签字：</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签字：</w:t>
      </w:r>
      <w:r>
        <w:rPr>
          <w:rFonts w:ascii="Times New Roman" w:hAnsi="Times New Roman" w:cs="Times New Roman"/>
          <w:kern w:val="0"/>
          <w:szCs w:val="21"/>
          <w:u w:val="single"/>
          <w:lang w:bidi="ar"/>
        </w:rPr>
        <w:t xml:space="preserve">             </w:t>
      </w:r>
    </w:p>
    <w:p w14:paraId="4FD9C692">
      <w:pPr>
        <w:widowControl/>
        <w:spacing w:line="360" w:lineRule="auto"/>
        <w:ind w:firstLine="420" w:firstLineChars="200"/>
        <w:jc w:val="left"/>
        <w:rPr>
          <w:rFonts w:ascii="Times New Roman" w:hAnsi="Times New Roman" w:cs="Times New Roman"/>
          <w:kern w:val="0"/>
          <w:szCs w:val="21"/>
        </w:rPr>
      </w:pPr>
    </w:p>
    <w:p w14:paraId="3A531EB3">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廉政监督联系人                              廉政监督联系人</w:t>
      </w:r>
    </w:p>
    <w:p w14:paraId="5D90F828">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姓名：</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姓名：</w:t>
      </w:r>
      <w:r>
        <w:rPr>
          <w:rFonts w:ascii="Times New Roman" w:hAnsi="Times New Roman" w:cs="Times New Roman"/>
          <w:kern w:val="0"/>
          <w:szCs w:val="21"/>
          <w:u w:val="single"/>
          <w:lang w:bidi="ar"/>
        </w:rPr>
        <w:t xml:space="preserve">                       </w:t>
      </w:r>
    </w:p>
    <w:p w14:paraId="440C88E7">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签字：</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签字：</w:t>
      </w:r>
      <w:r>
        <w:rPr>
          <w:rFonts w:ascii="Times New Roman" w:hAnsi="Times New Roman" w:cs="Times New Roman"/>
          <w:kern w:val="0"/>
          <w:szCs w:val="21"/>
          <w:u w:val="single"/>
          <w:lang w:bidi="ar"/>
        </w:rPr>
        <w:t xml:space="preserve">                       </w:t>
      </w:r>
    </w:p>
    <w:p w14:paraId="29C7B4FE">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电话：</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电话：</w:t>
      </w:r>
      <w:r>
        <w:rPr>
          <w:rFonts w:ascii="Times New Roman" w:hAnsi="Times New Roman" w:cs="Times New Roman"/>
          <w:kern w:val="0"/>
          <w:szCs w:val="21"/>
          <w:u w:val="single"/>
          <w:lang w:bidi="ar"/>
        </w:rPr>
        <w:t xml:space="preserve">                       </w:t>
      </w:r>
    </w:p>
    <w:p w14:paraId="1CE9171E">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地址：</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地址：</w:t>
      </w:r>
      <w:r>
        <w:rPr>
          <w:rFonts w:ascii="Times New Roman" w:hAnsi="Times New Roman" w:cs="Times New Roman"/>
          <w:kern w:val="0"/>
          <w:szCs w:val="21"/>
          <w:u w:val="single"/>
          <w:lang w:bidi="ar"/>
        </w:rPr>
        <w:t xml:space="preserve">                       </w:t>
      </w:r>
    </w:p>
    <w:p w14:paraId="7D74DB9C">
      <w:pPr>
        <w:widowControl/>
        <w:spacing w:line="360" w:lineRule="auto"/>
        <w:ind w:firstLine="420" w:firstLineChars="200"/>
        <w:jc w:val="left"/>
        <w:rPr>
          <w:rFonts w:ascii="Times New Roman" w:hAnsi="Times New Roman" w:cs="Times New Roman"/>
          <w:kern w:val="0"/>
          <w:szCs w:val="21"/>
        </w:rPr>
      </w:pPr>
      <w:r>
        <w:rPr>
          <w:rFonts w:ascii="Times New Roman" w:hAnsi="Times New Roman" w:cs="Times New Roman"/>
          <w:kern w:val="0"/>
          <w:szCs w:val="21"/>
          <w:lang w:bidi="ar"/>
        </w:rPr>
        <w:t>日期：</w:t>
      </w:r>
      <w:r>
        <w:rPr>
          <w:rFonts w:ascii="Times New Roman" w:hAnsi="Times New Roman" w:cs="Times New Roman"/>
          <w:kern w:val="0"/>
          <w:szCs w:val="21"/>
          <w:u w:val="single"/>
          <w:lang w:bidi="ar"/>
        </w:rPr>
        <w:t xml:space="preserve">                       </w:t>
      </w:r>
      <w:r>
        <w:rPr>
          <w:rFonts w:ascii="Times New Roman" w:hAnsi="Times New Roman" w:cs="Times New Roman"/>
          <w:kern w:val="0"/>
          <w:szCs w:val="21"/>
          <w:lang w:bidi="ar"/>
        </w:rPr>
        <w:t xml:space="preserve">               日期：</w:t>
      </w:r>
      <w:r>
        <w:rPr>
          <w:rFonts w:ascii="Times New Roman" w:hAnsi="Times New Roman" w:cs="Times New Roman"/>
          <w:kern w:val="0"/>
          <w:szCs w:val="21"/>
          <w:u w:val="single"/>
          <w:lang w:bidi="ar"/>
        </w:rPr>
        <w:t xml:space="preserve">                       </w:t>
      </w:r>
    </w:p>
    <w:bookmarkEnd w:id="29"/>
    <w:p w14:paraId="71CA937B">
      <w:pPr>
        <w:pStyle w:val="34"/>
        <w:ind w:left="0"/>
        <w:rPr>
          <w:rFonts w:ascii="Times New Roman" w:hAnsi="Times New Roman" w:cs="Times New Roman"/>
        </w:rPr>
      </w:pPr>
      <w:bookmarkStart w:id="186" w:name="_Toc10441"/>
      <w:bookmarkStart w:id="187" w:name="_Toc29760"/>
    </w:p>
    <w:p w14:paraId="135235A0">
      <w:pPr>
        <w:rPr>
          <w:rFonts w:ascii="Times New Roman" w:hAnsi="Times New Roman" w:cs="Times New Roman"/>
        </w:rPr>
      </w:pPr>
    </w:p>
    <w:p w14:paraId="0535963F">
      <w:pPr>
        <w:pStyle w:val="2"/>
        <w:rPr>
          <w:rFonts w:ascii="Times New Roman" w:hAnsi="Times New Roman" w:cs="Times New Roman"/>
        </w:rPr>
      </w:pPr>
    </w:p>
    <w:p w14:paraId="3F755E74">
      <w:pPr>
        <w:pStyle w:val="40"/>
        <w:ind w:right="-21" w:firstLine="630"/>
        <w:rPr>
          <w:rFonts w:ascii="Times New Roman" w:hAnsi="Times New Roman" w:cs="Times New Roman"/>
        </w:rPr>
      </w:pPr>
    </w:p>
    <w:p w14:paraId="459B8A6C">
      <w:pPr>
        <w:jc w:val="center"/>
        <w:rPr>
          <w:rFonts w:ascii="Times New Roman" w:hAnsi="Times New Roman" w:cs="Times New Roman"/>
          <w:b/>
          <w:sz w:val="28"/>
        </w:rPr>
      </w:pPr>
      <w:r>
        <w:rPr>
          <w:rFonts w:ascii="Times New Roman" w:hAnsi="Times New Roman" w:cs="Times New Roman"/>
          <w:b/>
          <w:sz w:val="28"/>
        </w:rPr>
        <w:t>第六章  投标文件格式</w:t>
      </w:r>
      <w:bookmarkEnd w:id="186"/>
      <w:bookmarkEnd w:id="187"/>
    </w:p>
    <w:p w14:paraId="3FBD03CF">
      <w:pPr>
        <w:spacing w:line="500" w:lineRule="exact"/>
        <w:jc w:val="right"/>
        <w:rPr>
          <w:rFonts w:ascii="Times New Roman" w:hAnsi="Times New Roman" w:cs="Times New Roman"/>
          <w:b/>
          <w:sz w:val="32"/>
        </w:rPr>
      </w:pPr>
      <w:r>
        <w:rPr>
          <w:rFonts w:ascii="Times New Roman" w:hAnsi="Times New Roman" w:cs="Times New Roman"/>
          <w:b/>
          <w:sz w:val="32"/>
        </w:rPr>
        <w:t>【正/副本】</w:t>
      </w:r>
    </w:p>
    <w:p w14:paraId="71A5A227">
      <w:pPr>
        <w:spacing w:line="500" w:lineRule="exact"/>
        <w:jc w:val="center"/>
        <w:rPr>
          <w:rFonts w:ascii="Times New Roman" w:hAnsi="Times New Roman" w:cs="Times New Roman"/>
          <w:b/>
          <w:sz w:val="32"/>
        </w:rPr>
      </w:pPr>
    </w:p>
    <w:p w14:paraId="3AD8B462">
      <w:pPr>
        <w:spacing w:line="500" w:lineRule="exact"/>
        <w:jc w:val="center"/>
        <w:rPr>
          <w:rFonts w:ascii="Times New Roman" w:hAnsi="Times New Roman" w:cs="Times New Roman"/>
          <w:b/>
          <w:sz w:val="32"/>
        </w:rPr>
      </w:pPr>
    </w:p>
    <w:p w14:paraId="719AF225">
      <w:pPr>
        <w:spacing w:line="500" w:lineRule="exact"/>
        <w:jc w:val="center"/>
        <w:rPr>
          <w:rFonts w:ascii="Times New Roman" w:hAnsi="Times New Roman" w:cs="Times New Roman"/>
          <w:b/>
          <w:spacing w:val="20"/>
          <w:kern w:val="0"/>
          <w:sz w:val="32"/>
          <w:szCs w:val="32"/>
          <w:u w:val="single"/>
        </w:rPr>
      </w:pPr>
      <w:r>
        <w:rPr>
          <w:rFonts w:hint="eastAsia" w:ascii="Times New Roman" w:hAnsi="Times New Roman" w:cs="Times New Roman"/>
          <w:b/>
          <w:spacing w:val="20"/>
          <w:kern w:val="0"/>
          <w:sz w:val="32"/>
          <w:szCs w:val="32"/>
          <w:u w:val="single"/>
        </w:rPr>
        <w:t xml:space="preserve"> </w:t>
      </w:r>
      <w:r>
        <w:rPr>
          <w:rFonts w:hint="eastAsia" w:ascii="Times New Roman" w:hAnsi="Times New Roman" w:cs="Times New Roman"/>
          <w:b/>
          <w:sz w:val="32"/>
          <w:u w:val="single"/>
          <w:lang w:eastAsia="zh-CN"/>
        </w:rPr>
        <w:t>望湖城公共文化空间智能化设备采购</w:t>
      </w:r>
      <w:r>
        <w:rPr>
          <w:rFonts w:hint="eastAsia" w:ascii="Times New Roman" w:hAnsi="Times New Roman" w:cs="Times New Roman"/>
          <w:b/>
          <w:sz w:val="32"/>
          <w:u w:val="single"/>
        </w:rPr>
        <w:t xml:space="preserve"> </w:t>
      </w:r>
    </w:p>
    <w:p w14:paraId="0A809BC4">
      <w:pPr>
        <w:pStyle w:val="2"/>
      </w:pPr>
    </w:p>
    <w:p w14:paraId="6C838833">
      <w:pPr>
        <w:spacing w:line="500" w:lineRule="exact"/>
        <w:jc w:val="center"/>
        <w:rPr>
          <w:rFonts w:ascii="Times New Roman" w:hAnsi="Times New Roman" w:cs="Times New Roman"/>
          <w:b/>
          <w:sz w:val="32"/>
        </w:rPr>
      </w:pPr>
      <w:r>
        <w:rPr>
          <w:rFonts w:ascii="Times New Roman" w:hAnsi="Times New Roman" w:cs="Times New Roman"/>
          <w:b/>
          <w:sz w:val="32"/>
        </w:rPr>
        <w:t>（项目编号：</w:t>
      </w:r>
      <w:r>
        <w:rPr>
          <w:rFonts w:hint="eastAsia" w:ascii="Times New Roman" w:hAnsi="Times New Roman" w:cs="Times New Roman"/>
          <w:b/>
          <w:spacing w:val="20"/>
          <w:kern w:val="0"/>
          <w:sz w:val="32"/>
          <w:szCs w:val="32"/>
          <w:u w:val="single"/>
        </w:rPr>
        <w:t xml:space="preserve"> JSCM-ZTB-202</w:t>
      </w:r>
      <w:r>
        <w:rPr>
          <w:rFonts w:hint="eastAsia" w:ascii="Times New Roman" w:hAnsi="Times New Roman" w:cs="Times New Roman"/>
          <w:b/>
          <w:spacing w:val="20"/>
          <w:kern w:val="0"/>
          <w:sz w:val="32"/>
          <w:szCs w:val="32"/>
          <w:u w:val="single"/>
          <w:lang w:val="en-US" w:eastAsia="zh-CN"/>
        </w:rPr>
        <w:t>4</w:t>
      </w:r>
      <w:r>
        <w:rPr>
          <w:rFonts w:hint="eastAsia" w:ascii="Times New Roman" w:hAnsi="Times New Roman" w:cs="Times New Roman"/>
          <w:b/>
          <w:spacing w:val="20"/>
          <w:kern w:val="0"/>
          <w:sz w:val="32"/>
          <w:szCs w:val="32"/>
          <w:u w:val="single"/>
        </w:rPr>
        <w:t>-0</w:t>
      </w:r>
      <w:r>
        <w:rPr>
          <w:rFonts w:hint="eastAsia" w:ascii="Times New Roman" w:hAnsi="Times New Roman" w:cs="Times New Roman"/>
          <w:b/>
          <w:spacing w:val="20"/>
          <w:kern w:val="0"/>
          <w:sz w:val="32"/>
          <w:szCs w:val="32"/>
          <w:u w:val="single"/>
          <w:lang w:val="en-US" w:eastAsia="zh-CN"/>
        </w:rPr>
        <w:t>2</w:t>
      </w:r>
      <w:r>
        <w:rPr>
          <w:rFonts w:ascii="Times New Roman" w:hAnsi="Times New Roman" w:cs="Times New Roman"/>
          <w:b/>
          <w:spacing w:val="20"/>
          <w:kern w:val="0"/>
          <w:sz w:val="32"/>
          <w:szCs w:val="32"/>
          <w:u w:val="single"/>
        </w:rPr>
        <w:t xml:space="preserve"> </w:t>
      </w:r>
      <w:r>
        <w:rPr>
          <w:rFonts w:hint="eastAsia" w:ascii="Times New Roman" w:hAnsi="Times New Roman" w:cs="Times New Roman"/>
          <w:b/>
          <w:sz w:val="32"/>
        </w:rPr>
        <w:t xml:space="preserve"> </w:t>
      </w:r>
      <w:r>
        <w:rPr>
          <w:rFonts w:ascii="Times New Roman" w:hAnsi="Times New Roman" w:cs="Times New Roman"/>
          <w:b/>
          <w:sz w:val="32"/>
        </w:rPr>
        <w:t>）</w:t>
      </w:r>
    </w:p>
    <w:p w14:paraId="1B23FD1D">
      <w:pPr>
        <w:spacing w:line="900" w:lineRule="exact"/>
        <w:jc w:val="center"/>
        <w:rPr>
          <w:rFonts w:ascii="Times New Roman" w:hAnsi="Times New Roman" w:cs="Times New Roman"/>
          <w:b/>
          <w:sz w:val="72"/>
        </w:rPr>
      </w:pPr>
    </w:p>
    <w:p w14:paraId="0D15D79D">
      <w:pPr>
        <w:spacing w:line="900" w:lineRule="exact"/>
        <w:jc w:val="center"/>
        <w:rPr>
          <w:rFonts w:ascii="Times New Roman" w:hAnsi="Times New Roman" w:cs="Times New Roman"/>
          <w:b/>
          <w:sz w:val="72"/>
        </w:rPr>
      </w:pPr>
      <w:r>
        <w:rPr>
          <w:rFonts w:ascii="Times New Roman" w:hAnsi="Times New Roman" w:cs="Times New Roman"/>
          <w:b/>
          <w:sz w:val="72"/>
        </w:rPr>
        <w:t>投</w:t>
      </w:r>
    </w:p>
    <w:p w14:paraId="2E0B34A3">
      <w:pPr>
        <w:spacing w:line="900" w:lineRule="exact"/>
        <w:jc w:val="center"/>
        <w:rPr>
          <w:rFonts w:ascii="Times New Roman" w:hAnsi="Times New Roman" w:cs="Times New Roman"/>
          <w:b/>
          <w:sz w:val="72"/>
        </w:rPr>
      </w:pPr>
    </w:p>
    <w:p w14:paraId="21EE8554">
      <w:pPr>
        <w:spacing w:line="900" w:lineRule="exact"/>
        <w:jc w:val="center"/>
        <w:rPr>
          <w:rFonts w:ascii="Times New Roman" w:hAnsi="Times New Roman" w:cs="Times New Roman"/>
          <w:b/>
          <w:sz w:val="72"/>
        </w:rPr>
      </w:pPr>
      <w:r>
        <w:rPr>
          <w:rFonts w:ascii="Times New Roman" w:hAnsi="Times New Roman" w:cs="Times New Roman"/>
          <w:b/>
          <w:sz w:val="72"/>
        </w:rPr>
        <w:t>标</w:t>
      </w:r>
    </w:p>
    <w:p w14:paraId="0BADD667">
      <w:pPr>
        <w:spacing w:line="900" w:lineRule="exact"/>
        <w:jc w:val="center"/>
        <w:rPr>
          <w:rFonts w:ascii="Times New Roman" w:hAnsi="Times New Roman" w:cs="Times New Roman"/>
          <w:b/>
          <w:sz w:val="72"/>
        </w:rPr>
      </w:pPr>
    </w:p>
    <w:p w14:paraId="66F15E43">
      <w:pPr>
        <w:spacing w:line="900" w:lineRule="exact"/>
        <w:jc w:val="center"/>
        <w:rPr>
          <w:rFonts w:ascii="Times New Roman" w:hAnsi="Times New Roman" w:cs="Times New Roman"/>
          <w:b/>
          <w:sz w:val="72"/>
        </w:rPr>
      </w:pPr>
      <w:r>
        <w:rPr>
          <w:rFonts w:ascii="Times New Roman" w:hAnsi="Times New Roman" w:cs="Times New Roman"/>
          <w:b/>
          <w:sz w:val="72"/>
        </w:rPr>
        <w:t>文</w:t>
      </w:r>
    </w:p>
    <w:p w14:paraId="252B8D37">
      <w:pPr>
        <w:spacing w:line="900" w:lineRule="exact"/>
        <w:jc w:val="center"/>
        <w:rPr>
          <w:rFonts w:ascii="Times New Roman" w:hAnsi="Times New Roman" w:cs="Times New Roman"/>
          <w:b/>
          <w:sz w:val="72"/>
        </w:rPr>
      </w:pPr>
    </w:p>
    <w:p w14:paraId="11FADAAF">
      <w:pPr>
        <w:jc w:val="center"/>
        <w:rPr>
          <w:rFonts w:ascii="Times New Roman" w:hAnsi="Times New Roman" w:cs="Times New Roman"/>
          <w:b/>
          <w:sz w:val="72"/>
        </w:rPr>
      </w:pPr>
      <w:r>
        <w:rPr>
          <w:rFonts w:ascii="Times New Roman" w:hAnsi="Times New Roman" w:cs="Times New Roman"/>
          <w:b/>
          <w:sz w:val="72"/>
        </w:rPr>
        <w:t>件</w:t>
      </w:r>
    </w:p>
    <w:p w14:paraId="41211057">
      <w:pPr>
        <w:spacing w:after="156" w:afterLines="50" w:line="500" w:lineRule="exact"/>
        <w:jc w:val="center"/>
        <w:rPr>
          <w:rFonts w:ascii="Times New Roman" w:hAnsi="Times New Roman" w:cs="Times New Roman"/>
          <w:b/>
          <w:sz w:val="72"/>
        </w:rPr>
      </w:pPr>
    </w:p>
    <w:p w14:paraId="6CE6E6DD">
      <w:pPr>
        <w:spacing w:after="156" w:afterLines="50" w:line="500" w:lineRule="exact"/>
        <w:jc w:val="center"/>
        <w:rPr>
          <w:rFonts w:ascii="Times New Roman" w:hAnsi="Times New Roman" w:cs="Times New Roman"/>
          <w:b/>
          <w:sz w:val="32"/>
          <w:u w:val="single"/>
        </w:rPr>
      </w:pPr>
      <w:r>
        <w:rPr>
          <w:rFonts w:ascii="Times New Roman" w:hAnsi="Times New Roman" w:cs="Times New Roman"/>
          <w:b/>
          <w:sz w:val="32"/>
        </w:rPr>
        <w:t>投标人：</w:t>
      </w:r>
      <w:r>
        <w:rPr>
          <w:rFonts w:ascii="Times New Roman" w:hAnsi="Times New Roman" w:cs="Times New Roman"/>
          <w:b/>
          <w:sz w:val="32"/>
          <w:u w:val="single"/>
        </w:rPr>
        <w:t xml:space="preserve">               </w:t>
      </w:r>
      <w:r>
        <w:rPr>
          <w:rFonts w:ascii="Times New Roman" w:hAnsi="Times New Roman" w:cs="Times New Roman"/>
          <w:b/>
          <w:sz w:val="32"/>
        </w:rPr>
        <w:t>（加盖投标人公章）</w:t>
      </w:r>
    </w:p>
    <w:p w14:paraId="32ED36A4">
      <w:pPr>
        <w:spacing w:after="156" w:afterLines="50" w:line="500" w:lineRule="exact"/>
        <w:ind w:firstLine="2291" w:firstLineChars="713"/>
        <w:rPr>
          <w:rFonts w:ascii="Times New Roman" w:hAnsi="Times New Roman" w:cs="Times New Roman"/>
          <w:b/>
          <w:sz w:val="32"/>
        </w:rPr>
      </w:pPr>
      <w:r>
        <w:rPr>
          <w:rFonts w:ascii="Times New Roman" w:hAnsi="Times New Roman" w:cs="Times New Roman"/>
          <w:b/>
          <w:sz w:val="32"/>
        </w:rPr>
        <w:t>年</w:t>
      </w:r>
      <w:r>
        <w:rPr>
          <w:rFonts w:ascii="Times New Roman" w:hAnsi="Times New Roman" w:cs="Times New Roman"/>
          <w:b/>
          <w:sz w:val="32"/>
          <w:u w:val="single"/>
        </w:rPr>
        <w:t xml:space="preserve">    </w:t>
      </w:r>
      <w:r>
        <w:rPr>
          <w:rFonts w:ascii="Times New Roman" w:hAnsi="Times New Roman" w:cs="Times New Roman"/>
          <w:b/>
          <w:sz w:val="32"/>
        </w:rPr>
        <w:t>月</w:t>
      </w:r>
      <w:r>
        <w:rPr>
          <w:rFonts w:ascii="Times New Roman" w:hAnsi="Times New Roman" w:cs="Times New Roman"/>
          <w:b/>
          <w:sz w:val="32"/>
          <w:u w:val="single"/>
        </w:rPr>
        <w:t xml:space="preserve">    </w:t>
      </w:r>
      <w:r>
        <w:rPr>
          <w:rFonts w:ascii="Times New Roman" w:hAnsi="Times New Roman" w:cs="Times New Roman"/>
          <w:b/>
          <w:sz w:val="32"/>
        </w:rPr>
        <w:t>日</w:t>
      </w:r>
    </w:p>
    <w:p w14:paraId="6058C963">
      <w:pPr>
        <w:widowControl/>
        <w:jc w:val="left"/>
        <w:rPr>
          <w:rFonts w:ascii="Times New Roman" w:hAnsi="Times New Roman" w:cs="Times New Roman"/>
          <w:b/>
          <w:sz w:val="28"/>
        </w:rPr>
      </w:pPr>
      <w:r>
        <w:rPr>
          <w:rFonts w:ascii="Times New Roman" w:hAnsi="Times New Roman" w:cs="Times New Roman"/>
          <w:b/>
          <w:sz w:val="28"/>
        </w:rPr>
        <w:br w:type="page"/>
      </w:r>
    </w:p>
    <w:p w14:paraId="1AA75706">
      <w:pPr>
        <w:spacing w:line="360" w:lineRule="auto"/>
        <w:jc w:val="center"/>
        <w:outlineLvl w:val="2"/>
        <w:rPr>
          <w:rFonts w:ascii="宋体" w:hAnsi="宋体"/>
          <w:b/>
          <w:sz w:val="24"/>
        </w:rPr>
      </w:pPr>
      <w:bookmarkStart w:id="188" w:name="_Toc461053086"/>
      <w:bookmarkStart w:id="189" w:name="_Toc461056631"/>
      <w:bookmarkStart w:id="190" w:name="_Toc520983587"/>
      <w:r>
        <w:rPr>
          <w:rFonts w:hint="eastAsia" w:ascii="宋体" w:hAnsi="宋体"/>
          <w:b/>
          <w:sz w:val="24"/>
        </w:rPr>
        <w:t>一</w:t>
      </w:r>
      <w:bookmarkEnd w:id="188"/>
      <w:bookmarkEnd w:id="189"/>
      <w:r>
        <w:rPr>
          <w:rFonts w:hint="eastAsia" w:ascii="宋体" w:hAnsi="宋体"/>
          <w:b/>
          <w:sz w:val="24"/>
        </w:rPr>
        <w:t>、报价表格式</w:t>
      </w:r>
      <w:bookmarkEnd w:id="190"/>
    </w:p>
    <w:p w14:paraId="5612AFDA">
      <w:pPr>
        <w:spacing w:before="156" w:beforeLines="50" w:after="156" w:afterLines="50" w:line="360" w:lineRule="auto"/>
        <w:jc w:val="left"/>
        <w:rPr>
          <w:rFonts w:ascii="宋体" w:hAnsi="宋体"/>
          <w:b/>
          <w:sz w:val="24"/>
          <w:szCs w:val="28"/>
        </w:rPr>
      </w:pPr>
      <w:r>
        <w:rPr>
          <w:rFonts w:hint="eastAsia" w:ascii="宋体" w:hAnsi="宋体"/>
          <w:b/>
          <w:sz w:val="24"/>
          <w:szCs w:val="28"/>
        </w:rPr>
        <w:t>1-1 报价表</w:t>
      </w:r>
    </w:p>
    <w:p w14:paraId="7C7F8450">
      <w:pPr>
        <w:snapToGrid w:val="0"/>
        <w:spacing w:line="360" w:lineRule="auto"/>
        <w:jc w:val="left"/>
        <w:rPr>
          <w:rFonts w:ascii="宋体" w:hAnsi="宋体"/>
          <w:b/>
          <w:sz w:val="24"/>
          <w:szCs w:val="28"/>
        </w:rPr>
      </w:pPr>
      <w:r>
        <w:rPr>
          <w:rFonts w:hint="eastAsia" w:ascii="宋体" w:hAnsi="宋体"/>
          <w:b/>
          <w:sz w:val="24"/>
          <w:szCs w:val="28"/>
        </w:rPr>
        <w:t>项目名称：</w:t>
      </w:r>
      <w:r>
        <w:rPr>
          <w:rFonts w:hint="eastAsia" w:ascii="宋体" w:hAnsi="宋体"/>
          <w:b/>
          <w:sz w:val="24"/>
          <w:szCs w:val="28"/>
          <w:u w:val="single"/>
        </w:rPr>
        <w:t xml:space="preserve">  </w:t>
      </w:r>
      <w:r>
        <w:rPr>
          <w:rFonts w:hint="eastAsia" w:ascii="宋体" w:hAnsi="宋体"/>
          <w:b/>
          <w:sz w:val="24"/>
          <w:szCs w:val="28"/>
          <w:u w:val="single"/>
          <w:lang w:eastAsia="zh-CN"/>
        </w:rPr>
        <w:t>望湖城公共文化空间智能化设备采购</w:t>
      </w:r>
      <w:r>
        <w:rPr>
          <w:rFonts w:hint="eastAsia" w:ascii="宋体" w:hAnsi="宋体"/>
          <w:b/>
          <w:sz w:val="24"/>
          <w:szCs w:val="28"/>
          <w:u w:val="single"/>
        </w:rPr>
        <w:t xml:space="preserve"> </w:t>
      </w:r>
    </w:p>
    <w:p w14:paraId="68D238D7">
      <w:pPr>
        <w:snapToGrid w:val="0"/>
        <w:spacing w:after="156" w:afterLines="50" w:line="360" w:lineRule="auto"/>
        <w:jc w:val="left"/>
        <w:rPr>
          <w:rFonts w:ascii="宋体" w:hAnsi="宋体"/>
          <w:b/>
          <w:bCs/>
          <w:sz w:val="24"/>
          <w:szCs w:val="28"/>
          <w:u w:val="single"/>
        </w:rPr>
      </w:pPr>
      <w:r>
        <w:rPr>
          <w:rFonts w:hint="eastAsia" w:ascii="宋体" w:hAnsi="宋体"/>
          <w:b/>
          <w:sz w:val="24"/>
          <w:szCs w:val="28"/>
        </w:rPr>
        <w:t>项目编号：</w:t>
      </w:r>
      <w:r>
        <w:rPr>
          <w:rFonts w:hint="eastAsia" w:ascii="宋体" w:hAnsi="宋体"/>
          <w:b/>
          <w:sz w:val="24"/>
          <w:szCs w:val="28"/>
          <w:u w:val="single"/>
        </w:rPr>
        <w:t xml:space="preserve"> </w:t>
      </w:r>
      <w:r>
        <w:rPr>
          <w:rFonts w:ascii="宋体" w:hAnsi="宋体"/>
          <w:b/>
          <w:sz w:val="24"/>
          <w:szCs w:val="28"/>
          <w:u w:val="single"/>
        </w:rPr>
        <w:t xml:space="preserve">  </w:t>
      </w:r>
      <w:r>
        <w:rPr>
          <w:rFonts w:hint="eastAsia" w:ascii="宋体" w:hAnsi="宋体"/>
          <w:b/>
          <w:sz w:val="24"/>
          <w:szCs w:val="28"/>
          <w:u w:val="single"/>
        </w:rPr>
        <w:t>JSCM-ZTB-202</w:t>
      </w:r>
      <w:r>
        <w:rPr>
          <w:rFonts w:hint="eastAsia" w:ascii="宋体" w:hAnsi="宋体"/>
          <w:b/>
          <w:sz w:val="24"/>
          <w:szCs w:val="28"/>
          <w:u w:val="single"/>
          <w:lang w:val="en-US" w:eastAsia="zh-CN"/>
        </w:rPr>
        <w:t>4</w:t>
      </w:r>
      <w:r>
        <w:rPr>
          <w:rFonts w:hint="eastAsia" w:ascii="宋体" w:hAnsi="宋体"/>
          <w:b/>
          <w:sz w:val="24"/>
          <w:szCs w:val="28"/>
          <w:u w:val="single"/>
        </w:rPr>
        <w:t>-0</w:t>
      </w:r>
      <w:r>
        <w:rPr>
          <w:rFonts w:hint="eastAsia" w:ascii="宋体" w:hAnsi="宋体"/>
          <w:b/>
          <w:sz w:val="24"/>
          <w:szCs w:val="28"/>
          <w:u w:val="single"/>
          <w:lang w:val="en-US" w:eastAsia="zh-CN"/>
        </w:rPr>
        <w:t>2</w:t>
      </w:r>
      <w:r>
        <w:rPr>
          <w:rFonts w:ascii="宋体" w:hAnsi="宋体"/>
          <w:b/>
          <w:sz w:val="24"/>
          <w:szCs w:val="28"/>
          <w:u w:val="single"/>
        </w:rPr>
        <w:t xml:space="preserve">         </w:t>
      </w:r>
      <w:r>
        <w:rPr>
          <w:rFonts w:hint="eastAsia" w:ascii="宋体" w:hAnsi="宋体"/>
          <w:b/>
          <w:sz w:val="24"/>
          <w:szCs w:val="28"/>
          <w:u w:val="single"/>
        </w:rPr>
        <w:t xml:space="preserve">      </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1B18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0671144F">
            <w:pPr>
              <w:spacing w:line="360" w:lineRule="auto"/>
              <w:jc w:val="center"/>
              <w:rPr>
                <w:rFonts w:ascii="宋体" w:hAnsi="宋体"/>
                <w:b/>
                <w:sz w:val="24"/>
              </w:rPr>
            </w:pPr>
            <w:r>
              <w:rPr>
                <w:rFonts w:hint="eastAsia" w:ascii="宋体" w:hAnsi="宋体"/>
                <w:b/>
                <w:sz w:val="24"/>
              </w:rPr>
              <w:t>投标人名称</w:t>
            </w:r>
          </w:p>
        </w:tc>
        <w:tc>
          <w:tcPr>
            <w:tcW w:w="6063" w:type="dxa"/>
            <w:tcBorders>
              <w:left w:val="single" w:color="auto" w:sz="4" w:space="0"/>
            </w:tcBorders>
          </w:tcPr>
          <w:p w14:paraId="549F64EA">
            <w:pPr>
              <w:spacing w:line="360" w:lineRule="auto"/>
              <w:rPr>
                <w:rFonts w:ascii="宋体" w:hAnsi="宋体"/>
                <w:b/>
                <w:sz w:val="24"/>
              </w:rPr>
            </w:pPr>
          </w:p>
        </w:tc>
      </w:tr>
      <w:tr w14:paraId="568B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2FAB09E2">
            <w:pPr>
              <w:spacing w:line="360" w:lineRule="exact"/>
              <w:jc w:val="center"/>
              <w:rPr>
                <w:rFonts w:ascii="宋体" w:hAnsi="宋体"/>
                <w:b/>
                <w:sz w:val="24"/>
              </w:rPr>
            </w:pPr>
            <w:r>
              <w:rPr>
                <w:rFonts w:hint="eastAsia" w:ascii="宋体" w:hAnsi="宋体"/>
                <w:b/>
                <w:sz w:val="24"/>
              </w:rPr>
              <w:t>招标范围</w:t>
            </w:r>
          </w:p>
        </w:tc>
        <w:tc>
          <w:tcPr>
            <w:tcW w:w="6063" w:type="dxa"/>
            <w:tcBorders>
              <w:left w:val="single" w:color="auto" w:sz="4" w:space="0"/>
            </w:tcBorders>
            <w:vAlign w:val="center"/>
          </w:tcPr>
          <w:p w14:paraId="62589792">
            <w:pPr>
              <w:widowControl/>
              <w:spacing w:line="360" w:lineRule="exact"/>
              <w:rPr>
                <w:rFonts w:ascii="宋体" w:hAnsi="宋体"/>
                <w:b/>
                <w:sz w:val="24"/>
              </w:rPr>
            </w:pPr>
            <w:r>
              <w:rPr>
                <w:rFonts w:hint="eastAsia" w:ascii="宋体" w:hAnsi="宋体"/>
                <w:sz w:val="24"/>
                <w:szCs w:val="28"/>
              </w:rPr>
              <w:t xml:space="preserve">全部 </w:t>
            </w:r>
          </w:p>
        </w:tc>
      </w:tr>
      <w:tr w14:paraId="4A7F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66605BC8">
            <w:pPr>
              <w:spacing w:line="360" w:lineRule="auto"/>
              <w:jc w:val="center"/>
              <w:rPr>
                <w:rFonts w:ascii="宋体" w:hAnsi="宋体"/>
                <w:b/>
                <w:sz w:val="24"/>
              </w:rPr>
            </w:pPr>
            <w:r>
              <w:rPr>
                <w:rFonts w:hint="eastAsia" w:ascii="宋体" w:hAnsi="宋体"/>
                <w:b/>
                <w:sz w:val="24"/>
              </w:rPr>
              <w:t>报价</w:t>
            </w:r>
          </w:p>
          <w:p w14:paraId="6EEEE0A3">
            <w:pPr>
              <w:spacing w:line="360" w:lineRule="auto"/>
              <w:jc w:val="center"/>
              <w:rPr>
                <w:rFonts w:ascii="宋体" w:hAnsi="宋体"/>
                <w:b/>
                <w:sz w:val="24"/>
              </w:rPr>
            </w:pPr>
            <w:r>
              <w:rPr>
                <w:rFonts w:hint="eastAsia" w:ascii="宋体" w:hAnsi="宋体"/>
                <w:b/>
                <w:sz w:val="24"/>
              </w:rPr>
              <w:t>（详见备注说明）</w:t>
            </w:r>
          </w:p>
        </w:tc>
        <w:tc>
          <w:tcPr>
            <w:tcW w:w="6063" w:type="dxa"/>
            <w:vAlign w:val="center"/>
          </w:tcPr>
          <w:p w14:paraId="38F4E0A9">
            <w:pPr>
              <w:snapToGrid w:val="0"/>
              <w:spacing w:line="360" w:lineRule="auto"/>
              <w:rPr>
                <w:rFonts w:ascii="宋体" w:hAnsi="宋体"/>
                <w:sz w:val="24"/>
                <w:szCs w:val="28"/>
              </w:rPr>
            </w:pPr>
          </w:p>
          <w:p w14:paraId="1886F801">
            <w:pPr>
              <w:snapToGrid w:val="0"/>
              <w:spacing w:line="360" w:lineRule="auto"/>
              <w:rPr>
                <w:rFonts w:ascii="宋体" w:hAnsi="宋体"/>
                <w:bCs/>
                <w:sz w:val="24"/>
              </w:rPr>
            </w:pPr>
            <w:r>
              <w:rPr>
                <w:rFonts w:hint="eastAsia" w:ascii="宋体" w:hAnsi="宋体"/>
                <w:bCs/>
                <w:sz w:val="24"/>
              </w:rPr>
              <w:t>人民币大写：</w:t>
            </w:r>
            <w:r>
              <w:rPr>
                <w:rFonts w:hint="eastAsia" w:ascii="宋体" w:hAnsi="宋体"/>
                <w:bCs/>
                <w:sz w:val="24"/>
                <w:u w:val="single"/>
              </w:rPr>
              <w:t xml:space="preserve">                        </w:t>
            </w:r>
            <w:r>
              <w:rPr>
                <w:rFonts w:hint="eastAsia" w:ascii="宋体" w:hAnsi="宋体"/>
                <w:bCs/>
                <w:sz w:val="24"/>
              </w:rPr>
              <w:t>元</w:t>
            </w:r>
          </w:p>
          <w:p w14:paraId="1C6BD665">
            <w:pPr>
              <w:snapToGrid w:val="0"/>
              <w:spacing w:line="360" w:lineRule="auto"/>
              <w:rPr>
                <w:rFonts w:ascii="宋体" w:hAnsi="宋体"/>
                <w:b/>
                <w:sz w:val="24"/>
              </w:rPr>
            </w:pPr>
          </w:p>
        </w:tc>
      </w:tr>
      <w:tr w14:paraId="7EF9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7F60EA54">
            <w:pPr>
              <w:spacing w:line="360" w:lineRule="auto"/>
              <w:jc w:val="center"/>
              <w:rPr>
                <w:rFonts w:ascii="宋体" w:hAnsi="宋体"/>
                <w:b/>
                <w:sz w:val="24"/>
              </w:rPr>
            </w:pPr>
            <w:r>
              <w:rPr>
                <w:rFonts w:hint="eastAsia" w:ascii="宋体" w:hAnsi="宋体"/>
                <w:b/>
                <w:sz w:val="24"/>
              </w:rPr>
              <w:t>备注说明</w:t>
            </w:r>
          </w:p>
        </w:tc>
        <w:tc>
          <w:tcPr>
            <w:tcW w:w="6063" w:type="dxa"/>
          </w:tcPr>
          <w:p w14:paraId="4779504B">
            <w:pPr>
              <w:spacing w:line="360" w:lineRule="auto"/>
              <w:rPr>
                <w:rFonts w:ascii="宋体" w:hAnsi="宋体"/>
                <w:b/>
                <w:sz w:val="24"/>
              </w:rPr>
            </w:pPr>
          </w:p>
        </w:tc>
      </w:tr>
    </w:tbl>
    <w:p w14:paraId="04125BFA">
      <w:pPr>
        <w:spacing w:line="360" w:lineRule="auto"/>
        <w:ind w:firstLine="4560" w:firstLineChars="1900"/>
        <w:rPr>
          <w:rFonts w:ascii="宋体" w:hAnsi="宋体"/>
          <w:sz w:val="24"/>
        </w:rPr>
      </w:pPr>
      <w:r>
        <w:rPr>
          <w:rFonts w:hint="eastAsia" w:ascii="宋体" w:hAnsi="宋体"/>
          <w:sz w:val="24"/>
        </w:rPr>
        <w:t>投标人电子签章：</w:t>
      </w:r>
      <w:r>
        <w:rPr>
          <w:rFonts w:hint="eastAsia" w:ascii="宋体" w:hAnsi="宋体"/>
          <w:sz w:val="24"/>
          <w:u w:val="single"/>
        </w:rPr>
        <w:t xml:space="preserve">                </w:t>
      </w:r>
    </w:p>
    <w:p w14:paraId="6F3F884D">
      <w:pPr>
        <w:spacing w:line="360" w:lineRule="auto"/>
        <w:ind w:firstLine="4560" w:firstLineChars="1900"/>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14:paraId="6490E013">
      <w:pPr>
        <w:adjustRightInd w:val="0"/>
        <w:snapToGrid w:val="0"/>
        <w:spacing w:line="360" w:lineRule="auto"/>
        <w:rPr>
          <w:rFonts w:ascii="宋体" w:hAnsi="宋体"/>
          <w:b/>
          <w:bCs/>
          <w:sz w:val="24"/>
          <w:szCs w:val="28"/>
        </w:rPr>
      </w:pPr>
      <w:r>
        <w:rPr>
          <w:rFonts w:hint="eastAsia" w:ascii="宋体" w:hAnsi="宋体"/>
          <w:b/>
          <w:bCs/>
          <w:sz w:val="24"/>
          <w:szCs w:val="28"/>
        </w:rPr>
        <w:t>注：</w:t>
      </w:r>
    </w:p>
    <w:p w14:paraId="0BD753E0">
      <w:pPr>
        <w:numPr>
          <w:ilvl w:val="0"/>
          <w:numId w:val="10"/>
        </w:numPr>
        <w:adjustRightInd w:val="0"/>
        <w:snapToGrid w:val="0"/>
        <w:spacing w:line="360" w:lineRule="auto"/>
        <w:ind w:firstLine="482" w:firstLineChars="200"/>
        <w:rPr>
          <w:rFonts w:ascii="宋体" w:hAnsi="宋体"/>
          <w:b/>
          <w:bCs/>
          <w:sz w:val="24"/>
        </w:rPr>
      </w:pPr>
      <w:r>
        <w:rPr>
          <w:rFonts w:hint="eastAsia" w:ascii="宋体" w:hAnsi="宋体"/>
          <w:b/>
          <w:bCs/>
          <w:sz w:val="24"/>
        </w:rPr>
        <w:t>此表用于开标唱标之用。</w:t>
      </w:r>
    </w:p>
    <w:p w14:paraId="7714A74C">
      <w:pPr>
        <w:numPr>
          <w:ilvl w:val="0"/>
          <w:numId w:val="10"/>
        </w:numPr>
        <w:adjustRightInd w:val="0"/>
        <w:snapToGrid w:val="0"/>
        <w:spacing w:line="360" w:lineRule="auto"/>
        <w:ind w:firstLine="482" w:firstLineChars="200"/>
        <w:rPr>
          <w:rFonts w:ascii="宋体" w:hAnsi="宋体"/>
          <w:sz w:val="24"/>
        </w:rPr>
      </w:pPr>
      <w:r>
        <w:rPr>
          <w:rFonts w:hint="eastAsia" w:ascii="宋体" w:hAnsi="宋体"/>
          <w:b/>
          <w:bCs/>
          <w:sz w:val="24"/>
          <w:szCs w:val="28"/>
        </w:rPr>
        <w:t>本表内容根据招标文件要求包括了服务及其配套的设计、采购、制造、检测、试验、运输、保险、仓储、税费以及现场落地、安装及安装耗损、调试、验收、培训、技术服务（包括技术资料、图纸的提供）质保期内的售后服务保障等所有费用。</w:t>
      </w:r>
    </w:p>
    <w:p w14:paraId="7C8BA6BC">
      <w:pPr>
        <w:adjustRightInd w:val="0"/>
        <w:snapToGrid w:val="0"/>
        <w:spacing w:line="360" w:lineRule="auto"/>
        <w:ind w:firstLine="482" w:firstLineChars="200"/>
        <w:rPr>
          <w:rFonts w:ascii="宋体" w:hAnsi="宋体"/>
          <w:b/>
          <w:bCs/>
          <w:sz w:val="24"/>
          <w:szCs w:val="28"/>
        </w:rPr>
      </w:pPr>
      <w:r>
        <w:rPr>
          <w:rFonts w:hint="eastAsia" w:ascii="宋体" w:hAnsi="宋体"/>
          <w:b/>
          <w:bCs/>
          <w:sz w:val="24"/>
          <w:szCs w:val="28"/>
        </w:rPr>
        <w:t>3.特殊事项在备注中注明。</w:t>
      </w:r>
    </w:p>
    <w:p w14:paraId="174D5566">
      <w:pPr>
        <w:spacing w:line="360" w:lineRule="auto"/>
        <w:rPr>
          <w:rFonts w:ascii="宋体" w:hAnsi="宋体"/>
          <w:b/>
          <w:sz w:val="24"/>
        </w:rPr>
      </w:pPr>
      <w:r>
        <w:rPr>
          <w:rFonts w:ascii="宋体" w:hAnsi="宋体"/>
          <w:b/>
          <w:sz w:val="24"/>
        </w:rPr>
        <w:br w:type="page"/>
      </w:r>
    </w:p>
    <w:p w14:paraId="50C021F0">
      <w:pPr>
        <w:spacing w:before="156" w:beforeLines="50" w:after="156" w:afterLines="50" w:line="360" w:lineRule="auto"/>
        <w:jc w:val="left"/>
        <w:rPr>
          <w:rFonts w:ascii="宋体" w:hAnsi="宋体"/>
          <w:b/>
          <w:sz w:val="24"/>
          <w:szCs w:val="28"/>
        </w:rPr>
      </w:pPr>
      <w:r>
        <w:rPr>
          <w:rFonts w:hint="eastAsia" w:ascii="宋体" w:hAnsi="宋体"/>
          <w:b/>
          <w:sz w:val="24"/>
          <w:szCs w:val="28"/>
        </w:rPr>
        <w:t>1-2 分项报价明细表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37F1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vAlign w:val="center"/>
          </w:tcPr>
          <w:p w14:paraId="5945928C">
            <w:pPr>
              <w:pStyle w:val="60"/>
              <w:widowControl w:val="0"/>
              <w:spacing w:before="0" w:beforeAutospacing="0" w:after="0" w:afterAutospacing="0"/>
              <w:rPr>
                <w:rFonts w:ascii="宋体" w:hAnsi="宋体"/>
                <w:bCs w:val="0"/>
                <w:kern w:val="2"/>
                <w:sz w:val="24"/>
                <w:szCs w:val="20"/>
              </w:rPr>
            </w:pPr>
            <w:r>
              <w:rPr>
                <w:rFonts w:hint="eastAsia" w:ascii="宋体" w:hAnsi="宋体"/>
                <w:bCs w:val="0"/>
                <w:kern w:val="2"/>
                <w:sz w:val="24"/>
                <w:szCs w:val="20"/>
              </w:rPr>
              <w:t>序号</w:t>
            </w:r>
          </w:p>
        </w:tc>
        <w:tc>
          <w:tcPr>
            <w:tcW w:w="1323" w:type="dxa"/>
            <w:vAlign w:val="center"/>
          </w:tcPr>
          <w:p w14:paraId="319DCB57">
            <w:pPr>
              <w:jc w:val="center"/>
              <w:rPr>
                <w:rFonts w:ascii="宋体" w:hAnsi="宋体"/>
                <w:b/>
                <w:sz w:val="24"/>
              </w:rPr>
            </w:pPr>
            <w:r>
              <w:rPr>
                <w:rFonts w:hint="eastAsia" w:ascii="宋体" w:hAnsi="宋体"/>
                <w:b/>
                <w:sz w:val="24"/>
              </w:rPr>
              <w:t>货物名称</w:t>
            </w:r>
          </w:p>
        </w:tc>
        <w:tc>
          <w:tcPr>
            <w:tcW w:w="1318" w:type="dxa"/>
            <w:vAlign w:val="center"/>
          </w:tcPr>
          <w:p w14:paraId="7A4762BC">
            <w:pPr>
              <w:jc w:val="center"/>
              <w:rPr>
                <w:rFonts w:ascii="宋体" w:hAnsi="宋体"/>
                <w:b/>
                <w:sz w:val="24"/>
              </w:rPr>
            </w:pPr>
            <w:r>
              <w:rPr>
                <w:rFonts w:hint="eastAsia" w:ascii="宋体" w:hAnsi="宋体"/>
                <w:b/>
                <w:sz w:val="24"/>
              </w:rPr>
              <w:t>品牌、型</w:t>
            </w:r>
          </w:p>
          <w:p w14:paraId="78C9C6A9">
            <w:pPr>
              <w:jc w:val="center"/>
              <w:rPr>
                <w:rFonts w:ascii="宋体" w:hAnsi="宋体"/>
                <w:b/>
                <w:sz w:val="24"/>
              </w:rPr>
            </w:pPr>
            <w:r>
              <w:rPr>
                <w:rFonts w:hint="eastAsia" w:ascii="宋体" w:hAnsi="宋体"/>
                <w:b/>
                <w:sz w:val="24"/>
              </w:rPr>
              <w:t>号规格</w:t>
            </w:r>
          </w:p>
        </w:tc>
        <w:tc>
          <w:tcPr>
            <w:tcW w:w="1318" w:type="dxa"/>
            <w:vAlign w:val="center"/>
          </w:tcPr>
          <w:p w14:paraId="0617A8E6">
            <w:pPr>
              <w:jc w:val="center"/>
              <w:rPr>
                <w:rFonts w:ascii="宋体" w:hAnsi="宋体"/>
                <w:b/>
                <w:sz w:val="24"/>
              </w:rPr>
            </w:pPr>
            <w:r>
              <w:rPr>
                <w:rFonts w:hint="eastAsia" w:ascii="宋体" w:hAnsi="宋体"/>
                <w:b/>
                <w:sz w:val="24"/>
              </w:rPr>
              <w:t>原产地及</w:t>
            </w:r>
          </w:p>
          <w:p w14:paraId="202D39BE">
            <w:pPr>
              <w:jc w:val="center"/>
              <w:rPr>
                <w:rFonts w:ascii="宋体" w:hAnsi="宋体"/>
                <w:b/>
                <w:sz w:val="24"/>
              </w:rPr>
            </w:pPr>
            <w:r>
              <w:rPr>
                <w:rFonts w:hint="eastAsia" w:ascii="宋体" w:hAnsi="宋体"/>
                <w:b/>
                <w:sz w:val="24"/>
              </w:rPr>
              <w:t>生产厂商</w:t>
            </w:r>
          </w:p>
        </w:tc>
        <w:tc>
          <w:tcPr>
            <w:tcW w:w="672" w:type="dxa"/>
            <w:vAlign w:val="center"/>
          </w:tcPr>
          <w:p w14:paraId="03AA6580">
            <w:pPr>
              <w:jc w:val="center"/>
              <w:rPr>
                <w:rFonts w:ascii="宋体" w:hAnsi="宋体"/>
                <w:b/>
                <w:sz w:val="24"/>
              </w:rPr>
            </w:pPr>
            <w:r>
              <w:rPr>
                <w:rFonts w:hint="eastAsia" w:ascii="宋体" w:hAnsi="宋体"/>
                <w:b/>
                <w:sz w:val="24"/>
              </w:rPr>
              <w:t>单位</w:t>
            </w:r>
          </w:p>
        </w:tc>
        <w:tc>
          <w:tcPr>
            <w:tcW w:w="672" w:type="dxa"/>
            <w:vAlign w:val="center"/>
          </w:tcPr>
          <w:p w14:paraId="545AC6DB">
            <w:pPr>
              <w:jc w:val="center"/>
              <w:rPr>
                <w:rFonts w:ascii="宋体" w:hAnsi="宋体"/>
                <w:b/>
                <w:sz w:val="24"/>
              </w:rPr>
            </w:pPr>
            <w:r>
              <w:rPr>
                <w:rFonts w:hint="eastAsia" w:ascii="宋体" w:hAnsi="宋体"/>
                <w:b/>
                <w:sz w:val="24"/>
              </w:rPr>
              <w:t>数量</w:t>
            </w:r>
          </w:p>
        </w:tc>
        <w:tc>
          <w:tcPr>
            <w:tcW w:w="939" w:type="dxa"/>
            <w:vAlign w:val="center"/>
          </w:tcPr>
          <w:p w14:paraId="304160F3">
            <w:pPr>
              <w:jc w:val="center"/>
              <w:rPr>
                <w:rFonts w:ascii="宋体" w:hAnsi="宋体"/>
                <w:b/>
                <w:sz w:val="24"/>
              </w:rPr>
            </w:pPr>
            <w:r>
              <w:rPr>
                <w:rFonts w:hint="eastAsia" w:ascii="宋体" w:hAnsi="宋体"/>
                <w:b/>
                <w:sz w:val="24"/>
              </w:rPr>
              <w:t>单价</w:t>
            </w:r>
          </w:p>
          <w:p w14:paraId="6F17EBE1">
            <w:pPr>
              <w:jc w:val="center"/>
              <w:rPr>
                <w:rFonts w:ascii="宋体" w:hAnsi="宋体"/>
                <w:b/>
                <w:sz w:val="24"/>
              </w:rPr>
            </w:pPr>
            <w:r>
              <w:rPr>
                <w:rFonts w:hint="eastAsia" w:ascii="宋体" w:hAnsi="宋体"/>
                <w:b/>
                <w:sz w:val="24"/>
              </w:rPr>
              <w:t>（元）</w:t>
            </w:r>
          </w:p>
        </w:tc>
        <w:tc>
          <w:tcPr>
            <w:tcW w:w="939" w:type="dxa"/>
            <w:vAlign w:val="center"/>
          </w:tcPr>
          <w:p w14:paraId="1CDD9E41">
            <w:pPr>
              <w:jc w:val="center"/>
              <w:rPr>
                <w:rFonts w:ascii="宋体" w:hAnsi="宋体"/>
                <w:b/>
                <w:sz w:val="24"/>
              </w:rPr>
            </w:pPr>
            <w:r>
              <w:rPr>
                <w:rFonts w:hint="eastAsia" w:ascii="宋体" w:hAnsi="宋体"/>
                <w:b/>
                <w:sz w:val="24"/>
              </w:rPr>
              <w:t>小计</w:t>
            </w:r>
          </w:p>
          <w:p w14:paraId="081C600C">
            <w:pPr>
              <w:jc w:val="center"/>
              <w:rPr>
                <w:rFonts w:ascii="宋体" w:hAnsi="宋体"/>
                <w:b/>
                <w:sz w:val="24"/>
              </w:rPr>
            </w:pPr>
            <w:r>
              <w:rPr>
                <w:rFonts w:hint="eastAsia" w:ascii="宋体" w:hAnsi="宋体"/>
                <w:b/>
                <w:sz w:val="24"/>
              </w:rPr>
              <w:t>（元）</w:t>
            </w:r>
          </w:p>
        </w:tc>
        <w:tc>
          <w:tcPr>
            <w:tcW w:w="670" w:type="dxa"/>
            <w:vAlign w:val="center"/>
          </w:tcPr>
          <w:p w14:paraId="42B90306">
            <w:pPr>
              <w:jc w:val="center"/>
              <w:rPr>
                <w:rFonts w:ascii="宋体" w:hAnsi="宋体"/>
                <w:b/>
                <w:sz w:val="24"/>
              </w:rPr>
            </w:pPr>
            <w:r>
              <w:rPr>
                <w:rFonts w:hint="eastAsia" w:ascii="宋体" w:hAnsi="宋体"/>
                <w:b/>
                <w:sz w:val="24"/>
              </w:rPr>
              <w:t>备注</w:t>
            </w:r>
          </w:p>
        </w:tc>
      </w:tr>
      <w:tr w14:paraId="0071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Borders>
              <w:bottom w:val="single" w:color="auto" w:sz="4" w:space="0"/>
            </w:tcBorders>
          </w:tcPr>
          <w:p w14:paraId="3C72B080">
            <w:pPr>
              <w:jc w:val="center"/>
              <w:rPr>
                <w:rFonts w:ascii="宋体" w:hAnsi="宋体"/>
                <w:sz w:val="24"/>
              </w:rPr>
            </w:pPr>
            <w:r>
              <w:rPr>
                <w:rFonts w:hint="eastAsia" w:ascii="宋体" w:hAnsi="宋体"/>
                <w:sz w:val="24"/>
              </w:rPr>
              <w:t>1</w:t>
            </w:r>
          </w:p>
        </w:tc>
        <w:tc>
          <w:tcPr>
            <w:tcW w:w="1323" w:type="dxa"/>
          </w:tcPr>
          <w:p w14:paraId="216E4448">
            <w:pPr>
              <w:rPr>
                <w:rFonts w:ascii="宋体" w:hAnsi="宋体"/>
                <w:sz w:val="24"/>
              </w:rPr>
            </w:pPr>
          </w:p>
        </w:tc>
        <w:tc>
          <w:tcPr>
            <w:tcW w:w="1318" w:type="dxa"/>
          </w:tcPr>
          <w:p w14:paraId="46ECDD42">
            <w:pPr>
              <w:rPr>
                <w:rFonts w:ascii="宋体" w:hAnsi="宋体"/>
                <w:sz w:val="24"/>
              </w:rPr>
            </w:pPr>
          </w:p>
        </w:tc>
        <w:tc>
          <w:tcPr>
            <w:tcW w:w="1318" w:type="dxa"/>
          </w:tcPr>
          <w:p w14:paraId="2CE68142">
            <w:pPr>
              <w:rPr>
                <w:rFonts w:ascii="宋体" w:hAnsi="宋体"/>
                <w:sz w:val="24"/>
              </w:rPr>
            </w:pPr>
          </w:p>
        </w:tc>
        <w:tc>
          <w:tcPr>
            <w:tcW w:w="672" w:type="dxa"/>
          </w:tcPr>
          <w:p w14:paraId="13B7CB0F">
            <w:pPr>
              <w:rPr>
                <w:rFonts w:ascii="宋体" w:hAnsi="宋体"/>
                <w:sz w:val="24"/>
              </w:rPr>
            </w:pPr>
          </w:p>
        </w:tc>
        <w:tc>
          <w:tcPr>
            <w:tcW w:w="672" w:type="dxa"/>
          </w:tcPr>
          <w:p w14:paraId="5347743A">
            <w:pPr>
              <w:rPr>
                <w:rFonts w:ascii="宋体" w:hAnsi="宋体"/>
                <w:sz w:val="24"/>
              </w:rPr>
            </w:pPr>
          </w:p>
        </w:tc>
        <w:tc>
          <w:tcPr>
            <w:tcW w:w="939" w:type="dxa"/>
          </w:tcPr>
          <w:p w14:paraId="7122D273">
            <w:pPr>
              <w:rPr>
                <w:rFonts w:ascii="宋体" w:hAnsi="宋体"/>
                <w:sz w:val="24"/>
              </w:rPr>
            </w:pPr>
          </w:p>
        </w:tc>
        <w:tc>
          <w:tcPr>
            <w:tcW w:w="939" w:type="dxa"/>
          </w:tcPr>
          <w:p w14:paraId="6F4683AB">
            <w:pPr>
              <w:rPr>
                <w:rFonts w:ascii="宋体" w:hAnsi="宋体"/>
                <w:sz w:val="24"/>
              </w:rPr>
            </w:pPr>
          </w:p>
        </w:tc>
        <w:tc>
          <w:tcPr>
            <w:tcW w:w="670" w:type="dxa"/>
          </w:tcPr>
          <w:p w14:paraId="787DD0FF">
            <w:pPr>
              <w:rPr>
                <w:rFonts w:ascii="宋体" w:hAnsi="宋体"/>
                <w:sz w:val="24"/>
              </w:rPr>
            </w:pPr>
          </w:p>
        </w:tc>
      </w:tr>
      <w:tr w14:paraId="4630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0019D3A5">
            <w:pPr>
              <w:jc w:val="center"/>
              <w:rPr>
                <w:rFonts w:ascii="宋体" w:hAnsi="宋体"/>
                <w:sz w:val="24"/>
              </w:rPr>
            </w:pPr>
            <w:r>
              <w:rPr>
                <w:rFonts w:hint="eastAsia" w:ascii="宋体" w:hAnsi="宋体"/>
                <w:sz w:val="24"/>
              </w:rPr>
              <w:t>2</w:t>
            </w:r>
          </w:p>
        </w:tc>
        <w:tc>
          <w:tcPr>
            <w:tcW w:w="1323" w:type="dxa"/>
          </w:tcPr>
          <w:p w14:paraId="370A161C">
            <w:pPr>
              <w:rPr>
                <w:rFonts w:ascii="宋体" w:hAnsi="宋体"/>
                <w:sz w:val="24"/>
              </w:rPr>
            </w:pPr>
          </w:p>
        </w:tc>
        <w:tc>
          <w:tcPr>
            <w:tcW w:w="1318" w:type="dxa"/>
          </w:tcPr>
          <w:p w14:paraId="463C84B2">
            <w:pPr>
              <w:rPr>
                <w:rFonts w:ascii="宋体" w:hAnsi="宋体"/>
                <w:sz w:val="24"/>
              </w:rPr>
            </w:pPr>
          </w:p>
        </w:tc>
        <w:tc>
          <w:tcPr>
            <w:tcW w:w="1318" w:type="dxa"/>
          </w:tcPr>
          <w:p w14:paraId="197E6F60">
            <w:pPr>
              <w:rPr>
                <w:rFonts w:ascii="宋体" w:hAnsi="宋体"/>
                <w:sz w:val="24"/>
              </w:rPr>
            </w:pPr>
          </w:p>
        </w:tc>
        <w:tc>
          <w:tcPr>
            <w:tcW w:w="672" w:type="dxa"/>
          </w:tcPr>
          <w:p w14:paraId="48C0127A">
            <w:pPr>
              <w:rPr>
                <w:rFonts w:ascii="宋体" w:hAnsi="宋体"/>
                <w:sz w:val="24"/>
              </w:rPr>
            </w:pPr>
          </w:p>
        </w:tc>
        <w:tc>
          <w:tcPr>
            <w:tcW w:w="672" w:type="dxa"/>
          </w:tcPr>
          <w:p w14:paraId="257C6D5A">
            <w:pPr>
              <w:rPr>
                <w:rFonts w:ascii="宋体" w:hAnsi="宋体"/>
                <w:sz w:val="24"/>
              </w:rPr>
            </w:pPr>
          </w:p>
        </w:tc>
        <w:tc>
          <w:tcPr>
            <w:tcW w:w="939" w:type="dxa"/>
          </w:tcPr>
          <w:p w14:paraId="613E6441">
            <w:pPr>
              <w:rPr>
                <w:rFonts w:ascii="宋体" w:hAnsi="宋体"/>
                <w:sz w:val="24"/>
              </w:rPr>
            </w:pPr>
          </w:p>
        </w:tc>
        <w:tc>
          <w:tcPr>
            <w:tcW w:w="939" w:type="dxa"/>
          </w:tcPr>
          <w:p w14:paraId="679DCBF7">
            <w:pPr>
              <w:rPr>
                <w:rFonts w:ascii="宋体" w:hAnsi="宋体"/>
                <w:sz w:val="24"/>
              </w:rPr>
            </w:pPr>
          </w:p>
        </w:tc>
        <w:tc>
          <w:tcPr>
            <w:tcW w:w="670" w:type="dxa"/>
          </w:tcPr>
          <w:p w14:paraId="6FF7A3A7">
            <w:pPr>
              <w:rPr>
                <w:rFonts w:ascii="宋体" w:hAnsi="宋体"/>
                <w:sz w:val="24"/>
              </w:rPr>
            </w:pPr>
          </w:p>
        </w:tc>
      </w:tr>
      <w:tr w14:paraId="283D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1D0EE1F5">
            <w:pPr>
              <w:jc w:val="center"/>
              <w:rPr>
                <w:rFonts w:ascii="宋体" w:hAnsi="宋体"/>
                <w:sz w:val="24"/>
              </w:rPr>
            </w:pPr>
            <w:r>
              <w:rPr>
                <w:rFonts w:hint="eastAsia" w:ascii="宋体" w:hAnsi="宋体"/>
                <w:sz w:val="24"/>
              </w:rPr>
              <w:t>3</w:t>
            </w:r>
          </w:p>
        </w:tc>
        <w:tc>
          <w:tcPr>
            <w:tcW w:w="1323" w:type="dxa"/>
          </w:tcPr>
          <w:p w14:paraId="48B3716C">
            <w:pPr>
              <w:rPr>
                <w:rFonts w:ascii="宋体" w:hAnsi="宋体"/>
                <w:sz w:val="24"/>
              </w:rPr>
            </w:pPr>
          </w:p>
        </w:tc>
        <w:tc>
          <w:tcPr>
            <w:tcW w:w="1318" w:type="dxa"/>
          </w:tcPr>
          <w:p w14:paraId="0FA573B3">
            <w:pPr>
              <w:rPr>
                <w:rFonts w:ascii="宋体" w:hAnsi="宋体"/>
                <w:sz w:val="24"/>
              </w:rPr>
            </w:pPr>
          </w:p>
        </w:tc>
        <w:tc>
          <w:tcPr>
            <w:tcW w:w="1318" w:type="dxa"/>
          </w:tcPr>
          <w:p w14:paraId="1635742F">
            <w:pPr>
              <w:rPr>
                <w:rFonts w:ascii="宋体" w:hAnsi="宋体"/>
                <w:sz w:val="24"/>
              </w:rPr>
            </w:pPr>
          </w:p>
        </w:tc>
        <w:tc>
          <w:tcPr>
            <w:tcW w:w="672" w:type="dxa"/>
          </w:tcPr>
          <w:p w14:paraId="65ABECB4">
            <w:pPr>
              <w:rPr>
                <w:rFonts w:ascii="宋体" w:hAnsi="宋体"/>
                <w:sz w:val="24"/>
              </w:rPr>
            </w:pPr>
          </w:p>
        </w:tc>
        <w:tc>
          <w:tcPr>
            <w:tcW w:w="672" w:type="dxa"/>
          </w:tcPr>
          <w:p w14:paraId="38BEAA0F">
            <w:pPr>
              <w:rPr>
                <w:rFonts w:ascii="宋体" w:hAnsi="宋体"/>
                <w:sz w:val="24"/>
              </w:rPr>
            </w:pPr>
          </w:p>
        </w:tc>
        <w:tc>
          <w:tcPr>
            <w:tcW w:w="939" w:type="dxa"/>
          </w:tcPr>
          <w:p w14:paraId="2B5FEB94">
            <w:pPr>
              <w:rPr>
                <w:rFonts w:ascii="宋体" w:hAnsi="宋体"/>
                <w:sz w:val="24"/>
              </w:rPr>
            </w:pPr>
          </w:p>
        </w:tc>
        <w:tc>
          <w:tcPr>
            <w:tcW w:w="939" w:type="dxa"/>
          </w:tcPr>
          <w:p w14:paraId="683697A1">
            <w:pPr>
              <w:rPr>
                <w:rFonts w:ascii="宋体" w:hAnsi="宋体"/>
                <w:sz w:val="24"/>
              </w:rPr>
            </w:pPr>
          </w:p>
        </w:tc>
        <w:tc>
          <w:tcPr>
            <w:tcW w:w="670" w:type="dxa"/>
          </w:tcPr>
          <w:p w14:paraId="78F7EAA8">
            <w:pPr>
              <w:rPr>
                <w:rFonts w:ascii="宋体" w:hAnsi="宋体"/>
                <w:sz w:val="24"/>
              </w:rPr>
            </w:pPr>
          </w:p>
        </w:tc>
      </w:tr>
      <w:tr w14:paraId="71FC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7D826E04">
            <w:pPr>
              <w:jc w:val="center"/>
              <w:rPr>
                <w:rFonts w:ascii="宋体" w:hAnsi="宋体"/>
                <w:sz w:val="24"/>
              </w:rPr>
            </w:pPr>
            <w:r>
              <w:rPr>
                <w:rFonts w:hint="eastAsia" w:ascii="宋体" w:hAnsi="宋体"/>
                <w:sz w:val="24"/>
              </w:rPr>
              <w:t>4</w:t>
            </w:r>
          </w:p>
        </w:tc>
        <w:tc>
          <w:tcPr>
            <w:tcW w:w="1323" w:type="dxa"/>
          </w:tcPr>
          <w:p w14:paraId="54453D32">
            <w:pPr>
              <w:rPr>
                <w:rFonts w:ascii="宋体" w:hAnsi="宋体"/>
                <w:sz w:val="24"/>
              </w:rPr>
            </w:pPr>
          </w:p>
        </w:tc>
        <w:tc>
          <w:tcPr>
            <w:tcW w:w="1318" w:type="dxa"/>
          </w:tcPr>
          <w:p w14:paraId="30D234A3">
            <w:pPr>
              <w:rPr>
                <w:rFonts w:ascii="宋体" w:hAnsi="宋体"/>
                <w:sz w:val="24"/>
              </w:rPr>
            </w:pPr>
          </w:p>
        </w:tc>
        <w:tc>
          <w:tcPr>
            <w:tcW w:w="1318" w:type="dxa"/>
          </w:tcPr>
          <w:p w14:paraId="6EF22B0D">
            <w:pPr>
              <w:rPr>
                <w:rFonts w:ascii="宋体" w:hAnsi="宋体"/>
                <w:sz w:val="24"/>
              </w:rPr>
            </w:pPr>
          </w:p>
        </w:tc>
        <w:tc>
          <w:tcPr>
            <w:tcW w:w="672" w:type="dxa"/>
          </w:tcPr>
          <w:p w14:paraId="6F136903">
            <w:pPr>
              <w:rPr>
                <w:rFonts w:ascii="宋体" w:hAnsi="宋体"/>
                <w:sz w:val="24"/>
              </w:rPr>
            </w:pPr>
          </w:p>
        </w:tc>
        <w:tc>
          <w:tcPr>
            <w:tcW w:w="672" w:type="dxa"/>
          </w:tcPr>
          <w:p w14:paraId="54C1E201">
            <w:pPr>
              <w:rPr>
                <w:rFonts w:ascii="宋体" w:hAnsi="宋体"/>
                <w:sz w:val="24"/>
              </w:rPr>
            </w:pPr>
          </w:p>
        </w:tc>
        <w:tc>
          <w:tcPr>
            <w:tcW w:w="939" w:type="dxa"/>
          </w:tcPr>
          <w:p w14:paraId="104793C1">
            <w:pPr>
              <w:rPr>
                <w:rFonts w:ascii="宋体" w:hAnsi="宋体"/>
                <w:sz w:val="24"/>
              </w:rPr>
            </w:pPr>
          </w:p>
        </w:tc>
        <w:tc>
          <w:tcPr>
            <w:tcW w:w="939" w:type="dxa"/>
          </w:tcPr>
          <w:p w14:paraId="25061F72">
            <w:pPr>
              <w:rPr>
                <w:rFonts w:ascii="宋体" w:hAnsi="宋体"/>
                <w:sz w:val="24"/>
              </w:rPr>
            </w:pPr>
          </w:p>
        </w:tc>
        <w:tc>
          <w:tcPr>
            <w:tcW w:w="670" w:type="dxa"/>
          </w:tcPr>
          <w:p w14:paraId="18BBE7C2">
            <w:pPr>
              <w:rPr>
                <w:rFonts w:ascii="宋体" w:hAnsi="宋体"/>
                <w:sz w:val="24"/>
              </w:rPr>
            </w:pPr>
          </w:p>
        </w:tc>
      </w:tr>
      <w:tr w14:paraId="35AF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382E932C">
            <w:pPr>
              <w:jc w:val="center"/>
              <w:rPr>
                <w:rFonts w:ascii="宋体" w:hAnsi="宋体"/>
                <w:sz w:val="24"/>
              </w:rPr>
            </w:pPr>
            <w:r>
              <w:rPr>
                <w:rFonts w:hint="eastAsia" w:ascii="宋体" w:hAnsi="宋体"/>
                <w:sz w:val="24"/>
              </w:rPr>
              <w:t>5</w:t>
            </w:r>
          </w:p>
        </w:tc>
        <w:tc>
          <w:tcPr>
            <w:tcW w:w="1323" w:type="dxa"/>
          </w:tcPr>
          <w:p w14:paraId="4742E57F">
            <w:pPr>
              <w:rPr>
                <w:rFonts w:ascii="宋体" w:hAnsi="宋体"/>
                <w:sz w:val="24"/>
              </w:rPr>
            </w:pPr>
          </w:p>
        </w:tc>
        <w:tc>
          <w:tcPr>
            <w:tcW w:w="1318" w:type="dxa"/>
          </w:tcPr>
          <w:p w14:paraId="08805644">
            <w:pPr>
              <w:rPr>
                <w:rFonts w:ascii="宋体" w:hAnsi="宋体"/>
                <w:sz w:val="24"/>
              </w:rPr>
            </w:pPr>
          </w:p>
        </w:tc>
        <w:tc>
          <w:tcPr>
            <w:tcW w:w="1318" w:type="dxa"/>
          </w:tcPr>
          <w:p w14:paraId="13F20096">
            <w:pPr>
              <w:rPr>
                <w:rFonts w:ascii="宋体" w:hAnsi="宋体"/>
                <w:sz w:val="24"/>
              </w:rPr>
            </w:pPr>
          </w:p>
        </w:tc>
        <w:tc>
          <w:tcPr>
            <w:tcW w:w="672" w:type="dxa"/>
          </w:tcPr>
          <w:p w14:paraId="3E60C886">
            <w:pPr>
              <w:rPr>
                <w:rFonts w:ascii="宋体" w:hAnsi="宋体"/>
                <w:sz w:val="24"/>
              </w:rPr>
            </w:pPr>
          </w:p>
        </w:tc>
        <w:tc>
          <w:tcPr>
            <w:tcW w:w="672" w:type="dxa"/>
          </w:tcPr>
          <w:p w14:paraId="77678DB9">
            <w:pPr>
              <w:rPr>
                <w:rFonts w:ascii="宋体" w:hAnsi="宋体"/>
                <w:sz w:val="24"/>
              </w:rPr>
            </w:pPr>
          </w:p>
        </w:tc>
        <w:tc>
          <w:tcPr>
            <w:tcW w:w="939" w:type="dxa"/>
          </w:tcPr>
          <w:p w14:paraId="029A084A">
            <w:pPr>
              <w:rPr>
                <w:rFonts w:ascii="宋体" w:hAnsi="宋体"/>
                <w:sz w:val="24"/>
              </w:rPr>
            </w:pPr>
          </w:p>
        </w:tc>
        <w:tc>
          <w:tcPr>
            <w:tcW w:w="939" w:type="dxa"/>
          </w:tcPr>
          <w:p w14:paraId="69DA3552">
            <w:pPr>
              <w:rPr>
                <w:rFonts w:ascii="宋体" w:hAnsi="宋体"/>
                <w:sz w:val="24"/>
              </w:rPr>
            </w:pPr>
          </w:p>
        </w:tc>
        <w:tc>
          <w:tcPr>
            <w:tcW w:w="670" w:type="dxa"/>
          </w:tcPr>
          <w:p w14:paraId="6B5F4789">
            <w:pPr>
              <w:rPr>
                <w:rFonts w:ascii="宋体" w:hAnsi="宋体"/>
                <w:sz w:val="24"/>
              </w:rPr>
            </w:pPr>
          </w:p>
        </w:tc>
      </w:tr>
      <w:tr w14:paraId="484B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2EE1A7A0">
            <w:pPr>
              <w:jc w:val="center"/>
              <w:rPr>
                <w:rFonts w:ascii="宋体" w:hAnsi="宋体"/>
                <w:sz w:val="24"/>
              </w:rPr>
            </w:pPr>
            <w:r>
              <w:rPr>
                <w:rFonts w:hint="eastAsia" w:ascii="宋体" w:hAnsi="宋体"/>
                <w:sz w:val="24"/>
              </w:rPr>
              <w:t>6</w:t>
            </w:r>
          </w:p>
        </w:tc>
        <w:tc>
          <w:tcPr>
            <w:tcW w:w="1323" w:type="dxa"/>
          </w:tcPr>
          <w:p w14:paraId="7994D983">
            <w:pPr>
              <w:rPr>
                <w:rFonts w:ascii="宋体" w:hAnsi="宋体"/>
                <w:sz w:val="24"/>
              </w:rPr>
            </w:pPr>
          </w:p>
        </w:tc>
        <w:tc>
          <w:tcPr>
            <w:tcW w:w="1318" w:type="dxa"/>
          </w:tcPr>
          <w:p w14:paraId="50872ED7">
            <w:pPr>
              <w:rPr>
                <w:rFonts w:ascii="宋体" w:hAnsi="宋体"/>
                <w:sz w:val="24"/>
              </w:rPr>
            </w:pPr>
          </w:p>
        </w:tc>
        <w:tc>
          <w:tcPr>
            <w:tcW w:w="1318" w:type="dxa"/>
          </w:tcPr>
          <w:p w14:paraId="4D502686">
            <w:pPr>
              <w:rPr>
                <w:rFonts w:ascii="宋体" w:hAnsi="宋体"/>
                <w:sz w:val="24"/>
              </w:rPr>
            </w:pPr>
          </w:p>
        </w:tc>
        <w:tc>
          <w:tcPr>
            <w:tcW w:w="672" w:type="dxa"/>
          </w:tcPr>
          <w:p w14:paraId="40B0C818">
            <w:pPr>
              <w:rPr>
                <w:rFonts w:ascii="宋体" w:hAnsi="宋体"/>
                <w:sz w:val="24"/>
              </w:rPr>
            </w:pPr>
          </w:p>
        </w:tc>
        <w:tc>
          <w:tcPr>
            <w:tcW w:w="672" w:type="dxa"/>
          </w:tcPr>
          <w:p w14:paraId="471E9913">
            <w:pPr>
              <w:rPr>
                <w:rFonts w:ascii="宋体" w:hAnsi="宋体"/>
                <w:sz w:val="24"/>
              </w:rPr>
            </w:pPr>
          </w:p>
        </w:tc>
        <w:tc>
          <w:tcPr>
            <w:tcW w:w="939" w:type="dxa"/>
          </w:tcPr>
          <w:p w14:paraId="1CE083BD">
            <w:pPr>
              <w:rPr>
                <w:rFonts w:ascii="宋体" w:hAnsi="宋体"/>
                <w:sz w:val="24"/>
              </w:rPr>
            </w:pPr>
          </w:p>
        </w:tc>
        <w:tc>
          <w:tcPr>
            <w:tcW w:w="939" w:type="dxa"/>
          </w:tcPr>
          <w:p w14:paraId="7394A37A">
            <w:pPr>
              <w:rPr>
                <w:rFonts w:ascii="宋体" w:hAnsi="宋体"/>
                <w:sz w:val="24"/>
              </w:rPr>
            </w:pPr>
          </w:p>
        </w:tc>
        <w:tc>
          <w:tcPr>
            <w:tcW w:w="670" w:type="dxa"/>
          </w:tcPr>
          <w:p w14:paraId="5D759E3E">
            <w:pPr>
              <w:rPr>
                <w:rFonts w:ascii="宋体" w:hAnsi="宋体"/>
                <w:sz w:val="24"/>
              </w:rPr>
            </w:pPr>
          </w:p>
        </w:tc>
      </w:tr>
      <w:tr w14:paraId="19EB7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1E8D02C9">
            <w:pPr>
              <w:jc w:val="center"/>
              <w:rPr>
                <w:rFonts w:ascii="宋体" w:hAnsi="宋体"/>
                <w:sz w:val="24"/>
              </w:rPr>
            </w:pPr>
            <w:r>
              <w:rPr>
                <w:rFonts w:hint="eastAsia" w:ascii="宋体" w:hAnsi="宋体"/>
                <w:sz w:val="24"/>
              </w:rPr>
              <w:t>7</w:t>
            </w:r>
          </w:p>
        </w:tc>
        <w:tc>
          <w:tcPr>
            <w:tcW w:w="1323" w:type="dxa"/>
          </w:tcPr>
          <w:p w14:paraId="0CF8F0D6">
            <w:pPr>
              <w:rPr>
                <w:rFonts w:ascii="宋体" w:hAnsi="宋体"/>
                <w:sz w:val="24"/>
              </w:rPr>
            </w:pPr>
          </w:p>
        </w:tc>
        <w:tc>
          <w:tcPr>
            <w:tcW w:w="1318" w:type="dxa"/>
          </w:tcPr>
          <w:p w14:paraId="0C124B7C">
            <w:pPr>
              <w:rPr>
                <w:rFonts w:ascii="宋体" w:hAnsi="宋体"/>
                <w:sz w:val="24"/>
              </w:rPr>
            </w:pPr>
          </w:p>
        </w:tc>
        <w:tc>
          <w:tcPr>
            <w:tcW w:w="1318" w:type="dxa"/>
          </w:tcPr>
          <w:p w14:paraId="1E029BB5">
            <w:pPr>
              <w:rPr>
                <w:rFonts w:ascii="宋体" w:hAnsi="宋体"/>
                <w:sz w:val="24"/>
              </w:rPr>
            </w:pPr>
          </w:p>
        </w:tc>
        <w:tc>
          <w:tcPr>
            <w:tcW w:w="672" w:type="dxa"/>
          </w:tcPr>
          <w:p w14:paraId="3EA30EAB">
            <w:pPr>
              <w:rPr>
                <w:rFonts w:ascii="宋体" w:hAnsi="宋体"/>
                <w:sz w:val="24"/>
              </w:rPr>
            </w:pPr>
          </w:p>
        </w:tc>
        <w:tc>
          <w:tcPr>
            <w:tcW w:w="672" w:type="dxa"/>
          </w:tcPr>
          <w:p w14:paraId="7DCF8CD1">
            <w:pPr>
              <w:rPr>
                <w:rFonts w:ascii="宋体" w:hAnsi="宋体"/>
                <w:sz w:val="24"/>
              </w:rPr>
            </w:pPr>
          </w:p>
        </w:tc>
        <w:tc>
          <w:tcPr>
            <w:tcW w:w="939" w:type="dxa"/>
          </w:tcPr>
          <w:p w14:paraId="5E3A625F">
            <w:pPr>
              <w:rPr>
                <w:rFonts w:ascii="宋体" w:hAnsi="宋体"/>
                <w:sz w:val="24"/>
              </w:rPr>
            </w:pPr>
          </w:p>
        </w:tc>
        <w:tc>
          <w:tcPr>
            <w:tcW w:w="939" w:type="dxa"/>
          </w:tcPr>
          <w:p w14:paraId="68B393FC">
            <w:pPr>
              <w:rPr>
                <w:rFonts w:ascii="宋体" w:hAnsi="宋体"/>
                <w:sz w:val="24"/>
              </w:rPr>
            </w:pPr>
          </w:p>
        </w:tc>
        <w:tc>
          <w:tcPr>
            <w:tcW w:w="670" w:type="dxa"/>
          </w:tcPr>
          <w:p w14:paraId="595A8F3F">
            <w:pPr>
              <w:rPr>
                <w:rFonts w:ascii="宋体" w:hAnsi="宋体"/>
                <w:sz w:val="24"/>
              </w:rPr>
            </w:pPr>
          </w:p>
        </w:tc>
      </w:tr>
      <w:tr w14:paraId="2404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77E7F4ED">
            <w:pPr>
              <w:jc w:val="center"/>
              <w:rPr>
                <w:rFonts w:ascii="宋体" w:hAnsi="宋体"/>
                <w:sz w:val="24"/>
              </w:rPr>
            </w:pPr>
            <w:r>
              <w:rPr>
                <w:rFonts w:hint="eastAsia" w:ascii="宋体" w:hAnsi="宋体"/>
                <w:sz w:val="24"/>
              </w:rPr>
              <w:t>8</w:t>
            </w:r>
          </w:p>
        </w:tc>
        <w:tc>
          <w:tcPr>
            <w:tcW w:w="1323" w:type="dxa"/>
          </w:tcPr>
          <w:p w14:paraId="4A3A4871">
            <w:pPr>
              <w:rPr>
                <w:rFonts w:ascii="宋体" w:hAnsi="宋体"/>
                <w:sz w:val="24"/>
              </w:rPr>
            </w:pPr>
          </w:p>
        </w:tc>
        <w:tc>
          <w:tcPr>
            <w:tcW w:w="1318" w:type="dxa"/>
          </w:tcPr>
          <w:p w14:paraId="07DCC1CC">
            <w:pPr>
              <w:rPr>
                <w:rFonts w:ascii="宋体" w:hAnsi="宋体"/>
                <w:sz w:val="24"/>
              </w:rPr>
            </w:pPr>
          </w:p>
        </w:tc>
        <w:tc>
          <w:tcPr>
            <w:tcW w:w="1318" w:type="dxa"/>
          </w:tcPr>
          <w:p w14:paraId="144154A8">
            <w:pPr>
              <w:rPr>
                <w:rFonts w:ascii="宋体" w:hAnsi="宋体"/>
                <w:sz w:val="24"/>
              </w:rPr>
            </w:pPr>
          </w:p>
        </w:tc>
        <w:tc>
          <w:tcPr>
            <w:tcW w:w="672" w:type="dxa"/>
          </w:tcPr>
          <w:p w14:paraId="78BDEAF9">
            <w:pPr>
              <w:rPr>
                <w:rFonts w:ascii="宋体" w:hAnsi="宋体"/>
                <w:sz w:val="24"/>
              </w:rPr>
            </w:pPr>
          </w:p>
        </w:tc>
        <w:tc>
          <w:tcPr>
            <w:tcW w:w="672" w:type="dxa"/>
          </w:tcPr>
          <w:p w14:paraId="0EA2C1E5">
            <w:pPr>
              <w:rPr>
                <w:rFonts w:ascii="宋体" w:hAnsi="宋体"/>
                <w:sz w:val="24"/>
              </w:rPr>
            </w:pPr>
          </w:p>
        </w:tc>
        <w:tc>
          <w:tcPr>
            <w:tcW w:w="939" w:type="dxa"/>
          </w:tcPr>
          <w:p w14:paraId="00069E71">
            <w:pPr>
              <w:rPr>
                <w:rFonts w:ascii="宋体" w:hAnsi="宋体"/>
                <w:sz w:val="24"/>
              </w:rPr>
            </w:pPr>
          </w:p>
        </w:tc>
        <w:tc>
          <w:tcPr>
            <w:tcW w:w="939" w:type="dxa"/>
          </w:tcPr>
          <w:p w14:paraId="6187138B">
            <w:pPr>
              <w:rPr>
                <w:rFonts w:ascii="宋体" w:hAnsi="宋体"/>
                <w:sz w:val="24"/>
              </w:rPr>
            </w:pPr>
          </w:p>
        </w:tc>
        <w:tc>
          <w:tcPr>
            <w:tcW w:w="670" w:type="dxa"/>
          </w:tcPr>
          <w:p w14:paraId="4660DFBD">
            <w:pPr>
              <w:rPr>
                <w:rFonts w:ascii="宋体" w:hAnsi="宋体"/>
                <w:sz w:val="24"/>
              </w:rPr>
            </w:pPr>
          </w:p>
        </w:tc>
      </w:tr>
      <w:tr w14:paraId="69D9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02F3FF1A">
            <w:pPr>
              <w:jc w:val="center"/>
              <w:rPr>
                <w:rFonts w:ascii="宋体" w:hAnsi="宋体"/>
                <w:sz w:val="24"/>
              </w:rPr>
            </w:pPr>
            <w:r>
              <w:rPr>
                <w:rFonts w:hint="eastAsia" w:ascii="宋体" w:hAnsi="宋体"/>
                <w:sz w:val="24"/>
              </w:rPr>
              <w:t>9</w:t>
            </w:r>
          </w:p>
        </w:tc>
        <w:tc>
          <w:tcPr>
            <w:tcW w:w="1323" w:type="dxa"/>
          </w:tcPr>
          <w:p w14:paraId="02A2F4A3">
            <w:pPr>
              <w:rPr>
                <w:rFonts w:ascii="宋体" w:hAnsi="宋体"/>
                <w:sz w:val="24"/>
              </w:rPr>
            </w:pPr>
          </w:p>
        </w:tc>
        <w:tc>
          <w:tcPr>
            <w:tcW w:w="1318" w:type="dxa"/>
          </w:tcPr>
          <w:p w14:paraId="05DC9040">
            <w:pPr>
              <w:rPr>
                <w:rFonts w:ascii="宋体" w:hAnsi="宋体"/>
                <w:sz w:val="24"/>
              </w:rPr>
            </w:pPr>
          </w:p>
        </w:tc>
        <w:tc>
          <w:tcPr>
            <w:tcW w:w="1318" w:type="dxa"/>
          </w:tcPr>
          <w:p w14:paraId="791CE541">
            <w:pPr>
              <w:rPr>
                <w:rFonts w:ascii="宋体" w:hAnsi="宋体"/>
                <w:sz w:val="24"/>
              </w:rPr>
            </w:pPr>
          </w:p>
        </w:tc>
        <w:tc>
          <w:tcPr>
            <w:tcW w:w="672" w:type="dxa"/>
          </w:tcPr>
          <w:p w14:paraId="775E06F1">
            <w:pPr>
              <w:rPr>
                <w:rFonts w:ascii="宋体" w:hAnsi="宋体"/>
                <w:sz w:val="24"/>
              </w:rPr>
            </w:pPr>
          </w:p>
        </w:tc>
        <w:tc>
          <w:tcPr>
            <w:tcW w:w="672" w:type="dxa"/>
          </w:tcPr>
          <w:p w14:paraId="6B1B4D76">
            <w:pPr>
              <w:rPr>
                <w:rFonts w:ascii="宋体" w:hAnsi="宋体"/>
                <w:sz w:val="24"/>
              </w:rPr>
            </w:pPr>
          </w:p>
        </w:tc>
        <w:tc>
          <w:tcPr>
            <w:tcW w:w="939" w:type="dxa"/>
          </w:tcPr>
          <w:p w14:paraId="6E05EB35">
            <w:pPr>
              <w:rPr>
                <w:rFonts w:ascii="宋体" w:hAnsi="宋体"/>
                <w:sz w:val="24"/>
              </w:rPr>
            </w:pPr>
          </w:p>
        </w:tc>
        <w:tc>
          <w:tcPr>
            <w:tcW w:w="939" w:type="dxa"/>
          </w:tcPr>
          <w:p w14:paraId="5D7D2C11">
            <w:pPr>
              <w:rPr>
                <w:rFonts w:ascii="宋体" w:hAnsi="宋体"/>
                <w:sz w:val="24"/>
              </w:rPr>
            </w:pPr>
          </w:p>
        </w:tc>
        <w:tc>
          <w:tcPr>
            <w:tcW w:w="670" w:type="dxa"/>
          </w:tcPr>
          <w:p w14:paraId="384737A4">
            <w:pPr>
              <w:rPr>
                <w:rFonts w:ascii="宋体" w:hAnsi="宋体"/>
                <w:sz w:val="24"/>
              </w:rPr>
            </w:pPr>
          </w:p>
        </w:tc>
      </w:tr>
      <w:tr w14:paraId="0B67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5993B7B1">
            <w:pPr>
              <w:jc w:val="center"/>
              <w:rPr>
                <w:rFonts w:ascii="宋体" w:hAnsi="宋体"/>
                <w:sz w:val="24"/>
              </w:rPr>
            </w:pPr>
            <w:r>
              <w:rPr>
                <w:rFonts w:hint="eastAsia" w:ascii="宋体" w:hAnsi="宋体"/>
                <w:sz w:val="24"/>
              </w:rPr>
              <w:t>10</w:t>
            </w:r>
          </w:p>
        </w:tc>
        <w:tc>
          <w:tcPr>
            <w:tcW w:w="1323" w:type="dxa"/>
          </w:tcPr>
          <w:p w14:paraId="776DE817">
            <w:pPr>
              <w:rPr>
                <w:rFonts w:ascii="宋体" w:hAnsi="宋体"/>
                <w:sz w:val="24"/>
              </w:rPr>
            </w:pPr>
          </w:p>
        </w:tc>
        <w:tc>
          <w:tcPr>
            <w:tcW w:w="1318" w:type="dxa"/>
          </w:tcPr>
          <w:p w14:paraId="4687F91D">
            <w:pPr>
              <w:rPr>
                <w:rFonts w:ascii="宋体" w:hAnsi="宋体"/>
                <w:sz w:val="24"/>
              </w:rPr>
            </w:pPr>
          </w:p>
        </w:tc>
        <w:tc>
          <w:tcPr>
            <w:tcW w:w="1318" w:type="dxa"/>
          </w:tcPr>
          <w:p w14:paraId="6EF93072">
            <w:pPr>
              <w:rPr>
                <w:rFonts w:ascii="宋体" w:hAnsi="宋体"/>
                <w:sz w:val="24"/>
              </w:rPr>
            </w:pPr>
          </w:p>
        </w:tc>
        <w:tc>
          <w:tcPr>
            <w:tcW w:w="672" w:type="dxa"/>
          </w:tcPr>
          <w:p w14:paraId="7095B2CE">
            <w:pPr>
              <w:rPr>
                <w:rFonts w:ascii="宋体" w:hAnsi="宋体"/>
                <w:sz w:val="24"/>
              </w:rPr>
            </w:pPr>
          </w:p>
        </w:tc>
        <w:tc>
          <w:tcPr>
            <w:tcW w:w="672" w:type="dxa"/>
          </w:tcPr>
          <w:p w14:paraId="386BD581">
            <w:pPr>
              <w:rPr>
                <w:rFonts w:ascii="宋体" w:hAnsi="宋体"/>
                <w:sz w:val="24"/>
              </w:rPr>
            </w:pPr>
          </w:p>
        </w:tc>
        <w:tc>
          <w:tcPr>
            <w:tcW w:w="939" w:type="dxa"/>
          </w:tcPr>
          <w:p w14:paraId="2A591620">
            <w:pPr>
              <w:rPr>
                <w:rFonts w:ascii="宋体" w:hAnsi="宋体"/>
                <w:sz w:val="24"/>
              </w:rPr>
            </w:pPr>
          </w:p>
        </w:tc>
        <w:tc>
          <w:tcPr>
            <w:tcW w:w="939" w:type="dxa"/>
          </w:tcPr>
          <w:p w14:paraId="4F5225DD">
            <w:pPr>
              <w:rPr>
                <w:rFonts w:ascii="宋体" w:hAnsi="宋体"/>
                <w:sz w:val="24"/>
              </w:rPr>
            </w:pPr>
          </w:p>
        </w:tc>
        <w:tc>
          <w:tcPr>
            <w:tcW w:w="670" w:type="dxa"/>
          </w:tcPr>
          <w:p w14:paraId="5D893434">
            <w:pPr>
              <w:rPr>
                <w:rFonts w:ascii="宋体" w:hAnsi="宋体"/>
                <w:sz w:val="24"/>
              </w:rPr>
            </w:pPr>
          </w:p>
        </w:tc>
      </w:tr>
      <w:tr w14:paraId="1338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559E6A51">
            <w:pPr>
              <w:jc w:val="center"/>
              <w:rPr>
                <w:rFonts w:ascii="宋体" w:hAnsi="宋体"/>
                <w:sz w:val="24"/>
              </w:rPr>
            </w:pPr>
            <w:r>
              <w:rPr>
                <w:rFonts w:hint="eastAsia" w:ascii="宋体" w:hAnsi="宋体"/>
                <w:sz w:val="24"/>
              </w:rPr>
              <w:t>11</w:t>
            </w:r>
          </w:p>
        </w:tc>
        <w:tc>
          <w:tcPr>
            <w:tcW w:w="1323" w:type="dxa"/>
          </w:tcPr>
          <w:p w14:paraId="5653068F">
            <w:pPr>
              <w:rPr>
                <w:rFonts w:ascii="宋体" w:hAnsi="宋体"/>
                <w:sz w:val="24"/>
              </w:rPr>
            </w:pPr>
          </w:p>
        </w:tc>
        <w:tc>
          <w:tcPr>
            <w:tcW w:w="1318" w:type="dxa"/>
          </w:tcPr>
          <w:p w14:paraId="3C3E12DA">
            <w:pPr>
              <w:rPr>
                <w:rFonts w:ascii="宋体" w:hAnsi="宋体"/>
                <w:sz w:val="24"/>
              </w:rPr>
            </w:pPr>
          </w:p>
        </w:tc>
        <w:tc>
          <w:tcPr>
            <w:tcW w:w="1318" w:type="dxa"/>
          </w:tcPr>
          <w:p w14:paraId="2E04D190">
            <w:pPr>
              <w:rPr>
                <w:rFonts w:ascii="宋体" w:hAnsi="宋体"/>
                <w:sz w:val="24"/>
              </w:rPr>
            </w:pPr>
          </w:p>
        </w:tc>
        <w:tc>
          <w:tcPr>
            <w:tcW w:w="672" w:type="dxa"/>
          </w:tcPr>
          <w:p w14:paraId="03310A76">
            <w:pPr>
              <w:rPr>
                <w:rFonts w:ascii="宋体" w:hAnsi="宋体"/>
                <w:sz w:val="24"/>
              </w:rPr>
            </w:pPr>
          </w:p>
        </w:tc>
        <w:tc>
          <w:tcPr>
            <w:tcW w:w="672" w:type="dxa"/>
          </w:tcPr>
          <w:p w14:paraId="52AF1CF0">
            <w:pPr>
              <w:rPr>
                <w:rFonts w:ascii="宋体" w:hAnsi="宋体"/>
                <w:sz w:val="24"/>
              </w:rPr>
            </w:pPr>
          </w:p>
        </w:tc>
        <w:tc>
          <w:tcPr>
            <w:tcW w:w="939" w:type="dxa"/>
          </w:tcPr>
          <w:p w14:paraId="0495726D">
            <w:pPr>
              <w:rPr>
                <w:rFonts w:ascii="宋体" w:hAnsi="宋体"/>
                <w:sz w:val="24"/>
              </w:rPr>
            </w:pPr>
          </w:p>
        </w:tc>
        <w:tc>
          <w:tcPr>
            <w:tcW w:w="939" w:type="dxa"/>
          </w:tcPr>
          <w:p w14:paraId="6E6B72AE">
            <w:pPr>
              <w:rPr>
                <w:rFonts w:ascii="宋体" w:hAnsi="宋体"/>
                <w:sz w:val="24"/>
              </w:rPr>
            </w:pPr>
          </w:p>
        </w:tc>
        <w:tc>
          <w:tcPr>
            <w:tcW w:w="670" w:type="dxa"/>
          </w:tcPr>
          <w:p w14:paraId="2AEE3392">
            <w:pPr>
              <w:rPr>
                <w:rFonts w:ascii="宋体" w:hAnsi="宋体"/>
                <w:sz w:val="24"/>
              </w:rPr>
            </w:pPr>
          </w:p>
        </w:tc>
      </w:tr>
      <w:tr w14:paraId="6182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790466BB">
            <w:pPr>
              <w:jc w:val="center"/>
              <w:rPr>
                <w:rFonts w:ascii="宋体" w:hAnsi="宋体"/>
                <w:sz w:val="24"/>
              </w:rPr>
            </w:pPr>
            <w:r>
              <w:rPr>
                <w:rFonts w:hint="eastAsia" w:ascii="宋体" w:hAnsi="宋体"/>
                <w:sz w:val="24"/>
              </w:rPr>
              <w:t>12</w:t>
            </w:r>
          </w:p>
        </w:tc>
        <w:tc>
          <w:tcPr>
            <w:tcW w:w="1323" w:type="dxa"/>
          </w:tcPr>
          <w:p w14:paraId="6DBAD04E">
            <w:pPr>
              <w:rPr>
                <w:rFonts w:ascii="宋体" w:hAnsi="宋体"/>
                <w:sz w:val="24"/>
              </w:rPr>
            </w:pPr>
          </w:p>
        </w:tc>
        <w:tc>
          <w:tcPr>
            <w:tcW w:w="1318" w:type="dxa"/>
          </w:tcPr>
          <w:p w14:paraId="5D9C3136">
            <w:pPr>
              <w:rPr>
                <w:rFonts w:ascii="宋体" w:hAnsi="宋体"/>
                <w:sz w:val="24"/>
              </w:rPr>
            </w:pPr>
          </w:p>
        </w:tc>
        <w:tc>
          <w:tcPr>
            <w:tcW w:w="1318" w:type="dxa"/>
          </w:tcPr>
          <w:p w14:paraId="3BDC619A">
            <w:pPr>
              <w:rPr>
                <w:rFonts w:ascii="宋体" w:hAnsi="宋体"/>
                <w:sz w:val="24"/>
              </w:rPr>
            </w:pPr>
          </w:p>
        </w:tc>
        <w:tc>
          <w:tcPr>
            <w:tcW w:w="672" w:type="dxa"/>
          </w:tcPr>
          <w:p w14:paraId="7D7CB0C6">
            <w:pPr>
              <w:rPr>
                <w:rFonts w:ascii="宋体" w:hAnsi="宋体"/>
                <w:sz w:val="24"/>
              </w:rPr>
            </w:pPr>
          </w:p>
        </w:tc>
        <w:tc>
          <w:tcPr>
            <w:tcW w:w="672" w:type="dxa"/>
          </w:tcPr>
          <w:p w14:paraId="4CBC69EA">
            <w:pPr>
              <w:rPr>
                <w:rFonts w:ascii="宋体" w:hAnsi="宋体"/>
                <w:sz w:val="24"/>
              </w:rPr>
            </w:pPr>
          </w:p>
        </w:tc>
        <w:tc>
          <w:tcPr>
            <w:tcW w:w="939" w:type="dxa"/>
          </w:tcPr>
          <w:p w14:paraId="557434D5">
            <w:pPr>
              <w:rPr>
                <w:rFonts w:ascii="宋体" w:hAnsi="宋体"/>
                <w:sz w:val="24"/>
              </w:rPr>
            </w:pPr>
          </w:p>
        </w:tc>
        <w:tc>
          <w:tcPr>
            <w:tcW w:w="939" w:type="dxa"/>
          </w:tcPr>
          <w:p w14:paraId="7D40EDC5">
            <w:pPr>
              <w:rPr>
                <w:rFonts w:ascii="宋体" w:hAnsi="宋体"/>
                <w:sz w:val="24"/>
              </w:rPr>
            </w:pPr>
          </w:p>
        </w:tc>
        <w:tc>
          <w:tcPr>
            <w:tcW w:w="670" w:type="dxa"/>
          </w:tcPr>
          <w:p w14:paraId="28142749">
            <w:pPr>
              <w:rPr>
                <w:rFonts w:ascii="宋体" w:hAnsi="宋体"/>
                <w:sz w:val="24"/>
              </w:rPr>
            </w:pPr>
          </w:p>
        </w:tc>
      </w:tr>
      <w:tr w14:paraId="5240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6A604127">
            <w:pPr>
              <w:jc w:val="center"/>
              <w:rPr>
                <w:rFonts w:ascii="宋体" w:hAnsi="宋体"/>
                <w:sz w:val="24"/>
              </w:rPr>
            </w:pPr>
            <w:r>
              <w:rPr>
                <w:rFonts w:hint="eastAsia" w:ascii="宋体" w:hAnsi="宋体"/>
                <w:sz w:val="24"/>
              </w:rPr>
              <w:t>13</w:t>
            </w:r>
          </w:p>
        </w:tc>
        <w:tc>
          <w:tcPr>
            <w:tcW w:w="1323" w:type="dxa"/>
          </w:tcPr>
          <w:p w14:paraId="322422A1">
            <w:pPr>
              <w:rPr>
                <w:rFonts w:ascii="宋体" w:hAnsi="宋体"/>
                <w:sz w:val="24"/>
              </w:rPr>
            </w:pPr>
          </w:p>
        </w:tc>
        <w:tc>
          <w:tcPr>
            <w:tcW w:w="1318" w:type="dxa"/>
          </w:tcPr>
          <w:p w14:paraId="3B1E6102">
            <w:pPr>
              <w:rPr>
                <w:rFonts w:ascii="宋体" w:hAnsi="宋体"/>
                <w:sz w:val="24"/>
              </w:rPr>
            </w:pPr>
          </w:p>
        </w:tc>
        <w:tc>
          <w:tcPr>
            <w:tcW w:w="1318" w:type="dxa"/>
          </w:tcPr>
          <w:p w14:paraId="535DFC7D">
            <w:pPr>
              <w:rPr>
                <w:rFonts w:ascii="宋体" w:hAnsi="宋体"/>
                <w:sz w:val="24"/>
              </w:rPr>
            </w:pPr>
          </w:p>
        </w:tc>
        <w:tc>
          <w:tcPr>
            <w:tcW w:w="672" w:type="dxa"/>
          </w:tcPr>
          <w:p w14:paraId="79803975">
            <w:pPr>
              <w:rPr>
                <w:rFonts w:ascii="宋体" w:hAnsi="宋体"/>
                <w:sz w:val="24"/>
              </w:rPr>
            </w:pPr>
          </w:p>
        </w:tc>
        <w:tc>
          <w:tcPr>
            <w:tcW w:w="672" w:type="dxa"/>
          </w:tcPr>
          <w:p w14:paraId="2DB0F598">
            <w:pPr>
              <w:rPr>
                <w:rFonts w:ascii="宋体" w:hAnsi="宋体"/>
                <w:sz w:val="24"/>
              </w:rPr>
            </w:pPr>
          </w:p>
        </w:tc>
        <w:tc>
          <w:tcPr>
            <w:tcW w:w="939" w:type="dxa"/>
          </w:tcPr>
          <w:p w14:paraId="6DC16E6C">
            <w:pPr>
              <w:rPr>
                <w:rFonts w:ascii="宋体" w:hAnsi="宋体"/>
                <w:sz w:val="24"/>
              </w:rPr>
            </w:pPr>
          </w:p>
        </w:tc>
        <w:tc>
          <w:tcPr>
            <w:tcW w:w="939" w:type="dxa"/>
          </w:tcPr>
          <w:p w14:paraId="34CBD026">
            <w:pPr>
              <w:rPr>
                <w:rFonts w:ascii="宋体" w:hAnsi="宋体"/>
                <w:sz w:val="24"/>
              </w:rPr>
            </w:pPr>
          </w:p>
        </w:tc>
        <w:tc>
          <w:tcPr>
            <w:tcW w:w="670" w:type="dxa"/>
          </w:tcPr>
          <w:p w14:paraId="1C1029CD">
            <w:pPr>
              <w:rPr>
                <w:rFonts w:ascii="宋体" w:hAnsi="宋体"/>
                <w:sz w:val="24"/>
              </w:rPr>
            </w:pPr>
          </w:p>
        </w:tc>
      </w:tr>
      <w:tr w14:paraId="33E2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06E86F48">
            <w:pPr>
              <w:jc w:val="center"/>
              <w:rPr>
                <w:rFonts w:ascii="宋体" w:hAnsi="宋体"/>
                <w:sz w:val="24"/>
              </w:rPr>
            </w:pPr>
          </w:p>
        </w:tc>
        <w:tc>
          <w:tcPr>
            <w:tcW w:w="1323" w:type="dxa"/>
            <w:vAlign w:val="center"/>
          </w:tcPr>
          <w:p w14:paraId="13C43945">
            <w:pPr>
              <w:pStyle w:val="63"/>
              <w:rPr>
                <w:rFonts w:ascii="宋体" w:hAnsi="宋体"/>
              </w:rPr>
            </w:pPr>
            <w:r>
              <w:rPr>
                <w:rFonts w:hint="eastAsia" w:ascii="宋体" w:hAnsi="宋体"/>
              </w:rPr>
              <w:t>其他费用</w:t>
            </w:r>
          </w:p>
        </w:tc>
        <w:tc>
          <w:tcPr>
            <w:tcW w:w="1318" w:type="dxa"/>
          </w:tcPr>
          <w:p w14:paraId="6C29DB8C">
            <w:pPr>
              <w:rPr>
                <w:rFonts w:ascii="宋体" w:hAnsi="宋体"/>
                <w:sz w:val="24"/>
              </w:rPr>
            </w:pPr>
          </w:p>
        </w:tc>
        <w:tc>
          <w:tcPr>
            <w:tcW w:w="1318" w:type="dxa"/>
          </w:tcPr>
          <w:p w14:paraId="2033C0FC">
            <w:pPr>
              <w:rPr>
                <w:rFonts w:ascii="宋体" w:hAnsi="宋体"/>
                <w:sz w:val="24"/>
              </w:rPr>
            </w:pPr>
          </w:p>
        </w:tc>
        <w:tc>
          <w:tcPr>
            <w:tcW w:w="672" w:type="dxa"/>
          </w:tcPr>
          <w:p w14:paraId="17911FEF">
            <w:pPr>
              <w:rPr>
                <w:rFonts w:ascii="宋体" w:hAnsi="宋体"/>
                <w:sz w:val="24"/>
              </w:rPr>
            </w:pPr>
          </w:p>
        </w:tc>
        <w:tc>
          <w:tcPr>
            <w:tcW w:w="672" w:type="dxa"/>
          </w:tcPr>
          <w:p w14:paraId="46C4660F">
            <w:pPr>
              <w:rPr>
                <w:rFonts w:ascii="宋体" w:hAnsi="宋体"/>
                <w:sz w:val="24"/>
              </w:rPr>
            </w:pPr>
          </w:p>
        </w:tc>
        <w:tc>
          <w:tcPr>
            <w:tcW w:w="939" w:type="dxa"/>
          </w:tcPr>
          <w:p w14:paraId="701198F4">
            <w:pPr>
              <w:rPr>
                <w:rFonts w:ascii="宋体" w:hAnsi="宋体"/>
                <w:sz w:val="24"/>
              </w:rPr>
            </w:pPr>
          </w:p>
        </w:tc>
        <w:tc>
          <w:tcPr>
            <w:tcW w:w="939" w:type="dxa"/>
          </w:tcPr>
          <w:p w14:paraId="7EDFD987">
            <w:pPr>
              <w:rPr>
                <w:rFonts w:ascii="宋体" w:hAnsi="宋体"/>
                <w:sz w:val="24"/>
              </w:rPr>
            </w:pPr>
          </w:p>
        </w:tc>
        <w:tc>
          <w:tcPr>
            <w:tcW w:w="670" w:type="dxa"/>
          </w:tcPr>
          <w:p w14:paraId="43BC289C">
            <w:pPr>
              <w:rPr>
                <w:rFonts w:ascii="宋体" w:hAnsi="宋体"/>
                <w:sz w:val="24"/>
              </w:rPr>
            </w:pPr>
          </w:p>
        </w:tc>
      </w:tr>
      <w:tr w14:paraId="30CC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244B53BE">
            <w:pPr>
              <w:jc w:val="center"/>
              <w:rPr>
                <w:rFonts w:ascii="宋体" w:hAnsi="宋体"/>
                <w:sz w:val="24"/>
              </w:rPr>
            </w:pPr>
          </w:p>
        </w:tc>
        <w:tc>
          <w:tcPr>
            <w:tcW w:w="1323" w:type="dxa"/>
          </w:tcPr>
          <w:p w14:paraId="7D0243BE">
            <w:pPr>
              <w:rPr>
                <w:rFonts w:ascii="宋体" w:hAnsi="宋体"/>
                <w:sz w:val="24"/>
              </w:rPr>
            </w:pPr>
            <w:r>
              <w:rPr>
                <w:rFonts w:hint="eastAsia" w:ascii="宋体" w:hAnsi="宋体"/>
                <w:sz w:val="24"/>
              </w:rPr>
              <w:t>…</w:t>
            </w:r>
          </w:p>
        </w:tc>
        <w:tc>
          <w:tcPr>
            <w:tcW w:w="1318" w:type="dxa"/>
          </w:tcPr>
          <w:p w14:paraId="3C068276">
            <w:pPr>
              <w:rPr>
                <w:rFonts w:ascii="宋体" w:hAnsi="宋体"/>
                <w:sz w:val="24"/>
              </w:rPr>
            </w:pPr>
          </w:p>
        </w:tc>
        <w:tc>
          <w:tcPr>
            <w:tcW w:w="1318" w:type="dxa"/>
          </w:tcPr>
          <w:p w14:paraId="6B26EDAF">
            <w:pPr>
              <w:rPr>
                <w:rFonts w:ascii="宋体" w:hAnsi="宋体"/>
                <w:sz w:val="24"/>
              </w:rPr>
            </w:pPr>
          </w:p>
        </w:tc>
        <w:tc>
          <w:tcPr>
            <w:tcW w:w="672" w:type="dxa"/>
          </w:tcPr>
          <w:p w14:paraId="02F42A0F">
            <w:pPr>
              <w:rPr>
                <w:rFonts w:ascii="宋体" w:hAnsi="宋体"/>
                <w:sz w:val="24"/>
              </w:rPr>
            </w:pPr>
          </w:p>
        </w:tc>
        <w:tc>
          <w:tcPr>
            <w:tcW w:w="672" w:type="dxa"/>
          </w:tcPr>
          <w:p w14:paraId="0DCF7ED5">
            <w:pPr>
              <w:rPr>
                <w:rFonts w:ascii="宋体" w:hAnsi="宋体"/>
                <w:sz w:val="24"/>
              </w:rPr>
            </w:pPr>
          </w:p>
        </w:tc>
        <w:tc>
          <w:tcPr>
            <w:tcW w:w="939" w:type="dxa"/>
          </w:tcPr>
          <w:p w14:paraId="271CFFDB">
            <w:pPr>
              <w:rPr>
                <w:rFonts w:ascii="宋体" w:hAnsi="宋体"/>
                <w:sz w:val="24"/>
              </w:rPr>
            </w:pPr>
          </w:p>
        </w:tc>
        <w:tc>
          <w:tcPr>
            <w:tcW w:w="939" w:type="dxa"/>
          </w:tcPr>
          <w:p w14:paraId="3D79CBD9">
            <w:pPr>
              <w:rPr>
                <w:rFonts w:ascii="宋体" w:hAnsi="宋体"/>
                <w:sz w:val="24"/>
              </w:rPr>
            </w:pPr>
          </w:p>
        </w:tc>
        <w:tc>
          <w:tcPr>
            <w:tcW w:w="670" w:type="dxa"/>
          </w:tcPr>
          <w:p w14:paraId="07A8AD1A">
            <w:pPr>
              <w:rPr>
                <w:rFonts w:ascii="宋体" w:hAnsi="宋体"/>
                <w:sz w:val="24"/>
              </w:rPr>
            </w:pPr>
          </w:p>
        </w:tc>
      </w:tr>
      <w:tr w14:paraId="6976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20CAA93C">
            <w:pPr>
              <w:jc w:val="center"/>
              <w:rPr>
                <w:rFonts w:ascii="宋体" w:hAnsi="宋体"/>
                <w:sz w:val="24"/>
              </w:rPr>
            </w:pPr>
          </w:p>
        </w:tc>
        <w:tc>
          <w:tcPr>
            <w:tcW w:w="1323" w:type="dxa"/>
          </w:tcPr>
          <w:p w14:paraId="2D1D1312">
            <w:pPr>
              <w:pStyle w:val="63"/>
              <w:rPr>
                <w:rFonts w:ascii="宋体" w:hAnsi="宋体"/>
              </w:rPr>
            </w:pPr>
            <w:r>
              <w:rPr>
                <w:rFonts w:hint="eastAsia" w:ascii="宋体" w:hAnsi="宋体"/>
              </w:rPr>
              <w:t>…</w:t>
            </w:r>
          </w:p>
        </w:tc>
        <w:tc>
          <w:tcPr>
            <w:tcW w:w="1318" w:type="dxa"/>
          </w:tcPr>
          <w:p w14:paraId="4887901C">
            <w:pPr>
              <w:rPr>
                <w:rFonts w:ascii="宋体" w:hAnsi="宋体"/>
                <w:sz w:val="24"/>
              </w:rPr>
            </w:pPr>
          </w:p>
        </w:tc>
        <w:tc>
          <w:tcPr>
            <w:tcW w:w="1318" w:type="dxa"/>
          </w:tcPr>
          <w:p w14:paraId="47165B31">
            <w:pPr>
              <w:rPr>
                <w:rFonts w:ascii="宋体" w:hAnsi="宋体"/>
                <w:sz w:val="24"/>
              </w:rPr>
            </w:pPr>
          </w:p>
        </w:tc>
        <w:tc>
          <w:tcPr>
            <w:tcW w:w="672" w:type="dxa"/>
          </w:tcPr>
          <w:p w14:paraId="09DA13AE">
            <w:pPr>
              <w:rPr>
                <w:rFonts w:ascii="宋体" w:hAnsi="宋体"/>
                <w:sz w:val="24"/>
              </w:rPr>
            </w:pPr>
          </w:p>
        </w:tc>
        <w:tc>
          <w:tcPr>
            <w:tcW w:w="672" w:type="dxa"/>
          </w:tcPr>
          <w:p w14:paraId="7D5292CE">
            <w:pPr>
              <w:rPr>
                <w:rFonts w:ascii="宋体" w:hAnsi="宋体"/>
                <w:sz w:val="24"/>
              </w:rPr>
            </w:pPr>
          </w:p>
        </w:tc>
        <w:tc>
          <w:tcPr>
            <w:tcW w:w="939" w:type="dxa"/>
          </w:tcPr>
          <w:p w14:paraId="7A6195CF">
            <w:pPr>
              <w:rPr>
                <w:rFonts w:ascii="宋体" w:hAnsi="宋体"/>
                <w:sz w:val="24"/>
              </w:rPr>
            </w:pPr>
          </w:p>
        </w:tc>
        <w:tc>
          <w:tcPr>
            <w:tcW w:w="939" w:type="dxa"/>
          </w:tcPr>
          <w:p w14:paraId="0CC4909C">
            <w:pPr>
              <w:rPr>
                <w:rFonts w:ascii="宋体" w:hAnsi="宋体"/>
                <w:sz w:val="24"/>
              </w:rPr>
            </w:pPr>
          </w:p>
        </w:tc>
        <w:tc>
          <w:tcPr>
            <w:tcW w:w="670" w:type="dxa"/>
          </w:tcPr>
          <w:p w14:paraId="3B6B62A8">
            <w:pPr>
              <w:rPr>
                <w:rFonts w:ascii="宋体" w:hAnsi="宋体"/>
                <w:sz w:val="24"/>
              </w:rPr>
            </w:pPr>
          </w:p>
        </w:tc>
      </w:tr>
      <w:tr w14:paraId="07F9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631D2A41">
            <w:pPr>
              <w:jc w:val="center"/>
              <w:rPr>
                <w:rFonts w:ascii="宋体" w:hAnsi="宋体"/>
                <w:sz w:val="24"/>
              </w:rPr>
            </w:pPr>
          </w:p>
        </w:tc>
        <w:tc>
          <w:tcPr>
            <w:tcW w:w="1323" w:type="dxa"/>
          </w:tcPr>
          <w:p w14:paraId="3D821222">
            <w:pPr>
              <w:rPr>
                <w:rFonts w:ascii="宋体" w:hAnsi="宋体"/>
                <w:sz w:val="24"/>
              </w:rPr>
            </w:pPr>
            <w:r>
              <w:rPr>
                <w:rFonts w:hint="eastAsia" w:ascii="宋体" w:hAnsi="宋体"/>
                <w:sz w:val="24"/>
              </w:rPr>
              <w:t>…</w:t>
            </w:r>
          </w:p>
        </w:tc>
        <w:tc>
          <w:tcPr>
            <w:tcW w:w="1318" w:type="dxa"/>
          </w:tcPr>
          <w:p w14:paraId="767A7933">
            <w:pPr>
              <w:rPr>
                <w:rFonts w:ascii="宋体" w:hAnsi="宋体"/>
                <w:sz w:val="24"/>
              </w:rPr>
            </w:pPr>
          </w:p>
        </w:tc>
        <w:tc>
          <w:tcPr>
            <w:tcW w:w="1318" w:type="dxa"/>
          </w:tcPr>
          <w:p w14:paraId="1F50C4B2">
            <w:pPr>
              <w:rPr>
                <w:rFonts w:ascii="宋体" w:hAnsi="宋体"/>
                <w:sz w:val="24"/>
              </w:rPr>
            </w:pPr>
          </w:p>
        </w:tc>
        <w:tc>
          <w:tcPr>
            <w:tcW w:w="672" w:type="dxa"/>
          </w:tcPr>
          <w:p w14:paraId="1783FF97">
            <w:pPr>
              <w:rPr>
                <w:rFonts w:ascii="宋体" w:hAnsi="宋体"/>
                <w:sz w:val="24"/>
              </w:rPr>
            </w:pPr>
          </w:p>
        </w:tc>
        <w:tc>
          <w:tcPr>
            <w:tcW w:w="672" w:type="dxa"/>
          </w:tcPr>
          <w:p w14:paraId="51046E05">
            <w:pPr>
              <w:rPr>
                <w:rFonts w:ascii="宋体" w:hAnsi="宋体"/>
                <w:sz w:val="24"/>
              </w:rPr>
            </w:pPr>
          </w:p>
        </w:tc>
        <w:tc>
          <w:tcPr>
            <w:tcW w:w="939" w:type="dxa"/>
          </w:tcPr>
          <w:p w14:paraId="292A2E73">
            <w:pPr>
              <w:rPr>
                <w:rFonts w:ascii="宋体" w:hAnsi="宋体"/>
                <w:sz w:val="24"/>
              </w:rPr>
            </w:pPr>
          </w:p>
        </w:tc>
        <w:tc>
          <w:tcPr>
            <w:tcW w:w="939" w:type="dxa"/>
          </w:tcPr>
          <w:p w14:paraId="473547CE">
            <w:pPr>
              <w:rPr>
                <w:rFonts w:ascii="宋体" w:hAnsi="宋体"/>
                <w:sz w:val="24"/>
              </w:rPr>
            </w:pPr>
          </w:p>
        </w:tc>
        <w:tc>
          <w:tcPr>
            <w:tcW w:w="670" w:type="dxa"/>
          </w:tcPr>
          <w:p w14:paraId="2A1FE862">
            <w:pPr>
              <w:rPr>
                <w:rFonts w:ascii="宋体" w:hAnsi="宋体"/>
                <w:sz w:val="24"/>
              </w:rPr>
            </w:pPr>
          </w:p>
        </w:tc>
      </w:tr>
      <w:tr w14:paraId="1C8D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994" w:type="dxa"/>
            <w:gridSpan w:val="2"/>
            <w:vAlign w:val="center"/>
          </w:tcPr>
          <w:p w14:paraId="2753EF8E">
            <w:pPr>
              <w:pStyle w:val="63"/>
              <w:jc w:val="center"/>
              <w:rPr>
                <w:rFonts w:ascii="宋体" w:hAnsi="宋体"/>
              </w:rPr>
            </w:pPr>
            <w:r>
              <w:rPr>
                <w:rFonts w:hint="eastAsia" w:ascii="宋体" w:hAnsi="宋体"/>
              </w:rPr>
              <w:t>合计（元）</w:t>
            </w:r>
          </w:p>
        </w:tc>
        <w:tc>
          <w:tcPr>
            <w:tcW w:w="1318" w:type="dxa"/>
          </w:tcPr>
          <w:p w14:paraId="402D6588">
            <w:pPr>
              <w:rPr>
                <w:rFonts w:ascii="宋体" w:hAnsi="宋体"/>
                <w:sz w:val="24"/>
              </w:rPr>
            </w:pPr>
          </w:p>
        </w:tc>
        <w:tc>
          <w:tcPr>
            <w:tcW w:w="1318" w:type="dxa"/>
          </w:tcPr>
          <w:p w14:paraId="28810615">
            <w:pPr>
              <w:rPr>
                <w:rFonts w:ascii="宋体" w:hAnsi="宋体"/>
                <w:sz w:val="24"/>
              </w:rPr>
            </w:pPr>
          </w:p>
        </w:tc>
        <w:tc>
          <w:tcPr>
            <w:tcW w:w="672" w:type="dxa"/>
          </w:tcPr>
          <w:p w14:paraId="45505E9C">
            <w:pPr>
              <w:rPr>
                <w:rFonts w:ascii="宋体" w:hAnsi="宋体"/>
                <w:sz w:val="24"/>
              </w:rPr>
            </w:pPr>
          </w:p>
        </w:tc>
        <w:tc>
          <w:tcPr>
            <w:tcW w:w="672" w:type="dxa"/>
          </w:tcPr>
          <w:p w14:paraId="6C7FD610">
            <w:pPr>
              <w:rPr>
                <w:rFonts w:ascii="宋体" w:hAnsi="宋体"/>
                <w:sz w:val="24"/>
              </w:rPr>
            </w:pPr>
          </w:p>
        </w:tc>
        <w:tc>
          <w:tcPr>
            <w:tcW w:w="939" w:type="dxa"/>
          </w:tcPr>
          <w:p w14:paraId="531AD005">
            <w:pPr>
              <w:rPr>
                <w:rFonts w:ascii="宋体" w:hAnsi="宋体"/>
                <w:sz w:val="24"/>
              </w:rPr>
            </w:pPr>
          </w:p>
        </w:tc>
        <w:tc>
          <w:tcPr>
            <w:tcW w:w="939" w:type="dxa"/>
          </w:tcPr>
          <w:p w14:paraId="781D5FBA">
            <w:pPr>
              <w:rPr>
                <w:rFonts w:ascii="宋体" w:hAnsi="宋体"/>
                <w:sz w:val="24"/>
              </w:rPr>
            </w:pPr>
          </w:p>
        </w:tc>
        <w:tc>
          <w:tcPr>
            <w:tcW w:w="670" w:type="dxa"/>
          </w:tcPr>
          <w:p w14:paraId="2DD78586">
            <w:pPr>
              <w:rPr>
                <w:rFonts w:ascii="宋体" w:hAnsi="宋体"/>
                <w:sz w:val="24"/>
              </w:rPr>
            </w:pPr>
          </w:p>
        </w:tc>
      </w:tr>
    </w:tbl>
    <w:p w14:paraId="010C7E3D">
      <w:pPr>
        <w:spacing w:line="360" w:lineRule="auto"/>
        <w:ind w:firstLine="4560" w:firstLineChars="1900"/>
        <w:rPr>
          <w:rFonts w:ascii="宋体" w:hAnsi="宋体"/>
          <w:sz w:val="24"/>
        </w:rPr>
      </w:pPr>
      <w:r>
        <w:rPr>
          <w:rFonts w:hint="eastAsia" w:ascii="宋体" w:hAnsi="宋体"/>
          <w:sz w:val="24"/>
        </w:rPr>
        <w:t>投标人电子签章：</w:t>
      </w:r>
      <w:r>
        <w:rPr>
          <w:rFonts w:hint="eastAsia" w:ascii="宋体" w:hAnsi="宋体"/>
          <w:sz w:val="24"/>
          <w:u w:val="single"/>
        </w:rPr>
        <w:t xml:space="preserve">                </w:t>
      </w:r>
    </w:p>
    <w:p w14:paraId="36191E5B">
      <w:pPr>
        <w:spacing w:line="360" w:lineRule="auto"/>
        <w:ind w:firstLine="4560" w:firstLineChars="1900"/>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14:paraId="03162503">
      <w:pPr>
        <w:adjustRightInd w:val="0"/>
        <w:snapToGrid w:val="0"/>
        <w:spacing w:line="360" w:lineRule="auto"/>
        <w:rPr>
          <w:rFonts w:ascii="宋体" w:hAnsi="宋体"/>
          <w:b/>
          <w:bCs/>
          <w:sz w:val="24"/>
          <w:szCs w:val="28"/>
        </w:rPr>
      </w:pPr>
      <w:r>
        <w:rPr>
          <w:rFonts w:hint="eastAsia" w:ascii="宋体" w:hAnsi="宋体"/>
          <w:b/>
          <w:bCs/>
          <w:sz w:val="24"/>
          <w:szCs w:val="28"/>
        </w:rPr>
        <w:t>备注：</w:t>
      </w:r>
    </w:p>
    <w:p w14:paraId="4A1C15F8">
      <w:pPr>
        <w:spacing w:line="360" w:lineRule="auto"/>
        <w:ind w:firstLine="435"/>
        <w:rPr>
          <w:rFonts w:ascii="宋体" w:hAnsi="宋体"/>
          <w:sz w:val="24"/>
        </w:rPr>
      </w:pPr>
      <w:r>
        <w:rPr>
          <w:rFonts w:hint="eastAsia" w:ascii="宋体" w:hAnsi="宋体"/>
          <w:sz w:val="24"/>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3F1EFF9E">
      <w:pPr>
        <w:spacing w:line="360" w:lineRule="auto"/>
        <w:ind w:firstLine="435"/>
        <w:rPr>
          <w:rFonts w:ascii="宋体" w:hAnsi="宋体"/>
          <w:sz w:val="24"/>
        </w:rPr>
      </w:pPr>
      <w:r>
        <w:rPr>
          <w:rFonts w:hint="eastAsia" w:ascii="宋体" w:hAnsi="宋体"/>
          <w:sz w:val="24"/>
        </w:rPr>
        <w:t>2.表中须明确列出所投产品的货物名称、品牌、型号规格、原产地及生产厂商，否则可能导致</w:t>
      </w:r>
      <w:r>
        <w:rPr>
          <w:rFonts w:hint="eastAsia" w:ascii="宋体" w:hAnsi="宋体"/>
          <w:b/>
          <w:bCs/>
          <w:sz w:val="24"/>
        </w:rPr>
        <w:t>投标无效</w:t>
      </w:r>
      <w:r>
        <w:rPr>
          <w:rFonts w:hint="eastAsia" w:ascii="宋体" w:hAnsi="宋体"/>
          <w:sz w:val="24"/>
        </w:rPr>
        <w:t>。</w:t>
      </w:r>
      <w:bookmarkStart w:id="191" w:name="_Toc461053087"/>
      <w:bookmarkStart w:id="192" w:name="_Toc461056632"/>
      <w:bookmarkStart w:id="193" w:name="_Toc520983588"/>
    </w:p>
    <w:p w14:paraId="687681D5">
      <w:pPr>
        <w:spacing w:line="360" w:lineRule="auto"/>
        <w:ind w:firstLine="435"/>
        <w:rPr>
          <w:rFonts w:ascii="宋体" w:hAnsi="宋体"/>
          <w:sz w:val="24"/>
        </w:rPr>
      </w:pPr>
      <w:r>
        <w:rPr>
          <w:rFonts w:hint="eastAsia" w:ascii="宋体" w:hAnsi="宋体"/>
          <w:sz w:val="24"/>
        </w:rPr>
        <w:t>3.如本项目为编制工程量清单及最高投标限价（招标控制价）项目，此表替换为“工程量清单报价表”，按招标文件附件提供的工程量清单报价。</w:t>
      </w:r>
      <w:r>
        <w:rPr>
          <w:rFonts w:ascii="宋体" w:hAnsi="宋体"/>
          <w:sz w:val="24"/>
        </w:rPr>
        <w:br w:type="page"/>
      </w:r>
    </w:p>
    <w:bookmarkEnd w:id="191"/>
    <w:bookmarkEnd w:id="192"/>
    <w:bookmarkEnd w:id="193"/>
    <w:p w14:paraId="4B242C0D">
      <w:pPr>
        <w:spacing w:line="360" w:lineRule="auto"/>
        <w:jc w:val="center"/>
        <w:outlineLvl w:val="2"/>
        <w:rPr>
          <w:rFonts w:ascii="宋体" w:hAnsi="宋体" w:cs="宋体"/>
          <w:b/>
          <w:sz w:val="24"/>
          <w:szCs w:val="24"/>
        </w:rPr>
      </w:pPr>
      <w:bookmarkStart w:id="194" w:name="_Toc520983591"/>
      <w:r>
        <w:rPr>
          <w:rFonts w:hint="eastAsia" w:ascii="宋体" w:hAnsi="宋体" w:cs="宋体"/>
          <w:b/>
          <w:sz w:val="24"/>
          <w:szCs w:val="24"/>
        </w:rPr>
        <w:t>二、投标函</w:t>
      </w:r>
    </w:p>
    <w:p w14:paraId="5C99C067">
      <w:pPr>
        <w:pStyle w:val="23"/>
        <w:spacing w:line="360" w:lineRule="auto"/>
        <w:rPr>
          <w:rFonts w:ascii="宋体" w:hAnsi="宋体" w:cs="宋体"/>
          <w:sz w:val="24"/>
          <w:szCs w:val="24"/>
        </w:rPr>
      </w:pPr>
    </w:p>
    <w:p w14:paraId="70C9D578">
      <w:pPr>
        <w:pStyle w:val="23"/>
        <w:spacing w:line="360" w:lineRule="auto"/>
        <w:rPr>
          <w:rFonts w:hint="eastAsia" w:ascii="宋体" w:hAnsi="宋体" w:eastAsia="宋体" w:cs="宋体"/>
          <w:sz w:val="24"/>
          <w:szCs w:val="24"/>
          <w:u w:val="single"/>
          <w:lang w:eastAsia="zh-CN"/>
        </w:rPr>
      </w:pPr>
      <w:r>
        <w:rPr>
          <w:rFonts w:hint="eastAsia" w:ascii="宋体" w:hAnsi="宋体" w:cs="宋体"/>
          <w:sz w:val="24"/>
          <w:szCs w:val="24"/>
        </w:rPr>
        <w:t>致：</w:t>
      </w:r>
      <w:r>
        <w:rPr>
          <w:rFonts w:hint="eastAsia" w:ascii="宋体" w:hAnsi="宋体" w:cs="宋体"/>
          <w:sz w:val="24"/>
          <w:szCs w:val="24"/>
          <w:u w:val="single"/>
          <w:lang w:eastAsia="zh-CN"/>
        </w:rPr>
        <w:t>合肥滨湖时光教育管理有限公司</w:t>
      </w:r>
    </w:p>
    <w:p w14:paraId="45ED88F0">
      <w:pPr>
        <w:spacing w:line="360" w:lineRule="auto"/>
        <w:ind w:firstLine="435"/>
        <w:rPr>
          <w:rFonts w:ascii="宋体" w:hAnsi="宋体" w:cs="宋体"/>
          <w:sz w:val="24"/>
          <w:szCs w:val="24"/>
        </w:rPr>
      </w:pPr>
      <w:r>
        <w:rPr>
          <w:rFonts w:hint="eastAsia" w:ascii="宋体" w:hAnsi="宋体" w:cs="宋体"/>
          <w:sz w:val="24"/>
          <w:szCs w:val="24"/>
        </w:rPr>
        <w:t>根据贵方的招标公告和投标邀请，我方兹宣布同意如下：</w:t>
      </w:r>
    </w:p>
    <w:p w14:paraId="49CD5914">
      <w:pPr>
        <w:spacing w:line="360" w:lineRule="auto"/>
        <w:ind w:firstLine="435"/>
        <w:rPr>
          <w:rFonts w:ascii="宋体" w:hAnsi="宋体" w:cs="宋体"/>
          <w:sz w:val="24"/>
          <w:szCs w:val="24"/>
        </w:rPr>
      </w:pPr>
      <w:r>
        <w:rPr>
          <w:rFonts w:hint="eastAsia" w:ascii="宋体" w:hAnsi="宋体" w:cs="宋体"/>
          <w:sz w:val="24"/>
          <w:szCs w:val="24"/>
        </w:rPr>
        <w:t>1.按招标文件规定提供相应服务，如我方中标，我方承诺愿意按招标文件规定缴纳履约保证金和中标服务费。</w:t>
      </w:r>
    </w:p>
    <w:p w14:paraId="40AF8570">
      <w:pPr>
        <w:spacing w:line="360" w:lineRule="auto"/>
        <w:ind w:firstLine="435"/>
        <w:rPr>
          <w:rFonts w:ascii="宋体" w:hAnsi="宋体" w:cs="宋体"/>
          <w:sz w:val="24"/>
          <w:szCs w:val="24"/>
        </w:rPr>
      </w:pPr>
      <w:r>
        <w:rPr>
          <w:rFonts w:hint="eastAsia" w:ascii="宋体" w:hAnsi="宋体" w:cs="宋体"/>
          <w:sz w:val="24"/>
          <w:szCs w:val="24"/>
        </w:rPr>
        <w:t>2.我方根据招标文件的规定，严格履行合同的责任和义务。</w:t>
      </w:r>
    </w:p>
    <w:p w14:paraId="4EFC1BE3">
      <w:pPr>
        <w:spacing w:line="360" w:lineRule="auto"/>
        <w:ind w:firstLine="435"/>
        <w:rPr>
          <w:rFonts w:ascii="宋体" w:hAnsi="宋体" w:cs="宋体"/>
          <w:sz w:val="24"/>
          <w:szCs w:val="24"/>
        </w:rPr>
      </w:pPr>
      <w:r>
        <w:rPr>
          <w:rFonts w:hint="eastAsia" w:ascii="宋体" w:hAnsi="宋体" w:cs="宋体"/>
          <w:sz w:val="24"/>
          <w:szCs w:val="24"/>
        </w:rPr>
        <w:t>3.我方承诺报价按照招标文件要求。</w:t>
      </w:r>
    </w:p>
    <w:p w14:paraId="63C4247E">
      <w:pPr>
        <w:spacing w:line="360" w:lineRule="auto"/>
        <w:ind w:firstLine="435"/>
        <w:rPr>
          <w:rFonts w:ascii="宋体" w:hAnsi="宋体" w:cs="宋体"/>
          <w:sz w:val="24"/>
          <w:szCs w:val="24"/>
        </w:rPr>
      </w:pPr>
      <w:r>
        <w:rPr>
          <w:rFonts w:hint="eastAsia" w:ascii="宋体" w:hAnsi="宋体" w:cs="宋体"/>
          <w:sz w:val="24"/>
          <w:szCs w:val="24"/>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790ECED6">
      <w:pPr>
        <w:spacing w:line="360" w:lineRule="auto"/>
        <w:ind w:firstLine="435"/>
        <w:rPr>
          <w:rFonts w:ascii="宋体" w:hAnsi="宋体" w:cs="宋体"/>
          <w:sz w:val="24"/>
          <w:szCs w:val="24"/>
        </w:rPr>
      </w:pPr>
      <w:r>
        <w:rPr>
          <w:rFonts w:hint="eastAsia" w:ascii="宋体" w:hAnsi="宋体" w:cs="宋体"/>
          <w:sz w:val="24"/>
          <w:szCs w:val="24"/>
        </w:rPr>
        <w:t>5.我方同意从招标文件规定的开标日期起遵循本招标文件，并在招标文件规定的投标有效期之前均具有约束力。</w:t>
      </w:r>
    </w:p>
    <w:p w14:paraId="1F4839DD">
      <w:pPr>
        <w:spacing w:line="360" w:lineRule="auto"/>
        <w:ind w:firstLine="435"/>
        <w:rPr>
          <w:rFonts w:ascii="宋体" w:hAnsi="宋体" w:cs="宋体"/>
          <w:sz w:val="24"/>
          <w:szCs w:val="24"/>
        </w:rPr>
      </w:pPr>
      <w:r>
        <w:rPr>
          <w:rFonts w:hint="eastAsia" w:ascii="宋体" w:hAnsi="宋体" w:cs="宋体"/>
          <w:sz w:val="24"/>
          <w:szCs w:val="24"/>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2DF280A0">
      <w:pPr>
        <w:spacing w:line="360" w:lineRule="auto"/>
        <w:ind w:firstLine="435"/>
        <w:rPr>
          <w:rFonts w:ascii="宋体" w:hAnsi="宋体" w:cs="宋体"/>
          <w:sz w:val="24"/>
          <w:szCs w:val="24"/>
        </w:rPr>
      </w:pPr>
      <w:r>
        <w:rPr>
          <w:rFonts w:hint="eastAsia" w:ascii="宋体" w:hAnsi="宋体" w:cs="宋体"/>
          <w:sz w:val="24"/>
          <w:szCs w:val="24"/>
        </w:rPr>
        <w:t>7.我方完全理解贵方不一定接受最低报价的投标。</w:t>
      </w:r>
    </w:p>
    <w:p w14:paraId="76768052">
      <w:pPr>
        <w:spacing w:line="360" w:lineRule="auto"/>
        <w:ind w:firstLine="435"/>
        <w:rPr>
          <w:rFonts w:ascii="宋体" w:hAnsi="宋体" w:cs="宋体"/>
          <w:sz w:val="24"/>
          <w:szCs w:val="24"/>
        </w:rPr>
      </w:pPr>
      <w:r>
        <w:rPr>
          <w:rFonts w:hint="eastAsia" w:ascii="宋体" w:hAnsi="宋体" w:cs="宋体"/>
          <w:sz w:val="24"/>
          <w:szCs w:val="24"/>
        </w:rPr>
        <w:t>8.我方对投标文件中所提供资料、文件、证书及证件的真实性和有效性负责。</w:t>
      </w:r>
    </w:p>
    <w:p w14:paraId="360BA043">
      <w:pPr>
        <w:spacing w:line="360" w:lineRule="auto"/>
        <w:ind w:firstLine="435"/>
        <w:rPr>
          <w:rFonts w:ascii="宋体" w:hAnsi="宋体" w:cs="宋体"/>
          <w:sz w:val="24"/>
          <w:szCs w:val="24"/>
        </w:rPr>
      </w:pPr>
    </w:p>
    <w:p w14:paraId="28316682">
      <w:pPr>
        <w:spacing w:line="360" w:lineRule="auto"/>
        <w:ind w:firstLine="435"/>
        <w:rPr>
          <w:rFonts w:ascii="宋体" w:hAnsi="宋体" w:cs="宋体"/>
          <w:sz w:val="24"/>
          <w:szCs w:val="24"/>
          <w:u w:val="single"/>
        </w:rPr>
      </w:pPr>
      <w:r>
        <w:rPr>
          <w:rFonts w:hint="eastAsia" w:ascii="宋体" w:hAnsi="宋体" w:cs="宋体"/>
          <w:sz w:val="24"/>
          <w:szCs w:val="24"/>
        </w:rPr>
        <w:t>投标人公章：</w:t>
      </w:r>
      <w:r>
        <w:rPr>
          <w:rFonts w:hint="eastAsia" w:ascii="宋体" w:hAnsi="宋体" w:cs="宋体"/>
          <w:sz w:val="24"/>
          <w:szCs w:val="24"/>
          <w:u w:val="single"/>
        </w:rPr>
        <w:t xml:space="preserve">                     </w:t>
      </w:r>
    </w:p>
    <w:p w14:paraId="451B267F">
      <w:pPr>
        <w:spacing w:line="360" w:lineRule="auto"/>
        <w:ind w:firstLine="435"/>
        <w:rPr>
          <w:rFonts w:ascii="宋体" w:hAnsi="宋体" w:cs="宋体"/>
          <w:sz w:val="24"/>
          <w:szCs w:val="24"/>
          <w:u w:val="single"/>
        </w:rPr>
      </w:pPr>
      <w:r>
        <w:rPr>
          <w:rFonts w:hint="eastAsia" w:ascii="宋体" w:hAnsi="宋体" w:cs="宋体"/>
          <w:sz w:val="24"/>
          <w:szCs w:val="24"/>
        </w:rPr>
        <w:t>日      期：</w:t>
      </w:r>
      <w:r>
        <w:rPr>
          <w:rFonts w:hint="eastAsia" w:ascii="宋体" w:hAnsi="宋体" w:cs="宋体"/>
          <w:sz w:val="24"/>
          <w:szCs w:val="24"/>
          <w:u w:val="single"/>
        </w:rPr>
        <w:t xml:space="preserve">                     </w:t>
      </w:r>
    </w:p>
    <w:p w14:paraId="5980901D">
      <w:pPr>
        <w:pStyle w:val="34"/>
        <w:rPr>
          <w:rFonts w:ascii="宋体" w:hAnsi="宋体" w:cs="宋体"/>
          <w:sz w:val="24"/>
          <w:szCs w:val="24"/>
        </w:rPr>
      </w:pPr>
    </w:p>
    <w:p w14:paraId="739C2A66">
      <w:pPr>
        <w:widowControl/>
        <w:jc w:val="center"/>
        <w:rPr>
          <w:rFonts w:ascii="宋体" w:hAnsi="宋体" w:cs="宋体"/>
          <w:b/>
          <w:sz w:val="24"/>
          <w:szCs w:val="24"/>
        </w:rPr>
      </w:pPr>
    </w:p>
    <w:p w14:paraId="04638B96">
      <w:pPr>
        <w:widowControl/>
        <w:jc w:val="center"/>
        <w:rPr>
          <w:rFonts w:ascii="宋体" w:hAnsi="宋体" w:cs="宋体"/>
          <w:b/>
          <w:sz w:val="24"/>
          <w:szCs w:val="24"/>
        </w:rPr>
      </w:pPr>
    </w:p>
    <w:p w14:paraId="0F6D5557">
      <w:pPr>
        <w:widowControl/>
        <w:jc w:val="center"/>
        <w:rPr>
          <w:rFonts w:ascii="宋体" w:hAnsi="宋体" w:cs="宋体"/>
          <w:b/>
          <w:sz w:val="24"/>
          <w:szCs w:val="24"/>
        </w:rPr>
      </w:pPr>
    </w:p>
    <w:p w14:paraId="780F1968">
      <w:pPr>
        <w:widowControl/>
        <w:jc w:val="center"/>
        <w:rPr>
          <w:rFonts w:ascii="宋体" w:hAnsi="宋体" w:cs="宋体"/>
          <w:b/>
          <w:sz w:val="24"/>
          <w:szCs w:val="24"/>
        </w:rPr>
      </w:pPr>
    </w:p>
    <w:p w14:paraId="310CAF87">
      <w:pPr>
        <w:widowControl/>
        <w:jc w:val="center"/>
        <w:rPr>
          <w:rFonts w:ascii="宋体" w:hAnsi="宋体" w:cs="宋体"/>
          <w:b/>
          <w:sz w:val="24"/>
          <w:szCs w:val="24"/>
        </w:rPr>
      </w:pPr>
    </w:p>
    <w:p w14:paraId="64CFA66A">
      <w:pPr>
        <w:widowControl/>
        <w:jc w:val="center"/>
        <w:rPr>
          <w:rFonts w:ascii="宋体" w:hAnsi="宋体" w:cs="宋体"/>
          <w:b/>
          <w:sz w:val="24"/>
          <w:szCs w:val="24"/>
        </w:rPr>
      </w:pPr>
    </w:p>
    <w:p w14:paraId="3F2606CC">
      <w:pPr>
        <w:widowControl/>
        <w:jc w:val="center"/>
        <w:rPr>
          <w:rFonts w:ascii="宋体" w:hAnsi="宋体" w:cs="宋体"/>
          <w:b/>
          <w:sz w:val="24"/>
          <w:szCs w:val="24"/>
        </w:rPr>
      </w:pPr>
    </w:p>
    <w:p w14:paraId="3ED3E367">
      <w:pPr>
        <w:widowControl/>
        <w:jc w:val="center"/>
        <w:rPr>
          <w:rFonts w:ascii="宋体" w:hAnsi="宋体" w:cs="宋体"/>
          <w:b/>
          <w:sz w:val="24"/>
          <w:szCs w:val="24"/>
        </w:rPr>
      </w:pPr>
    </w:p>
    <w:p w14:paraId="429CEFEB">
      <w:pPr>
        <w:widowControl/>
        <w:jc w:val="center"/>
        <w:rPr>
          <w:rFonts w:ascii="宋体" w:hAnsi="宋体" w:cs="宋体"/>
          <w:b/>
          <w:sz w:val="24"/>
          <w:szCs w:val="24"/>
        </w:rPr>
      </w:pPr>
    </w:p>
    <w:p w14:paraId="221E9DD4">
      <w:pPr>
        <w:widowControl/>
        <w:jc w:val="center"/>
        <w:rPr>
          <w:rFonts w:ascii="宋体" w:hAnsi="宋体" w:cs="宋体"/>
          <w:b/>
          <w:sz w:val="24"/>
          <w:szCs w:val="24"/>
        </w:rPr>
      </w:pPr>
    </w:p>
    <w:p w14:paraId="19CF0676">
      <w:pPr>
        <w:widowControl/>
        <w:jc w:val="center"/>
        <w:rPr>
          <w:rFonts w:ascii="宋体" w:hAnsi="宋体" w:cs="宋体"/>
          <w:b/>
          <w:sz w:val="24"/>
          <w:szCs w:val="24"/>
        </w:rPr>
      </w:pPr>
    </w:p>
    <w:p w14:paraId="07719573">
      <w:pPr>
        <w:widowControl/>
        <w:jc w:val="center"/>
        <w:rPr>
          <w:rFonts w:ascii="宋体" w:hAnsi="宋体" w:cs="宋体"/>
          <w:b/>
          <w:sz w:val="24"/>
          <w:szCs w:val="24"/>
        </w:rPr>
      </w:pPr>
      <w:r>
        <w:rPr>
          <w:rFonts w:hint="eastAsia" w:ascii="宋体" w:hAnsi="宋体" w:cs="宋体"/>
          <w:b/>
          <w:sz w:val="24"/>
          <w:szCs w:val="24"/>
        </w:rPr>
        <w:t>三、无重大违法记录声明函、无不良信用记录声明函</w:t>
      </w:r>
    </w:p>
    <w:p w14:paraId="33792BC3">
      <w:pPr>
        <w:pStyle w:val="34"/>
        <w:rPr>
          <w:rFonts w:ascii="宋体" w:hAnsi="宋体" w:cs="宋体"/>
          <w:sz w:val="24"/>
          <w:szCs w:val="24"/>
        </w:rPr>
      </w:pPr>
    </w:p>
    <w:p w14:paraId="2EF7B90C">
      <w:pPr>
        <w:spacing w:line="360" w:lineRule="auto"/>
        <w:jc w:val="center"/>
        <w:rPr>
          <w:rFonts w:ascii="宋体" w:hAnsi="宋体" w:cs="宋体"/>
          <w:i/>
          <w:sz w:val="24"/>
          <w:szCs w:val="24"/>
        </w:rPr>
      </w:pPr>
      <w:r>
        <w:rPr>
          <w:rFonts w:hint="eastAsia" w:ascii="宋体" w:hAnsi="宋体" w:cs="宋体"/>
          <w:i/>
          <w:sz w:val="24"/>
          <w:szCs w:val="24"/>
        </w:rPr>
        <w:t>（联合体参加投标的，联合体各方均须提供）</w:t>
      </w:r>
    </w:p>
    <w:p w14:paraId="6FC549B5">
      <w:pPr>
        <w:spacing w:line="360" w:lineRule="auto"/>
        <w:ind w:firstLine="435"/>
        <w:rPr>
          <w:rFonts w:ascii="宋体" w:hAnsi="宋体" w:cs="宋体"/>
          <w:sz w:val="24"/>
          <w:szCs w:val="24"/>
        </w:rPr>
      </w:pPr>
      <w:r>
        <w:rPr>
          <w:rFonts w:hint="eastAsia" w:ascii="宋体" w:hAnsi="宋体" w:cs="宋体"/>
          <w:sz w:val="24"/>
          <w:szCs w:val="24"/>
        </w:rPr>
        <w:t>1.本单位郑重声明，参加采购活动前三年内，本单位在经营活动中没有重大违法记录，没有因违法经营受到刑事处罚或者责令停产停业、吊销许可证或者执照、较大数额罚款等行政处罚，且未在被禁止参加采购活动的处罚期限内。</w:t>
      </w:r>
    </w:p>
    <w:p w14:paraId="36CD4E15">
      <w:pPr>
        <w:spacing w:line="360" w:lineRule="auto"/>
        <w:ind w:firstLine="435"/>
        <w:rPr>
          <w:rFonts w:ascii="宋体" w:hAnsi="宋体" w:cs="宋体"/>
          <w:sz w:val="24"/>
          <w:szCs w:val="24"/>
        </w:rPr>
      </w:pPr>
      <w:r>
        <w:rPr>
          <w:rFonts w:hint="eastAsia" w:ascii="宋体" w:hAnsi="宋体" w:cs="宋体"/>
          <w:sz w:val="24"/>
          <w:szCs w:val="24"/>
        </w:rPr>
        <w:t>2.本单位郑重声明，我单位无以下不良信用记录情形：</w:t>
      </w:r>
    </w:p>
    <w:p w14:paraId="4536ACE8">
      <w:pPr>
        <w:spacing w:line="360" w:lineRule="auto"/>
        <w:ind w:firstLine="435"/>
        <w:rPr>
          <w:rFonts w:ascii="宋体" w:hAnsi="宋体" w:cs="宋体"/>
          <w:sz w:val="24"/>
          <w:szCs w:val="24"/>
        </w:rPr>
      </w:pPr>
      <w:r>
        <w:rPr>
          <w:rFonts w:hint="eastAsia" w:ascii="宋体" w:hAnsi="宋体" w:cs="宋体"/>
          <w:sz w:val="24"/>
          <w:szCs w:val="24"/>
        </w:rPr>
        <w:t>（1）被人民法院列入失信被执行人；</w:t>
      </w:r>
    </w:p>
    <w:p w14:paraId="6429B856">
      <w:pPr>
        <w:spacing w:line="360" w:lineRule="auto"/>
        <w:ind w:firstLine="435"/>
        <w:rPr>
          <w:rFonts w:ascii="宋体" w:hAnsi="宋体" w:cs="宋体"/>
          <w:sz w:val="24"/>
          <w:szCs w:val="24"/>
        </w:rPr>
      </w:pPr>
      <w:r>
        <w:rPr>
          <w:rFonts w:hint="eastAsia" w:ascii="宋体" w:hAnsi="宋体" w:cs="宋体"/>
          <w:sz w:val="24"/>
          <w:szCs w:val="24"/>
        </w:rPr>
        <w:t>（2）被税务部门列入重大税收违法案件当事人名单。</w:t>
      </w:r>
    </w:p>
    <w:p w14:paraId="5F90C6B8">
      <w:pPr>
        <w:spacing w:line="360" w:lineRule="auto"/>
        <w:ind w:firstLine="435"/>
        <w:rPr>
          <w:rFonts w:ascii="宋体" w:hAnsi="宋体" w:cs="宋体"/>
          <w:sz w:val="24"/>
          <w:szCs w:val="24"/>
        </w:rPr>
      </w:pPr>
      <w:r>
        <w:rPr>
          <w:rFonts w:hint="eastAsia" w:ascii="宋体" w:hAnsi="宋体" w:cs="宋体"/>
          <w:sz w:val="24"/>
          <w:szCs w:val="24"/>
        </w:rPr>
        <w:t>3.</w:t>
      </w:r>
      <w:r>
        <w:rPr>
          <w:rFonts w:hint="eastAsia" w:ascii="宋体" w:hAnsi="宋体" w:cs="宋体"/>
          <w:sz w:val="24"/>
          <w:szCs w:val="24"/>
          <w:u w:val="single"/>
        </w:rPr>
        <w:t xml:space="preserve">                                              </w:t>
      </w:r>
      <w:r>
        <w:rPr>
          <w:rFonts w:hint="eastAsia" w:ascii="宋体" w:hAnsi="宋体" w:cs="宋体"/>
          <w:sz w:val="24"/>
          <w:szCs w:val="24"/>
        </w:rPr>
        <w:t>。</w:t>
      </w:r>
    </w:p>
    <w:p w14:paraId="7953B1C8">
      <w:pPr>
        <w:spacing w:line="360" w:lineRule="auto"/>
        <w:ind w:firstLine="435"/>
        <w:rPr>
          <w:rFonts w:ascii="宋体" w:hAnsi="宋体" w:cs="宋体"/>
          <w:sz w:val="24"/>
          <w:szCs w:val="24"/>
        </w:rPr>
      </w:pPr>
    </w:p>
    <w:p w14:paraId="123CA354">
      <w:pPr>
        <w:spacing w:line="360" w:lineRule="auto"/>
        <w:ind w:firstLine="435"/>
        <w:rPr>
          <w:rFonts w:ascii="宋体" w:hAnsi="宋体" w:cs="宋体"/>
          <w:sz w:val="24"/>
          <w:szCs w:val="24"/>
        </w:rPr>
      </w:pPr>
      <w:r>
        <w:rPr>
          <w:rFonts w:hint="eastAsia" w:ascii="宋体" w:hAnsi="宋体" w:cs="宋体"/>
          <w:sz w:val="24"/>
          <w:szCs w:val="24"/>
        </w:rPr>
        <w:t>本单位对上述声明的真实性负责。如有虚假，将依法承担相应责任。</w:t>
      </w:r>
    </w:p>
    <w:p w14:paraId="7A1C3799">
      <w:pPr>
        <w:spacing w:line="360" w:lineRule="auto"/>
        <w:ind w:firstLine="4800" w:firstLineChars="2000"/>
        <w:rPr>
          <w:rFonts w:ascii="宋体" w:hAnsi="宋体" w:cs="宋体"/>
          <w:sz w:val="24"/>
          <w:szCs w:val="24"/>
          <w:u w:val="single"/>
        </w:rPr>
      </w:pPr>
      <w:r>
        <w:rPr>
          <w:rFonts w:hint="eastAsia" w:ascii="宋体" w:hAnsi="宋体" w:cs="宋体"/>
          <w:sz w:val="24"/>
          <w:szCs w:val="24"/>
        </w:rPr>
        <w:t>投标人公章：</w:t>
      </w:r>
      <w:r>
        <w:rPr>
          <w:rFonts w:hint="eastAsia" w:ascii="宋体" w:hAnsi="宋体" w:cs="宋体"/>
          <w:sz w:val="24"/>
          <w:szCs w:val="24"/>
          <w:u w:val="single"/>
        </w:rPr>
        <w:t xml:space="preserve">             </w:t>
      </w:r>
    </w:p>
    <w:p w14:paraId="463AD0AD">
      <w:pPr>
        <w:spacing w:line="360" w:lineRule="auto"/>
        <w:ind w:firstLine="4800" w:firstLineChars="2000"/>
        <w:rPr>
          <w:rFonts w:ascii="宋体" w:hAnsi="宋体" w:cs="宋体"/>
          <w:sz w:val="24"/>
          <w:szCs w:val="24"/>
          <w:u w:val="single"/>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u w:val="single"/>
        </w:rPr>
        <w:br w:type="page"/>
      </w:r>
    </w:p>
    <w:p w14:paraId="4D6C7C18">
      <w:pPr>
        <w:spacing w:line="360" w:lineRule="auto"/>
        <w:jc w:val="center"/>
        <w:outlineLvl w:val="2"/>
        <w:rPr>
          <w:rFonts w:ascii="宋体" w:hAnsi="宋体" w:cs="宋体"/>
          <w:b/>
          <w:sz w:val="24"/>
          <w:szCs w:val="24"/>
        </w:rPr>
      </w:pPr>
      <w:r>
        <w:rPr>
          <w:rFonts w:hint="eastAsia" w:ascii="宋体" w:hAnsi="宋体" w:cs="宋体"/>
          <w:b/>
          <w:sz w:val="24"/>
          <w:szCs w:val="24"/>
        </w:rPr>
        <w:t>四、授权书</w:t>
      </w:r>
    </w:p>
    <w:p w14:paraId="203431E9">
      <w:pPr>
        <w:pStyle w:val="22"/>
        <w:snapToGrid w:val="0"/>
        <w:spacing w:line="360" w:lineRule="auto"/>
        <w:ind w:firstLine="480" w:firstLineChars="200"/>
        <w:jc w:val="left"/>
        <w:rPr>
          <w:rFonts w:hAnsi="宋体" w:cs="宋体"/>
          <w:sz w:val="24"/>
          <w:szCs w:val="24"/>
        </w:rPr>
      </w:pPr>
    </w:p>
    <w:p w14:paraId="21E3B6D7">
      <w:pPr>
        <w:spacing w:line="360" w:lineRule="auto"/>
        <w:ind w:firstLine="435"/>
        <w:rPr>
          <w:rFonts w:ascii="宋体" w:hAnsi="宋体" w:cs="宋体"/>
          <w:sz w:val="24"/>
          <w:szCs w:val="24"/>
        </w:rPr>
      </w:pPr>
      <w:r>
        <w:rPr>
          <w:rFonts w:hint="eastAsia" w:ascii="宋体" w:hAnsi="宋体" w:cs="宋体"/>
          <w:sz w:val="24"/>
          <w:szCs w:val="24"/>
        </w:rPr>
        <w:t>本授权书声明：</w:t>
      </w:r>
      <w:r>
        <w:rPr>
          <w:rFonts w:hint="eastAsia" w:ascii="宋体" w:hAnsi="宋体" w:cs="宋体"/>
          <w:sz w:val="24"/>
          <w:szCs w:val="24"/>
          <w:u w:val="single"/>
        </w:rPr>
        <w:t xml:space="preserve">           </w:t>
      </w:r>
      <w:r>
        <w:rPr>
          <w:rFonts w:hint="eastAsia" w:ascii="宋体" w:hAnsi="宋体" w:cs="宋体"/>
          <w:sz w:val="24"/>
          <w:szCs w:val="24"/>
        </w:rPr>
        <w:t>（投标人名称）授权</w:t>
      </w:r>
      <w:r>
        <w:rPr>
          <w:rFonts w:hint="eastAsia" w:ascii="宋体" w:hAnsi="宋体" w:cs="宋体"/>
          <w:sz w:val="24"/>
          <w:szCs w:val="24"/>
          <w:u w:val="single"/>
        </w:rPr>
        <w:t xml:space="preserve">       </w:t>
      </w:r>
      <w:r>
        <w:rPr>
          <w:rFonts w:hint="eastAsia" w:ascii="宋体" w:hAnsi="宋体" w:cs="宋体"/>
          <w:sz w:val="24"/>
          <w:szCs w:val="24"/>
        </w:rPr>
        <w:t>（投标人授权代表姓名、职务）代表我方参加本项目</w:t>
      </w:r>
      <w:r>
        <w:rPr>
          <w:rFonts w:hint="eastAsia" w:ascii="宋体" w:hAnsi="宋体" w:cs="宋体"/>
          <w:bCs/>
          <w:sz w:val="24"/>
          <w:szCs w:val="24"/>
        </w:rPr>
        <w:t>投标</w:t>
      </w:r>
      <w:r>
        <w:rPr>
          <w:rFonts w:hint="eastAsia" w:ascii="宋体" w:hAnsi="宋体" w:cs="宋体"/>
          <w:sz w:val="24"/>
          <w:szCs w:val="24"/>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AC106FC">
      <w:pPr>
        <w:spacing w:line="360" w:lineRule="auto"/>
        <w:ind w:firstLine="435"/>
        <w:rPr>
          <w:rFonts w:ascii="宋体" w:hAnsi="宋体" w:cs="宋体"/>
          <w:sz w:val="24"/>
          <w:szCs w:val="24"/>
        </w:rPr>
      </w:pPr>
      <w:r>
        <w:rPr>
          <w:rFonts w:hint="eastAsia" w:ascii="宋体" w:hAnsi="宋体" w:cs="宋体"/>
          <w:sz w:val="24"/>
          <w:szCs w:val="24"/>
        </w:rPr>
        <w:t>本授权书自出具之日起生效。</w:t>
      </w:r>
    </w:p>
    <w:p w14:paraId="2245631A">
      <w:pPr>
        <w:spacing w:line="360" w:lineRule="auto"/>
        <w:ind w:firstLine="435"/>
        <w:rPr>
          <w:rFonts w:ascii="宋体" w:hAnsi="宋体" w:cs="宋体"/>
          <w:sz w:val="24"/>
          <w:szCs w:val="24"/>
        </w:rPr>
      </w:pPr>
      <w:r>
        <w:rPr>
          <w:rFonts w:hint="eastAsia" w:ascii="宋体" w:hAnsi="宋体" w:cs="宋体"/>
          <w:sz w:val="24"/>
          <w:szCs w:val="24"/>
        </w:rPr>
        <w:t>授权代表身份证明复印件或影印件：</w:t>
      </w:r>
    </w:p>
    <w:p w14:paraId="204E0D46">
      <w:pPr>
        <w:spacing w:line="360" w:lineRule="auto"/>
        <w:ind w:firstLine="435"/>
        <w:rPr>
          <w:rFonts w:ascii="宋体" w:hAnsi="宋体" w:cs="宋体"/>
          <w:sz w:val="24"/>
          <w:szCs w:val="24"/>
        </w:rPr>
      </w:pPr>
    </w:p>
    <w:p w14:paraId="0738551A">
      <w:pPr>
        <w:spacing w:line="360" w:lineRule="auto"/>
        <w:ind w:firstLine="435"/>
        <w:rPr>
          <w:rFonts w:ascii="宋体" w:hAnsi="宋体" w:cs="宋体"/>
          <w:sz w:val="24"/>
          <w:szCs w:val="24"/>
        </w:rPr>
      </w:pPr>
    </w:p>
    <w:p w14:paraId="07D26F22">
      <w:pPr>
        <w:spacing w:line="360" w:lineRule="auto"/>
        <w:ind w:firstLine="435"/>
        <w:rPr>
          <w:rFonts w:ascii="宋体" w:hAnsi="宋体" w:cs="宋体"/>
          <w:sz w:val="24"/>
          <w:szCs w:val="24"/>
        </w:rPr>
      </w:pPr>
    </w:p>
    <w:p w14:paraId="4D91BBE8">
      <w:pPr>
        <w:spacing w:line="360" w:lineRule="auto"/>
        <w:ind w:firstLine="435"/>
        <w:rPr>
          <w:rFonts w:ascii="宋体" w:hAnsi="宋体" w:cs="宋体"/>
          <w:sz w:val="24"/>
          <w:szCs w:val="24"/>
          <w:u w:val="single"/>
        </w:rPr>
      </w:pPr>
      <w:r>
        <w:rPr>
          <w:rFonts w:hint="eastAsia" w:ascii="宋体" w:hAnsi="宋体" w:cs="宋体"/>
          <w:sz w:val="24"/>
          <w:szCs w:val="24"/>
        </w:rPr>
        <w:t>授权代表联系方式：</w:t>
      </w:r>
      <w:r>
        <w:rPr>
          <w:rFonts w:hint="eastAsia" w:ascii="宋体" w:hAnsi="宋体" w:cs="宋体"/>
          <w:sz w:val="24"/>
          <w:szCs w:val="24"/>
          <w:u w:val="single"/>
        </w:rPr>
        <w:t xml:space="preserve">          （请填写手机号码）</w:t>
      </w:r>
    </w:p>
    <w:p w14:paraId="0FE51117">
      <w:pPr>
        <w:spacing w:line="360" w:lineRule="auto"/>
        <w:ind w:firstLine="435"/>
        <w:rPr>
          <w:rFonts w:ascii="宋体" w:hAnsi="宋体" w:cs="宋体"/>
          <w:sz w:val="24"/>
          <w:szCs w:val="24"/>
        </w:rPr>
      </w:pPr>
    </w:p>
    <w:p w14:paraId="6F656745">
      <w:pPr>
        <w:spacing w:line="360" w:lineRule="auto"/>
        <w:ind w:firstLine="435"/>
        <w:rPr>
          <w:rFonts w:ascii="宋体" w:hAnsi="宋体" w:cs="宋体"/>
          <w:sz w:val="24"/>
          <w:szCs w:val="24"/>
        </w:rPr>
      </w:pPr>
      <w:r>
        <w:rPr>
          <w:rFonts w:hint="eastAsia" w:ascii="宋体" w:hAnsi="宋体" w:cs="宋体"/>
          <w:sz w:val="24"/>
          <w:szCs w:val="24"/>
        </w:rPr>
        <w:t>特此声明。</w:t>
      </w:r>
    </w:p>
    <w:p w14:paraId="52D8B88F">
      <w:pPr>
        <w:spacing w:line="360" w:lineRule="auto"/>
        <w:rPr>
          <w:rFonts w:ascii="宋体" w:hAnsi="宋体" w:cs="宋体"/>
          <w:sz w:val="24"/>
          <w:szCs w:val="24"/>
        </w:rPr>
      </w:pPr>
    </w:p>
    <w:p w14:paraId="52013DCE">
      <w:pPr>
        <w:spacing w:line="360" w:lineRule="auto"/>
        <w:ind w:firstLine="435"/>
        <w:rPr>
          <w:rFonts w:ascii="宋体" w:hAnsi="宋体" w:cs="宋体"/>
          <w:bCs/>
          <w:sz w:val="24"/>
          <w:szCs w:val="24"/>
        </w:rPr>
      </w:pPr>
      <w:r>
        <w:rPr>
          <w:rFonts w:hint="eastAsia" w:ascii="宋体" w:hAnsi="宋体" w:cs="宋体"/>
          <w:bCs/>
          <w:sz w:val="24"/>
          <w:szCs w:val="24"/>
        </w:rPr>
        <w:t>投标人公章：</w:t>
      </w:r>
      <w:r>
        <w:rPr>
          <w:rFonts w:hint="eastAsia" w:ascii="宋体" w:hAnsi="宋体" w:cs="宋体"/>
          <w:bCs/>
          <w:sz w:val="24"/>
          <w:szCs w:val="24"/>
          <w:u w:val="single"/>
        </w:rPr>
        <w:t xml:space="preserve">                    </w:t>
      </w:r>
    </w:p>
    <w:p w14:paraId="16B67CEC">
      <w:pPr>
        <w:spacing w:line="360" w:lineRule="auto"/>
        <w:ind w:firstLine="435"/>
        <w:rPr>
          <w:rFonts w:ascii="宋体" w:hAnsi="宋体" w:cs="宋体"/>
          <w:sz w:val="24"/>
          <w:szCs w:val="24"/>
        </w:rPr>
      </w:pPr>
      <w:r>
        <w:rPr>
          <w:rFonts w:hint="eastAsia" w:ascii="宋体" w:hAnsi="宋体" w:cs="宋体"/>
          <w:sz w:val="24"/>
          <w:szCs w:val="24"/>
        </w:rPr>
        <w:t>日      期：</w:t>
      </w:r>
      <w:r>
        <w:rPr>
          <w:rFonts w:hint="eastAsia" w:ascii="宋体" w:hAnsi="宋体" w:cs="宋体"/>
          <w:b/>
          <w:bCs/>
          <w:sz w:val="24"/>
          <w:szCs w:val="24"/>
          <w:u w:val="single"/>
        </w:rPr>
        <w:t xml:space="preserve">                    </w:t>
      </w:r>
    </w:p>
    <w:p w14:paraId="2C419D15">
      <w:pPr>
        <w:spacing w:line="360" w:lineRule="auto"/>
        <w:ind w:firstLine="435"/>
        <w:rPr>
          <w:rFonts w:ascii="宋体" w:hAnsi="宋体" w:cs="宋体"/>
          <w:sz w:val="24"/>
          <w:szCs w:val="24"/>
        </w:rPr>
      </w:pPr>
    </w:p>
    <w:p w14:paraId="2DE06FC9">
      <w:pPr>
        <w:spacing w:line="360" w:lineRule="auto"/>
        <w:ind w:firstLine="435"/>
        <w:rPr>
          <w:rFonts w:ascii="宋体" w:hAnsi="宋体" w:cs="宋体"/>
          <w:sz w:val="24"/>
          <w:szCs w:val="24"/>
        </w:rPr>
      </w:pPr>
    </w:p>
    <w:p w14:paraId="270214A7">
      <w:pPr>
        <w:spacing w:line="360" w:lineRule="auto"/>
        <w:rPr>
          <w:rFonts w:ascii="宋体" w:hAnsi="宋体" w:cs="宋体"/>
          <w:sz w:val="24"/>
          <w:szCs w:val="24"/>
        </w:rPr>
      </w:pPr>
      <w:r>
        <w:rPr>
          <w:rFonts w:hint="eastAsia" w:ascii="宋体" w:hAnsi="宋体" w:cs="宋体"/>
          <w:sz w:val="24"/>
          <w:szCs w:val="24"/>
        </w:rPr>
        <w:t>注：</w:t>
      </w:r>
    </w:p>
    <w:p w14:paraId="21D3494A">
      <w:pPr>
        <w:spacing w:line="360" w:lineRule="auto"/>
        <w:ind w:firstLine="435"/>
        <w:rPr>
          <w:rFonts w:ascii="宋体" w:hAnsi="宋体" w:cs="宋体"/>
          <w:sz w:val="24"/>
          <w:szCs w:val="24"/>
        </w:rPr>
      </w:pPr>
      <w:r>
        <w:rPr>
          <w:rFonts w:hint="eastAsia" w:ascii="宋体" w:hAnsi="宋体" w:cs="宋体"/>
          <w:sz w:val="24"/>
          <w:szCs w:val="24"/>
        </w:rPr>
        <w:t>1.本项目只允许有唯一的投标人授权代表，提供身份证明复印件；</w:t>
      </w:r>
    </w:p>
    <w:p w14:paraId="34146319">
      <w:pPr>
        <w:spacing w:line="360" w:lineRule="auto"/>
        <w:ind w:firstLine="435"/>
        <w:rPr>
          <w:rFonts w:ascii="宋体" w:hAnsi="宋体" w:cs="宋体"/>
          <w:sz w:val="24"/>
          <w:szCs w:val="24"/>
        </w:rPr>
      </w:pPr>
      <w:r>
        <w:rPr>
          <w:rFonts w:hint="eastAsia" w:ascii="宋体" w:hAnsi="宋体" w:cs="宋体"/>
          <w:sz w:val="24"/>
          <w:szCs w:val="24"/>
        </w:rPr>
        <w:t>2.法定代表人参加投标的无需提供授权书，提供身份证明复印件。</w:t>
      </w:r>
    </w:p>
    <w:p w14:paraId="5134A5FF">
      <w:pPr>
        <w:spacing w:line="360" w:lineRule="auto"/>
        <w:jc w:val="center"/>
        <w:outlineLvl w:val="2"/>
        <w:rPr>
          <w:rFonts w:ascii="宋体" w:hAnsi="宋体"/>
          <w:b/>
          <w:sz w:val="24"/>
        </w:rPr>
      </w:pPr>
      <w:r>
        <w:rPr>
          <w:rFonts w:hint="eastAsia" w:ascii="宋体" w:hAnsi="宋体" w:cs="宋体"/>
          <w:sz w:val="24"/>
          <w:szCs w:val="24"/>
        </w:rPr>
        <w:br w:type="page"/>
      </w:r>
    </w:p>
    <w:bookmarkEnd w:id="194"/>
    <w:p w14:paraId="464E6E35">
      <w:pPr>
        <w:spacing w:line="360" w:lineRule="auto"/>
        <w:rPr>
          <w:rFonts w:ascii="宋体" w:hAnsi="宋体"/>
          <w:sz w:val="24"/>
          <w:u w:val="single"/>
        </w:rPr>
      </w:pPr>
    </w:p>
    <w:p w14:paraId="47B443EE">
      <w:pPr>
        <w:widowControl/>
        <w:jc w:val="center"/>
        <w:rPr>
          <w:rFonts w:ascii="宋体" w:hAnsi="宋体" w:cs="宋体"/>
          <w:sz w:val="24"/>
          <w:szCs w:val="24"/>
        </w:rPr>
      </w:pPr>
      <w:bookmarkStart w:id="195" w:name="_Toc507694553"/>
      <w:r>
        <w:rPr>
          <w:rFonts w:hint="eastAsia" w:ascii="宋体" w:hAnsi="宋体" w:cs="宋体"/>
          <w:b/>
          <w:bCs/>
          <w:sz w:val="24"/>
          <w:szCs w:val="24"/>
        </w:rPr>
        <w:t>五、投标业绩承诺函</w:t>
      </w:r>
      <w:bookmarkEnd w:id="195"/>
    </w:p>
    <w:p w14:paraId="5D53D5E4">
      <w:pPr>
        <w:widowControl/>
        <w:spacing w:line="360" w:lineRule="auto"/>
        <w:jc w:val="left"/>
        <w:rPr>
          <w:rFonts w:hint="eastAsia" w:ascii="宋体" w:hAnsi="宋体" w:eastAsia="宋体" w:cs="宋体"/>
          <w:sz w:val="24"/>
          <w:szCs w:val="24"/>
          <w:lang w:eastAsia="zh-CN"/>
        </w:rPr>
      </w:pPr>
      <w:r>
        <w:rPr>
          <w:rFonts w:hint="eastAsia" w:ascii="宋体" w:hAnsi="宋体" w:cs="宋体"/>
          <w:sz w:val="24"/>
          <w:szCs w:val="24"/>
        </w:rPr>
        <w:t>致：</w:t>
      </w:r>
      <w:r>
        <w:rPr>
          <w:rFonts w:hint="eastAsia" w:ascii="宋体" w:hAnsi="宋体" w:cs="宋体"/>
          <w:sz w:val="24"/>
          <w:szCs w:val="24"/>
          <w:lang w:eastAsia="zh-CN"/>
        </w:rPr>
        <w:t>合肥滨湖时光教育管理有限公司</w:t>
      </w:r>
    </w:p>
    <w:p w14:paraId="39FB4ABB">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我公司承诺：本投标文件中提供的业绩均真实有效。若有异议，我公司承诺会在3个工作日内可就以下业绩信息提供（如合同、对应的发票、验收报告或用户评价意见）原件供贵方核对。若被发现存在任何虚假、隐瞒情况，我公司承担由此产生的一切后果。</w:t>
      </w:r>
    </w:p>
    <w:p w14:paraId="758B0C37">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投标人电子签章：                     </w:t>
      </w:r>
    </w:p>
    <w:p w14:paraId="63597798">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日          期：                      </w:t>
      </w:r>
    </w:p>
    <w:tbl>
      <w:tblPr>
        <w:tblStyle w:val="41"/>
        <w:tblpPr w:leftFromText="180" w:rightFromText="180" w:vertAnchor="text" w:horzAnchor="page" w:tblpX="1492" w:tblpY="2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1701"/>
        <w:gridCol w:w="1134"/>
      </w:tblGrid>
      <w:tr w14:paraId="7B39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14:paraId="61F9C808">
            <w:pPr>
              <w:widowControl/>
              <w:jc w:val="left"/>
              <w:rPr>
                <w:rFonts w:ascii="宋体" w:hAnsi="宋体" w:cs="宋体"/>
                <w:sz w:val="24"/>
                <w:szCs w:val="24"/>
              </w:rPr>
            </w:pPr>
            <w:r>
              <w:rPr>
                <w:rFonts w:hint="eastAsia" w:ascii="宋体" w:hAnsi="宋体" w:cs="宋体"/>
                <w:sz w:val="24"/>
                <w:szCs w:val="24"/>
              </w:rPr>
              <w:t>序号</w:t>
            </w:r>
          </w:p>
        </w:tc>
        <w:tc>
          <w:tcPr>
            <w:tcW w:w="1559" w:type="dxa"/>
            <w:vAlign w:val="center"/>
          </w:tcPr>
          <w:p w14:paraId="44A95162">
            <w:pPr>
              <w:widowControl/>
              <w:jc w:val="left"/>
              <w:rPr>
                <w:rFonts w:ascii="宋体" w:hAnsi="宋体" w:cs="宋体"/>
                <w:sz w:val="24"/>
                <w:szCs w:val="24"/>
              </w:rPr>
            </w:pPr>
            <w:r>
              <w:rPr>
                <w:rFonts w:hint="eastAsia" w:ascii="宋体" w:hAnsi="宋体" w:cs="宋体"/>
                <w:sz w:val="24"/>
                <w:szCs w:val="24"/>
              </w:rPr>
              <w:t>项目名称</w:t>
            </w:r>
          </w:p>
        </w:tc>
        <w:tc>
          <w:tcPr>
            <w:tcW w:w="2410" w:type="dxa"/>
            <w:vAlign w:val="center"/>
          </w:tcPr>
          <w:p w14:paraId="5E461E69">
            <w:pPr>
              <w:widowControl/>
              <w:jc w:val="left"/>
              <w:rPr>
                <w:rFonts w:ascii="宋体" w:hAnsi="宋体" w:cs="宋体"/>
                <w:sz w:val="24"/>
                <w:szCs w:val="24"/>
              </w:rPr>
            </w:pPr>
            <w:r>
              <w:rPr>
                <w:rFonts w:hint="eastAsia" w:ascii="宋体" w:hAnsi="宋体" w:cs="宋体"/>
                <w:sz w:val="24"/>
                <w:szCs w:val="24"/>
              </w:rPr>
              <w:t>服务内容</w:t>
            </w:r>
          </w:p>
        </w:tc>
        <w:tc>
          <w:tcPr>
            <w:tcW w:w="1559" w:type="dxa"/>
            <w:vAlign w:val="center"/>
          </w:tcPr>
          <w:p w14:paraId="7ED6AEE6">
            <w:pPr>
              <w:widowControl/>
              <w:jc w:val="left"/>
              <w:rPr>
                <w:rFonts w:ascii="宋体" w:hAnsi="宋体" w:cs="宋体"/>
                <w:sz w:val="24"/>
                <w:szCs w:val="24"/>
              </w:rPr>
            </w:pPr>
            <w:r>
              <w:rPr>
                <w:rFonts w:hint="eastAsia" w:ascii="宋体" w:hAnsi="宋体" w:cs="宋体"/>
                <w:sz w:val="24"/>
                <w:szCs w:val="24"/>
              </w:rPr>
              <w:t>合同总金额</w:t>
            </w:r>
          </w:p>
        </w:tc>
        <w:tc>
          <w:tcPr>
            <w:tcW w:w="1701" w:type="dxa"/>
            <w:vAlign w:val="center"/>
          </w:tcPr>
          <w:p w14:paraId="0BB0F2FA">
            <w:pPr>
              <w:widowControl/>
              <w:jc w:val="left"/>
              <w:rPr>
                <w:rFonts w:ascii="宋体" w:hAnsi="宋体" w:cs="宋体"/>
                <w:sz w:val="24"/>
                <w:szCs w:val="24"/>
              </w:rPr>
            </w:pPr>
            <w:r>
              <w:rPr>
                <w:rFonts w:hint="eastAsia" w:ascii="宋体" w:hAnsi="宋体" w:cs="宋体"/>
                <w:sz w:val="24"/>
                <w:szCs w:val="24"/>
              </w:rPr>
              <w:t>业主单位</w:t>
            </w:r>
          </w:p>
          <w:p w14:paraId="45182019">
            <w:pPr>
              <w:widowControl/>
              <w:jc w:val="left"/>
              <w:rPr>
                <w:rFonts w:ascii="宋体" w:hAnsi="宋体" w:cs="宋体"/>
                <w:sz w:val="24"/>
                <w:szCs w:val="24"/>
              </w:rPr>
            </w:pPr>
            <w:r>
              <w:rPr>
                <w:rFonts w:hint="eastAsia" w:ascii="宋体" w:hAnsi="宋体" w:cs="宋体"/>
                <w:sz w:val="24"/>
                <w:szCs w:val="24"/>
              </w:rPr>
              <w:t>及联系电话</w:t>
            </w:r>
          </w:p>
        </w:tc>
        <w:tc>
          <w:tcPr>
            <w:tcW w:w="1134" w:type="dxa"/>
            <w:vAlign w:val="center"/>
          </w:tcPr>
          <w:p w14:paraId="54832F69">
            <w:pPr>
              <w:widowControl/>
              <w:jc w:val="left"/>
              <w:rPr>
                <w:rFonts w:ascii="宋体" w:hAnsi="宋体" w:cs="宋体"/>
                <w:sz w:val="24"/>
                <w:szCs w:val="24"/>
              </w:rPr>
            </w:pPr>
            <w:r>
              <w:rPr>
                <w:rFonts w:hint="eastAsia" w:ascii="宋体" w:hAnsi="宋体" w:cs="宋体"/>
                <w:sz w:val="24"/>
                <w:szCs w:val="24"/>
              </w:rPr>
              <w:t>备注</w:t>
            </w:r>
          </w:p>
        </w:tc>
      </w:tr>
      <w:tr w14:paraId="2887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6"/>
            <w:vAlign w:val="center"/>
          </w:tcPr>
          <w:p w14:paraId="4BAA400F">
            <w:pPr>
              <w:widowControl/>
              <w:jc w:val="left"/>
              <w:rPr>
                <w:rFonts w:ascii="宋体" w:hAnsi="宋体" w:cs="宋体"/>
                <w:sz w:val="24"/>
                <w:szCs w:val="24"/>
              </w:rPr>
            </w:pPr>
            <w:r>
              <w:rPr>
                <w:rFonts w:hint="eastAsia" w:ascii="宋体" w:hAnsi="宋体" w:cs="宋体"/>
                <w:sz w:val="24"/>
                <w:szCs w:val="24"/>
              </w:rPr>
              <w:t>评审业绩（打分业绩）</w:t>
            </w:r>
          </w:p>
        </w:tc>
      </w:tr>
      <w:tr w14:paraId="3BD8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0EC0739">
            <w:pPr>
              <w:widowControl/>
              <w:jc w:val="left"/>
              <w:rPr>
                <w:rFonts w:ascii="宋体" w:hAnsi="宋体" w:cs="宋体"/>
                <w:sz w:val="24"/>
                <w:szCs w:val="24"/>
              </w:rPr>
            </w:pPr>
            <w:r>
              <w:rPr>
                <w:rFonts w:hint="eastAsia" w:ascii="宋体" w:hAnsi="宋体" w:cs="宋体"/>
                <w:sz w:val="24"/>
                <w:szCs w:val="24"/>
              </w:rPr>
              <w:t>1</w:t>
            </w:r>
          </w:p>
        </w:tc>
        <w:tc>
          <w:tcPr>
            <w:tcW w:w="1559" w:type="dxa"/>
            <w:vAlign w:val="center"/>
          </w:tcPr>
          <w:p w14:paraId="0A3D1A03">
            <w:pPr>
              <w:widowControl/>
              <w:jc w:val="left"/>
              <w:rPr>
                <w:rFonts w:ascii="宋体" w:hAnsi="宋体" w:cs="宋体"/>
                <w:sz w:val="24"/>
                <w:szCs w:val="24"/>
              </w:rPr>
            </w:pPr>
          </w:p>
        </w:tc>
        <w:tc>
          <w:tcPr>
            <w:tcW w:w="2410" w:type="dxa"/>
            <w:vAlign w:val="center"/>
          </w:tcPr>
          <w:p w14:paraId="186A881B">
            <w:pPr>
              <w:widowControl/>
              <w:jc w:val="left"/>
              <w:rPr>
                <w:rFonts w:ascii="宋体" w:hAnsi="宋体" w:cs="宋体"/>
                <w:sz w:val="24"/>
                <w:szCs w:val="24"/>
              </w:rPr>
            </w:pPr>
          </w:p>
        </w:tc>
        <w:tc>
          <w:tcPr>
            <w:tcW w:w="1559" w:type="dxa"/>
            <w:vAlign w:val="center"/>
          </w:tcPr>
          <w:p w14:paraId="5AD374A1">
            <w:pPr>
              <w:widowControl/>
              <w:jc w:val="left"/>
              <w:rPr>
                <w:rFonts w:ascii="宋体" w:hAnsi="宋体" w:cs="宋体"/>
                <w:sz w:val="24"/>
                <w:szCs w:val="24"/>
              </w:rPr>
            </w:pPr>
          </w:p>
        </w:tc>
        <w:tc>
          <w:tcPr>
            <w:tcW w:w="1701" w:type="dxa"/>
            <w:vAlign w:val="center"/>
          </w:tcPr>
          <w:p w14:paraId="77D23F2A">
            <w:pPr>
              <w:widowControl/>
              <w:jc w:val="left"/>
              <w:rPr>
                <w:rFonts w:ascii="宋体" w:hAnsi="宋体" w:cs="宋体"/>
                <w:sz w:val="24"/>
                <w:szCs w:val="24"/>
              </w:rPr>
            </w:pPr>
          </w:p>
        </w:tc>
        <w:tc>
          <w:tcPr>
            <w:tcW w:w="1134" w:type="dxa"/>
            <w:vAlign w:val="center"/>
          </w:tcPr>
          <w:p w14:paraId="22D28101">
            <w:pPr>
              <w:widowControl/>
              <w:jc w:val="left"/>
              <w:rPr>
                <w:rFonts w:ascii="宋体" w:hAnsi="宋体" w:cs="宋体"/>
                <w:sz w:val="24"/>
                <w:szCs w:val="24"/>
              </w:rPr>
            </w:pPr>
          </w:p>
        </w:tc>
      </w:tr>
      <w:tr w14:paraId="53C3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7E2AF96">
            <w:pPr>
              <w:widowControl/>
              <w:jc w:val="left"/>
              <w:rPr>
                <w:rFonts w:ascii="宋体" w:hAnsi="宋体" w:cs="宋体"/>
                <w:sz w:val="24"/>
                <w:szCs w:val="24"/>
              </w:rPr>
            </w:pPr>
            <w:r>
              <w:rPr>
                <w:rFonts w:hint="eastAsia" w:ascii="宋体" w:hAnsi="宋体" w:cs="宋体"/>
                <w:sz w:val="24"/>
                <w:szCs w:val="24"/>
              </w:rPr>
              <w:t>2</w:t>
            </w:r>
          </w:p>
        </w:tc>
        <w:tc>
          <w:tcPr>
            <w:tcW w:w="1559" w:type="dxa"/>
            <w:vAlign w:val="center"/>
          </w:tcPr>
          <w:p w14:paraId="53E0E03D">
            <w:pPr>
              <w:widowControl/>
              <w:jc w:val="left"/>
              <w:rPr>
                <w:rFonts w:ascii="宋体" w:hAnsi="宋体" w:cs="宋体"/>
                <w:sz w:val="24"/>
                <w:szCs w:val="24"/>
              </w:rPr>
            </w:pPr>
          </w:p>
        </w:tc>
        <w:tc>
          <w:tcPr>
            <w:tcW w:w="2410" w:type="dxa"/>
            <w:vAlign w:val="center"/>
          </w:tcPr>
          <w:p w14:paraId="6D7CF41D">
            <w:pPr>
              <w:widowControl/>
              <w:jc w:val="left"/>
              <w:rPr>
                <w:rFonts w:ascii="宋体" w:hAnsi="宋体" w:cs="宋体"/>
                <w:sz w:val="24"/>
                <w:szCs w:val="24"/>
              </w:rPr>
            </w:pPr>
          </w:p>
        </w:tc>
        <w:tc>
          <w:tcPr>
            <w:tcW w:w="1559" w:type="dxa"/>
            <w:vAlign w:val="center"/>
          </w:tcPr>
          <w:p w14:paraId="73C24763">
            <w:pPr>
              <w:widowControl/>
              <w:jc w:val="left"/>
              <w:rPr>
                <w:rFonts w:ascii="宋体" w:hAnsi="宋体" w:cs="宋体"/>
                <w:sz w:val="24"/>
                <w:szCs w:val="24"/>
              </w:rPr>
            </w:pPr>
          </w:p>
        </w:tc>
        <w:tc>
          <w:tcPr>
            <w:tcW w:w="1701" w:type="dxa"/>
            <w:vAlign w:val="center"/>
          </w:tcPr>
          <w:p w14:paraId="0DB5CB0A">
            <w:pPr>
              <w:widowControl/>
              <w:jc w:val="left"/>
              <w:rPr>
                <w:rFonts w:ascii="宋体" w:hAnsi="宋体" w:cs="宋体"/>
                <w:sz w:val="24"/>
                <w:szCs w:val="24"/>
              </w:rPr>
            </w:pPr>
          </w:p>
        </w:tc>
        <w:tc>
          <w:tcPr>
            <w:tcW w:w="1134" w:type="dxa"/>
            <w:vAlign w:val="center"/>
          </w:tcPr>
          <w:p w14:paraId="400D276E">
            <w:pPr>
              <w:widowControl/>
              <w:jc w:val="left"/>
              <w:rPr>
                <w:rFonts w:ascii="宋体" w:hAnsi="宋体" w:cs="宋体"/>
                <w:sz w:val="24"/>
                <w:szCs w:val="24"/>
              </w:rPr>
            </w:pPr>
          </w:p>
        </w:tc>
      </w:tr>
      <w:tr w14:paraId="1C83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CDBF633">
            <w:pPr>
              <w:widowControl/>
              <w:jc w:val="left"/>
              <w:rPr>
                <w:rFonts w:ascii="宋体" w:hAnsi="宋体" w:cs="宋体"/>
                <w:sz w:val="24"/>
                <w:szCs w:val="24"/>
              </w:rPr>
            </w:pPr>
            <w:r>
              <w:rPr>
                <w:rFonts w:hint="eastAsia" w:ascii="宋体" w:hAnsi="宋体" w:cs="宋体"/>
                <w:sz w:val="24"/>
                <w:szCs w:val="24"/>
              </w:rPr>
              <w:t>3</w:t>
            </w:r>
          </w:p>
        </w:tc>
        <w:tc>
          <w:tcPr>
            <w:tcW w:w="1559" w:type="dxa"/>
            <w:vAlign w:val="center"/>
          </w:tcPr>
          <w:p w14:paraId="7635A19A">
            <w:pPr>
              <w:widowControl/>
              <w:jc w:val="left"/>
              <w:rPr>
                <w:rFonts w:ascii="宋体" w:hAnsi="宋体" w:cs="宋体"/>
                <w:sz w:val="24"/>
                <w:szCs w:val="24"/>
              </w:rPr>
            </w:pPr>
          </w:p>
        </w:tc>
        <w:tc>
          <w:tcPr>
            <w:tcW w:w="2410" w:type="dxa"/>
            <w:vAlign w:val="center"/>
          </w:tcPr>
          <w:p w14:paraId="4BE0E2C4">
            <w:pPr>
              <w:widowControl/>
              <w:jc w:val="left"/>
              <w:rPr>
                <w:rFonts w:ascii="宋体" w:hAnsi="宋体" w:cs="宋体"/>
                <w:sz w:val="24"/>
                <w:szCs w:val="24"/>
              </w:rPr>
            </w:pPr>
          </w:p>
        </w:tc>
        <w:tc>
          <w:tcPr>
            <w:tcW w:w="1559" w:type="dxa"/>
            <w:vAlign w:val="center"/>
          </w:tcPr>
          <w:p w14:paraId="4A12F218">
            <w:pPr>
              <w:widowControl/>
              <w:jc w:val="left"/>
              <w:rPr>
                <w:rFonts w:ascii="宋体" w:hAnsi="宋体" w:cs="宋体"/>
                <w:sz w:val="24"/>
                <w:szCs w:val="24"/>
              </w:rPr>
            </w:pPr>
          </w:p>
        </w:tc>
        <w:tc>
          <w:tcPr>
            <w:tcW w:w="1701" w:type="dxa"/>
            <w:vAlign w:val="center"/>
          </w:tcPr>
          <w:p w14:paraId="735F419F">
            <w:pPr>
              <w:widowControl/>
              <w:jc w:val="left"/>
              <w:rPr>
                <w:rFonts w:ascii="宋体" w:hAnsi="宋体" w:cs="宋体"/>
                <w:sz w:val="24"/>
                <w:szCs w:val="24"/>
              </w:rPr>
            </w:pPr>
          </w:p>
        </w:tc>
        <w:tc>
          <w:tcPr>
            <w:tcW w:w="1134" w:type="dxa"/>
            <w:vAlign w:val="center"/>
          </w:tcPr>
          <w:p w14:paraId="0EA29FFC">
            <w:pPr>
              <w:widowControl/>
              <w:jc w:val="left"/>
              <w:rPr>
                <w:rFonts w:ascii="宋体" w:hAnsi="宋体" w:cs="宋体"/>
                <w:sz w:val="24"/>
                <w:szCs w:val="24"/>
              </w:rPr>
            </w:pPr>
          </w:p>
        </w:tc>
      </w:tr>
    </w:tbl>
    <w:p w14:paraId="350C42C7">
      <w:pPr>
        <w:widowControl/>
        <w:jc w:val="left"/>
        <w:rPr>
          <w:rFonts w:ascii="宋体" w:hAnsi="宋体" w:cs="宋体"/>
          <w:sz w:val="24"/>
          <w:szCs w:val="24"/>
        </w:rPr>
      </w:pPr>
    </w:p>
    <w:p w14:paraId="76463193">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备注：</w:t>
      </w:r>
    </w:p>
    <w:p w14:paraId="27398CF5">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1.表中所列业绩应为投标人满足本招标文件要求（包括评审业绩）并一一对应的业绩，如投标文件中实际提供证明材料的业绩在表中未填写或与表中填写业绩不匹配，可能导致业绩评审不得分；</w:t>
      </w:r>
    </w:p>
    <w:p w14:paraId="384C8187">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2.投标人提供的评审业绩数量均不得超过评审指标要求的数量上限（例如：招标文件业绩评审指标中规定每个业绩得5分，满分15分，则投标人在此项评审指标中最多只能提供3个对应业绩供评标委员会评审），且应一一对应。否则，可能导致业绩评审不得分。</w:t>
      </w:r>
    </w:p>
    <w:p w14:paraId="2FB5294D">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3.中标候选人提供的以上业绩情况（含项目名称、合同总金额），如招标文件《投标人须知前附表》有约定的，将按约定随评审结果公告。</w:t>
      </w:r>
    </w:p>
    <w:p w14:paraId="7BAFEC0B">
      <w:pPr>
        <w:spacing w:line="360" w:lineRule="auto"/>
        <w:rPr>
          <w:rFonts w:ascii="宋体" w:hAnsi="宋体"/>
          <w:sz w:val="24"/>
          <w:u w:val="single"/>
        </w:rPr>
      </w:pPr>
    </w:p>
    <w:p w14:paraId="0EA578A9">
      <w:pPr>
        <w:spacing w:line="360" w:lineRule="auto"/>
        <w:rPr>
          <w:rFonts w:ascii="宋体" w:hAnsi="宋体"/>
          <w:sz w:val="24"/>
          <w:u w:val="single"/>
        </w:rPr>
      </w:pPr>
    </w:p>
    <w:p w14:paraId="170ADA91">
      <w:pPr>
        <w:spacing w:line="360" w:lineRule="auto"/>
        <w:rPr>
          <w:rFonts w:ascii="宋体" w:hAnsi="宋体"/>
          <w:sz w:val="24"/>
          <w:u w:val="single"/>
        </w:rPr>
      </w:pPr>
    </w:p>
    <w:p w14:paraId="435F56F9">
      <w:pPr>
        <w:spacing w:line="360" w:lineRule="auto"/>
        <w:rPr>
          <w:rFonts w:ascii="宋体" w:hAnsi="宋体"/>
          <w:sz w:val="24"/>
          <w:u w:val="single"/>
        </w:rPr>
      </w:pPr>
    </w:p>
    <w:p w14:paraId="3605A030">
      <w:pPr>
        <w:spacing w:line="360" w:lineRule="auto"/>
        <w:rPr>
          <w:rFonts w:ascii="宋体" w:hAnsi="宋体"/>
          <w:sz w:val="24"/>
          <w:u w:val="single"/>
        </w:rPr>
      </w:pPr>
    </w:p>
    <w:p w14:paraId="222D6D0A">
      <w:pPr>
        <w:rPr>
          <w:rFonts w:ascii="宋体" w:hAnsi="宋体"/>
          <w:b/>
          <w:bCs/>
          <w:sz w:val="24"/>
        </w:rPr>
      </w:pPr>
    </w:p>
    <w:p w14:paraId="6008A0C7">
      <w:pPr>
        <w:jc w:val="center"/>
        <w:rPr>
          <w:rFonts w:ascii="宋体" w:hAnsi="宋体"/>
          <w:b/>
          <w:bCs/>
          <w:sz w:val="24"/>
        </w:rPr>
      </w:pPr>
    </w:p>
    <w:p w14:paraId="0F60D456">
      <w:pPr>
        <w:jc w:val="center"/>
        <w:rPr>
          <w:rFonts w:ascii="宋体" w:hAnsi="宋体"/>
          <w:b/>
          <w:bCs/>
          <w:sz w:val="24"/>
        </w:rPr>
      </w:pPr>
      <w:r>
        <w:rPr>
          <w:rFonts w:hint="eastAsia" w:ascii="宋体" w:hAnsi="宋体"/>
          <w:b/>
          <w:bCs/>
          <w:sz w:val="24"/>
        </w:rPr>
        <w:t>六、承诺函</w:t>
      </w:r>
    </w:p>
    <w:p w14:paraId="59ABE225">
      <w:pPr>
        <w:pStyle w:val="2"/>
        <w:spacing w:line="360" w:lineRule="auto"/>
        <w:ind w:left="0" w:leftChars="0" w:firstLine="0" w:firstLineChars="0"/>
        <w:rPr>
          <w:rFonts w:ascii="宋体" w:hAnsi="宋体"/>
          <w:b/>
          <w:sz w:val="24"/>
        </w:rPr>
      </w:pPr>
      <w:r>
        <w:rPr>
          <w:rFonts w:hint="eastAsia" w:ascii="宋体" w:hAnsi="宋体"/>
          <w:b/>
          <w:sz w:val="24"/>
        </w:rPr>
        <w:t>我公司承诺：</w:t>
      </w:r>
    </w:p>
    <w:p w14:paraId="39D0F908">
      <w:pPr>
        <w:pStyle w:val="40"/>
        <w:spacing w:line="360" w:lineRule="auto"/>
        <w:ind w:right="-21" w:firstLine="482" w:firstLineChars="200"/>
        <w:rPr>
          <w:b/>
        </w:rPr>
      </w:pPr>
      <w:r>
        <w:rPr>
          <w:rFonts w:hint="eastAsia" w:ascii="宋体" w:hAnsi="宋体" w:eastAsia="宋体"/>
          <w:b/>
          <w:sz w:val="24"/>
        </w:rPr>
        <w:t>我公司投标文件中提供的检测报告、认证证书、资质证书等均真实有效，承诺合同签订后供货前按要求提供检测报告与资质证书等原件查验，如逾期不能按要求提供或经审查、验证不能通过，我公司承担一切相关责任，我公司所提供的产品是正品，非假冒伪劣产品，供货时出具所投产品生产厂商针对本项目的出货证明。</w:t>
      </w:r>
    </w:p>
    <w:p w14:paraId="3738EACE">
      <w:pPr>
        <w:spacing w:line="360" w:lineRule="auto"/>
        <w:ind w:firstLine="5060" w:firstLineChars="2100"/>
        <w:rPr>
          <w:rFonts w:asciiTheme="minorEastAsia" w:hAnsiTheme="minorEastAsia" w:eastAsiaTheme="minorEastAsia"/>
          <w:b/>
          <w:bCs/>
          <w:sz w:val="24"/>
        </w:rPr>
      </w:pPr>
      <w:r>
        <w:rPr>
          <w:rFonts w:hint="eastAsia" w:asciiTheme="minorEastAsia" w:hAnsiTheme="minorEastAsia" w:eastAsiaTheme="minorEastAsia"/>
          <w:b/>
          <w:bCs/>
          <w:sz w:val="24"/>
        </w:rPr>
        <w:t>投标人电子签章：</w:t>
      </w:r>
    </w:p>
    <w:p w14:paraId="62F35709">
      <w:pPr>
        <w:spacing w:line="360" w:lineRule="auto"/>
        <w:rPr>
          <w:rFonts w:asciiTheme="minorEastAsia" w:hAnsiTheme="minorEastAsia" w:eastAsiaTheme="minorEastAsia"/>
          <w:b/>
          <w:bCs/>
          <w:sz w:val="24"/>
        </w:rPr>
      </w:pPr>
      <w:r>
        <w:rPr>
          <w:rFonts w:hint="eastAsia" w:asciiTheme="minorEastAsia" w:hAnsiTheme="minorEastAsia" w:eastAsiaTheme="minorEastAsia"/>
          <w:b/>
          <w:bCs/>
          <w:sz w:val="24"/>
        </w:rPr>
        <w:t xml:space="preserve">                                           日  期：</w:t>
      </w:r>
    </w:p>
    <w:p w14:paraId="5F849381">
      <w:pPr>
        <w:spacing w:line="360" w:lineRule="auto"/>
        <w:rPr>
          <w:rFonts w:ascii="宋体" w:hAnsi="宋体" w:cs="宋体"/>
          <w:bCs/>
          <w:szCs w:val="21"/>
        </w:rPr>
      </w:pPr>
    </w:p>
    <w:p w14:paraId="3AC67D87">
      <w:pPr>
        <w:pStyle w:val="2"/>
        <w:rPr>
          <w:rFonts w:ascii="宋体" w:hAnsi="宋体" w:cs="宋体"/>
          <w:bCs/>
          <w:szCs w:val="21"/>
        </w:rPr>
      </w:pPr>
    </w:p>
    <w:p w14:paraId="42385132">
      <w:pPr>
        <w:rPr>
          <w:rFonts w:ascii="宋体" w:hAnsi="宋体" w:cs="宋体"/>
          <w:bCs/>
          <w:szCs w:val="21"/>
        </w:rPr>
      </w:pPr>
    </w:p>
    <w:p w14:paraId="71D5AA55">
      <w:pPr>
        <w:pStyle w:val="2"/>
        <w:rPr>
          <w:rFonts w:ascii="宋体" w:hAnsi="宋体" w:cs="宋体"/>
          <w:bCs/>
          <w:szCs w:val="21"/>
        </w:rPr>
      </w:pPr>
    </w:p>
    <w:p w14:paraId="60CDD038">
      <w:pPr>
        <w:rPr>
          <w:rFonts w:ascii="宋体" w:hAnsi="宋体" w:cs="宋体"/>
          <w:bCs/>
          <w:szCs w:val="21"/>
        </w:rPr>
      </w:pPr>
    </w:p>
    <w:p w14:paraId="2BDEAA5B">
      <w:pPr>
        <w:pStyle w:val="2"/>
        <w:rPr>
          <w:rFonts w:ascii="宋体" w:hAnsi="宋体" w:cs="宋体"/>
          <w:bCs/>
          <w:szCs w:val="21"/>
        </w:rPr>
      </w:pPr>
    </w:p>
    <w:p w14:paraId="773F6FCC">
      <w:pPr>
        <w:rPr>
          <w:rFonts w:ascii="宋体" w:hAnsi="宋体" w:cs="宋体"/>
          <w:bCs/>
          <w:szCs w:val="21"/>
        </w:rPr>
      </w:pPr>
    </w:p>
    <w:p w14:paraId="68251911">
      <w:pPr>
        <w:pStyle w:val="2"/>
        <w:rPr>
          <w:rFonts w:ascii="宋体" w:hAnsi="宋体" w:cs="宋体"/>
          <w:bCs/>
          <w:szCs w:val="21"/>
        </w:rPr>
      </w:pPr>
    </w:p>
    <w:p w14:paraId="353F030C">
      <w:pPr>
        <w:rPr>
          <w:rFonts w:ascii="宋体" w:hAnsi="宋体" w:cs="宋体"/>
          <w:bCs/>
          <w:szCs w:val="21"/>
        </w:rPr>
      </w:pPr>
    </w:p>
    <w:p w14:paraId="330F5F5F">
      <w:pPr>
        <w:pStyle w:val="2"/>
        <w:rPr>
          <w:rFonts w:ascii="宋体" w:hAnsi="宋体" w:cs="宋体"/>
          <w:bCs/>
          <w:szCs w:val="21"/>
        </w:rPr>
      </w:pPr>
    </w:p>
    <w:p w14:paraId="3EDDF60F">
      <w:pPr>
        <w:rPr>
          <w:rFonts w:ascii="宋体" w:hAnsi="宋体" w:cs="宋体"/>
          <w:bCs/>
          <w:szCs w:val="21"/>
        </w:rPr>
      </w:pPr>
    </w:p>
    <w:p w14:paraId="4217C0FB">
      <w:pPr>
        <w:pStyle w:val="2"/>
        <w:rPr>
          <w:rFonts w:ascii="宋体" w:hAnsi="宋体" w:cs="宋体"/>
          <w:bCs/>
          <w:szCs w:val="21"/>
        </w:rPr>
      </w:pPr>
    </w:p>
    <w:p w14:paraId="36DD6A4E">
      <w:pPr>
        <w:rPr>
          <w:rFonts w:ascii="宋体" w:hAnsi="宋体" w:cs="宋体"/>
          <w:bCs/>
          <w:szCs w:val="21"/>
        </w:rPr>
      </w:pPr>
    </w:p>
    <w:p w14:paraId="5D4A518F">
      <w:pPr>
        <w:pStyle w:val="2"/>
        <w:rPr>
          <w:rFonts w:ascii="宋体" w:hAnsi="宋体" w:cs="宋体"/>
          <w:bCs/>
          <w:szCs w:val="21"/>
        </w:rPr>
      </w:pPr>
    </w:p>
    <w:p w14:paraId="46CD383F">
      <w:pPr>
        <w:rPr>
          <w:rFonts w:ascii="宋体" w:hAnsi="宋体" w:cs="宋体"/>
          <w:bCs/>
          <w:szCs w:val="21"/>
        </w:rPr>
      </w:pPr>
    </w:p>
    <w:p w14:paraId="2DE34190">
      <w:pPr>
        <w:pStyle w:val="2"/>
        <w:rPr>
          <w:rFonts w:ascii="宋体" w:hAnsi="宋体" w:cs="宋体"/>
          <w:bCs/>
          <w:szCs w:val="21"/>
        </w:rPr>
      </w:pPr>
    </w:p>
    <w:p w14:paraId="46F5DDC2">
      <w:pPr>
        <w:rPr>
          <w:rFonts w:ascii="宋体" w:hAnsi="宋体" w:cs="宋体"/>
          <w:bCs/>
          <w:szCs w:val="21"/>
        </w:rPr>
      </w:pPr>
    </w:p>
    <w:p w14:paraId="048E2E38">
      <w:pPr>
        <w:pStyle w:val="2"/>
        <w:rPr>
          <w:rFonts w:ascii="宋体" w:hAnsi="宋体" w:cs="宋体"/>
          <w:bCs/>
          <w:szCs w:val="21"/>
        </w:rPr>
      </w:pPr>
    </w:p>
    <w:p w14:paraId="2E3B575D">
      <w:pPr>
        <w:rPr>
          <w:rFonts w:ascii="宋体" w:hAnsi="宋体" w:cs="宋体"/>
          <w:bCs/>
          <w:szCs w:val="21"/>
        </w:rPr>
      </w:pPr>
    </w:p>
    <w:p w14:paraId="2F7C1FFF">
      <w:pPr>
        <w:pStyle w:val="2"/>
        <w:rPr>
          <w:rFonts w:ascii="宋体" w:hAnsi="宋体" w:cs="宋体"/>
          <w:bCs/>
          <w:szCs w:val="21"/>
        </w:rPr>
      </w:pPr>
    </w:p>
    <w:p w14:paraId="0C62A0A8">
      <w:pPr>
        <w:rPr>
          <w:rFonts w:ascii="宋体" w:hAnsi="宋体" w:cs="宋体"/>
          <w:bCs/>
          <w:szCs w:val="21"/>
        </w:rPr>
      </w:pPr>
    </w:p>
    <w:p w14:paraId="68EA33D1">
      <w:pPr>
        <w:pStyle w:val="2"/>
        <w:rPr>
          <w:rFonts w:ascii="宋体" w:hAnsi="宋体" w:cs="宋体"/>
          <w:bCs/>
          <w:szCs w:val="21"/>
        </w:rPr>
      </w:pPr>
    </w:p>
    <w:p w14:paraId="1EDC3527"/>
    <w:p w14:paraId="6D707388">
      <w:pPr>
        <w:spacing w:line="360" w:lineRule="auto"/>
        <w:jc w:val="center"/>
        <w:outlineLvl w:val="2"/>
        <w:rPr>
          <w:rFonts w:ascii="宋体" w:hAnsi="宋体"/>
          <w:b/>
          <w:sz w:val="24"/>
        </w:rPr>
      </w:pPr>
    </w:p>
    <w:p w14:paraId="3888210E">
      <w:pPr>
        <w:spacing w:line="360" w:lineRule="auto"/>
        <w:jc w:val="center"/>
        <w:outlineLvl w:val="2"/>
        <w:rPr>
          <w:rFonts w:ascii="宋体" w:hAnsi="宋体"/>
          <w:b/>
          <w:sz w:val="24"/>
        </w:rPr>
      </w:pPr>
      <w:r>
        <w:rPr>
          <w:rFonts w:hint="eastAsia" w:ascii="宋体" w:hAnsi="宋体"/>
          <w:b/>
          <w:sz w:val="24"/>
        </w:rPr>
        <w:t>七、投标响应表</w:t>
      </w:r>
    </w:p>
    <w:p w14:paraId="2CFF6D5E">
      <w:pPr>
        <w:spacing w:line="360" w:lineRule="auto"/>
        <w:ind w:firstLine="435"/>
        <w:rPr>
          <w:rFonts w:ascii="宋体" w:hAnsi="宋体"/>
          <w:b/>
          <w:sz w:val="24"/>
        </w:rPr>
      </w:pPr>
      <w:r>
        <w:rPr>
          <w:rFonts w:hint="eastAsia" w:ascii="宋体" w:hAnsi="宋体"/>
          <w:b/>
          <w:sz w:val="24"/>
        </w:rPr>
        <w:t>7</w:t>
      </w:r>
      <w:r>
        <w:rPr>
          <w:rFonts w:ascii="宋体" w:hAnsi="宋体"/>
          <w:b/>
          <w:sz w:val="24"/>
        </w:rPr>
        <w:t>.1</w:t>
      </w:r>
      <w:r>
        <w:rPr>
          <w:rFonts w:hint="eastAsia" w:ascii="宋体" w:hAnsi="宋体"/>
          <w:b/>
          <w:sz w:val="24"/>
        </w:rPr>
        <w:t>商务响应表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7FE4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34CF1D1E">
            <w:pPr>
              <w:pStyle w:val="22"/>
              <w:jc w:val="center"/>
              <w:rPr>
                <w:rFonts w:hAnsi="宋体" w:cs="Wingdings"/>
                <w:b/>
                <w:sz w:val="24"/>
              </w:rPr>
            </w:pPr>
            <w:r>
              <w:rPr>
                <w:rFonts w:hint="eastAsia" w:hAnsi="宋体" w:cs="Wingdings"/>
                <w:b/>
                <w:sz w:val="24"/>
              </w:rPr>
              <w:t>序号</w:t>
            </w:r>
          </w:p>
        </w:tc>
        <w:tc>
          <w:tcPr>
            <w:tcW w:w="1916" w:type="dxa"/>
            <w:vAlign w:val="center"/>
          </w:tcPr>
          <w:p w14:paraId="474E06C8">
            <w:pPr>
              <w:pStyle w:val="22"/>
              <w:jc w:val="center"/>
              <w:rPr>
                <w:rFonts w:hAnsi="宋体" w:cs="Wingdings"/>
                <w:b/>
                <w:sz w:val="24"/>
              </w:rPr>
            </w:pPr>
            <w:r>
              <w:rPr>
                <w:rFonts w:hint="eastAsia" w:hAnsi="宋体"/>
                <w:b/>
                <w:bCs/>
                <w:sz w:val="24"/>
                <w:szCs w:val="24"/>
              </w:rPr>
              <w:t>商务条款</w:t>
            </w:r>
          </w:p>
        </w:tc>
        <w:tc>
          <w:tcPr>
            <w:tcW w:w="2497" w:type="dxa"/>
            <w:vAlign w:val="center"/>
          </w:tcPr>
          <w:p w14:paraId="6B1A43A8">
            <w:pPr>
              <w:pStyle w:val="22"/>
              <w:jc w:val="center"/>
              <w:rPr>
                <w:rFonts w:hAnsi="宋体" w:cs="Wingdings"/>
                <w:b/>
                <w:sz w:val="24"/>
              </w:rPr>
            </w:pPr>
            <w:r>
              <w:rPr>
                <w:rFonts w:hint="eastAsia" w:hAnsi="宋体" w:cs="Wingdings"/>
                <w:b/>
                <w:sz w:val="24"/>
              </w:rPr>
              <w:t>招标文件要求</w:t>
            </w:r>
          </w:p>
        </w:tc>
        <w:tc>
          <w:tcPr>
            <w:tcW w:w="2575" w:type="dxa"/>
            <w:vAlign w:val="center"/>
          </w:tcPr>
          <w:p w14:paraId="12EFDA18">
            <w:pPr>
              <w:pStyle w:val="22"/>
              <w:jc w:val="center"/>
              <w:rPr>
                <w:rFonts w:hAnsi="宋体" w:cs="Wingdings"/>
                <w:b/>
                <w:sz w:val="24"/>
              </w:rPr>
            </w:pPr>
            <w:r>
              <w:rPr>
                <w:rFonts w:hint="eastAsia" w:hAnsi="宋体" w:cs="Wingdings"/>
                <w:b/>
                <w:sz w:val="24"/>
              </w:rPr>
              <w:t>投标人承诺</w:t>
            </w:r>
          </w:p>
        </w:tc>
        <w:tc>
          <w:tcPr>
            <w:tcW w:w="810" w:type="dxa"/>
            <w:vAlign w:val="center"/>
          </w:tcPr>
          <w:p w14:paraId="74E12A7C">
            <w:pPr>
              <w:pStyle w:val="22"/>
              <w:jc w:val="center"/>
              <w:rPr>
                <w:rFonts w:hAnsi="宋体" w:cs="Wingdings"/>
                <w:b/>
                <w:sz w:val="24"/>
              </w:rPr>
            </w:pPr>
            <w:r>
              <w:rPr>
                <w:rFonts w:hint="eastAsia" w:hAnsi="宋体" w:cs="Wingdings"/>
                <w:b/>
                <w:sz w:val="24"/>
              </w:rPr>
              <w:t>偏离说明</w:t>
            </w:r>
          </w:p>
        </w:tc>
      </w:tr>
      <w:tr w14:paraId="4770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74C6108D">
            <w:pPr>
              <w:jc w:val="center"/>
              <w:rPr>
                <w:rFonts w:ascii="宋体" w:hAnsi="宋体"/>
                <w:sz w:val="24"/>
              </w:rPr>
            </w:pPr>
            <w:r>
              <w:rPr>
                <w:rFonts w:ascii="宋体" w:hAnsi="宋体"/>
                <w:sz w:val="24"/>
              </w:rPr>
              <w:t>1</w:t>
            </w:r>
          </w:p>
        </w:tc>
        <w:tc>
          <w:tcPr>
            <w:tcW w:w="1916" w:type="dxa"/>
            <w:vAlign w:val="center"/>
          </w:tcPr>
          <w:p w14:paraId="46855BBD">
            <w:pPr>
              <w:jc w:val="center"/>
              <w:rPr>
                <w:rFonts w:ascii="宋体" w:hAnsi="宋体"/>
                <w:sz w:val="24"/>
              </w:rPr>
            </w:pPr>
            <w:r>
              <w:rPr>
                <w:rFonts w:ascii="宋体" w:hAnsi="宋体"/>
                <w:sz w:val="24"/>
              </w:rPr>
              <w:t>付款方式</w:t>
            </w:r>
          </w:p>
        </w:tc>
        <w:tc>
          <w:tcPr>
            <w:tcW w:w="2497" w:type="dxa"/>
            <w:vAlign w:val="center"/>
          </w:tcPr>
          <w:p w14:paraId="190CB0DA">
            <w:pPr>
              <w:pStyle w:val="186"/>
              <w:spacing w:before="0" w:after="0" w:line="360" w:lineRule="auto"/>
              <w:jc w:val="left"/>
              <w:rPr>
                <w:rFonts w:ascii="宋体" w:hAnsi="宋体" w:eastAsia="宋体"/>
                <w:sz w:val="24"/>
              </w:rPr>
            </w:pPr>
            <w:r>
              <w:rPr>
                <w:rStyle w:val="103"/>
                <w:rFonts w:hint="eastAsia" w:ascii="宋体" w:hAnsi="宋体"/>
                <w:b w:val="0"/>
                <w:kern w:val="0"/>
                <w:sz w:val="24"/>
              </w:rPr>
              <w:t>所有货物安装调试完成且验收合格后三个月内支付至</w:t>
            </w:r>
            <w:r>
              <w:rPr>
                <w:rStyle w:val="103"/>
                <w:rFonts w:hint="eastAsia" w:ascii="宋体" w:hAnsi="宋体"/>
                <w:b w:val="0"/>
                <w:kern w:val="0"/>
                <w:sz w:val="24"/>
                <w:lang w:val="en-US"/>
              </w:rPr>
              <w:t>已完成货款的</w:t>
            </w:r>
            <w:r>
              <w:rPr>
                <w:rStyle w:val="103"/>
                <w:rFonts w:hint="eastAsia" w:ascii="宋体" w:hAnsi="宋体"/>
                <w:b w:val="0"/>
                <w:kern w:val="0"/>
                <w:sz w:val="24"/>
              </w:rPr>
              <w:t>97%，余款3%作为质保金，质保期满后三个月内一次性无息付清。（如中标人采用见索即付的保函代替质保金，则招标人支付至合同价款的100%）。</w:t>
            </w:r>
          </w:p>
        </w:tc>
        <w:tc>
          <w:tcPr>
            <w:tcW w:w="2575" w:type="dxa"/>
            <w:vAlign w:val="center"/>
          </w:tcPr>
          <w:p w14:paraId="33ACBA73">
            <w:pPr>
              <w:jc w:val="center"/>
              <w:rPr>
                <w:rFonts w:ascii="宋体" w:hAnsi="宋体"/>
                <w:color w:val="FF0000"/>
                <w:sz w:val="24"/>
              </w:rPr>
            </w:pPr>
          </w:p>
        </w:tc>
        <w:tc>
          <w:tcPr>
            <w:tcW w:w="810" w:type="dxa"/>
            <w:vAlign w:val="center"/>
          </w:tcPr>
          <w:p w14:paraId="3898CA53">
            <w:pPr>
              <w:jc w:val="center"/>
              <w:rPr>
                <w:rFonts w:ascii="宋体" w:hAnsi="宋体"/>
                <w:color w:val="FF0000"/>
                <w:sz w:val="24"/>
              </w:rPr>
            </w:pPr>
          </w:p>
        </w:tc>
      </w:tr>
      <w:tr w14:paraId="66B8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5551AB7">
            <w:pPr>
              <w:jc w:val="center"/>
              <w:rPr>
                <w:rFonts w:ascii="宋体" w:hAnsi="宋体"/>
                <w:sz w:val="24"/>
              </w:rPr>
            </w:pPr>
            <w:r>
              <w:rPr>
                <w:rFonts w:hint="eastAsia" w:ascii="宋体" w:hAnsi="宋体"/>
                <w:sz w:val="24"/>
              </w:rPr>
              <w:t>2</w:t>
            </w:r>
          </w:p>
        </w:tc>
        <w:tc>
          <w:tcPr>
            <w:tcW w:w="1916" w:type="dxa"/>
            <w:vAlign w:val="center"/>
          </w:tcPr>
          <w:p w14:paraId="3C6E2357">
            <w:pPr>
              <w:jc w:val="center"/>
              <w:rPr>
                <w:rFonts w:ascii="宋体" w:hAnsi="宋体"/>
                <w:sz w:val="24"/>
              </w:rPr>
            </w:pPr>
            <w:r>
              <w:rPr>
                <w:rFonts w:hint="eastAsia" w:ascii="宋体" w:hAnsi="宋体"/>
                <w:sz w:val="24"/>
              </w:rPr>
              <w:t>供货及安装地点</w:t>
            </w:r>
          </w:p>
        </w:tc>
        <w:tc>
          <w:tcPr>
            <w:tcW w:w="2497" w:type="dxa"/>
            <w:vAlign w:val="center"/>
          </w:tcPr>
          <w:p w14:paraId="5BA5612C">
            <w:pPr>
              <w:pStyle w:val="186"/>
              <w:spacing w:before="0" w:after="0" w:line="360" w:lineRule="auto"/>
              <w:jc w:val="left"/>
              <w:rPr>
                <w:rFonts w:ascii="宋体" w:hAnsi="宋体" w:eastAsia="宋体"/>
                <w:sz w:val="24"/>
              </w:rPr>
            </w:pPr>
            <w:r>
              <w:rPr>
                <w:rStyle w:val="103"/>
                <w:rFonts w:ascii="宋体" w:hAnsi="宋体"/>
                <w:b w:val="0"/>
                <w:kern w:val="0"/>
                <w:sz w:val="24"/>
              </w:rPr>
              <w:t>合肥市包河区，</w:t>
            </w:r>
            <w:r>
              <w:rPr>
                <w:rStyle w:val="103"/>
                <w:rFonts w:hint="eastAsia" w:ascii="宋体" w:hAnsi="宋体"/>
                <w:b w:val="0"/>
                <w:kern w:val="0"/>
                <w:sz w:val="24"/>
              </w:rPr>
              <w:t>招标人</w:t>
            </w:r>
            <w:r>
              <w:rPr>
                <w:rStyle w:val="103"/>
                <w:rFonts w:ascii="宋体" w:hAnsi="宋体"/>
                <w:b w:val="0"/>
                <w:kern w:val="0"/>
                <w:sz w:val="24"/>
              </w:rPr>
              <w:t>指定地点。</w:t>
            </w:r>
          </w:p>
        </w:tc>
        <w:tc>
          <w:tcPr>
            <w:tcW w:w="2575" w:type="dxa"/>
            <w:vAlign w:val="center"/>
          </w:tcPr>
          <w:p w14:paraId="5212F332">
            <w:pPr>
              <w:jc w:val="center"/>
              <w:rPr>
                <w:rFonts w:ascii="宋体" w:hAnsi="宋体"/>
                <w:sz w:val="24"/>
              </w:rPr>
            </w:pPr>
          </w:p>
        </w:tc>
        <w:tc>
          <w:tcPr>
            <w:tcW w:w="810" w:type="dxa"/>
            <w:vAlign w:val="center"/>
          </w:tcPr>
          <w:p w14:paraId="0C910241">
            <w:pPr>
              <w:jc w:val="center"/>
              <w:rPr>
                <w:rFonts w:ascii="宋体" w:hAnsi="宋体"/>
                <w:sz w:val="24"/>
              </w:rPr>
            </w:pPr>
          </w:p>
        </w:tc>
      </w:tr>
      <w:tr w14:paraId="376A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22373E12">
            <w:pPr>
              <w:jc w:val="center"/>
              <w:rPr>
                <w:rFonts w:ascii="宋体" w:hAnsi="宋体"/>
                <w:sz w:val="24"/>
              </w:rPr>
            </w:pPr>
            <w:r>
              <w:rPr>
                <w:rFonts w:hint="eastAsia" w:ascii="宋体" w:hAnsi="宋体"/>
                <w:sz w:val="24"/>
              </w:rPr>
              <w:t>3</w:t>
            </w:r>
          </w:p>
        </w:tc>
        <w:tc>
          <w:tcPr>
            <w:tcW w:w="1916" w:type="dxa"/>
            <w:vAlign w:val="center"/>
          </w:tcPr>
          <w:p w14:paraId="6FF5B4C4">
            <w:pPr>
              <w:jc w:val="center"/>
              <w:rPr>
                <w:rFonts w:ascii="宋体" w:hAnsi="宋体"/>
                <w:sz w:val="24"/>
              </w:rPr>
            </w:pPr>
            <w:r>
              <w:rPr>
                <w:rFonts w:hint="eastAsia" w:ascii="宋体" w:hAnsi="宋体"/>
                <w:sz w:val="24"/>
              </w:rPr>
              <w:t>供货及安装期限</w:t>
            </w:r>
          </w:p>
        </w:tc>
        <w:tc>
          <w:tcPr>
            <w:tcW w:w="2497" w:type="dxa"/>
            <w:vAlign w:val="center"/>
          </w:tcPr>
          <w:p w14:paraId="3F475A23">
            <w:pPr>
              <w:pStyle w:val="187"/>
              <w:widowControl/>
              <w:spacing w:line="360" w:lineRule="auto"/>
              <w:rPr>
                <w:rFonts w:ascii="宋体" w:hAnsi="宋体" w:eastAsia="宋体"/>
                <w:sz w:val="24"/>
              </w:rPr>
            </w:pPr>
            <w:r>
              <w:rPr>
                <w:rStyle w:val="103"/>
                <w:rFonts w:ascii="宋体" w:hAnsi="宋体"/>
                <w:bCs/>
                <w:kern w:val="0"/>
                <w:sz w:val="24"/>
                <w:szCs w:val="28"/>
              </w:rPr>
              <w:t>合同签订后</w:t>
            </w:r>
            <w:r>
              <w:rPr>
                <w:rStyle w:val="103"/>
                <w:rFonts w:hint="eastAsia" w:ascii="宋体" w:hAnsi="宋体"/>
                <w:bCs/>
                <w:kern w:val="0"/>
                <w:sz w:val="24"/>
                <w:szCs w:val="28"/>
                <w:lang w:val="en-US"/>
              </w:rPr>
              <w:t>30</w:t>
            </w:r>
            <w:r>
              <w:rPr>
                <w:rStyle w:val="103"/>
                <w:rFonts w:ascii="宋体" w:hAnsi="宋体"/>
                <w:bCs/>
                <w:kern w:val="0"/>
                <w:sz w:val="24"/>
                <w:szCs w:val="28"/>
              </w:rPr>
              <w:t>个日历日内完成供货及安装。</w:t>
            </w:r>
          </w:p>
        </w:tc>
        <w:tc>
          <w:tcPr>
            <w:tcW w:w="2575" w:type="dxa"/>
            <w:vAlign w:val="center"/>
          </w:tcPr>
          <w:p w14:paraId="6D23CE9C">
            <w:pPr>
              <w:pStyle w:val="63"/>
              <w:jc w:val="center"/>
              <w:rPr>
                <w:rFonts w:ascii="宋体" w:hAnsi="宋体"/>
              </w:rPr>
            </w:pPr>
          </w:p>
        </w:tc>
        <w:tc>
          <w:tcPr>
            <w:tcW w:w="810" w:type="dxa"/>
            <w:vAlign w:val="center"/>
          </w:tcPr>
          <w:p w14:paraId="185DF321">
            <w:pPr>
              <w:jc w:val="center"/>
              <w:rPr>
                <w:rFonts w:ascii="宋体" w:hAnsi="宋体"/>
                <w:sz w:val="24"/>
              </w:rPr>
            </w:pPr>
          </w:p>
        </w:tc>
      </w:tr>
      <w:tr w14:paraId="61C1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1BD3A32F">
            <w:pPr>
              <w:jc w:val="center"/>
              <w:rPr>
                <w:rFonts w:ascii="宋体" w:hAnsi="宋体"/>
                <w:sz w:val="24"/>
              </w:rPr>
            </w:pPr>
            <w:r>
              <w:rPr>
                <w:rFonts w:hint="eastAsia" w:ascii="宋体" w:hAnsi="宋体"/>
                <w:sz w:val="24"/>
              </w:rPr>
              <w:t>4</w:t>
            </w:r>
          </w:p>
        </w:tc>
        <w:tc>
          <w:tcPr>
            <w:tcW w:w="1916" w:type="dxa"/>
            <w:vAlign w:val="center"/>
          </w:tcPr>
          <w:p w14:paraId="29B60D2F">
            <w:pPr>
              <w:jc w:val="center"/>
              <w:rPr>
                <w:rFonts w:ascii="宋体" w:hAnsi="宋体"/>
                <w:sz w:val="24"/>
              </w:rPr>
            </w:pPr>
            <w:r>
              <w:rPr>
                <w:rFonts w:hint="eastAsia" w:ascii="宋体" w:hAnsi="宋体"/>
                <w:sz w:val="24"/>
              </w:rPr>
              <w:t>免费质保期</w:t>
            </w:r>
          </w:p>
        </w:tc>
        <w:tc>
          <w:tcPr>
            <w:tcW w:w="2497" w:type="dxa"/>
            <w:vAlign w:val="center"/>
          </w:tcPr>
          <w:p w14:paraId="0BC6C0D1">
            <w:pPr>
              <w:pStyle w:val="186"/>
              <w:spacing w:before="0" w:after="0" w:line="360" w:lineRule="auto"/>
              <w:jc w:val="left"/>
              <w:rPr>
                <w:rFonts w:ascii="宋体" w:hAnsi="宋体" w:eastAsia="宋体"/>
                <w:sz w:val="24"/>
              </w:rPr>
            </w:pPr>
            <w:r>
              <w:rPr>
                <w:rStyle w:val="103"/>
                <w:rFonts w:ascii="宋体" w:hAnsi="宋体"/>
                <w:b w:val="0"/>
                <w:kern w:val="0"/>
                <w:sz w:val="24"/>
              </w:rPr>
              <w:t>验收合格之日起三年。</w:t>
            </w:r>
          </w:p>
        </w:tc>
        <w:tc>
          <w:tcPr>
            <w:tcW w:w="2575" w:type="dxa"/>
            <w:vAlign w:val="center"/>
          </w:tcPr>
          <w:p w14:paraId="52C0E015">
            <w:pPr>
              <w:jc w:val="center"/>
              <w:rPr>
                <w:rFonts w:ascii="宋体" w:hAnsi="宋体"/>
                <w:sz w:val="24"/>
              </w:rPr>
            </w:pPr>
          </w:p>
        </w:tc>
        <w:tc>
          <w:tcPr>
            <w:tcW w:w="810" w:type="dxa"/>
            <w:vAlign w:val="center"/>
          </w:tcPr>
          <w:p w14:paraId="5C9754A4">
            <w:pPr>
              <w:jc w:val="center"/>
              <w:rPr>
                <w:rFonts w:ascii="宋体" w:hAnsi="宋体"/>
                <w:sz w:val="24"/>
              </w:rPr>
            </w:pPr>
          </w:p>
        </w:tc>
      </w:tr>
    </w:tbl>
    <w:p w14:paraId="0E4DCC4D">
      <w:pPr>
        <w:spacing w:line="360" w:lineRule="auto"/>
        <w:ind w:firstLine="435"/>
        <w:rPr>
          <w:rFonts w:ascii="宋体" w:hAnsi="宋体"/>
          <w:b/>
          <w:sz w:val="24"/>
        </w:rPr>
      </w:pPr>
      <w:r>
        <w:rPr>
          <w:rFonts w:hint="eastAsia" w:ascii="宋体" w:hAnsi="宋体"/>
          <w:b/>
          <w:sz w:val="24"/>
        </w:rPr>
        <w:t>7</w:t>
      </w:r>
      <w:r>
        <w:rPr>
          <w:rFonts w:ascii="宋体" w:hAnsi="宋体"/>
          <w:b/>
          <w:sz w:val="24"/>
        </w:rPr>
        <w:t>.2</w:t>
      </w:r>
      <w:r>
        <w:rPr>
          <w:rFonts w:hint="eastAsia" w:ascii="宋体" w:hAnsi="宋体"/>
          <w:b/>
          <w:sz w:val="24"/>
        </w:rPr>
        <w:t>技术响应表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14:paraId="6217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14:paraId="66FB68DE">
            <w:pPr>
              <w:pStyle w:val="22"/>
              <w:jc w:val="center"/>
              <w:rPr>
                <w:rFonts w:hAnsi="宋体" w:cs="Wingdings"/>
                <w:b/>
                <w:sz w:val="24"/>
              </w:rPr>
            </w:pPr>
            <w:r>
              <w:rPr>
                <w:rFonts w:hint="eastAsia" w:hAnsi="宋体" w:cs="Wingdings"/>
                <w:b/>
                <w:sz w:val="24"/>
              </w:rPr>
              <w:t>序号</w:t>
            </w:r>
          </w:p>
        </w:tc>
        <w:tc>
          <w:tcPr>
            <w:tcW w:w="1560" w:type="dxa"/>
            <w:vAlign w:val="center"/>
          </w:tcPr>
          <w:p w14:paraId="30BDB713">
            <w:pPr>
              <w:pStyle w:val="22"/>
              <w:jc w:val="center"/>
              <w:rPr>
                <w:rFonts w:hAnsi="宋体" w:cs="Wingdings"/>
                <w:b/>
                <w:sz w:val="24"/>
              </w:rPr>
            </w:pPr>
            <w:r>
              <w:rPr>
                <w:rFonts w:hint="eastAsia" w:hAnsi="宋体"/>
                <w:b/>
                <w:bCs/>
                <w:sz w:val="24"/>
                <w:szCs w:val="24"/>
              </w:rPr>
              <w:t>货物名称</w:t>
            </w:r>
          </w:p>
        </w:tc>
        <w:tc>
          <w:tcPr>
            <w:tcW w:w="2863" w:type="dxa"/>
            <w:vAlign w:val="center"/>
          </w:tcPr>
          <w:p w14:paraId="22E73A94">
            <w:pPr>
              <w:pStyle w:val="22"/>
              <w:jc w:val="center"/>
              <w:rPr>
                <w:rFonts w:hAnsi="宋体" w:cs="Wingdings"/>
                <w:b/>
                <w:sz w:val="24"/>
              </w:rPr>
            </w:pPr>
            <w:r>
              <w:rPr>
                <w:rFonts w:hint="eastAsia" w:hAnsi="宋体" w:cs="Wingdings"/>
                <w:b/>
                <w:sz w:val="24"/>
              </w:rPr>
              <w:t>招标文件规定的技术参数要求</w:t>
            </w:r>
          </w:p>
        </w:tc>
        <w:tc>
          <w:tcPr>
            <w:tcW w:w="2482" w:type="dxa"/>
            <w:vAlign w:val="center"/>
          </w:tcPr>
          <w:p w14:paraId="3E718225">
            <w:pPr>
              <w:pStyle w:val="22"/>
              <w:jc w:val="center"/>
              <w:rPr>
                <w:rFonts w:hAnsi="宋体" w:cs="Wingdings"/>
                <w:b/>
                <w:sz w:val="24"/>
              </w:rPr>
            </w:pPr>
            <w:r>
              <w:rPr>
                <w:rFonts w:hint="eastAsia" w:hAnsi="宋体" w:cs="Wingdings"/>
                <w:b/>
                <w:sz w:val="24"/>
              </w:rPr>
              <w:t>所投产品的品牌、型号及技术参数</w:t>
            </w:r>
          </w:p>
        </w:tc>
        <w:tc>
          <w:tcPr>
            <w:tcW w:w="856" w:type="dxa"/>
            <w:vAlign w:val="center"/>
          </w:tcPr>
          <w:p w14:paraId="7193A777">
            <w:pPr>
              <w:pStyle w:val="22"/>
              <w:jc w:val="center"/>
              <w:rPr>
                <w:rFonts w:hAnsi="宋体" w:cs="Wingdings"/>
                <w:b/>
                <w:sz w:val="24"/>
              </w:rPr>
            </w:pPr>
            <w:r>
              <w:rPr>
                <w:rFonts w:hint="eastAsia" w:hAnsi="宋体" w:cs="Wingdings"/>
                <w:b/>
                <w:sz w:val="24"/>
              </w:rPr>
              <w:t>偏离说明</w:t>
            </w:r>
          </w:p>
        </w:tc>
      </w:tr>
      <w:tr w14:paraId="51D9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5886B00B">
            <w:pPr>
              <w:jc w:val="center"/>
              <w:rPr>
                <w:rFonts w:ascii="宋体" w:hAnsi="宋体"/>
                <w:sz w:val="24"/>
              </w:rPr>
            </w:pPr>
            <w:r>
              <w:rPr>
                <w:rFonts w:hint="eastAsia" w:ascii="宋体" w:hAnsi="宋体"/>
                <w:sz w:val="24"/>
              </w:rPr>
              <w:t>1</w:t>
            </w:r>
          </w:p>
        </w:tc>
        <w:tc>
          <w:tcPr>
            <w:tcW w:w="1560" w:type="dxa"/>
            <w:vAlign w:val="center"/>
          </w:tcPr>
          <w:p w14:paraId="6C8E9C18">
            <w:pPr>
              <w:jc w:val="center"/>
              <w:rPr>
                <w:rFonts w:ascii="宋体" w:hAnsi="宋体"/>
                <w:sz w:val="24"/>
              </w:rPr>
            </w:pPr>
          </w:p>
        </w:tc>
        <w:tc>
          <w:tcPr>
            <w:tcW w:w="2863" w:type="dxa"/>
            <w:vAlign w:val="center"/>
          </w:tcPr>
          <w:p w14:paraId="560165BF">
            <w:pPr>
              <w:jc w:val="center"/>
              <w:rPr>
                <w:rFonts w:ascii="宋体" w:hAnsi="宋体"/>
                <w:sz w:val="24"/>
              </w:rPr>
            </w:pPr>
          </w:p>
        </w:tc>
        <w:tc>
          <w:tcPr>
            <w:tcW w:w="2482" w:type="dxa"/>
            <w:vAlign w:val="center"/>
          </w:tcPr>
          <w:p w14:paraId="054907B1">
            <w:pPr>
              <w:jc w:val="center"/>
              <w:rPr>
                <w:rFonts w:ascii="宋体" w:hAnsi="宋体"/>
                <w:sz w:val="24"/>
              </w:rPr>
            </w:pPr>
          </w:p>
        </w:tc>
        <w:tc>
          <w:tcPr>
            <w:tcW w:w="856" w:type="dxa"/>
            <w:vAlign w:val="center"/>
          </w:tcPr>
          <w:p w14:paraId="4ACDD169">
            <w:pPr>
              <w:jc w:val="center"/>
              <w:rPr>
                <w:rFonts w:ascii="宋体" w:hAnsi="宋体"/>
                <w:sz w:val="24"/>
              </w:rPr>
            </w:pPr>
          </w:p>
        </w:tc>
      </w:tr>
      <w:tr w14:paraId="33FD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17419A6E">
            <w:pPr>
              <w:jc w:val="center"/>
              <w:rPr>
                <w:rFonts w:ascii="宋体" w:hAnsi="宋体"/>
                <w:sz w:val="24"/>
              </w:rPr>
            </w:pPr>
            <w:r>
              <w:rPr>
                <w:rFonts w:hint="eastAsia" w:ascii="宋体" w:hAnsi="宋体"/>
                <w:sz w:val="24"/>
              </w:rPr>
              <w:t>2</w:t>
            </w:r>
          </w:p>
        </w:tc>
        <w:tc>
          <w:tcPr>
            <w:tcW w:w="1560" w:type="dxa"/>
            <w:vAlign w:val="center"/>
          </w:tcPr>
          <w:p w14:paraId="287BBF02">
            <w:pPr>
              <w:jc w:val="center"/>
              <w:rPr>
                <w:rFonts w:ascii="宋体" w:hAnsi="宋体"/>
                <w:sz w:val="24"/>
              </w:rPr>
            </w:pPr>
          </w:p>
        </w:tc>
        <w:tc>
          <w:tcPr>
            <w:tcW w:w="2863" w:type="dxa"/>
            <w:vAlign w:val="center"/>
          </w:tcPr>
          <w:p w14:paraId="634CFFDF">
            <w:pPr>
              <w:jc w:val="center"/>
              <w:rPr>
                <w:rFonts w:ascii="宋体" w:hAnsi="宋体"/>
                <w:sz w:val="24"/>
              </w:rPr>
            </w:pPr>
          </w:p>
        </w:tc>
        <w:tc>
          <w:tcPr>
            <w:tcW w:w="2482" w:type="dxa"/>
            <w:vAlign w:val="center"/>
          </w:tcPr>
          <w:p w14:paraId="3FAFE163">
            <w:pPr>
              <w:jc w:val="center"/>
              <w:rPr>
                <w:rFonts w:ascii="宋体" w:hAnsi="宋体"/>
                <w:sz w:val="24"/>
              </w:rPr>
            </w:pPr>
          </w:p>
        </w:tc>
        <w:tc>
          <w:tcPr>
            <w:tcW w:w="856" w:type="dxa"/>
            <w:vAlign w:val="center"/>
          </w:tcPr>
          <w:p w14:paraId="38B25904">
            <w:pPr>
              <w:jc w:val="center"/>
              <w:rPr>
                <w:rFonts w:ascii="宋体" w:hAnsi="宋体"/>
                <w:sz w:val="24"/>
              </w:rPr>
            </w:pPr>
          </w:p>
        </w:tc>
      </w:tr>
      <w:tr w14:paraId="34A8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27DEA46A">
            <w:pPr>
              <w:jc w:val="center"/>
              <w:rPr>
                <w:rFonts w:ascii="宋体" w:hAnsi="宋体"/>
                <w:sz w:val="24"/>
              </w:rPr>
            </w:pPr>
            <w:r>
              <w:rPr>
                <w:rFonts w:hint="eastAsia" w:ascii="宋体" w:hAnsi="宋体"/>
                <w:sz w:val="24"/>
              </w:rPr>
              <w:t>3</w:t>
            </w:r>
          </w:p>
        </w:tc>
        <w:tc>
          <w:tcPr>
            <w:tcW w:w="1560" w:type="dxa"/>
            <w:vAlign w:val="center"/>
          </w:tcPr>
          <w:p w14:paraId="79DC0AC3">
            <w:pPr>
              <w:jc w:val="center"/>
              <w:rPr>
                <w:rFonts w:ascii="宋体" w:hAnsi="宋体"/>
                <w:sz w:val="24"/>
              </w:rPr>
            </w:pPr>
          </w:p>
        </w:tc>
        <w:tc>
          <w:tcPr>
            <w:tcW w:w="2863" w:type="dxa"/>
            <w:vAlign w:val="center"/>
          </w:tcPr>
          <w:p w14:paraId="433EEE97">
            <w:pPr>
              <w:jc w:val="center"/>
              <w:rPr>
                <w:rFonts w:ascii="宋体" w:hAnsi="宋体"/>
                <w:sz w:val="24"/>
              </w:rPr>
            </w:pPr>
          </w:p>
        </w:tc>
        <w:tc>
          <w:tcPr>
            <w:tcW w:w="2482" w:type="dxa"/>
            <w:vAlign w:val="center"/>
          </w:tcPr>
          <w:p w14:paraId="37F91430">
            <w:pPr>
              <w:pStyle w:val="63"/>
              <w:jc w:val="center"/>
              <w:rPr>
                <w:rFonts w:ascii="宋体" w:hAnsi="宋体"/>
              </w:rPr>
            </w:pPr>
          </w:p>
        </w:tc>
        <w:tc>
          <w:tcPr>
            <w:tcW w:w="856" w:type="dxa"/>
            <w:vAlign w:val="center"/>
          </w:tcPr>
          <w:p w14:paraId="6D42A9F2">
            <w:pPr>
              <w:jc w:val="center"/>
              <w:rPr>
                <w:rFonts w:ascii="宋体" w:hAnsi="宋体"/>
                <w:sz w:val="24"/>
              </w:rPr>
            </w:pPr>
          </w:p>
        </w:tc>
      </w:tr>
      <w:tr w14:paraId="7A45D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2DFCAB47">
            <w:pPr>
              <w:jc w:val="center"/>
              <w:rPr>
                <w:rFonts w:ascii="宋体" w:hAnsi="宋体"/>
                <w:sz w:val="24"/>
              </w:rPr>
            </w:pPr>
            <w:r>
              <w:rPr>
                <w:rFonts w:hint="eastAsia" w:ascii="宋体" w:hAnsi="宋体"/>
                <w:sz w:val="24"/>
              </w:rPr>
              <w:t>4</w:t>
            </w:r>
          </w:p>
        </w:tc>
        <w:tc>
          <w:tcPr>
            <w:tcW w:w="1560" w:type="dxa"/>
            <w:vAlign w:val="center"/>
          </w:tcPr>
          <w:p w14:paraId="4B8EBAAC">
            <w:pPr>
              <w:jc w:val="center"/>
              <w:rPr>
                <w:rFonts w:ascii="宋体" w:hAnsi="宋体"/>
                <w:sz w:val="24"/>
              </w:rPr>
            </w:pPr>
          </w:p>
        </w:tc>
        <w:tc>
          <w:tcPr>
            <w:tcW w:w="2863" w:type="dxa"/>
            <w:vAlign w:val="center"/>
          </w:tcPr>
          <w:p w14:paraId="704B43E8">
            <w:pPr>
              <w:jc w:val="center"/>
              <w:rPr>
                <w:rFonts w:ascii="宋体" w:hAnsi="宋体"/>
                <w:sz w:val="24"/>
              </w:rPr>
            </w:pPr>
          </w:p>
        </w:tc>
        <w:tc>
          <w:tcPr>
            <w:tcW w:w="2482" w:type="dxa"/>
            <w:vAlign w:val="center"/>
          </w:tcPr>
          <w:p w14:paraId="519A1207">
            <w:pPr>
              <w:pStyle w:val="63"/>
              <w:jc w:val="center"/>
              <w:rPr>
                <w:rFonts w:ascii="宋体" w:hAnsi="宋体"/>
              </w:rPr>
            </w:pPr>
          </w:p>
        </w:tc>
        <w:tc>
          <w:tcPr>
            <w:tcW w:w="856" w:type="dxa"/>
            <w:vAlign w:val="center"/>
          </w:tcPr>
          <w:p w14:paraId="24DCBFCD">
            <w:pPr>
              <w:jc w:val="center"/>
              <w:rPr>
                <w:rFonts w:ascii="宋体" w:hAnsi="宋体"/>
                <w:sz w:val="24"/>
              </w:rPr>
            </w:pPr>
          </w:p>
        </w:tc>
      </w:tr>
      <w:tr w14:paraId="31DB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D2A02EC">
            <w:pPr>
              <w:jc w:val="center"/>
              <w:rPr>
                <w:rFonts w:ascii="宋体" w:hAnsi="宋体"/>
                <w:sz w:val="24"/>
              </w:rPr>
            </w:pPr>
            <w:r>
              <w:rPr>
                <w:rFonts w:hint="eastAsia" w:ascii="宋体" w:hAnsi="宋体"/>
                <w:sz w:val="24"/>
              </w:rPr>
              <w:t>…</w:t>
            </w:r>
          </w:p>
        </w:tc>
        <w:tc>
          <w:tcPr>
            <w:tcW w:w="1560" w:type="dxa"/>
            <w:vAlign w:val="center"/>
          </w:tcPr>
          <w:p w14:paraId="39ACD6B8">
            <w:pPr>
              <w:jc w:val="center"/>
              <w:rPr>
                <w:rFonts w:ascii="宋体" w:hAnsi="宋体"/>
                <w:sz w:val="24"/>
              </w:rPr>
            </w:pPr>
          </w:p>
        </w:tc>
        <w:tc>
          <w:tcPr>
            <w:tcW w:w="2863" w:type="dxa"/>
            <w:vAlign w:val="center"/>
          </w:tcPr>
          <w:p w14:paraId="31708CB2">
            <w:pPr>
              <w:jc w:val="center"/>
              <w:rPr>
                <w:rFonts w:ascii="宋体" w:hAnsi="宋体"/>
                <w:sz w:val="24"/>
              </w:rPr>
            </w:pPr>
          </w:p>
        </w:tc>
        <w:tc>
          <w:tcPr>
            <w:tcW w:w="2482" w:type="dxa"/>
            <w:vAlign w:val="center"/>
          </w:tcPr>
          <w:p w14:paraId="4F14EF2B">
            <w:pPr>
              <w:jc w:val="center"/>
              <w:rPr>
                <w:rFonts w:ascii="宋体" w:hAnsi="宋体"/>
                <w:sz w:val="24"/>
              </w:rPr>
            </w:pPr>
          </w:p>
        </w:tc>
        <w:tc>
          <w:tcPr>
            <w:tcW w:w="856" w:type="dxa"/>
            <w:vAlign w:val="center"/>
          </w:tcPr>
          <w:p w14:paraId="37F57F18">
            <w:pPr>
              <w:jc w:val="center"/>
              <w:rPr>
                <w:rFonts w:ascii="宋体" w:hAnsi="宋体"/>
                <w:sz w:val="24"/>
              </w:rPr>
            </w:pPr>
          </w:p>
        </w:tc>
      </w:tr>
    </w:tbl>
    <w:p w14:paraId="31CE3FFC">
      <w:pPr>
        <w:spacing w:line="360" w:lineRule="auto"/>
        <w:ind w:firstLine="435"/>
        <w:rPr>
          <w:rFonts w:hint="eastAsia" w:ascii="宋体" w:hAnsi="宋体"/>
          <w:b/>
          <w:sz w:val="24"/>
        </w:rPr>
      </w:pPr>
    </w:p>
    <w:p w14:paraId="41CD431B">
      <w:pPr>
        <w:spacing w:line="360" w:lineRule="auto"/>
        <w:ind w:firstLine="435"/>
        <w:rPr>
          <w:rFonts w:hint="eastAsia" w:ascii="宋体" w:hAnsi="宋体"/>
          <w:b/>
          <w:sz w:val="24"/>
        </w:rPr>
      </w:pPr>
    </w:p>
    <w:p w14:paraId="3E70936A">
      <w:pPr>
        <w:spacing w:line="360" w:lineRule="auto"/>
        <w:ind w:firstLine="435"/>
        <w:rPr>
          <w:rFonts w:hint="eastAsia" w:ascii="宋体" w:hAnsi="宋体"/>
          <w:b/>
          <w:sz w:val="24"/>
        </w:rPr>
      </w:pPr>
    </w:p>
    <w:p w14:paraId="6E7D6CA8">
      <w:pPr>
        <w:spacing w:line="360" w:lineRule="auto"/>
        <w:ind w:firstLine="435"/>
        <w:rPr>
          <w:rFonts w:hint="eastAsia" w:ascii="宋体" w:hAnsi="宋体"/>
          <w:b/>
          <w:sz w:val="24"/>
        </w:rPr>
      </w:pPr>
    </w:p>
    <w:p w14:paraId="6637A8FB">
      <w:pPr>
        <w:spacing w:line="360" w:lineRule="auto"/>
        <w:ind w:firstLine="435"/>
        <w:rPr>
          <w:rFonts w:ascii="宋体" w:hAnsi="宋体"/>
          <w:b/>
          <w:sz w:val="24"/>
        </w:rPr>
      </w:pPr>
      <w:r>
        <w:rPr>
          <w:rFonts w:hint="eastAsia" w:ascii="宋体" w:hAnsi="宋体"/>
          <w:b/>
          <w:sz w:val="24"/>
        </w:rPr>
        <w:t>7</w:t>
      </w:r>
      <w:r>
        <w:rPr>
          <w:rFonts w:ascii="宋体" w:hAnsi="宋体"/>
          <w:b/>
          <w:sz w:val="24"/>
        </w:rPr>
        <w:t>.3</w:t>
      </w:r>
      <w:r>
        <w:rPr>
          <w:rFonts w:hint="eastAsia" w:ascii="宋体" w:hAnsi="宋体"/>
          <w:b/>
          <w:sz w:val="24"/>
        </w:rPr>
        <w:t>货物说明一览表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1"/>
        <w:gridCol w:w="1420"/>
        <w:gridCol w:w="1420"/>
        <w:gridCol w:w="1421"/>
      </w:tblGrid>
      <w:tr w14:paraId="03E5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20" w:type="dxa"/>
            <w:vAlign w:val="center"/>
          </w:tcPr>
          <w:p w14:paraId="0A94744C">
            <w:pPr>
              <w:pStyle w:val="22"/>
              <w:jc w:val="center"/>
              <w:rPr>
                <w:rFonts w:hAnsi="宋体" w:cs="Wingdings"/>
                <w:b/>
                <w:sz w:val="24"/>
              </w:rPr>
            </w:pPr>
            <w:r>
              <w:rPr>
                <w:rFonts w:hint="eastAsia" w:hAnsi="宋体"/>
                <w:b/>
                <w:bCs/>
                <w:sz w:val="24"/>
                <w:szCs w:val="24"/>
              </w:rPr>
              <w:t>货物名称</w:t>
            </w:r>
          </w:p>
        </w:tc>
        <w:tc>
          <w:tcPr>
            <w:tcW w:w="1420" w:type="dxa"/>
            <w:vAlign w:val="center"/>
          </w:tcPr>
          <w:p w14:paraId="6EE29EE1">
            <w:pPr>
              <w:pStyle w:val="22"/>
              <w:jc w:val="center"/>
              <w:rPr>
                <w:rFonts w:hAnsi="宋体" w:cs="Wingdings"/>
                <w:b/>
                <w:sz w:val="24"/>
              </w:rPr>
            </w:pPr>
          </w:p>
        </w:tc>
        <w:tc>
          <w:tcPr>
            <w:tcW w:w="1421" w:type="dxa"/>
            <w:vAlign w:val="center"/>
          </w:tcPr>
          <w:p w14:paraId="254460A9">
            <w:pPr>
              <w:pStyle w:val="22"/>
              <w:jc w:val="center"/>
              <w:rPr>
                <w:rFonts w:hAnsi="宋体" w:cs="Wingdings"/>
                <w:b/>
                <w:sz w:val="24"/>
              </w:rPr>
            </w:pPr>
            <w:r>
              <w:rPr>
                <w:rFonts w:hint="eastAsia" w:hAnsi="宋体"/>
                <w:b/>
                <w:bCs/>
                <w:sz w:val="24"/>
                <w:szCs w:val="24"/>
              </w:rPr>
              <w:t>品牌型号</w:t>
            </w:r>
          </w:p>
        </w:tc>
        <w:tc>
          <w:tcPr>
            <w:tcW w:w="1420" w:type="dxa"/>
            <w:vAlign w:val="center"/>
          </w:tcPr>
          <w:p w14:paraId="3AE19540">
            <w:pPr>
              <w:pStyle w:val="22"/>
              <w:jc w:val="center"/>
              <w:rPr>
                <w:rFonts w:hAnsi="宋体" w:cs="Wingdings"/>
                <w:b/>
                <w:sz w:val="24"/>
              </w:rPr>
            </w:pPr>
          </w:p>
        </w:tc>
        <w:tc>
          <w:tcPr>
            <w:tcW w:w="1420" w:type="dxa"/>
            <w:vAlign w:val="center"/>
          </w:tcPr>
          <w:p w14:paraId="0D084CD8">
            <w:pPr>
              <w:pStyle w:val="22"/>
              <w:jc w:val="center"/>
              <w:rPr>
                <w:rFonts w:hAnsi="宋体" w:cs="Wingdings"/>
                <w:b/>
                <w:sz w:val="24"/>
              </w:rPr>
            </w:pPr>
            <w:r>
              <w:rPr>
                <w:rFonts w:hint="eastAsia" w:hAnsi="宋体"/>
                <w:b/>
                <w:bCs/>
                <w:sz w:val="24"/>
                <w:szCs w:val="24"/>
              </w:rPr>
              <w:t>数量</w:t>
            </w:r>
          </w:p>
        </w:tc>
        <w:tc>
          <w:tcPr>
            <w:tcW w:w="1421" w:type="dxa"/>
            <w:vAlign w:val="center"/>
          </w:tcPr>
          <w:p w14:paraId="40E823D2">
            <w:pPr>
              <w:pStyle w:val="22"/>
              <w:jc w:val="center"/>
              <w:rPr>
                <w:rFonts w:hAnsi="宋体" w:cs="Wingdings"/>
                <w:b/>
                <w:sz w:val="24"/>
              </w:rPr>
            </w:pPr>
          </w:p>
        </w:tc>
      </w:tr>
      <w:tr w14:paraId="1889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3" w:hRule="atLeast"/>
          <w:jc w:val="center"/>
        </w:trPr>
        <w:tc>
          <w:tcPr>
            <w:tcW w:w="8522" w:type="dxa"/>
            <w:gridSpan w:val="6"/>
          </w:tcPr>
          <w:p w14:paraId="4B7846F2">
            <w:pPr>
              <w:rPr>
                <w:rFonts w:ascii="宋体" w:hAnsi="宋体"/>
                <w:sz w:val="24"/>
              </w:rPr>
            </w:pPr>
            <w:r>
              <w:rPr>
                <w:rFonts w:hint="eastAsia" w:ascii="宋体" w:hAnsi="宋体"/>
                <w:sz w:val="24"/>
              </w:rPr>
              <w:t>所投产品的技术参数及性能说明：</w:t>
            </w:r>
          </w:p>
        </w:tc>
      </w:tr>
    </w:tbl>
    <w:p w14:paraId="211F2579">
      <w:pPr>
        <w:pStyle w:val="23"/>
        <w:spacing w:line="360" w:lineRule="auto"/>
        <w:rPr>
          <w:rFonts w:ascii="宋体" w:hAnsi="宋体"/>
          <w:b w:val="0"/>
          <w:sz w:val="24"/>
        </w:rPr>
      </w:pPr>
      <w:r>
        <w:rPr>
          <w:rFonts w:hint="eastAsia" w:ascii="宋体" w:hAnsi="宋体"/>
          <w:b w:val="0"/>
          <w:sz w:val="24"/>
        </w:rPr>
        <w:t>投标人电子签章：</w:t>
      </w:r>
    </w:p>
    <w:p w14:paraId="26BD5378">
      <w:pPr>
        <w:pStyle w:val="23"/>
        <w:spacing w:line="360" w:lineRule="auto"/>
        <w:rPr>
          <w:rFonts w:asciiTheme="minorEastAsia" w:hAnsiTheme="minorEastAsia" w:eastAsiaTheme="minorEastAsia"/>
          <w:b w:val="0"/>
          <w:sz w:val="24"/>
        </w:rPr>
      </w:pPr>
      <w:r>
        <w:rPr>
          <w:rFonts w:hint="eastAsia" w:asciiTheme="minorEastAsia" w:hAnsiTheme="minorEastAsia" w:eastAsiaTheme="minorEastAsia"/>
          <w:bCs/>
          <w:sz w:val="24"/>
        </w:rPr>
        <w:t>7.4 非</w:t>
      </w:r>
      <w:r>
        <w:rPr>
          <w:rFonts w:hint="eastAsia" w:ascii="宋体" w:hAnsi="宋体"/>
          <w:bCs/>
          <w:sz w:val="24"/>
        </w:rPr>
        <w:t>“★”标识的技术</w:t>
      </w:r>
      <w:r>
        <w:rPr>
          <w:rFonts w:hint="eastAsia" w:asciiTheme="minorEastAsia" w:hAnsiTheme="minorEastAsia" w:eastAsiaTheme="minorEastAsia"/>
          <w:bCs/>
          <w:sz w:val="24"/>
        </w:rPr>
        <w:t>投标承诺函：</w:t>
      </w:r>
      <w:r>
        <w:rPr>
          <w:rFonts w:hint="eastAsia" w:asciiTheme="minorEastAsia" w:hAnsiTheme="minorEastAsia" w:eastAsiaTheme="minorEastAsia"/>
          <w:b w:val="0"/>
          <w:sz w:val="24"/>
        </w:rPr>
        <w:t xml:space="preserve">  </w:t>
      </w:r>
    </w:p>
    <w:p w14:paraId="770A69E3">
      <w:pPr>
        <w:pStyle w:val="23"/>
        <w:spacing w:line="360" w:lineRule="auto"/>
        <w:ind w:firstLine="723" w:firstLineChars="300"/>
        <w:rPr>
          <w:rFonts w:asciiTheme="minorEastAsia" w:hAnsiTheme="minorEastAsia" w:eastAsiaTheme="minorEastAsia"/>
          <w:bCs/>
          <w:sz w:val="24"/>
        </w:rPr>
      </w:pPr>
      <w:r>
        <w:rPr>
          <w:rFonts w:hint="eastAsia" w:asciiTheme="minorEastAsia" w:hAnsiTheme="minorEastAsia" w:eastAsiaTheme="minorEastAsia"/>
          <w:bCs/>
          <w:sz w:val="24"/>
        </w:rPr>
        <w:t>我单位承诺所提供的货物均满足招标文件招标需求中非</w:t>
      </w:r>
      <w:r>
        <w:rPr>
          <w:rFonts w:hint="eastAsia" w:ascii="宋体" w:hAnsi="宋体"/>
          <w:bCs/>
          <w:sz w:val="24"/>
        </w:rPr>
        <w:t>“★”标识</w:t>
      </w:r>
      <w:r>
        <w:rPr>
          <w:rFonts w:hint="eastAsia" w:asciiTheme="minorEastAsia" w:hAnsiTheme="minorEastAsia" w:eastAsiaTheme="minorEastAsia"/>
          <w:bCs/>
          <w:sz w:val="24"/>
        </w:rPr>
        <w:t>的要求,</w:t>
      </w:r>
      <w:r>
        <w:rPr>
          <w:rFonts w:hint="eastAsia" w:ascii="宋体" w:hAnsi="宋体" w:cs="@仿宋_GB2312"/>
          <w:kern w:val="0"/>
          <w:sz w:val="24"/>
          <w:szCs w:val="28"/>
        </w:rPr>
        <w:t>承诺按招标文件进行验收，</w:t>
      </w:r>
      <w:r>
        <w:rPr>
          <w:rFonts w:hint="eastAsia" w:asciiTheme="minorEastAsia" w:hAnsiTheme="minorEastAsia" w:eastAsiaTheme="minorEastAsia"/>
          <w:bCs/>
          <w:sz w:val="24"/>
        </w:rPr>
        <w:t xml:space="preserve">如不满足，招标人有权解除合同，并按相关规定依规处理,我单位承担由此产生的一切后果及责任。 </w:t>
      </w:r>
    </w:p>
    <w:p w14:paraId="715F37C4">
      <w:pPr>
        <w:pStyle w:val="23"/>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 xml:space="preserve">  </w:t>
      </w:r>
    </w:p>
    <w:p w14:paraId="2439F146">
      <w:pPr>
        <w:pStyle w:val="23"/>
        <w:spacing w:line="360" w:lineRule="auto"/>
        <w:ind w:firstLine="5060" w:firstLineChars="2100"/>
        <w:rPr>
          <w:rFonts w:asciiTheme="minorEastAsia" w:hAnsiTheme="minorEastAsia" w:eastAsiaTheme="minorEastAsia"/>
          <w:bCs/>
          <w:sz w:val="24"/>
          <w:u w:val="single"/>
        </w:rPr>
      </w:pPr>
      <w:r>
        <w:rPr>
          <w:rFonts w:hint="eastAsia" w:asciiTheme="minorEastAsia" w:hAnsiTheme="minorEastAsia" w:eastAsiaTheme="minorEastAsia"/>
          <w:bCs/>
          <w:sz w:val="24"/>
        </w:rPr>
        <w:t>投标人电子签章：</w:t>
      </w:r>
      <w:r>
        <w:rPr>
          <w:rFonts w:hint="eastAsia" w:asciiTheme="minorEastAsia" w:hAnsiTheme="minorEastAsia" w:eastAsiaTheme="minorEastAsia"/>
          <w:bCs/>
          <w:sz w:val="24"/>
          <w:u w:val="single"/>
        </w:rPr>
        <w:t xml:space="preserve">            </w:t>
      </w:r>
    </w:p>
    <w:p w14:paraId="305B5402">
      <w:pPr>
        <w:spacing w:line="360" w:lineRule="auto"/>
        <w:jc w:val="center"/>
        <w:outlineLvl w:val="2"/>
        <w:rPr>
          <w:rFonts w:ascii="宋体" w:hAnsi="宋体"/>
          <w:b/>
          <w:sz w:val="24"/>
        </w:rPr>
      </w:pPr>
      <w:r>
        <w:rPr>
          <w:rFonts w:hint="eastAsia" w:asciiTheme="minorEastAsia" w:hAnsiTheme="minorEastAsia" w:eastAsiaTheme="minorEastAsia"/>
          <w:b/>
          <w:bCs/>
          <w:sz w:val="24"/>
        </w:rPr>
        <w:t xml:space="preserve">                      日 期：</w:t>
      </w:r>
      <w:r>
        <w:rPr>
          <w:rFonts w:hint="eastAsia" w:asciiTheme="minorEastAsia" w:hAnsiTheme="minorEastAsia" w:eastAsiaTheme="minorEastAsia"/>
          <w:b/>
          <w:bCs/>
          <w:sz w:val="24"/>
          <w:u w:val="single"/>
        </w:rPr>
        <w:t xml:space="preserve">                    </w:t>
      </w:r>
      <w:r>
        <w:rPr>
          <w:rFonts w:hint="eastAsia" w:asciiTheme="minorEastAsia" w:hAnsiTheme="minorEastAsia" w:eastAsiaTheme="minorEastAsia"/>
          <w:b/>
          <w:bCs/>
          <w:sz w:val="24"/>
        </w:rPr>
        <w:t xml:space="preserve"> </w:t>
      </w:r>
    </w:p>
    <w:p w14:paraId="4CAA16A4">
      <w:pPr>
        <w:spacing w:line="360" w:lineRule="auto"/>
        <w:jc w:val="center"/>
        <w:outlineLvl w:val="2"/>
        <w:rPr>
          <w:rFonts w:ascii="宋体" w:hAnsi="宋体"/>
          <w:b/>
          <w:sz w:val="24"/>
        </w:rPr>
      </w:pPr>
    </w:p>
    <w:p w14:paraId="15DFF85E">
      <w:pPr>
        <w:jc w:val="center"/>
        <w:rPr>
          <w:rFonts w:ascii="宋体" w:hAnsi="宋体"/>
          <w:b/>
          <w:sz w:val="24"/>
        </w:rPr>
      </w:pPr>
      <w:r>
        <w:rPr>
          <w:rFonts w:hint="eastAsia" w:ascii="宋体" w:hAnsi="宋体"/>
          <w:b/>
          <w:sz w:val="24"/>
        </w:rPr>
        <w:br w:type="page"/>
      </w:r>
      <w:r>
        <w:rPr>
          <w:rFonts w:hint="eastAsia" w:ascii="宋体" w:hAnsi="宋体"/>
          <w:b/>
          <w:sz w:val="24"/>
        </w:rPr>
        <w:t xml:space="preserve"> 八、无不良信用记录声明函</w:t>
      </w:r>
    </w:p>
    <w:p w14:paraId="71BCBB1C">
      <w:pPr>
        <w:spacing w:line="440" w:lineRule="exact"/>
        <w:ind w:firstLine="435"/>
        <w:rPr>
          <w:rFonts w:ascii="宋体" w:hAnsi="宋体"/>
          <w:sz w:val="24"/>
          <w:szCs w:val="24"/>
        </w:rPr>
      </w:pPr>
      <w:bookmarkStart w:id="196" w:name="_Hlk44595037"/>
      <w:bookmarkStart w:id="197" w:name="_Toc204594911"/>
      <w:bookmarkStart w:id="198" w:name="_Toc520983594"/>
      <w:bookmarkStart w:id="199" w:name="_Toc516969106"/>
      <w:bookmarkStart w:id="200" w:name="_Toc121626298"/>
      <w:r>
        <w:rPr>
          <w:rFonts w:hint="eastAsia" w:ascii="宋体" w:hAnsi="宋体"/>
          <w:sz w:val="24"/>
          <w:szCs w:val="24"/>
        </w:rPr>
        <w:t>1.本单位郑重声明，我单位无以下不良信用记录情形：</w:t>
      </w:r>
    </w:p>
    <w:p w14:paraId="19DE984C">
      <w:pPr>
        <w:spacing w:line="360" w:lineRule="auto"/>
        <w:ind w:firstLine="435"/>
        <w:rPr>
          <w:rFonts w:ascii="宋体" w:hAnsi="宋体"/>
          <w:sz w:val="24"/>
          <w:szCs w:val="18"/>
        </w:rPr>
      </w:pPr>
      <w:r>
        <w:rPr>
          <w:rFonts w:hint="eastAsia" w:ascii="宋体" w:hAnsi="宋体"/>
          <w:sz w:val="24"/>
          <w:szCs w:val="18"/>
        </w:rPr>
        <w:t xml:space="preserve">（1）被责令停产停业，暂扣或者吊销许可证，暂扣或者吊销执照； </w:t>
      </w:r>
    </w:p>
    <w:p w14:paraId="6BF40974">
      <w:pPr>
        <w:spacing w:line="360" w:lineRule="auto"/>
        <w:ind w:firstLine="435"/>
        <w:rPr>
          <w:rFonts w:ascii="宋体" w:hAnsi="宋体"/>
          <w:sz w:val="24"/>
          <w:szCs w:val="18"/>
        </w:rPr>
      </w:pPr>
      <w:r>
        <w:rPr>
          <w:rFonts w:hint="eastAsia" w:ascii="宋体" w:hAnsi="宋体"/>
          <w:sz w:val="24"/>
          <w:szCs w:val="18"/>
        </w:rPr>
        <w:t xml:space="preserve">（2）进入清算程序，或被宣告破产，或其他丧失履约能力的情形； </w:t>
      </w:r>
    </w:p>
    <w:p w14:paraId="294EC66D">
      <w:pPr>
        <w:spacing w:line="360" w:lineRule="auto"/>
        <w:ind w:firstLine="435"/>
        <w:rPr>
          <w:rFonts w:ascii="宋体" w:hAnsi="宋体"/>
          <w:sz w:val="24"/>
          <w:szCs w:val="18"/>
        </w:rPr>
      </w:pPr>
      <w:r>
        <w:rPr>
          <w:rFonts w:hint="eastAsia" w:ascii="宋体" w:hAnsi="宋体"/>
          <w:sz w:val="24"/>
          <w:szCs w:val="18"/>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392679FE">
      <w:pPr>
        <w:spacing w:line="360" w:lineRule="auto"/>
        <w:ind w:firstLine="435"/>
        <w:rPr>
          <w:rFonts w:ascii="宋体" w:hAnsi="宋体"/>
          <w:sz w:val="24"/>
          <w:szCs w:val="18"/>
        </w:rPr>
      </w:pPr>
      <w:r>
        <w:rPr>
          <w:rFonts w:hint="eastAsia" w:ascii="宋体" w:hAnsi="宋体"/>
          <w:sz w:val="24"/>
          <w:szCs w:val="18"/>
        </w:rPr>
        <w:t xml:space="preserve">（4）在国家企业信用信息公示系统（http://www.gsxt.gov.cn/）中被列入严重违法失信企业名单； </w:t>
      </w:r>
    </w:p>
    <w:p w14:paraId="02846C2D">
      <w:pPr>
        <w:spacing w:line="360" w:lineRule="auto"/>
        <w:ind w:firstLine="435"/>
        <w:rPr>
          <w:rFonts w:ascii="宋体" w:hAnsi="宋体"/>
          <w:sz w:val="24"/>
          <w:szCs w:val="18"/>
        </w:rPr>
      </w:pPr>
      <w:r>
        <w:rPr>
          <w:rFonts w:hint="eastAsia" w:ascii="宋体" w:hAnsi="宋体"/>
          <w:sz w:val="24"/>
          <w:szCs w:val="18"/>
        </w:rPr>
        <w:t xml:space="preserve">（5）在“信用中国”网站（http://www.creditchina.gov.cn/）中被列入失信被执行人名单； </w:t>
      </w:r>
    </w:p>
    <w:p w14:paraId="26D147F5">
      <w:pPr>
        <w:spacing w:line="360" w:lineRule="auto"/>
        <w:ind w:firstLine="435"/>
        <w:rPr>
          <w:rFonts w:ascii="宋体" w:hAnsi="宋体"/>
          <w:sz w:val="24"/>
          <w:szCs w:val="18"/>
        </w:rPr>
      </w:pPr>
      <w:r>
        <w:rPr>
          <w:rFonts w:hint="eastAsia" w:ascii="宋体" w:hAnsi="宋体"/>
          <w:sz w:val="24"/>
          <w:szCs w:val="18"/>
        </w:rPr>
        <w:t xml:space="preserve">（6）在“信用中国”网站（http://www.creditchina.gov.cn/）中被列入重大税收违法案件当事人名单； </w:t>
      </w:r>
    </w:p>
    <w:p w14:paraId="6876380E">
      <w:pPr>
        <w:spacing w:line="360" w:lineRule="auto"/>
        <w:ind w:firstLine="435"/>
        <w:rPr>
          <w:rFonts w:ascii="宋体" w:hAnsi="宋体"/>
          <w:sz w:val="24"/>
          <w:szCs w:val="18"/>
        </w:rPr>
      </w:pPr>
      <w:r>
        <w:rPr>
          <w:rFonts w:hint="eastAsia" w:ascii="宋体" w:hAnsi="宋体"/>
          <w:sz w:val="24"/>
          <w:szCs w:val="18"/>
        </w:rPr>
        <w:t>（7）在近三年内投标人或其法定代表人（单位负责人）有行贿犯罪行为的。</w:t>
      </w:r>
    </w:p>
    <w:p w14:paraId="185410E2">
      <w:pPr>
        <w:spacing w:line="440" w:lineRule="exact"/>
        <w:ind w:firstLine="435"/>
        <w:rPr>
          <w:rFonts w:ascii="宋体" w:hAnsi="宋体"/>
          <w:sz w:val="24"/>
          <w:szCs w:val="24"/>
        </w:rPr>
      </w:pPr>
      <w:r>
        <w:rPr>
          <w:rFonts w:hint="eastAsia" w:ascii="宋体" w:hAnsi="宋体"/>
          <w:sz w:val="24"/>
          <w:szCs w:val="24"/>
        </w:rPr>
        <w:t xml:space="preserve">2.本单位郑重声明，符合下列情形之一： </w:t>
      </w:r>
    </w:p>
    <w:p w14:paraId="648CA0C8">
      <w:pPr>
        <w:spacing w:line="440" w:lineRule="exact"/>
        <w:ind w:firstLine="435"/>
        <w:rPr>
          <w:rFonts w:ascii="宋体" w:hAnsi="宋体"/>
          <w:sz w:val="24"/>
          <w:szCs w:val="24"/>
        </w:rPr>
      </w:pPr>
      <w:r>
        <w:rPr>
          <w:rFonts w:hint="eastAsia" w:ascii="宋体" w:hAnsi="宋体"/>
          <w:sz w:val="24"/>
          <w:szCs w:val="24"/>
        </w:rPr>
        <w:t>（</w:t>
      </w:r>
      <w:r>
        <w:rPr>
          <w:rFonts w:ascii="宋体" w:hAnsi="宋体"/>
          <w:sz w:val="24"/>
          <w:szCs w:val="24"/>
        </w:rPr>
        <w:t>1）开标日前两年内未被合肥市及其所辖</w:t>
      </w:r>
      <w:r>
        <w:rPr>
          <w:rFonts w:hint="eastAsia" w:ascii="宋体" w:hAnsi="宋体"/>
          <w:sz w:val="24"/>
          <w:szCs w:val="24"/>
        </w:rPr>
        <w:t>县（市）及区（开发区）</w:t>
      </w:r>
      <w:r>
        <w:rPr>
          <w:rFonts w:ascii="宋体" w:hAnsi="宋体"/>
          <w:sz w:val="24"/>
          <w:szCs w:val="24"/>
        </w:rPr>
        <w:t>公共资源</w:t>
      </w:r>
      <w:r>
        <w:rPr>
          <w:rFonts w:hint="eastAsia" w:ascii="宋体" w:hAnsi="宋体"/>
          <w:sz w:val="24"/>
          <w:szCs w:val="24"/>
        </w:rPr>
        <w:t>交易监督管理部门</w:t>
      </w:r>
      <w:r>
        <w:rPr>
          <w:rFonts w:ascii="宋体" w:hAnsi="宋体"/>
          <w:sz w:val="24"/>
          <w:szCs w:val="24"/>
        </w:rPr>
        <w:t>记不良行为记录或记不良行为记录累计未满10分的；</w:t>
      </w:r>
    </w:p>
    <w:p w14:paraId="3687F083">
      <w:pPr>
        <w:spacing w:line="440" w:lineRule="exact"/>
        <w:ind w:firstLine="435"/>
        <w:rPr>
          <w:rFonts w:ascii="宋体" w:hAnsi="宋体"/>
          <w:sz w:val="24"/>
          <w:szCs w:val="24"/>
        </w:rPr>
      </w:pPr>
      <w:r>
        <w:rPr>
          <w:rFonts w:hint="eastAsia" w:ascii="宋体" w:hAnsi="宋体"/>
          <w:sz w:val="24"/>
          <w:szCs w:val="24"/>
        </w:rPr>
        <w:t>（</w:t>
      </w:r>
      <w:r>
        <w:rPr>
          <w:rFonts w:ascii="宋体" w:hAnsi="宋体"/>
          <w:sz w:val="24"/>
          <w:szCs w:val="24"/>
        </w:rPr>
        <w:t>2）最近一次被合肥市及其所辖</w:t>
      </w:r>
      <w:r>
        <w:rPr>
          <w:rFonts w:hint="eastAsia" w:ascii="宋体" w:hAnsi="宋体"/>
          <w:sz w:val="24"/>
          <w:szCs w:val="24"/>
        </w:rPr>
        <w:t>县（市）及区（开发区）</w:t>
      </w:r>
      <w:r>
        <w:rPr>
          <w:rFonts w:ascii="宋体" w:hAnsi="宋体"/>
          <w:sz w:val="24"/>
          <w:szCs w:val="24"/>
        </w:rPr>
        <w:t>公共资源</w:t>
      </w:r>
      <w:r>
        <w:rPr>
          <w:rFonts w:hint="eastAsia" w:ascii="宋体" w:hAnsi="宋体"/>
          <w:sz w:val="24"/>
          <w:szCs w:val="24"/>
        </w:rPr>
        <w:t>交易监督管理部门</w:t>
      </w:r>
      <w:r>
        <w:rPr>
          <w:rFonts w:ascii="宋体" w:hAnsi="宋体"/>
          <w:sz w:val="24"/>
          <w:szCs w:val="24"/>
        </w:rPr>
        <w:t>记不良行为记录累计记分达10分（含10分）到15分且公布日距开标日超过6个月；</w:t>
      </w:r>
    </w:p>
    <w:p w14:paraId="4292F289">
      <w:pPr>
        <w:spacing w:line="440" w:lineRule="exact"/>
        <w:ind w:firstLine="435"/>
        <w:rPr>
          <w:rFonts w:ascii="宋体" w:hAnsi="宋体"/>
          <w:sz w:val="24"/>
          <w:szCs w:val="24"/>
        </w:rPr>
      </w:pPr>
      <w:r>
        <w:rPr>
          <w:rFonts w:hint="eastAsia" w:ascii="宋体" w:hAnsi="宋体"/>
          <w:sz w:val="24"/>
          <w:szCs w:val="24"/>
        </w:rPr>
        <w:t>（</w:t>
      </w:r>
      <w:r>
        <w:rPr>
          <w:rFonts w:ascii="宋体" w:hAnsi="宋体"/>
          <w:sz w:val="24"/>
          <w:szCs w:val="24"/>
        </w:rPr>
        <w:t>3）最近一次被合肥市及其所辖</w:t>
      </w:r>
      <w:r>
        <w:rPr>
          <w:rFonts w:hint="eastAsia" w:ascii="宋体" w:hAnsi="宋体"/>
          <w:sz w:val="24"/>
          <w:szCs w:val="24"/>
        </w:rPr>
        <w:t>县（市）及区（开发区）</w:t>
      </w:r>
      <w:r>
        <w:rPr>
          <w:rFonts w:ascii="宋体" w:hAnsi="宋体"/>
          <w:sz w:val="24"/>
          <w:szCs w:val="24"/>
        </w:rPr>
        <w:t>公共资源</w:t>
      </w:r>
      <w:r>
        <w:rPr>
          <w:rFonts w:hint="eastAsia" w:ascii="宋体" w:hAnsi="宋体"/>
          <w:sz w:val="24"/>
          <w:szCs w:val="24"/>
        </w:rPr>
        <w:t>交易监督管理部门</w:t>
      </w:r>
      <w:r>
        <w:rPr>
          <w:rFonts w:ascii="宋体" w:hAnsi="宋体"/>
          <w:sz w:val="24"/>
          <w:szCs w:val="24"/>
        </w:rPr>
        <w:t>记不良行为记录累计记分达15分（含15分）到20分且公布日距开标日超过12个月；</w:t>
      </w:r>
    </w:p>
    <w:p w14:paraId="6724AF76">
      <w:pPr>
        <w:spacing w:line="440" w:lineRule="exact"/>
        <w:ind w:firstLine="435"/>
        <w:rPr>
          <w:rFonts w:ascii="宋体" w:hAnsi="宋体"/>
          <w:sz w:val="24"/>
          <w:szCs w:val="24"/>
        </w:rPr>
      </w:pPr>
      <w:r>
        <w:rPr>
          <w:rFonts w:hint="eastAsia" w:ascii="宋体" w:hAnsi="宋体"/>
          <w:sz w:val="24"/>
          <w:szCs w:val="24"/>
        </w:rPr>
        <w:t>（</w:t>
      </w:r>
      <w:r>
        <w:rPr>
          <w:rFonts w:ascii="宋体" w:hAnsi="宋体"/>
          <w:sz w:val="24"/>
          <w:szCs w:val="24"/>
        </w:rPr>
        <w:t>4）最近一次被合肥市及其所辖</w:t>
      </w:r>
      <w:r>
        <w:rPr>
          <w:rFonts w:hint="eastAsia" w:ascii="宋体" w:hAnsi="宋体"/>
          <w:sz w:val="24"/>
          <w:szCs w:val="24"/>
        </w:rPr>
        <w:t>县（市）及区（开发区）</w:t>
      </w:r>
      <w:r>
        <w:rPr>
          <w:rFonts w:ascii="宋体" w:hAnsi="宋体"/>
          <w:sz w:val="24"/>
          <w:szCs w:val="24"/>
        </w:rPr>
        <w:t>公共资源</w:t>
      </w:r>
      <w:r>
        <w:rPr>
          <w:rFonts w:hint="eastAsia" w:ascii="宋体" w:hAnsi="宋体"/>
          <w:sz w:val="24"/>
          <w:szCs w:val="24"/>
        </w:rPr>
        <w:t>交易监督管理部门</w:t>
      </w:r>
      <w:r>
        <w:rPr>
          <w:rFonts w:ascii="宋体" w:hAnsi="宋体"/>
          <w:sz w:val="24"/>
          <w:szCs w:val="24"/>
        </w:rPr>
        <w:t>记不良行为记录累计记分达20分（含20分）及以上且公布日距开标日超过24个月。</w:t>
      </w:r>
    </w:p>
    <w:p w14:paraId="66AD83E8">
      <w:pPr>
        <w:spacing w:line="440" w:lineRule="exact"/>
        <w:ind w:firstLine="435"/>
        <w:rPr>
          <w:rFonts w:ascii="宋体" w:hAnsi="宋体"/>
          <w:sz w:val="24"/>
          <w:szCs w:val="24"/>
        </w:rPr>
      </w:pPr>
      <w:r>
        <w:rPr>
          <w:rFonts w:hint="eastAsia" w:ascii="宋体" w:hAnsi="宋体"/>
          <w:sz w:val="24"/>
          <w:szCs w:val="24"/>
        </w:rPr>
        <w:t>本单位对上述声明的真实性负责。如有虚假，将依法承担相应责任。</w:t>
      </w:r>
    </w:p>
    <w:p w14:paraId="21342EDE">
      <w:pPr>
        <w:spacing w:line="440" w:lineRule="exact"/>
        <w:jc w:val="center"/>
        <w:rPr>
          <w:rFonts w:ascii="宋体" w:hAnsi="宋体"/>
          <w:sz w:val="24"/>
          <w:szCs w:val="24"/>
          <w:u w:val="single"/>
        </w:rPr>
      </w:pPr>
      <w:r>
        <w:rPr>
          <w:rFonts w:hint="eastAsia" w:ascii="宋体" w:hAnsi="宋体"/>
          <w:sz w:val="24"/>
          <w:szCs w:val="24"/>
        </w:rPr>
        <w:t>投标人电子签章：</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p>
    <w:p w14:paraId="37562C30">
      <w:pPr>
        <w:spacing w:line="440" w:lineRule="exact"/>
        <w:jc w:val="center"/>
        <w:rPr>
          <w:rFonts w:ascii="宋体" w:hAnsi="宋体"/>
          <w:b/>
          <w:sz w:val="24"/>
        </w:rPr>
      </w:pPr>
      <w:r>
        <w:rPr>
          <w:rFonts w:hint="eastAsia" w:ascii="宋体" w:hAnsi="宋体"/>
          <w:sz w:val="24"/>
          <w:szCs w:val="24"/>
        </w:rPr>
        <w:t>日          期：</w:t>
      </w:r>
      <w:r>
        <w:rPr>
          <w:rFonts w:hint="eastAsia" w:ascii="宋体" w:hAnsi="宋体"/>
          <w:sz w:val="24"/>
          <w:szCs w:val="24"/>
          <w:u w:val="single"/>
        </w:rPr>
        <w:t xml:space="preserve">                   </w:t>
      </w:r>
      <w:bookmarkEnd w:id="196"/>
    </w:p>
    <w:bookmarkEnd w:id="197"/>
    <w:bookmarkEnd w:id="198"/>
    <w:bookmarkEnd w:id="199"/>
    <w:bookmarkEnd w:id="200"/>
    <w:p w14:paraId="0CD35D64">
      <w:pPr>
        <w:pStyle w:val="23"/>
        <w:spacing w:line="360" w:lineRule="auto"/>
        <w:jc w:val="center"/>
        <w:rPr>
          <w:rFonts w:ascii="宋体" w:hAnsi="宋体"/>
          <w:sz w:val="24"/>
        </w:rPr>
      </w:pPr>
      <w:r>
        <w:rPr>
          <w:rFonts w:hint="eastAsia" w:ascii="宋体" w:hAnsi="宋体"/>
          <w:sz w:val="24"/>
        </w:rPr>
        <w:t>九、</w:t>
      </w:r>
      <w:r>
        <w:rPr>
          <w:rFonts w:hint="eastAsia" w:ascii="宋体" w:hAnsi="宋体" w:cs="宋体"/>
          <w:bCs/>
          <w:sz w:val="24"/>
          <w:szCs w:val="24"/>
        </w:rPr>
        <w:t>资格审查资料</w:t>
      </w:r>
    </w:p>
    <w:p w14:paraId="76DBF599">
      <w:pPr>
        <w:spacing w:line="360" w:lineRule="auto"/>
        <w:jc w:val="center"/>
        <w:rPr>
          <w:rFonts w:ascii="宋体" w:hAnsi="宋体"/>
          <w:i/>
          <w:sz w:val="24"/>
        </w:rPr>
      </w:pPr>
      <w:r>
        <w:rPr>
          <w:rFonts w:ascii="宋体" w:hAnsi="宋体"/>
          <w:i/>
          <w:sz w:val="24"/>
        </w:rPr>
        <w:t>(</w:t>
      </w:r>
      <w:r>
        <w:rPr>
          <w:rFonts w:hint="eastAsia" w:ascii="宋体" w:hAnsi="宋体"/>
          <w:i/>
          <w:sz w:val="24"/>
        </w:rPr>
        <w:t>投标人</w:t>
      </w:r>
      <w:r>
        <w:rPr>
          <w:rFonts w:ascii="宋体" w:hAnsi="宋体"/>
          <w:i/>
          <w:sz w:val="24"/>
        </w:rPr>
        <w:t>可自行制作格式)</w:t>
      </w:r>
    </w:p>
    <w:p w14:paraId="1F242C18">
      <w:pPr>
        <w:widowControl/>
        <w:jc w:val="left"/>
        <w:rPr>
          <w:rFonts w:ascii="宋体" w:hAnsi="宋体"/>
          <w:sz w:val="24"/>
        </w:rPr>
      </w:pPr>
      <w:r>
        <w:rPr>
          <w:rFonts w:ascii="宋体" w:hAnsi="宋体"/>
          <w:sz w:val="24"/>
        </w:rPr>
        <w:br w:type="page"/>
      </w:r>
    </w:p>
    <w:p w14:paraId="38434530">
      <w:pPr>
        <w:pStyle w:val="23"/>
        <w:spacing w:line="360" w:lineRule="auto"/>
        <w:jc w:val="center"/>
        <w:rPr>
          <w:rFonts w:ascii="宋体" w:hAnsi="宋体"/>
          <w:sz w:val="24"/>
        </w:rPr>
      </w:pPr>
      <w:r>
        <w:rPr>
          <w:rFonts w:hint="eastAsia" w:ascii="宋体" w:hAnsi="宋体"/>
          <w:sz w:val="24"/>
          <w:lang w:val="en-US" w:eastAsia="zh-CN"/>
        </w:rPr>
        <w:t>十</w:t>
      </w:r>
      <w:r>
        <w:rPr>
          <w:rFonts w:hint="eastAsia" w:ascii="宋体" w:hAnsi="宋体"/>
          <w:sz w:val="24"/>
        </w:rPr>
        <w:t>、</w:t>
      </w:r>
      <w:r>
        <w:rPr>
          <w:rFonts w:hint="eastAsia" w:ascii="宋体" w:hAnsi="宋体" w:cs="宋体"/>
          <w:bCs/>
          <w:sz w:val="24"/>
          <w:szCs w:val="24"/>
        </w:rPr>
        <w:t>拟委任的项目负责人简历</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20"/>
        <w:gridCol w:w="1433"/>
        <w:gridCol w:w="1081"/>
        <w:gridCol w:w="209"/>
        <w:gridCol w:w="1474"/>
        <w:gridCol w:w="1268"/>
        <w:gridCol w:w="391"/>
        <w:gridCol w:w="2011"/>
      </w:tblGrid>
      <w:tr w14:paraId="2B69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14:paraId="78671A32">
            <w:pPr>
              <w:jc w:val="center"/>
              <w:rPr>
                <w:sz w:val="24"/>
                <w:szCs w:val="24"/>
              </w:rPr>
            </w:pPr>
            <w:r>
              <w:rPr>
                <w:sz w:val="24"/>
                <w:szCs w:val="24"/>
              </w:rPr>
              <w:t>姓  名</w:t>
            </w:r>
          </w:p>
        </w:tc>
        <w:tc>
          <w:tcPr>
            <w:tcW w:w="1453" w:type="dxa"/>
            <w:gridSpan w:val="2"/>
            <w:noWrap w:val="0"/>
            <w:vAlign w:val="center"/>
          </w:tcPr>
          <w:p w14:paraId="2E0CA8B9">
            <w:pPr>
              <w:jc w:val="center"/>
              <w:rPr>
                <w:sz w:val="24"/>
                <w:szCs w:val="24"/>
              </w:rPr>
            </w:pPr>
          </w:p>
        </w:tc>
        <w:tc>
          <w:tcPr>
            <w:tcW w:w="1290" w:type="dxa"/>
            <w:gridSpan w:val="2"/>
            <w:noWrap w:val="0"/>
            <w:vAlign w:val="center"/>
          </w:tcPr>
          <w:p w14:paraId="1A6DF480">
            <w:pPr>
              <w:jc w:val="center"/>
              <w:rPr>
                <w:sz w:val="24"/>
                <w:szCs w:val="24"/>
              </w:rPr>
            </w:pPr>
            <w:r>
              <w:rPr>
                <w:sz w:val="24"/>
                <w:szCs w:val="24"/>
              </w:rPr>
              <w:t>年 龄</w:t>
            </w:r>
          </w:p>
        </w:tc>
        <w:tc>
          <w:tcPr>
            <w:tcW w:w="1474" w:type="dxa"/>
            <w:noWrap w:val="0"/>
            <w:vAlign w:val="center"/>
          </w:tcPr>
          <w:p w14:paraId="39A61635">
            <w:pPr>
              <w:jc w:val="center"/>
              <w:rPr>
                <w:sz w:val="24"/>
                <w:szCs w:val="24"/>
              </w:rPr>
            </w:pPr>
          </w:p>
        </w:tc>
        <w:tc>
          <w:tcPr>
            <w:tcW w:w="1659" w:type="dxa"/>
            <w:gridSpan w:val="2"/>
            <w:noWrap w:val="0"/>
            <w:vAlign w:val="center"/>
          </w:tcPr>
          <w:p w14:paraId="5866400F">
            <w:pPr>
              <w:jc w:val="center"/>
              <w:rPr>
                <w:sz w:val="24"/>
                <w:szCs w:val="24"/>
              </w:rPr>
            </w:pPr>
            <w:r>
              <w:rPr>
                <w:sz w:val="24"/>
                <w:szCs w:val="24"/>
              </w:rPr>
              <w:t>学</w:t>
            </w:r>
            <w:r>
              <w:rPr>
                <w:rFonts w:hint="eastAsia"/>
                <w:sz w:val="24"/>
                <w:szCs w:val="24"/>
              </w:rPr>
              <w:t xml:space="preserve"> </w:t>
            </w:r>
            <w:r>
              <w:rPr>
                <w:sz w:val="24"/>
                <w:szCs w:val="24"/>
              </w:rPr>
              <w:t>历</w:t>
            </w:r>
          </w:p>
        </w:tc>
        <w:tc>
          <w:tcPr>
            <w:tcW w:w="2011" w:type="dxa"/>
            <w:noWrap w:val="0"/>
            <w:vAlign w:val="center"/>
          </w:tcPr>
          <w:p w14:paraId="5D0FEA99">
            <w:pPr>
              <w:jc w:val="center"/>
              <w:rPr>
                <w:sz w:val="24"/>
                <w:szCs w:val="24"/>
              </w:rPr>
            </w:pPr>
          </w:p>
        </w:tc>
      </w:tr>
      <w:tr w14:paraId="31131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14:paraId="4F159748">
            <w:pPr>
              <w:jc w:val="center"/>
              <w:rPr>
                <w:sz w:val="24"/>
                <w:szCs w:val="24"/>
              </w:rPr>
            </w:pPr>
            <w:r>
              <w:rPr>
                <w:sz w:val="24"/>
                <w:szCs w:val="24"/>
              </w:rPr>
              <w:t>职  称</w:t>
            </w:r>
          </w:p>
        </w:tc>
        <w:tc>
          <w:tcPr>
            <w:tcW w:w="1453" w:type="dxa"/>
            <w:gridSpan w:val="2"/>
            <w:noWrap w:val="0"/>
            <w:vAlign w:val="center"/>
          </w:tcPr>
          <w:p w14:paraId="5D01E1A6">
            <w:pPr>
              <w:jc w:val="center"/>
              <w:rPr>
                <w:sz w:val="24"/>
                <w:szCs w:val="24"/>
              </w:rPr>
            </w:pPr>
          </w:p>
        </w:tc>
        <w:tc>
          <w:tcPr>
            <w:tcW w:w="1290" w:type="dxa"/>
            <w:gridSpan w:val="2"/>
            <w:noWrap w:val="0"/>
            <w:vAlign w:val="center"/>
          </w:tcPr>
          <w:p w14:paraId="7E04A2DD">
            <w:pPr>
              <w:jc w:val="center"/>
              <w:rPr>
                <w:sz w:val="24"/>
                <w:szCs w:val="24"/>
              </w:rPr>
            </w:pPr>
            <w:r>
              <w:rPr>
                <w:rFonts w:hint="eastAsia"/>
                <w:sz w:val="24"/>
                <w:szCs w:val="24"/>
              </w:rPr>
              <w:t>单位</w:t>
            </w:r>
          </w:p>
          <w:p w14:paraId="58BE2F61">
            <w:pPr>
              <w:jc w:val="center"/>
              <w:rPr>
                <w:sz w:val="24"/>
                <w:szCs w:val="24"/>
              </w:rPr>
            </w:pPr>
            <w:r>
              <w:rPr>
                <w:sz w:val="24"/>
                <w:szCs w:val="24"/>
              </w:rPr>
              <w:t>职务</w:t>
            </w:r>
          </w:p>
        </w:tc>
        <w:tc>
          <w:tcPr>
            <w:tcW w:w="1474" w:type="dxa"/>
            <w:noWrap w:val="0"/>
            <w:vAlign w:val="center"/>
          </w:tcPr>
          <w:p w14:paraId="445122FA">
            <w:pPr>
              <w:jc w:val="center"/>
              <w:rPr>
                <w:sz w:val="24"/>
                <w:szCs w:val="24"/>
              </w:rPr>
            </w:pPr>
          </w:p>
        </w:tc>
        <w:tc>
          <w:tcPr>
            <w:tcW w:w="1659" w:type="dxa"/>
            <w:gridSpan w:val="2"/>
            <w:noWrap w:val="0"/>
            <w:vAlign w:val="center"/>
          </w:tcPr>
          <w:p w14:paraId="611F731A">
            <w:pPr>
              <w:jc w:val="center"/>
              <w:rPr>
                <w:sz w:val="24"/>
                <w:szCs w:val="24"/>
              </w:rPr>
            </w:pPr>
            <w:r>
              <w:rPr>
                <w:sz w:val="24"/>
                <w:szCs w:val="24"/>
              </w:rPr>
              <w:t>拟在本</w:t>
            </w:r>
            <w:r>
              <w:rPr>
                <w:rFonts w:hint="eastAsia"/>
                <w:sz w:val="24"/>
                <w:szCs w:val="24"/>
              </w:rPr>
              <w:t>标段</w:t>
            </w:r>
          </w:p>
          <w:p w14:paraId="474A0C6C">
            <w:pPr>
              <w:jc w:val="center"/>
              <w:rPr>
                <w:sz w:val="24"/>
                <w:szCs w:val="24"/>
              </w:rPr>
            </w:pPr>
            <w:r>
              <w:rPr>
                <w:rFonts w:hint="eastAsia"/>
                <w:sz w:val="24"/>
                <w:szCs w:val="24"/>
              </w:rPr>
              <w:t>项目担任职务</w:t>
            </w:r>
          </w:p>
        </w:tc>
        <w:tc>
          <w:tcPr>
            <w:tcW w:w="2011" w:type="dxa"/>
            <w:noWrap w:val="0"/>
            <w:vAlign w:val="center"/>
          </w:tcPr>
          <w:p w14:paraId="249BEEC2">
            <w:pPr>
              <w:jc w:val="center"/>
              <w:rPr>
                <w:sz w:val="24"/>
                <w:szCs w:val="24"/>
              </w:rPr>
            </w:pPr>
          </w:p>
        </w:tc>
      </w:tr>
      <w:tr w14:paraId="5AD8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14:paraId="2CB7ED39">
            <w:pPr>
              <w:jc w:val="center"/>
              <w:rPr>
                <w:sz w:val="24"/>
                <w:szCs w:val="24"/>
              </w:rPr>
            </w:pPr>
            <w:r>
              <w:rPr>
                <w:sz w:val="24"/>
                <w:szCs w:val="24"/>
              </w:rPr>
              <w:t>执业资格</w:t>
            </w:r>
          </w:p>
        </w:tc>
        <w:tc>
          <w:tcPr>
            <w:tcW w:w="1453" w:type="dxa"/>
            <w:gridSpan w:val="2"/>
            <w:noWrap w:val="0"/>
            <w:vAlign w:val="center"/>
          </w:tcPr>
          <w:p w14:paraId="093BA0A6">
            <w:pPr>
              <w:jc w:val="center"/>
              <w:rPr>
                <w:sz w:val="24"/>
                <w:szCs w:val="24"/>
              </w:rPr>
            </w:pPr>
          </w:p>
        </w:tc>
        <w:tc>
          <w:tcPr>
            <w:tcW w:w="1290" w:type="dxa"/>
            <w:gridSpan w:val="2"/>
            <w:noWrap w:val="0"/>
            <w:vAlign w:val="center"/>
          </w:tcPr>
          <w:p w14:paraId="155747B9">
            <w:pPr>
              <w:jc w:val="center"/>
              <w:rPr>
                <w:rFonts w:hint="eastAsia"/>
                <w:sz w:val="24"/>
                <w:szCs w:val="24"/>
              </w:rPr>
            </w:pPr>
            <w:r>
              <w:rPr>
                <w:rFonts w:hint="eastAsia"/>
                <w:sz w:val="24"/>
                <w:szCs w:val="24"/>
              </w:rPr>
              <w:t>资格</w:t>
            </w:r>
            <w:r>
              <w:rPr>
                <w:sz w:val="24"/>
                <w:szCs w:val="24"/>
              </w:rPr>
              <w:t>证书编号</w:t>
            </w:r>
          </w:p>
        </w:tc>
        <w:tc>
          <w:tcPr>
            <w:tcW w:w="5144" w:type="dxa"/>
            <w:gridSpan w:val="4"/>
            <w:noWrap w:val="0"/>
            <w:vAlign w:val="center"/>
          </w:tcPr>
          <w:p w14:paraId="7B4ADD64">
            <w:pPr>
              <w:jc w:val="center"/>
              <w:rPr>
                <w:sz w:val="24"/>
                <w:szCs w:val="24"/>
              </w:rPr>
            </w:pPr>
          </w:p>
        </w:tc>
      </w:tr>
      <w:tr w14:paraId="5A80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14:paraId="7101C42A">
            <w:pPr>
              <w:jc w:val="center"/>
              <w:rPr>
                <w:sz w:val="24"/>
                <w:szCs w:val="24"/>
              </w:rPr>
            </w:pPr>
            <w:r>
              <w:rPr>
                <w:sz w:val="24"/>
                <w:szCs w:val="24"/>
              </w:rPr>
              <w:t>毕业学校</w:t>
            </w:r>
          </w:p>
        </w:tc>
        <w:tc>
          <w:tcPr>
            <w:tcW w:w="7887" w:type="dxa"/>
            <w:gridSpan w:val="8"/>
            <w:noWrap w:val="0"/>
            <w:vAlign w:val="center"/>
          </w:tcPr>
          <w:p w14:paraId="33CE2192">
            <w:pPr>
              <w:rPr>
                <w:sz w:val="24"/>
                <w:szCs w:val="24"/>
              </w:rPr>
            </w:pPr>
            <w:r>
              <w:rPr>
                <w:sz w:val="24"/>
                <w:szCs w:val="24"/>
                <w:u w:val="single"/>
              </w:rPr>
              <w:t xml:space="preserve">    </w:t>
            </w:r>
            <w:r>
              <w:rPr>
                <w:sz w:val="24"/>
                <w:szCs w:val="24"/>
              </w:rPr>
              <w:t>年</w:t>
            </w:r>
            <w:r>
              <w:rPr>
                <w:rFonts w:hint="eastAsia"/>
                <w:sz w:val="24"/>
                <w:szCs w:val="24"/>
                <w:u w:val="single"/>
              </w:rPr>
              <w:t xml:space="preserve">  </w:t>
            </w:r>
            <w:r>
              <w:rPr>
                <w:rFonts w:hint="eastAsia"/>
                <w:sz w:val="24"/>
                <w:szCs w:val="24"/>
              </w:rPr>
              <w:t>月</w:t>
            </w:r>
            <w:r>
              <w:rPr>
                <w:sz w:val="24"/>
                <w:szCs w:val="24"/>
              </w:rPr>
              <w:t>毕业于</w:t>
            </w:r>
            <w:r>
              <w:rPr>
                <w:sz w:val="24"/>
                <w:szCs w:val="24"/>
                <w:u w:val="single"/>
              </w:rPr>
              <w:t xml:space="preserve">            </w:t>
            </w:r>
            <w:r>
              <w:rPr>
                <w:sz w:val="24"/>
                <w:szCs w:val="24"/>
              </w:rPr>
              <w:t>学校</w:t>
            </w:r>
            <w:r>
              <w:rPr>
                <w:sz w:val="24"/>
                <w:szCs w:val="24"/>
                <w:u w:val="single"/>
              </w:rPr>
              <w:t xml:space="preserve">        </w:t>
            </w:r>
            <w:r>
              <w:rPr>
                <w:sz w:val="24"/>
                <w:szCs w:val="24"/>
              </w:rPr>
              <w:t>专业</w:t>
            </w:r>
            <w:r>
              <w:rPr>
                <w:rFonts w:hint="eastAsia"/>
                <w:sz w:val="24"/>
                <w:szCs w:val="24"/>
              </w:rPr>
              <w:t>，学制</w:t>
            </w:r>
            <w:r>
              <w:rPr>
                <w:rFonts w:hint="eastAsia"/>
                <w:sz w:val="24"/>
                <w:szCs w:val="24"/>
                <w:u w:val="single"/>
              </w:rPr>
              <w:t xml:space="preserve">   </w:t>
            </w:r>
            <w:r>
              <w:rPr>
                <w:rFonts w:hint="eastAsia"/>
                <w:sz w:val="24"/>
                <w:szCs w:val="24"/>
              </w:rPr>
              <w:t>年</w:t>
            </w:r>
          </w:p>
        </w:tc>
      </w:tr>
      <w:tr w14:paraId="2A3BA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5" w:type="dxa"/>
            <w:gridSpan w:val="9"/>
            <w:noWrap w:val="0"/>
            <w:vAlign w:val="center"/>
          </w:tcPr>
          <w:p w14:paraId="2422B47A">
            <w:pPr>
              <w:jc w:val="center"/>
              <w:rPr>
                <w:sz w:val="24"/>
                <w:szCs w:val="24"/>
              </w:rPr>
            </w:pPr>
            <w:r>
              <w:rPr>
                <w:sz w:val="24"/>
                <w:szCs w:val="24"/>
              </w:rPr>
              <w:t>经</w:t>
            </w:r>
            <w:r>
              <w:rPr>
                <w:rFonts w:hint="eastAsia"/>
                <w:sz w:val="24"/>
                <w:szCs w:val="24"/>
              </w:rPr>
              <w:t xml:space="preserve">    </w:t>
            </w:r>
            <w:r>
              <w:rPr>
                <w:sz w:val="24"/>
                <w:szCs w:val="24"/>
              </w:rPr>
              <w:t>历</w:t>
            </w:r>
          </w:p>
        </w:tc>
      </w:tr>
      <w:tr w14:paraId="744C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14:paraId="22DA429A">
            <w:pPr>
              <w:jc w:val="center"/>
              <w:rPr>
                <w:sz w:val="24"/>
                <w:szCs w:val="24"/>
              </w:rPr>
            </w:pPr>
            <w:r>
              <w:rPr>
                <w:rFonts w:hint="eastAsia"/>
                <w:sz w:val="24"/>
                <w:szCs w:val="24"/>
              </w:rPr>
              <w:t>时间</w:t>
            </w:r>
          </w:p>
        </w:tc>
        <w:tc>
          <w:tcPr>
            <w:tcW w:w="2514" w:type="dxa"/>
            <w:gridSpan w:val="2"/>
            <w:noWrap w:val="0"/>
            <w:vAlign w:val="center"/>
          </w:tcPr>
          <w:p w14:paraId="6717EA0F">
            <w:pPr>
              <w:jc w:val="center"/>
              <w:rPr>
                <w:sz w:val="24"/>
                <w:szCs w:val="24"/>
              </w:rPr>
            </w:pPr>
            <w:r>
              <w:rPr>
                <w:sz w:val="24"/>
                <w:szCs w:val="24"/>
              </w:rPr>
              <w:t>参加过的项目</w:t>
            </w:r>
            <w:r>
              <w:rPr>
                <w:rFonts w:hint="eastAsia"/>
                <w:sz w:val="24"/>
                <w:szCs w:val="24"/>
              </w:rPr>
              <w:t>名称</w:t>
            </w:r>
          </w:p>
        </w:tc>
        <w:tc>
          <w:tcPr>
            <w:tcW w:w="1683" w:type="dxa"/>
            <w:gridSpan w:val="2"/>
            <w:noWrap w:val="0"/>
            <w:vAlign w:val="center"/>
          </w:tcPr>
          <w:p w14:paraId="5377CA3B">
            <w:pPr>
              <w:jc w:val="center"/>
              <w:rPr>
                <w:sz w:val="24"/>
                <w:szCs w:val="24"/>
              </w:rPr>
            </w:pPr>
            <w:r>
              <w:rPr>
                <w:rFonts w:hint="eastAsia"/>
                <w:sz w:val="24"/>
                <w:szCs w:val="24"/>
              </w:rPr>
              <w:t>签约合同价金额（万元）</w:t>
            </w:r>
          </w:p>
        </w:tc>
        <w:tc>
          <w:tcPr>
            <w:tcW w:w="1268" w:type="dxa"/>
            <w:noWrap w:val="0"/>
            <w:vAlign w:val="center"/>
          </w:tcPr>
          <w:p w14:paraId="429DBFAB">
            <w:pPr>
              <w:jc w:val="center"/>
              <w:rPr>
                <w:sz w:val="24"/>
                <w:szCs w:val="24"/>
              </w:rPr>
            </w:pPr>
            <w:r>
              <w:rPr>
                <w:sz w:val="24"/>
                <w:szCs w:val="24"/>
              </w:rPr>
              <w:t>担任职务</w:t>
            </w:r>
          </w:p>
        </w:tc>
        <w:tc>
          <w:tcPr>
            <w:tcW w:w="2402" w:type="dxa"/>
            <w:gridSpan w:val="2"/>
            <w:noWrap w:val="0"/>
            <w:vAlign w:val="center"/>
          </w:tcPr>
          <w:p w14:paraId="40459CDA">
            <w:pPr>
              <w:jc w:val="center"/>
              <w:rPr>
                <w:sz w:val="24"/>
                <w:szCs w:val="24"/>
              </w:rPr>
            </w:pPr>
            <w:r>
              <w:rPr>
                <w:rFonts w:hint="eastAsia"/>
                <w:sz w:val="24"/>
                <w:szCs w:val="24"/>
              </w:rPr>
              <w:t>买方</w:t>
            </w:r>
            <w:r>
              <w:rPr>
                <w:sz w:val="24"/>
                <w:szCs w:val="24"/>
              </w:rPr>
              <w:t>及联系电话</w:t>
            </w:r>
          </w:p>
        </w:tc>
      </w:tr>
      <w:tr w14:paraId="4F77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14:paraId="57CC0C69">
            <w:pPr>
              <w:rPr>
                <w:sz w:val="24"/>
                <w:szCs w:val="24"/>
              </w:rPr>
            </w:pPr>
          </w:p>
        </w:tc>
        <w:tc>
          <w:tcPr>
            <w:tcW w:w="2514" w:type="dxa"/>
            <w:gridSpan w:val="2"/>
            <w:noWrap w:val="0"/>
            <w:vAlign w:val="top"/>
          </w:tcPr>
          <w:p w14:paraId="77133C1D">
            <w:pPr>
              <w:rPr>
                <w:sz w:val="24"/>
                <w:szCs w:val="24"/>
              </w:rPr>
            </w:pPr>
          </w:p>
        </w:tc>
        <w:tc>
          <w:tcPr>
            <w:tcW w:w="1683" w:type="dxa"/>
            <w:gridSpan w:val="2"/>
            <w:noWrap w:val="0"/>
            <w:vAlign w:val="top"/>
          </w:tcPr>
          <w:p w14:paraId="7E8C31EB">
            <w:pPr>
              <w:rPr>
                <w:sz w:val="24"/>
                <w:szCs w:val="24"/>
              </w:rPr>
            </w:pPr>
          </w:p>
        </w:tc>
        <w:tc>
          <w:tcPr>
            <w:tcW w:w="1268" w:type="dxa"/>
            <w:noWrap w:val="0"/>
            <w:vAlign w:val="top"/>
          </w:tcPr>
          <w:p w14:paraId="0332C5B8">
            <w:pPr>
              <w:rPr>
                <w:sz w:val="24"/>
                <w:szCs w:val="24"/>
              </w:rPr>
            </w:pPr>
          </w:p>
        </w:tc>
        <w:tc>
          <w:tcPr>
            <w:tcW w:w="2402" w:type="dxa"/>
            <w:gridSpan w:val="2"/>
            <w:noWrap w:val="0"/>
            <w:vAlign w:val="top"/>
          </w:tcPr>
          <w:p w14:paraId="35F2C895">
            <w:pPr>
              <w:rPr>
                <w:sz w:val="24"/>
                <w:szCs w:val="24"/>
              </w:rPr>
            </w:pPr>
          </w:p>
        </w:tc>
      </w:tr>
      <w:tr w14:paraId="4C52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14:paraId="1B54CEDB">
            <w:pPr>
              <w:rPr>
                <w:rFonts w:eastAsia="黑体"/>
                <w:sz w:val="24"/>
                <w:szCs w:val="24"/>
              </w:rPr>
            </w:pPr>
          </w:p>
        </w:tc>
        <w:tc>
          <w:tcPr>
            <w:tcW w:w="2514" w:type="dxa"/>
            <w:gridSpan w:val="2"/>
            <w:noWrap w:val="0"/>
            <w:vAlign w:val="top"/>
          </w:tcPr>
          <w:p w14:paraId="357A6946">
            <w:pPr>
              <w:pStyle w:val="29"/>
              <w:rPr>
                <w:rFonts w:ascii="Times New Roman" w:hAnsi="Times New Roman"/>
                <w:sz w:val="24"/>
                <w:szCs w:val="24"/>
              </w:rPr>
            </w:pPr>
          </w:p>
        </w:tc>
        <w:tc>
          <w:tcPr>
            <w:tcW w:w="1683" w:type="dxa"/>
            <w:gridSpan w:val="2"/>
            <w:noWrap w:val="0"/>
            <w:vAlign w:val="top"/>
          </w:tcPr>
          <w:p w14:paraId="4318EB76">
            <w:pPr>
              <w:pStyle w:val="29"/>
              <w:rPr>
                <w:rFonts w:ascii="Times New Roman" w:hAnsi="Times New Roman"/>
                <w:sz w:val="24"/>
                <w:szCs w:val="24"/>
              </w:rPr>
            </w:pPr>
          </w:p>
        </w:tc>
        <w:tc>
          <w:tcPr>
            <w:tcW w:w="1268" w:type="dxa"/>
            <w:noWrap w:val="0"/>
            <w:vAlign w:val="top"/>
          </w:tcPr>
          <w:p w14:paraId="27BA12BD">
            <w:pPr>
              <w:pStyle w:val="29"/>
              <w:rPr>
                <w:rFonts w:ascii="Times New Roman" w:hAnsi="Times New Roman"/>
                <w:sz w:val="24"/>
                <w:szCs w:val="24"/>
              </w:rPr>
            </w:pPr>
          </w:p>
        </w:tc>
        <w:tc>
          <w:tcPr>
            <w:tcW w:w="2402" w:type="dxa"/>
            <w:gridSpan w:val="2"/>
            <w:noWrap w:val="0"/>
            <w:vAlign w:val="top"/>
          </w:tcPr>
          <w:p w14:paraId="33C9DCFE">
            <w:pPr>
              <w:rPr>
                <w:rFonts w:eastAsia="黑体"/>
                <w:sz w:val="24"/>
                <w:szCs w:val="24"/>
              </w:rPr>
            </w:pPr>
          </w:p>
        </w:tc>
      </w:tr>
      <w:tr w14:paraId="48D8A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14:paraId="644F114B">
            <w:pPr>
              <w:rPr>
                <w:rFonts w:eastAsia="黑体"/>
                <w:sz w:val="24"/>
                <w:szCs w:val="24"/>
              </w:rPr>
            </w:pPr>
          </w:p>
        </w:tc>
        <w:tc>
          <w:tcPr>
            <w:tcW w:w="2514" w:type="dxa"/>
            <w:gridSpan w:val="2"/>
            <w:noWrap w:val="0"/>
            <w:vAlign w:val="top"/>
          </w:tcPr>
          <w:p w14:paraId="7B13DF28">
            <w:pPr>
              <w:rPr>
                <w:rFonts w:eastAsia="黑体"/>
                <w:sz w:val="24"/>
                <w:szCs w:val="24"/>
              </w:rPr>
            </w:pPr>
          </w:p>
        </w:tc>
        <w:tc>
          <w:tcPr>
            <w:tcW w:w="1683" w:type="dxa"/>
            <w:gridSpan w:val="2"/>
            <w:noWrap w:val="0"/>
            <w:vAlign w:val="top"/>
          </w:tcPr>
          <w:p w14:paraId="607E5EFB">
            <w:pPr>
              <w:rPr>
                <w:rFonts w:eastAsia="黑体"/>
                <w:sz w:val="24"/>
                <w:szCs w:val="24"/>
              </w:rPr>
            </w:pPr>
          </w:p>
        </w:tc>
        <w:tc>
          <w:tcPr>
            <w:tcW w:w="1268" w:type="dxa"/>
            <w:noWrap w:val="0"/>
            <w:vAlign w:val="top"/>
          </w:tcPr>
          <w:p w14:paraId="5CA92041">
            <w:pPr>
              <w:rPr>
                <w:rFonts w:eastAsia="黑体"/>
                <w:sz w:val="24"/>
                <w:szCs w:val="24"/>
              </w:rPr>
            </w:pPr>
          </w:p>
        </w:tc>
        <w:tc>
          <w:tcPr>
            <w:tcW w:w="2402" w:type="dxa"/>
            <w:gridSpan w:val="2"/>
            <w:noWrap w:val="0"/>
            <w:vAlign w:val="top"/>
          </w:tcPr>
          <w:p w14:paraId="3C342588">
            <w:pPr>
              <w:rPr>
                <w:rFonts w:eastAsia="黑体"/>
                <w:sz w:val="24"/>
                <w:szCs w:val="24"/>
              </w:rPr>
            </w:pPr>
          </w:p>
        </w:tc>
      </w:tr>
      <w:tr w14:paraId="0482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14:paraId="398D39EF">
            <w:pPr>
              <w:rPr>
                <w:rFonts w:eastAsia="黑体"/>
                <w:sz w:val="24"/>
                <w:szCs w:val="24"/>
              </w:rPr>
            </w:pPr>
          </w:p>
        </w:tc>
        <w:tc>
          <w:tcPr>
            <w:tcW w:w="2514" w:type="dxa"/>
            <w:gridSpan w:val="2"/>
            <w:noWrap w:val="0"/>
            <w:vAlign w:val="center"/>
          </w:tcPr>
          <w:p w14:paraId="7ED09F65">
            <w:pPr>
              <w:rPr>
                <w:rFonts w:eastAsia="黑体"/>
                <w:sz w:val="24"/>
                <w:szCs w:val="24"/>
              </w:rPr>
            </w:pPr>
          </w:p>
        </w:tc>
        <w:tc>
          <w:tcPr>
            <w:tcW w:w="1683" w:type="dxa"/>
            <w:gridSpan w:val="2"/>
            <w:noWrap w:val="0"/>
            <w:vAlign w:val="center"/>
          </w:tcPr>
          <w:p w14:paraId="78B7BB0C">
            <w:pPr>
              <w:rPr>
                <w:rFonts w:eastAsia="黑体"/>
                <w:sz w:val="24"/>
                <w:szCs w:val="24"/>
              </w:rPr>
            </w:pPr>
          </w:p>
        </w:tc>
        <w:tc>
          <w:tcPr>
            <w:tcW w:w="1268" w:type="dxa"/>
            <w:noWrap w:val="0"/>
            <w:vAlign w:val="center"/>
          </w:tcPr>
          <w:p w14:paraId="2ECD2B0D">
            <w:pPr>
              <w:rPr>
                <w:rFonts w:eastAsia="黑体"/>
                <w:sz w:val="24"/>
                <w:szCs w:val="24"/>
              </w:rPr>
            </w:pPr>
          </w:p>
        </w:tc>
        <w:tc>
          <w:tcPr>
            <w:tcW w:w="2402" w:type="dxa"/>
            <w:gridSpan w:val="2"/>
            <w:noWrap w:val="0"/>
            <w:vAlign w:val="center"/>
          </w:tcPr>
          <w:p w14:paraId="5F2E142D">
            <w:pPr>
              <w:rPr>
                <w:rFonts w:eastAsia="黑体"/>
                <w:sz w:val="24"/>
                <w:szCs w:val="24"/>
              </w:rPr>
            </w:pPr>
          </w:p>
        </w:tc>
      </w:tr>
      <w:tr w14:paraId="4B93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14:paraId="6167B719">
            <w:pPr>
              <w:rPr>
                <w:rFonts w:eastAsia="黑体"/>
                <w:sz w:val="24"/>
                <w:szCs w:val="24"/>
              </w:rPr>
            </w:pPr>
          </w:p>
        </w:tc>
        <w:tc>
          <w:tcPr>
            <w:tcW w:w="2514" w:type="dxa"/>
            <w:gridSpan w:val="2"/>
            <w:noWrap w:val="0"/>
            <w:vAlign w:val="center"/>
          </w:tcPr>
          <w:p w14:paraId="7EC456E5">
            <w:pPr>
              <w:rPr>
                <w:rFonts w:eastAsia="黑体"/>
                <w:sz w:val="24"/>
                <w:szCs w:val="24"/>
              </w:rPr>
            </w:pPr>
          </w:p>
        </w:tc>
        <w:tc>
          <w:tcPr>
            <w:tcW w:w="1683" w:type="dxa"/>
            <w:gridSpan w:val="2"/>
            <w:noWrap w:val="0"/>
            <w:vAlign w:val="center"/>
          </w:tcPr>
          <w:p w14:paraId="35E6AEE2">
            <w:pPr>
              <w:rPr>
                <w:rFonts w:eastAsia="黑体"/>
                <w:sz w:val="24"/>
                <w:szCs w:val="24"/>
              </w:rPr>
            </w:pPr>
          </w:p>
        </w:tc>
        <w:tc>
          <w:tcPr>
            <w:tcW w:w="1268" w:type="dxa"/>
            <w:noWrap w:val="0"/>
            <w:vAlign w:val="center"/>
          </w:tcPr>
          <w:p w14:paraId="0D27A49B">
            <w:pPr>
              <w:rPr>
                <w:rFonts w:eastAsia="黑体"/>
                <w:sz w:val="24"/>
                <w:szCs w:val="24"/>
              </w:rPr>
            </w:pPr>
          </w:p>
        </w:tc>
        <w:tc>
          <w:tcPr>
            <w:tcW w:w="2402" w:type="dxa"/>
            <w:gridSpan w:val="2"/>
            <w:noWrap w:val="0"/>
            <w:vAlign w:val="center"/>
          </w:tcPr>
          <w:p w14:paraId="4CAD39F0">
            <w:pPr>
              <w:rPr>
                <w:rFonts w:eastAsia="黑体"/>
                <w:sz w:val="24"/>
                <w:szCs w:val="24"/>
              </w:rPr>
            </w:pPr>
          </w:p>
        </w:tc>
      </w:tr>
      <w:tr w14:paraId="700E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14:paraId="7EB9B5FF">
            <w:pPr>
              <w:rPr>
                <w:rFonts w:eastAsia="黑体"/>
                <w:sz w:val="24"/>
                <w:szCs w:val="24"/>
              </w:rPr>
            </w:pPr>
          </w:p>
        </w:tc>
        <w:tc>
          <w:tcPr>
            <w:tcW w:w="2514" w:type="dxa"/>
            <w:gridSpan w:val="2"/>
            <w:noWrap w:val="0"/>
            <w:vAlign w:val="center"/>
          </w:tcPr>
          <w:p w14:paraId="43381CA6">
            <w:pPr>
              <w:rPr>
                <w:rFonts w:eastAsia="黑体"/>
                <w:sz w:val="24"/>
                <w:szCs w:val="24"/>
              </w:rPr>
            </w:pPr>
          </w:p>
        </w:tc>
        <w:tc>
          <w:tcPr>
            <w:tcW w:w="1683" w:type="dxa"/>
            <w:gridSpan w:val="2"/>
            <w:noWrap w:val="0"/>
            <w:vAlign w:val="center"/>
          </w:tcPr>
          <w:p w14:paraId="28A3A2E9">
            <w:pPr>
              <w:rPr>
                <w:rFonts w:eastAsia="黑体"/>
                <w:sz w:val="24"/>
                <w:szCs w:val="24"/>
              </w:rPr>
            </w:pPr>
          </w:p>
        </w:tc>
        <w:tc>
          <w:tcPr>
            <w:tcW w:w="1268" w:type="dxa"/>
            <w:noWrap w:val="0"/>
            <w:vAlign w:val="center"/>
          </w:tcPr>
          <w:p w14:paraId="6E619FFB">
            <w:pPr>
              <w:rPr>
                <w:rFonts w:eastAsia="黑体"/>
                <w:sz w:val="24"/>
                <w:szCs w:val="24"/>
              </w:rPr>
            </w:pPr>
          </w:p>
        </w:tc>
        <w:tc>
          <w:tcPr>
            <w:tcW w:w="2402" w:type="dxa"/>
            <w:gridSpan w:val="2"/>
            <w:noWrap w:val="0"/>
            <w:vAlign w:val="center"/>
          </w:tcPr>
          <w:p w14:paraId="6268EEF2">
            <w:pPr>
              <w:rPr>
                <w:rFonts w:eastAsia="黑体"/>
                <w:sz w:val="24"/>
                <w:szCs w:val="24"/>
              </w:rPr>
            </w:pPr>
          </w:p>
        </w:tc>
      </w:tr>
      <w:tr w14:paraId="0E08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14:paraId="59AB6444">
            <w:pPr>
              <w:rPr>
                <w:rFonts w:eastAsia="黑体"/>
                <w:sz w:val="24"/>
                <w:szCs w:val="24"/>
              </w:rPr>
            </w:pPr>
          </w:p>
        </w:tc>
        <w:tc>
          <w:tcPr>
            <w:tcW w:w="2514" w:type="dxa"/>
            <w:gridSpan w:val="2"/>
            <w:noWrap w:val="0"/>
            <w:vAlign w:val="center"/>
          </w:tcPr>
          <w:p w14:paraId="78AC4834">
            <w:pPr>
              <w:rPr>
                <w:rFonts w:eastAsia="黑体"/>
                <w:sz w:val="24"/>
                <w:szCs w:val="24"/>
              </w:rPr>
            </w:pPr>
          </w:p>
        </w:tc>
        <w:tc>
          <w:tcPr>
            <w:tcW w:w="1683" w:type="dxa"/>
            <w:gridSpan w:val="2"/>
            <w:tcBorders>
              <w:right w:val="single" w:color="auto" w:sz="8" w:space="0"/>
            </w:tcBorders>
            <w:noWrap w:val="0"/>
            <w:vAlign w:val="center"/>
          </w:tcPr>
          <w:p w14:paraId="69C5503F">
            <w:pPr>
              <w:rPr>
                <w:rFonts w:eastAsia="黑体"/>
                <w:sz w:val="24"/>
                <w:szCs w:val="24"/>
              </w:rPr>
            </w:pPr>
          </w:p>
        </w:tc>
        <w:tc>
          <w:tcPr>
            <w:tcW w:w="1268" w:type="dxa"/>
            <w:tcBorders>
              <w:left w:val="single" w:color="auto" w:sz="8" w:space="0"/>
            </w:tcBorders>
            <w:noWrap w:val="0"/>
            <w:vAlign w:val="center"/>
          </w:tcPr>
          <w:p w14:paraId="4EDA6527">
            <w:pPr>
              <w:rPr>
                <w:rFonts w:eastAsia="黑体"/>
                <w:sz w:val="24"/>
                <w:szCs w:val="24"/>
              </w:rPr>
            </w:pPr>
          </w:p>
        </w:tc>
        <w:tc>
          <w:tcPr>
            <w:tcW w:w="2402" w:type="dxa"/>
            <w:gridSpan w:val="2"/>
            <w:noWrap w:val="0"/>
            <w:vAlign w:val="center"/>
          </w:tcPr>
          <w:p w14:paraId="06970E50">
            <w:pPr>
              <w:rPr>
                <w:rFonts w:eastAsia="黑体"/>
                <w:sz w:val="24"/>
                <w:szCs w:val="24"/>
              </w:rPr>
            </w:pPr>
          </w:p>
        </w:tc>
      </w:tr>
      <w:tr w14:paraId="638E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14:paraId="582496E8">
            <w:pPr>
              <w:rPr>
                <w:sz w:val="24"/>
                <w:szCs w:val="24"/>
              </w:rPr>
            </w:pPr>
            <w:r>
              <w:rPr>
                <w:rFonts w:hint="eastAsia"/>
                <w:sz w:val="24"/>
                <w:szCs w:val="24"/>
              </w:rPr>
              <w:t>获奖情况</w:t>
            </w:r>
          </w:p>
        </w:tc>
        <w:tc>
          <w:tcPr>
            <w:tcW w:w="7867" w:type="dxa"/>
            <w:gridSpan w:val="7"/>
            <w:noWrap w:val="0"/>
            <w:vAlign w:val="center"/>
          </w:tcPr>
          <w:p w14:paraId="398959D6">
            <w:pPr>
              <w:rPr>
                <w:rFonts w:eastAsia="黑体"/>
                <w:sz w:val="24"/>
                <w:szCs w:val="24"/>
              </w:rPr>
            </w:pPr>
          </w:p>
        </w:tc>
      </w:tr>
    </w:tbl>
    <w:p w14:paraId="73239E3E">
      <w:pPr>
        <w:tabs>
          <w:tab w:val="left" w:pos="2580"/>
          <w:tab w:val="left" w:pos="5940"/>
        </w:tabs>
        <w:autoSpaceDE w:val="0"/>
        <w:autoSpaceDN w:val="0"/>
        <w:adjustRightInd w:val="0"/>
        <w:snapToGrid w:val="0"/>
        <w:spacing w:line="400" w:lineRule="exact"/>
        <w:jc w:val="left"/>
        <w:rPr>
          <w:rFonts w:hint="eastAsia"/>
          <w:spacing w:val="-6"/>
          <w:sz w:val="24"/>
          <w:szCs w:val="24"/>
        </w:rPr>
      </w:pPr>
      <w:r>
        <w:rPr>
          <w:rFonts w:hint="eastAsia"/>
          <w:spacing w:val="-6"/>
          <w:sz w:val="24"/>
          <w:szCs w:val="24"/>
        </w:rPr>
        <w:t>注：1. 本表应填写项目负责人相关情况。</w:t>
      </w:r>
    </w:p>
    <w:p w14:paraId="5510B912">
      <w:pPr>
        <w:tabs>
          <w:tab w:val="left" w:pos="2580"/>
          <w:tab w:val="left" w:pos="5940"/>
        </w:tabs>
        <w:autoSpaceDE w:val="0"/>
        <w:autoSpaceDN w:val="0"/>
        <w:adjustRightInd w:val="0"/>
        <w:snapToGrid w:val="0"/>
        <w:spacing w:line="400" w:lineRule="exact"/>
        <w:jc w:val="left"/>
        <w:rPr>
          <w:rFonts w:hint="eastAsia"/>
          <w:spacing w:val="-6"/>
          <w:sz w:val="24"/>
          <w:szCs w:val="24"/>
        </w:rPr>
      </w:pPr>
      <w:r>
        <w:rPr>
          <w:rFonts w:hint="eastAsia"/>
          <w:spacing w:val="-6"/>
          <w:sz w:val="24"/>
          <w:szCs w:val="24"/>
        </w:rPr>
        <w:t xml:space="preserve">    2. 投标人应根据招标文件的要求在本表后附相关证明材料。</w:t>
      </w:r>
    </w:p>
    <w:p w14:paraId="7DE23D59">
      <w:pPr>
        <w:spacing w:line="360" w:lineRule="auto"/>
        <w:jc w:val="center"/>
        <w:rPr>
          <w:rFonts w:ascii="宋体" w:hAnsi="宋体"/>
          <w:i/>
          <w:sz w:val="24"/>
        </w:rPr>
      </w:pPr>
    </w:p>
    <w:p w14:paraId="046DC5AD">
      <w:pPr>
        <w:spacing w:line="360" w:lineRule="auto"/>
        <w:jc w:val="center"/>
        <w:outlineLvl w:val="2"/>
        <w:rPr>
          <w:rFonts w:hint="eastAsia" w:ascii="宋体" w:hAnsi="宋体"/>
          <w:b/>
          <w:sz w:val="24"/>
        </w:rPr>
      </w:pPr>
    </w:p>
    <w:p w14:paraId="50A8AC19">
      <w:pPr>
        <w:spacing w:line="360" w:lineRule="auto"/>
        <w:jc w:val="center"/>
        <w:outlineLvl w:val="2"/>
        <w:rPr>
          <w:rFonts w:hint="eastAsia" w:ascii="宋体" w:hAnsi="宋体"/>
          <w:b/>
          <w:sz w:val="24"/>
        </w:rPr>
      </w:pPr>
    </w:p>
    <w:p w14:paraId="06E65763">
      <w:pPr>
        <w:spacing w:line="360" w:lineRule="auto"/>
        <w:jc w:val="center"/>
        <w:outlineLvl w:val="2"/>
        <w:rPr>
          <w:rFonts w:hint="eastAsia" w:ascii="宋体" w:hAnsi="宋体"/>
          <w:b/>
          <w:sz w:val="24"/>
        </w:rPr>
      </w:pPr>
    </w:p>
    <w:p w14:paraId="39B29081">
      <w:pPr>
        <w:spacing w:line="360" w:lineRule="auto"/>
        <w:jc w:val="center"/>
        <w:outlineLvl w:val="2"/>
        <w:rPr>
          <w:rFonts w:hint="eastAsia" w:ascii="宋体" w:hAnsi="宋体"/>
          <w:b/>
          <w:sz w:val="24"/>
        </w:rPr>
      </w:pPr>
    </w:p>
    <w:p w14:paraId="2B1A497B">
      <w:pPr>
        <w:spacing w:line="360" w:lineRule="auto"/>
        <w:jc w:val="center"/>
        <w:outlineLvl w:val="2"/>
        <w:rPr>
          <w:rFonts w:hint="eastAsia" w:ascii="宋体" w:hAnsi="宋体"/>
          <w:b/>
          <w:sz w:val="24"/>
        </w:rPr>
      </w:pPr>
    </w:p>
    <w:p w14:paraId="0F001D13">
      <w:pPr>
        <w:spacing w:line="360" w:lineRule="auto"/>
        <w:jc w:val="center"/>
        <w:outlineLvl w:val="2"/>
        <w:rPr>
          <w:rFonts w:hint="eastAsia" w:ascii="宋体" w:hAnsi="宋体"/>
          <w:b/>
          <w:sz w:val="24"/>
        </w:rPr>
      </w:pPr>
    </w:p>
    <w:p w14:paraId="4721D240">
      <w:pPr>
        <w:spacing w:line="360" w:lineRule="auto"/>
        <w:jc w:val="center"/>
        <w:outlineLvl w:val="2"/>
        <w:rPr>
          <w:rFonts w:hint="eastAsia" w:ascii="宋体" w:hAnsi="宋体"/>
          <w:b/>
          <w:sz w:val="24"/>
        </w:rPr>
      </w:pPr>
    </w:p>
    <w:p w14:paraId="0B064306">
      <w:pPr>
        <w:spacing w:line="360" w:lineRule="auto"/>
        <w:jc w:val="both"/>
        <w:outlineLvl w:val="2"/>
        <w:rPr>
          <w:rFonts w:hint="eastAsia" w:ascii="宋体" w:hAnsi="宋体"/>
          <w:b/>
          <w:sz w:val="24"/>
        </w:rPr>
      </w:pPr>
    </w:p>
    <w:p w14:paraId="2E0A0F1A">
      <w:pPr>
        <w:pStyle w:val="23"/>
        <w:spacing w:line="360" w:lineRule="auto"/>
        <w:jc w:val="center"/>
        <w:rPr>
          <w:rFonts w:ascii="宋体" w:hAnsi="宋体"/>
          <w:sz w:val="24"/>
        </w:rPr>
      </w:pPr>
      <w:r>
        <w:rPr>
          <w:rFonts w:hint="eastAsia" w:ascii="宋体" w:hAnsi="宋体"/>
          <w:sz w:val="24"/>
          <w:lang w:val="en-US" w:eastAsia="zh-CN"/>
        </w:rPr>
        <w:t>十一</w:t>
      </w:r>
      <w:r>
        <w:rPr>
          <w:rFonts w:hint="eastAsia" w:ascii="宋体" w:hAnsi="宋体"/>
          <w:sz w:val="24"/>
        </w:rPr>
        <w:t>、</w:t>
      </w:r>
      <w:r>
        <w:rPr>
          <w:rFonts w:hint="eastAsia" w:ascii="宋体" w:hAnsi="宋体" w:cs="宋体"/>
          <w:bCs/>
          <w:sz w:val="24"/>
          <w:szCs w:val="24"/>
        </w:rPr>
        <w:t>技术方案</w:t>
      </w:r>
    </w:p>
    <w:p w14:paraId="1A82A2FB">
      <w:pPr>
        <w:spacing w:line="360" w:lineRule="auto"/>
        <w:jc w:val="center"/>
        <w:rPr>
          <w:rFonts w:ascii="宋体" w:hAnsi="宋体"/>
          <w:i/>
          <w:sz w:val="24"/>
        </w:rPr>
      </w:pPr>
      <w:r>
        <w:rPr>
          <w:rFonts w:ascii="宋体" w:hAnsi="宋体"/>
          <w:i/>
          <w:sz w:val="24"/>
        </w:rPr>
        <w:t>(</w:t>
      </w:r>
      <w:r>
        <w:rPr>
          <w:rFonts w:hint="eastAsia" w:ascii="宋体" w:hAnsi="宋体"/>
          <w:i/>
          <w:sz w:val="24"/>
        </w:rPr>
        <w:t>投标人</w:t>
      </w:r>
      <w:r>
        <w:rPr>
          <w:rFonts w:ascii="宋体" w:hAnsi="宋体"/>
          <w:i/>
          <w:sz w:val="24"/>
        </w:rPr>
        <w:t>可自行制作格式)</w:t>
      </w:r>
    </w:p>
    <w:p w14:paraId="0448F413">
      <w:pPr>
        <w:spacing w:line="360" w:lineRule="auto"/>
        <w:jc w:val="center"/>
        <w:outlineLvl w:val="2"/>
        <w:rPr>
          <w:rFonts w:hint="eastAsia" w:ascii="宋体" w:hAnsi="宋体"/>
          <w:b/>
          <w:sz w:val="24"/>
        </w:rPr>
      </w:pPr>
    </w:p>
    <w:p w14:paraId="1010C64C">
      <w:pPr>
        <w:spacing w:line="360" w:lineRule="auto"/>
        <w:jc w:val="center"/>
        <w:outlineLvl w:val="2"/>
        <w:rPr>
          <w:rFonts w:hint="eastAsia" w:ascii="宋体" w:hAnsi="宋体"/>
          <w:b/>
          <w:sz w:val="24"/>
        </w:rPr>
      </w:pPr>
    </w:p>
    <w:p w14:paraId="74564939">
      <w:pPr>
        <w:spacing w:line="360" w:lineRule="auto"/>
        <w:jc w:val="center"/>
        <w:outlineLvl w:val="2"/>
        <w:rPr>
          <w:rFonts w:hint="eastAsia" w:ascii="宋体" w:hAnsi="宋体"/>
          <w:b/>
          <w:sz w:val="24"/>
        </w:rPr>
      </w:pPr>
    </w:p>
    <w:p w14:paraId="40A3A5D3">
      <w:pPr>
        <w:spacing w:line="360" w:lineRule="auto"/>
        <w:jc w:val="center"/>
        <w:outlineLvl w:val="2"/>
        <w:rPr>
          <w:rFonts w:hint="eastAsia" w:ascii="宋体" w:hAnsi="宋体"/>
          <w:b/>
          <w:sz w:val="24"/>
        </w:rPr>
      </w:pPr>
    </w:p>
    <w:p w14:paraId="7BC34E41">
      <w:pPr>
        <w:spacing w:line="360" w:lineRule="auto"/>
        <w:jc w:val="center"/>
        <w:outlineLvl w:val="2"/>
        <w:rPr>
          <w:rFonts w:hint="eastAsia" w:ascii="宋体" w:hAnsi="宋体"/>
          <w:b/>
          <w:sz w:val="24"/>
        </w:rPr>
      </w:pPr>
    </w:p>
    <w:p w14:paraId="13467952">
      <w:pPr>
        <w:spacing w:line="360" w:lineRule="auto"/>
        <w:jc w:val="center"/>
        <w:outlineLvl w:val="2"/>
        <w:rPr>
          <w:rFonts w:hint="eastAsia" w:ascii="宋体" w:hAnsi="宋体"/>
          <w:b/>
          <w:sz w:val="24"/>
        </w:rPr>
      </w:pPr>
    </w:p>
    <w:p w14:paraId="4E531972">
      <w:pPr>
        <w:spacing w:line="360" w:lineRule="auto"/>
        <w:jc w:val="center"/>
        <w:outlineLvl w:val="2"/>
        <w:rPr>
          <w:rFonts w:hint="eastAsia" w:ascii="宋体" w:hAnsi="宋体"/>
          <w:b/>
          <w:sz w:val="24"/>
        </w:rPr>
      </w:pPr>
    </w:p>
    <w:p w14:paraId="245C58C2">
      <w:pPr>
        <w:spacing w:line="360" w:lineRule="auto"/>
        <w:jc w:val="center"/>
        <w:outlineLvl w:val="2"/>
        <w:rPr>
          <w:rFonts w:hint="eastAsia" w:ascii="宋体" w:hAnsi="宋体"/>
          <w:b/>
          <w:sz w:val="24"/>
        </w:rPr>
      </w:pPr>
    </w:p>
    <w:p w14:paraId="0FC29C35">
      <w:pPr>
        <w:spacing w:line="360" w:lineRule="auto"/>
        <w:jc w:val="center"/>
        <w:outlineLvl w:val="2"/>
        <w:rPr>
          <w:rFonts w:hint="eastAsia" w:ascii="宋体" w:hAnsi="宋体"/>
          <w:b/>
          <w:sz w:val="24"/>
        </w:rPr>
      </w:pPr>
    </w:p>
    <w:p w14:paraId="54C7E221">
      <w:pPr>
        <w:spacing w:line="360" w:lineRule="auto"/>
        <w:jc w:val="center"/>
        <w:outlineLvl w:val="2"/>
        <w:rPr>
          <w:rFonts w:hint="eastAsia" w:ascii="宋体" w:hAnsi="宋体"/>
          <w:b/>
          <w:sz w:val="24"/>
        </w:rPr>
      </w:pPr>
    </w:p>
    <w:p w14:paraId="12F3EC9A">
      <w:pPr>
        <w:spacing w:line="360" w:lineRule="auto"/>
        <w:jc w:val="center"/>
        <w:outlineLvl w:val="2"/>
        <w:rPr>
          <w:rFonts w:hint="eastAsia" w:ascii="宋体" w:hAnsi="宋体"/>
          <w:b/>
          <w:sz w:val="24"/>
        </w:rPr>
      </w:pPr>
    </w:p>
    <w:p w14:paraId="58BBD88B">
      <w:pPr>
        <w:spacing w:line="360" w:lineRule="auto"/>
        <w:jc w:val="center"/>
        <w:outlineLvl w:val="2"/>
        <w:rPr>
          <w:rFonts w:hint="eastAsia" w:ascii="宋体" w:hAnsi="宋体"/>
          <w:b/>
          <w:sz w:val="24"/>
        </w:rPr>
      </w:pPr>
    </w:p>
    <w:p w14:paraId="42E5BAFC">
      <w:pPr>
        <w:spacing w:line="360" w:lineRule="auto"/>
        <w:jc w:val="center"/>
        <w:outlineLvl w:val="2"/>
        <w:rPr>
          <w:rFonts w:hint="eastAsia" w:ascii="宋体" w:hAnsi="宋体"/>
          <w:b/>
          <w:sz w:val="24"/>
        </w:rPr>
      </w:pPr>
    </w:p>
    <w:p w14:paraId="13D13F50">
      <w:pPr>
        <w:spacing w:line="360" w:lineRule="auto"/>
        <w:jc w:val="center"/>
        <w:outlineLvl w:val="2"/>
        <w:rPr>
          <w:rFonts w:hint="eastAsia" w:ascii="宋体" w:hAnsi="宋体"/>
          <w:b/>
          <w:sz w:val="24"/>
        </w:rPr>
      </w:pPr>
    </w:p>
    <w:p w14:paraId="4310C80E">
      <w:pPr>
        <w:spacing w:line="360" w:lineRule="auto"/>
        <w:jc w:val="center"/>
        <w:outlineLvl w:val="2"/>
        <w:rPr>
          <w:rFonts w:hint="eastAsia" w:ascii="宋体" w:hAnsi="宋体"/>
          <w:b/>
          <w:sz w:val="24"/>
        </w:rPr>
      </w:pPr>
    </w:p>
    <w:p w14:paraId="6BD71604">
      <w:pPr>
        <w:spacing w:line="360" w:lineRule="auto"/>
        <w:jc w:val="center"/>
        <w:outlineLvl w:val="2"/>
        <w:rPr>
          <w:rFonts w:hint="eastAsia" w:ascii="宋体" w:hAnsi="宋体"/>
          <w:b/>
          <w:sz w:val="24"/>
        </w:rPr>
      </w:pPr>
    </w:p>
    <w:p w14:paraId="26E80362">
      <w:pPr>
        <w:spacing w:line="360" w:lineRule="auto"/>
        <w:jc w:val="center"/>
        <w:outlineLvl w:val="2"/>
        <w:rPr>
          <w:rFonts w:hint="eastAsia" w:ascii="宋体" w:hAnsi="宋体"/>
          <w:b/>
          <w:sz w:val="24"/>
        </w:rPr>
      </w:pPr>
    </w:p>
    <w:p w14:paraId="5B4C1EA3">
      <w:pPr>
        <w:spacing w:line="360" w:lineRule="auto"/>
        <w:jc w:val="center"/>
        <w:outlineLvl w:val="2"/>
        <w:rPr>
          <w:rFonts w:hint="eastAsia" w:ascii="宋体" w:hAnsi="宋体"/>
          <w:b/>
          <w:sz w:val="24"/>
        </w:rPr>
      </w:pPr>
    </w:p>
    <w:p w14:paraId="4260A7B8">
      <w:pPr>
        <w:spacing w:line="360" w:lineRule="auto"/>
        <w:jc w:val="center"/>
        <w:outlineLvl w:val="2"/>
        <w:rPr>
          <w:rFonts w:hint="eastAsia" w:ascii="宋体" w:hAnsi="宋体"/>
          <w:b/>
          <w:sz w:val="24"/>
        </w:rPr>
      </w:pPr>
    </w:p>
    <w:p w14:paraId="01DA328C">
      <w:pPr>
        <w:spacing w:line="360" w:lineRule="auto"/>
        <w:jc w:val="center"/>
        <w:outlineLvl w:val="2"/>
        <w:rPr>
          <w:rFonts w:hint="eastAsia" w:ascii="宋体" w:hAnsi="宋体"/>
          <w:b/>
          <w:sz w:val="24"/>
        </w:rPr>
      </w:pPr>
    </w:p>
    <w:p w14:paraId="22C78EB9">
      <w:pPr>
        <w:spacing w:line="360" w:lineRule="auto"/>
        <w:jc w:val="center"/>
        <w:outlineLvl w:val="2"/>
        <w:rPr>
          <w:rFonts w:hint="eastAsia" w:ascii="宋体" w:hAnsi="宋体"/>
          <w:b/>
          <w:sz w:val="24"/>
        </w:rPr>
      </w:pPr>
    </w:p>
    <w:p w14:paraId="4F822517">
      <w:pPr>
        <w:spacing w:line="360" w:lineRule="auto"/>
        <w:jc w:val="center"/>
        <w:outlineLvl w:val="2"/>
        <w:rPr>
          <w:rFonts w:hint="eastAsia" w:ascii="宋体" w:hAnsi="宋体"/>
          <w:b/>
          <w:sz w:val="24"/>
        </w:rPr>
      </w:pPr>
    </w:p>
    <w:p w14:paraId="3CDBE52F">
      <w:pPr>
        <w:spacing w:line="360" w:lineRule="auto"/>
        <w:jc w:val="center"/>
        <w:outlineLvl w:val="2"/>
        <w:rPr>
          <w:rFonts w:hint="eastAsia" w:ascii="宋体" w:hAnsi="宋体"/>
          <w:b/>
          <w:sz w:val="24"/>
        </w:rPr>
      </w:pPr>
    </w:p>
    <w:p w14:paraId="05255C10">
      <w:pPr>
        <w:spacing w:line="360" w:lineRule="auto"/>
        <w:jc w:val="center"/>
        <w:outlineLvl w:val="2"/>
        <w:rPr>
          <w:rFonts w:hint="eastAsia" w:ascii="宋体" w:hAnsi="宋体"/>
          <w:b/>
          <w:sz w:val="24"/>
        </w:rPr>
      </w:pPr>
    </w:p>
    <w:p w14:paraId="5D685388">
      <w:pPr>
        <w:spacing w:line="360" w:lineRule="auto"/>
        <w:jc w:val="center"/>
        <w:outlineLvl w:val="2"/>
        <w:rPr>
          <w:rFonts w:hint="eastAsia" w:ascii="宋体" w:hAnsi="宋体"/>
          <w:b/>
          <w:sz w:val="24"/>
        </w:rPr>
      </w:pPr>
    </w:p>
    <w:p w14:paraId="04413E5C">
      <w:pPr>
        <w:spacing w:line="360" w:lineRule="auto"/>
        <w:jc w:val="center"/>
        <w:outlineLvl w:val="2"/>
        <w:rPr>
          <w:rFonts w:hint="eastAsia" w:ascii="宋体" w:hAnsi="宋体"/>
          <w:b/>
          <w:sz w:val="24"/>
        </w:rPr>
      </w:pPr>
    </w:p>
    <w:p w14:paraId="714180E2">
      <w:pPr>
        <w:spacing w:line="360" w:lineRule="auto"/>
        <w:jc w:val="center"/>
        <w:outlineLvl w:val="2"/>
        <w:rPr>
          <w:rFonts w:hint="eastAsia" w:ascii="宋体" w:hAnsi="宋体"/>
          <w:b/>
          <w:sz w:val="24"/>
        </w:rPr>
      </w:pPr>
    </w:p>
    <w:p w14:paraId="018A3122">
      <w:pPr>
        <w:spacing w:line="360" w:lineRule="auto"/>
        <w:jc w:val="center"/>
        <w:outlineLvl w:val="2"/>
        <w:rPr>
          <w:rFonts w:ascii="宋体" w:hAnsi="宋体"/>
          <w:b/>
          <w:sz w:val="24"/>
        </w:rPr>
      </w:pPr>
      <w:r>
        <w:rPr>
          <w:rFonts w:hint="eastAsia" w:ascii="宋体" w:hAnsi="宋体"/>
          <w:b/>
          <w:sz w:val="24"/>
        </w:rPr>
        <w:t>十</w:t>
      </w:r>
      <w:r>
        <w:rPr>
          <w:rFonts w:hint="eastAsia" w:ascii="宋体" w:hAnsi="宋体"/>
          <w:b/>
          <w:sz w:val="24"/>
          <w:lang w:val="en-US" w:eastAsia="zh-CN"/>
        </w:rPr>
        <w:t>二</w:t>
      </w:r>
      <w:r>
        <w:rPr>
          <w:rFonts w:hint="eastAsia" w:ascii="宋体" w:hAnsi="宋体"/>
          <w:b/>
          <w:sz w:val="24"/>
        </w:rPr>
        <w:t>、</w:t>
      </w:r>
      <w:r>
        <w:rPr>
          <w:rFonts w:hint="eastAsia" w:ascii="宋体" w:hAnsi="宋体"/>
          <w:b/>
          <w:bCs/>
          <w:sz w:val="24"/>
        </w:rPr>
        <w:t>供货方案</w:t>
      </w:r>
    </w:p>
    <w:p w14:paraId="35A81FD7">
      <w:pPr>
        <w:spacing w:line="360" w:lineRule="auto"/>
        <w:jc w:val="center"/>
        <w:rPr>
          <w:rFonts w:ascii="宋体" w:hAnsi="宋体"/>
          <w:i/>
          <w:sz w:val="24"/>
        </w:rPr>
      </w:pPr>
      <w:r>
        <w:rPr>
          <w:rFonts w:ascii="宋体" w:hAnsi="宋体"/>
          <w:i/>
          <w:sz w:val="24"/>
        </w:rPr>
        <w:t>(</w:t>
      </w:r>
      <w:r>
        <w:rPr>
          <w:rFonts w:hint="eastAsia" w:ascii="宋体" w:hAnsi="宋体"/>
          <w:i/>
          <w:sz w:val="24"/>
        </w:rPr>
        <w:t>投标人</w:t>
      </w:r>
      <w:r>
        <w:rPr>
          <w:rFonts w:ascii="宋体" w:hAnsi="宋体"/>
          <w:i/>
          <w:sz w:val="24"/>
        </w:rPr>
        <w:t>可自行制作格式)</w:t>
      </w:r>
    </w:p>
    <w:p w14:paraId="1F1CC922">
      <w:pPr>
        <w:spacing w:line="360" w:lineRule="auto"/>
        <w:jc w:val="center"/>
        <w:outlineLvl w:val="2"/>
        <w:rPr>
          <w:rFonts w:ascii="宋体" w:hAnsi="宋体"/>
          <w:b/>
          <w:sz w:val="24"/>
        </w:rPr>
      </w:pPr>
      <w:r>
        <w:rPr>
          <w:rFonts w:ascii="宋体" w:hAnsi="宋体"/>
          <w:sz w:val="24"/>
        </w:rPr>
        <w:br w:type="page"/>
      </w:r>
    </w:p>
    <w:p w14:paraId="2186DA18">
      <w:pPr>
        <w:spacing w:line="360" w:lineRule="auto"/>
        <w:jc w:val="center"/>
        <w:outlineLvl w:val="2"/>
        <w:rPr>
          <w:rFonts w:ascii="宋体" w:hAnsi="宋体"/>
          <w:b/>
          <w:sz w:val="24"/>
        </w:rPr>
      </w:pPr>
      <w:r>
        <w:rPr>
          <w:rFonts w:hint="eastAsia" w:ascii="宋体" w:hAnsi="宋体"/>
          <w:b/>
          <w:sz w:val="24"/>
        </w:rPr>
        <w:t>十</w:t>
      </w:r>
      <w:r>
        <w:rPr>
          <w:rFonts w:hint="eastAsia" w:ascii="宋体" w:hAnsi="宋体"/>
          <w:b/>
          <w:sz w:val="24"/>
          <w:lang w:val="en-US" w:eastAsia="zh-CN"/>
        </w:rPr>
        <w:t>三</w:t>
      </w:r>
      <w:r>
        <w:rPr>
          <w:rFonts w:hint="eastAsia" w:ascii="宋体" w:hAnsi="宋体"/>
          <w:b/>
          <w:sz w:val="24"/>
        </w:rPr>
        <w:t>、</w:t>
      </w:r>
      <w:r>
        <w:rPr>
          <w:rFonts w:hint="eastAsia" w:ascii="宋体" w:hAnsi="宋体"/>
          <w:b/>
          <w:bCs/>
          <w:sz w:val="24"/>
        </w:rPr>
        <w:t>安装方案</w:t>
      </w:r>
    </w:p>
    <w:p w14:paraId="059D18D6">
      <w:pPr>
        <w:spacing w:line="360" w:lineRule="auto"/>
        <w:jc w:val="center"/>
        <w:outlineLvl w:val="2"/>
        <w:rPr>
          <w:rFonts w:hint="eastAsia" w:ascii="宋体" w:hAnsi="宋体"/>
          <w:b/>
          <w:sz w:val="24"/>
        </w:rPr>
      </w:pPr>
      <w:r>
        <w:rPr>
          <w:rFonts w:ascii="宋体" w:hAnsi="宋体"/>
          <w:i/>
          <w:sz w:val="24"/>
        </w:rPr>
        <w:t>(</w:t>
      </w:r>
      <w:r>
        <w:rPr>
          <w:rFonts w:hint="eastAsia" w:ascii="宋体" w:hAnsi="宋体"/>
          <w:i/>
          <w:sz w:val="24"/>
        </w:rPr>
        <w:t>投标人</w:t>
      </w:r>
      <w:r>
        <w:rPr>
          <w:rFonts w:ascii="宋体" w:hAnsi="宋体"/>
          <w:i/>
          <w:sz w:val="24"/>
        </w:rPr>
        <w:t>可自行制作格式)</w:t>
      </w:r>
    </w:p>
    <w:p w14:paraId="289E5586">
      <w:pPr>
        <w:spacing w:line="360" w:lineRule="auto"/>
        <w:jc w:val="center"/>
        <w:outlineLvl w:val="2"/>
        <w:rPr>
          <w:rFonts w:hint="eastAsia" w:ascii="宋体" w:hAnsi="宋体"/>
          <w:b/>
          <w:bCs/>
          <w:sz w:val="24"/>
          <w:szCs w:val="28"/>
          <w:lang w:val="en-US" w:eastAsia="zh-CN"/>
        </w:rPr>
      </w:pPr>
    </w:p>
    <w:p w14:paraId="3BFE2C78">
      <w:pPr>
        <w:spacing w:line="360" w:lineRule="auto"/>
        <w:jc w:val="center"/>
        <w:outlineLvl w:val="2"/>
        <w:rPr>
          <w:rFonts w:hint="eastAsia" w:ascii="宋体" w:hAnsi="宋体"/>
          <w:b/>
          <w:bCs/>
          <w:sz w:val="24"/>
          <w:szCs w:val="28"/>
          <w:lang w:val="en-US" w:eastAsia="zh-CN"/>
        </w:rPr>
      </w:pPr>
    </w:p>
    <w:p w14:paraId="73AE5E53">
      <w:pPr>
        <w:spacing w:line="360" w:lineRule="auto"/>
        <w:jc w:val="center"/>
        <w:outlineLvl w:val="2"/>
        <w:rPr>
          <w:rFonts w:hint="eastAsia" w:ascii="宋体" w:hAnsi="宋体"/>
          <w:b/>
          <w:bCs/>
          <w:sz w:val="24"/>
          <w:szCs w:val="28"/>
          <w:lang w:val="en-US" w:eastAsia="zh-CN"/>
        </w:rPr>
      </w:pPr>
    </w:p>
    <w:p w14:paraId="2E44BDD6">
      <w:pPr>
        <w:spacing w:line="360" w:lineRule="auto"/>
        <w:jc w:val="center"/>
        <w:outlineLvl w:val="2"/>
        <w:rPr>
          <w:rFonts w:hint="eastAsia" w:ascii="宋体" w:hAnsi="宋体"/>
          <w:b/>
          <w:bCs/>
          <w:sz w:val="24"/>
          <w:szCs w:val="28"/>
          <w:lang w:val="en-US" w:eastAsia="zh-CN"/>
        </w:rPr>
      </w:pPr>
    </w:p>
    <w:p w14:paraId="47A24F36">
      <w:pPr>
        <w:spacing w:line="360" w:lineRule="auto"/>
        <w:jc w:val="center"/>
        <w:outlineLvl w:val="2"/>
        <w:rPr>
          <w:rFonts w:hint="eastAsia" w:ascii="宋体" w:hAnsi="宋体"/>
          <w:b/>
          <w:bCs/>
          <w:sz w:val="24"/>
          <w:szCs w:val="28"/>
          <w:lang w:val="en-US" w:eastAsia="zh-CN"/>
        </w:rPr>
      </w:pPr>
    </w:p>
    <w:p w14:paraId="1CBEEDDC">
      <w:pPr>
        <w:spacing w:line="360" w:lineRule="auto"/>
        <w:jc w:val="center"/>
        <w:outlineLvl w:val="2"/>
        <w:rPr>
          <w:rFonts w:hint="eastAsia" w:ascii="宋体" w:hAnsi="宋体"/>
          <w:b/>
          <w:bCs/>
          <w:sz w:val="24"/>
          <w:szCs w:val="28"/>
          <w:lang w:val="en-US" w:eastAsia="zh-CN"/>
        </w:rPr>
      </w:pPr>
    </w:p>
    <w:p w14:paraId="3F9E0E4D">
      <w:pPr>
        <w:spacing w:line="360" w:lineRule="auto"/>
        <w:jc w:val="center"/>
        <w:outlineLvl w:val="2"/>
        <w:rPr>
          <w:rFonts w:hint="eastAsia" w:ascii="宋体" w:hAnsi="宋体"/>
          <w:b/>
          <w:bCs/>
          <w:sz w:val="24"/>
          <w:szCs w:val="28"/>
          <w:lang w:val="en-US" w:eastAsia="zh-CN"/>
        </w:rPr>
      </w:pPr>
    </w:p>
    <w:p w14:paraId="2720C649">
      <w:pPr>
        <w:spacing w:line="360" w:lineRule="auto"/>
        <w:jc w:val="center"/>
        <w:outlineLvl w:val="2"/>
        <w:rPr>
          <w:rFonts w:hint="eastAsia" w:ascii="宋体" w:hAnsi="宋体"/>
          <w:b/>
          <w:bCs/>
          <w:sz w:val="24"/>
          <w:szCs w:val="28"/>
          <w:lang w:val="en-US" w:eastAsia="zh-CN"/>
        </w:rPr>
      </w:pPr>
    </w:p>
    <w:p w14:paraId="3238350D">
      <w:pPr>
        <w:spacing w:line="360" w:lineRule="auto"/>
        <w:jc w:val="center"/>
        <w:outlineLvl w:val="2"/>
        <w:rPr>
          <w:rFonts w:hint="eastAsia" w:ascii="宋体" w:hAnsi="宋体"/>
          <w:b/>
          <w:bCs/>
          <w:sz w:val="24"/>
          <w:szCs w:val="28"/>
          <w:lang w:val="en-US" w:eastAsia="zh-CN"/>
        </w:rPr>
      </w:pPr>
    </w:p>
    <w:p w14:paraId="5E8BC672">
      <w:pPr>
        <w:spacing w:line="360" w:lineRule="auto"/>
        <w:jc w:val="center"/>
        <w:outlineLvl w:val="2"/>
        <w:rPr>
          <w:rFonts w:hint="eastAsia" w:ascii="宋体" w:hAnsi="宋体"/>
          <w:b/>
          <w:bCs/>
          <w:sz w:val="24"/>
          <w:szCs w:val="28"/>
          <w:lang w:val="en-US" w:eastAsia="zh-CN"/>
        </w:rPr>
      </w:pPr>
    </w:p>
    <w:p w14:paraId="1F12DDE8">
      <w:pPr>
        <w:spacing w:line="360" w:lineRule="auto"/>
        <w:jc w:val="center"/>
        <w:outlineLvl w:val="2"/>
        <w:rPr>
          <w:rFonts w:hint="eastAsia" w:ascii="宋体" w:hAnsi="宋体"/>
          <w:b/>
          <w:bCs/>
          <w:sz w:val="24"/>
          <w:szCs w:val="28"/>
          <w:lang w:val="en-US" w:eastAsia="zh-CN"/>
        </w:rPr>
      </w:pPr>
    </w:p>
    <w:p w14:paraId="515F737D">
      <w:pPr>
        <w:spacing w:line="360" w:lineRule="auto"/>
        <w:jc w:val="center"/>
        <w:outlineLvl w:val="2"/>
        <w:rPr>
          <w:rFonts w:hint="eastAsia" w:ascii="宋体" w:hAnsi="宋体"/>
          <w:b/>
          <w:bCs/>
          <w:sz w:val="24"/>
          <w:szCs w:val="28"/>
          <w:lang w:val="en-US" w:eastAsia="zh-CN"/>
        </w:rPr>
      </w:pPr>
    </w:p>
    <w:p w14:paraId="1914A9E7">
      <w:pPr>
        <w:spacing w:line="360" w:lineRule="auto"/>
        <w:jc w:val="center"/>
        <w:outlineLvl w:val="2"/>
        <w:rPr>
          <w:rFonts w:hint="eastAsia" w:ascii="宋体" w:hAnsi="宋体"/>
          <w:b/>
          <w:bCs/>
          <w:sz w:val="24"/>
          <w:szCs w:val="28"/>
          <w:lang w:val="en-US" w:eastAsia="zh-CN"/>
        </w:rPr>
      </w:pPr>
    </w:p>
    <w:p w14:paraId="300B75E9">
      <w:pPr>
        <w:spacing w:line="360" w:lineRule="auto"/>
        <w:jc w:val="center"/>
        <w:outlineLvl w:val="2"/>
        <w:rPr>
          <w:rFonts w:hint="eastAsia" w:ascii="宋体" w:hAnsi="宋体"/>
          <w:b/>
          <w:bCs/>
          <w:sz w:val="24"/>
          <w:szCs w:val="28"/>
          <w:lang w:val="en-US" w:eastAsia="zh-CN"/>
        </w:rPr>
      </w:pPr>
    </w:p>
    <w:p w14:paraId="71EA1BAD">
      <w:pPr>
        <w:spacing w:line="360" w:lineRule="auto"/>
        <w:jc w:val="center"/>
        <w:outlineLvl w:val="2"/>
        <w:rPr>
          <w:rFonts w:hint="eastAsia" w:ascii="宋体" w:hAnsi="宋体"/>
          <w:b/>
          <w:bCs/>
          <w:sz w:val="24"/>
          <w:szCs w:val="28"/>
          <w:lang w:val="en-US" w:eastAsia="zh-CN"/>
        </w:rPr>
      </w:pPr>
    </w:p>
    <w:p w14:paraId="3604DE6D">
      <w:pPr>
        <w:spacing w:line="360" w:lineRule="auto"/>
        <w:jc w:val="center"/>
        <w:outlineLvl w:val="2"/>
        <w:rPr>
          <w:rFonts w:hint="eastAsia" w:ascii="宋体" w:hAnsi="宋体"/>
          <w:b/>
          <w:bCs/>
          <w:sz w:val="24"/>
          <w:szCs w:val="28"/>
          <w:lang w:val="en-US" w:eastAsia="zh-CN"/>
        </w:rPr>
      </w:pPr>
    </w:p>
    <w:p w14:paraId="5CD9B81F">
      <w:pPr>
        <w:spacing w:line="360" w:lineRule="auto"/>
        <w:jc w:val="center"/>
        <w:outlineLvl w:val="2"/>
        <w:rPr>
          <w:rFonts w:hint="eastAsia" w:ascii="宋体" w:hAnsi="宋体"/>
          <w:b/>
          <w:bCs/>
          <w:sz w:val="24"/>
          <w:szCs w:val="28"/>
          <w:lang w:val="en-US" w:eastAsia="zh-CN"/>
        </w:rPr>
      </w:pPr>
    </w:p>
    <w:p w14:paraId="39991AF8">
      <w:pPr>
        <w:spacing w:line="360" w:lineRule="auto"/>
        <w:jc w:val="center"/>
        <w:outlineLvl w:val="2"/>
        <w:rPr>
          <w:rFonts w:hint="eastAsia" w:ascii="宋体" w:hAnsi="宋体"/>
          <w:b/>
          <w:bCs/>
          <w:sz w:val="24"/>
          <w:szCs w:val="28"/>
          <w:lang w:val="en-US" w:eastAsia="zh-CN"/>
        </w:rPr>
      </w:pPr>
    </w:p>
    <w:p w14:paraId="13A58A0F">
      <w:pPr>
        <w:spacing w:line="360" w:lineRule="auto"/>
        <w:jc w:val="center"/>
        <w:outlineLvl w:val="2"/>
        <w:rPr>
          <w:rFonts w:hint="eastAsia" w:ascii="宋体" w:hAnsi="宋体"/>
          <w:b/>
          <w:bCs/>
          <w:sz w:val="24"/>
          <w:szCs w:val="28"/>
          <w:lang w:val="en-US" w:eastAsia="zh-CN"/>
        </w:rPr>
      </w:pPr>
    </w:p>
    <w:p w14:paraId="52F8A6CC">
      <w:pPr>
        <w:spacing w:line="360" w:lineRule="auto"/>
        <w:jc w:val="center"/>
        <w:outlineLvl w:val="2"/>
        <w:rPr>
          <w:rFonts w:hint="eastAsia" w:ascii="宋体" w:hAnsi="宋体"/>
          <w:b/>
          <w:bCs/>
          <w:sz w:val="24"/>
          <w:szCs w:val="28"/>
          <w:lang w:val="en-US" w:eastAsia="zh-CN"/>
        </w:rPr>
      </w:pPr>
    </w:p>
    <w:p w14:paraId="6404DF28">
      <w:pPr>
        <w:spacing w:line="360" w:lineRule="auto"/>
        <w:jc w:val="center"/>
        <w:outlineLvl w:val="2"/>
        <w:rPr>
          <w:rFonts w:hint="eastAsia" w:ascii="宋体" w:hAnsi="宋体"/>
          <w:b/>
          <w:bCs/>
          <w:sz w:val="24"/>
          <w:szCs w:val="28"/>
          <w:lang w:val="en-US" w:eastAsia="zh-CN"/>
        </w:rPr>
      </w:pPr>
    </w:p>
    <w:p w14:paraId="0883AC15">
      <w:pPr>
        <w:spacing w:line="360" w:lineRule="auto"/>
        <w:jc w:val="center"/>
        <w:outlineLvl w:val="2"/>
        <w:rPr>
          <w:rFonts w:hint="eastAsia" w:ascii="宋体" w:hAnsi="宋体"/>
          <w:b/>
          <w:bCs/>
          <w:sz w:val="24"/>
          <w:szCs w:val="28"/>
          <w:lang w:val="en-US" w:eastAsia="zh-CN"/>
        </w:rPr>
      </w:pPr>
    </w:p>
    <w:p w14:paraId="24CA3250">
      <w:pPr>
        <w:spacing w:line="360" w:lineRule="auto"/>
        <w:jc w:val="center"/>
        <w:outlineLvl w:val="2"/>
        <w:rPr>
          <w:rFonts w:hint="eastAsia" w:ascii="宋体" w:hAnsi="宋体"/>
          <w:b/>
          <w:bCs/>
          <w:sz w:val="24"/>
          <w:szCs w:val="28"/>
          <w:lang w:val="en-US" w:eastAsia="zh-CN"/>
        </w:rPr>
      </w:pPr>
    </w:p>
    <w:p w14:paraId="7F5A74D1">
      <w:pPr>
        <w:spacing w:line="360" w:lineRule="auto"/>
        <w:jc w:val="center"/>
        <w:outlineLvl w:val="2"/>
        <w:rPr>
          <w:rFonts w:hint="eastAsia" w:ascii="宋体" w:hAnsi="宋体"/>
          <w:b/>
          <w:bCs/>
          <w:sz w:val="24"/>
          <w:szCs w:val="28"/>
          <w:lang w:val="en-US" w:eastAsia="zh-CN"/>
        </w:rPr>
      </w:pPr>
    </w:p>
    <w:p w14:paraId="7D28ED09">
      <w:pPr>
        <w:spacing w:line="360" w:lineRule="auto"/>
        <w:jc w:val="center"/>
        <w:outlineLvl w:val="2"/>
        <w:rPr>
          <w:rFonts w:hint="eastAsia" w:ascii="宋体" w:hAnsi="宋体"/>
          <w:b/>
          <w:bCs/>
          <w:sz w:val="24"/>
          <w:szCs w:val="28"/>
          <w:lang w:val="en-US" w:eastAsia="zh-CN"/>
        </w:rPr>
      </w:pPr>
    </w:p>
    <w:p w14:paraId="7F741D7C">
      <w:pPr>
        <w:spacing w:line="360" w:lineRule="auto"/>
        <w:jc w:val="center"/>
        <w:outlineLvl w:val="2"/>
        <w:rPr>
          <w:rFonts w:hint="eastAsia" w:ascii="宋体" w:hAnsi="宋体"/>
          <w:b/>
          <w:bCs/>
          <w:sz w:val="24"/>
          <w:szCs w:val="28"/>
          <w:lang w:val="en-US" w:eastAsia="zh-CN"/>
        </w:rPr>
      </w:pPr>
    </w:p>
    <w:p w14:paraId="7F440586">
      <w:pPr>
        <w:spacing w:line="360" w:lineRule="auto"/>
        <w:jc w:val="center"/>
        <w:outlineLvl w:val="2"/>
        <w:rPr>
          <w:rFonts w:hint="eastAsia" w:ascii="宋体" w:hAnsi="宋体"/>
          <w:b/>
          <w:bCs/>
          <w:sz w:val="24"/>
          <w:szCs w:val="28"/>
          <w:lang w:val="en-US" w:eastAsia="zh-CN"/>
        </w:rPr>
      </w:pPr>
    </w:p>
    <w:p w14:paraId="0C79D84B">
      <w:pPr>
        <w:spacing w:line="360" w:lineRule="auto"/>
        <w:jc w:val="center"/>
        <w:outlineLvl w:val="2"/>
        <w:rPr>
          <w:rFonts w:ascii="宋体" w:hAnsi="宋体"/>
          <w:b/>
          <w:sz w:val="24"/>
        </w:rPr>
      </w:pPr>
      <w:r>
        <w:rPr>
          <w:rFonts w:hint="eastAsia" w:ascii="宋体" w:hAnsi="宋体"/>
          <w:b/>
          <w:bCs/>
          <w:sz w:val="24"/>
          <w:szCs w:val="28"/>
          <w:lang w:val="en-US" w:eastAsia="zh-CN"/>
        </w:rPr>
        <w:t>十四、</w:t>
      </w:r>
      <w:r>
        <w:rPr>
          <w:rFonts w:hint="eastAsia" w:ascii="宋体" w:hAnsi="宋体"/>
          <w:b/>
          <w:bCs/>
          <w:sz w:val="24"/>
          <w:szCs w:val="28"/>
        </w:rPr>
        <w:t>售后服务方案</w:t>
      </w:r>
    </w:p>
    <w:p w14:paraId="78635A2F">
      <w:pPr>
        <w:spacing w:line="360" w:lineRule="auto"/>
        <w:jc w:val="center"/>
        <w:rPr>
          <w:rFonts w:ascii="宋体" w:hAnsi="宋体"/>
          <w:b/>
          <w:sz w:val="24"/>
        </w:rPr>
        <w:sectPr>
          <w:headerReference r:id="rId8" w:type="default"/>
          <w:footerReference r:id="rId9" w:type="default"/>
          <w:pgSz w:w="11906" w:h="16838"/>
          <w:pgMar w:top="1440" w:right="1800" w:bottom="1440" w:left="1800" w:header="851" w:footer="992" w:gutter="0"/>
          <w:cols w:space="720" w:num="1"/>
          <w:docGrid w:type="lines" w:linePitch="312" w:charSpace="0"/>
        </w:sectPr>
      </w:pPr>
      <w:r>
        <w:rPr>
          <w:rFonts w:ascii="宋体" w:hAnsi="宋体"/>
          <w:i/>
          <w:sz w:val="24"/>
        </w:rPr>
        <w:t>(</w:t>
      </w:r>
      <w:r>
        <w:rPr>
          <w:rFonts w:hint="eastAsia" w:ascii="宋体" w:hAnsi="宋体"/>
          <w:i/>
          <w:sz w:val="24"/>
        </w:rPr>
        <w:t>投标人</w:t>
      </w:r>
      <w:r>
        <w:rPr>
          <w:rFonts w:ascii="宋体" w:hAnsi="宋体"/>
          <w:i/>
          <w:sz w:val="24"/>
        </w:rPr>
        <w:t>可自行制作格式)</w:t>
      </w:r>
    </w:p>
    <w:p w14:paraId="58749261">
      <w:pPr>
        <w:pStyle w:val="7"/>
        <w:jc w:val="center"/>
        <w:rPr>
          <w:rFonts w:ascii="宋体" w:hAnsi="宋体" w:cs="宋体"/>
          <w:sz w:val="24"/>
          <w:szCs w:val="24"/>
        </w:rPr>
      </w:pPr>
      <w:r>
        <w:rPr>
          <w:rFonts w:hint="eastAsia" w:ascii="宋体" w:hAnsi="宋体" w:cs="宋体"/>
          <w:sz w:val="24"/>
          <w:szCs w:val="24"/>
        </w:rPr>
        <w:t>十</w:t>
      </w:r>
      <w:r>
        <w:rPr>
          <w:rFonts w:hint="eastAsia" w:ascii="宋体" w:hAnsi="宋体" w:cs="宋体"/>
          <w:sz w:val="24"/>
          <w:szCs w:val="24"/>
          <w:lang w:val="en-US" w:eastAsia="zh-CN"/>
        </w:rPr>
        <w:t>五</w:t>
      </w:r>
      <w:r>
        <w:rPr>
          <w:rFonts w:hint="eastAsia" w:ascii="宋体" w:hAnsi="宋体" w:cs="宋体"/>
          <w:sz w:val="24"/>
          <w:szCs w:val="24"/>
        </w:rPr>
        <w:t>、本地化服务能力一览表</w:t>
      </w:r>
    </w:p>
    <w:tbl>
      <w:tblPr>
        <w:tblStyle w:val="41"/>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7746"/>
      </w:tblGrid>
      <w:tr w14:paraId="22F2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9344" w:type="dxa"/>
            <w:gridSpan w:val="2"/>
            <w:vAlign w:val="center"/>
          </w:tcPr>
          <w:p w14:paraId="52CE964F">
            <w:pPr>
              <w:pStyle w:val="22"/>
              <w:snapToGrid w:val="0"/>
              <w:spacing w:line="360" w:lineRule="auto"/>
              <w:rPr>
                <w:rFonts w:hAnsi="宋体" w:cs="宋体"/>
                <w:sz w:val="24"/>
                <w:szCs w:val="24"/>
              </w:rPr>
            </w:pPr>
            <w:r>
              <w:rPr>
                <w:rFonts w:hint="eastAsia" w:hAnsi="宋体" w:cs="宋体"/>
                <w:sz w:val="24"/>
                <w:szCs w:val="24"/>
              </w:rPr>
              <w:t>投标人全称：</w:t>
            </w:r>
          </w:p>
        </w:tc>
      </w:tr>
      <w:tr w14:paraId="69B1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1598" w:type="dxa"/>
            <w:vAlign w:val="center"/>
          </w:tcPr>
          <w:p w14:paraId="45E97E23">
            <w:pPr>
              <w:pStyle w:val="22"/>
              <w:snapToGrid w:val="0"/>
              <w:spacing w:line="360" w:lineRule="auto"/>
              <w:jc w:val="center"/>
              <w:rPr>
                <w:rFonts w:hAnsi="宋体" w:cs="宋体"/>
                <w:sz w:val="24"/>
                <w:szCs w:val="24"/>
              </w:rPr>
            </w:pPr>
            <w:r>
              <w:rPr>
                <w:rFonts w:hint="eastAsia" w:hAnsi="宋体" w:cs="宋体"/>
                <w:sz w:val="24"/>
                <w:szCs w:val="24"/>
              </w:rPr>
              <w:t>本地化服务能力形式</w:t>
            </w:r>
          </w:p>
        </w:tc>
        <w:tc>
          <w:tcPr>
            <w:tcW w:w="7746" w:type="dxa"/>
          </w:tcPr>
          <w:p w14:paraId="6410004E">
            <w:pPr>
              <w:pStyle w:val="22"/>
              <w:snapToGrid w:val="0"/>
              <w:spacing w:line="360" w:lineRule="auto"/>
              <w:jc w:val="left"/>
              <w:rPr>
                <w:rFonts w:hAnsi="宋体" w:cs="宋体"/>
                <w:sz w:val="24"/>
                <w:szCs w:val="24"/>
              </w:rPr>
            </w:pPr>
            <w:r>
              <w:rPr>
                <w:rFonts w:hint="eastAsia" w:hAnsi="宋体" w:cs="宋体"/>
                <w:sz w:val="24"/>
                <w:szCs w:val="24"/>
              </w:rPr>
              <w:t>□（1）在合肥行政区域范围（含四县一市）具有固定的办公场所及人员；</w:t>
            </w:r>
          </w:p>
          <w:p w14:paraId="20DF2910">
            <w:pPr>
              <w:pStyle w:val="22"/>
              <w:snapToGrid w:val="0"/>
              <w:spacing w:line="360" w:lineRule="auto"/>
              <w:jc w:val="left"/>
              <w:rPr>
                <w:rFonts w:hAnsi="宋体" w:cs="宋体"/>
                <w:sz w:val="24"/>
                <w:szCs w:val="24"/>
              </w:rPr>
            </w:pPr>
            <w:r>
              <w:rPr>
                <w:rFonts w:hint="eastAsia" w:hAnsi="宋体" w:cs="宋体"/>
                <w:sz w:val="24"/>
                <w:szCs w:val="24"/>
              </w:rPr>
              <w:t>□（2）投标人在合肥行政区域范围（含四县一市）注册成立的；</w:t>
            </w:r>
          </w:p>
          <w:p w14:paraId="7118AFC2">
            <w:pPr>
              <w:pStyle w:val="22"/>
              <w:snapToGrid w:val="0"/>
              <w:spacing w:line="360" w:lineRule="auto"/>
              <w:jc w:val="left"/>
              <w:rPr>
                <w:rFonts w:hAnsi="宋体" w:cs="宋体"/>
                <w:sz w:val="24"/>
                <w:szCs w:val="24"/>
              </w:rPr>
            </w:pPr>
            <w:r>
              <w:rPr>
                <w:rFonts w:hint="eastAsia" w:hAnsi="宋体" w:cs="宋体"/>
                <w:sz w:val="24"/>
                <w:szCs w:val="24"/>
              </w:rPr>
              <w:t>□（3）承诺中标即在合肥行政区域范围（含四县一市）设立服务机构，或委托相关单位作为服务机构；</w:t>
            </w:r>
          </w:p>
          <w:p w14:paraId="2A232A9E">
            <w:pPr>
              <w:pStyle w:val="22"/>
              <w:snapToGrid w:val="0"/>
              <w:spacing w:line="360" w:lineRule="auto"/>
              <w:jc w:val="left"/>
              <w:rPr>
                <w:rFonts w:hAnsi="宋体" w:cs="宋体"/>
                <w:sz w:val="24"/>
                <w:szCs w:val="24"/>
              </w:rPr>
            </w:pPr>
            <w:r>
              <w:rPr>
                <w:rFonts w:hint="eastAsia" w:hAnsi="宋体" w:cs="宋体"/>
                <w:sz w:val="24"/>
                <w:szCs w:val="24"/>
              </w:rPr>
              <w:t>□（4）委托相关单位作为服务机构。</w:t>
            </w:r>
          </w:p>
        </w:tc>
      </w:tr>
      <w:tr w14:paraId="2402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5" w:hRule="atLeast"/>
          <w:jc w:val="center"/>
        </w:trPr>
        <w:tc>
          <w:tcPr>
            <w:tcW w:w="9344" w:type="dxa"/>
            <w:gridSpan w:val="2"/>
          </w:tcPr>
          <w:p w14:paraId="1E6F5B63">
            <w:pPr>
              <w:pStyle w:val="22"/>
              <w:snapToGrid w:val="0"/>
              <w:spacing w:line="360" w:lineRule="auto"/>
              <w:jc w:val="left"/>
              <w:rPr>
                <w:rFonts w:hAnsi="宋体" w:cs="宋体"/>
                <w:sz w:val="24"/>
                <w:szCs w:val="24"/>
              </w:rPr>
            </w:pPr>
            <w:r>
              <w:rPr>
                <w:rFonts w:hint="eastAsia" w:hAnsi="宋体" w:cs="宋体"/>
                <w:sz w:val="24"/>
                <w:szCs w:val="24"/>
              </w:rPr>
              <w:t>有关证明文件：</w:t>
            </w:r>
          </w:p>
          <w:p w14:paraId="71C1AB94">
            <w:pPr>
              <w:pStyle w:val="22"/>
              <w:snapToGrid w:val="0"/>
              <w:spacing w:line="360" w:lineRule="auto"/>
              <w:jc w:val="left"/>
              <w:rPr>
                <w:rFonts w:hAnsi="宋体" w:cs="宋体"/>
                <w:sz w:val="24"/>
                <w:szCs w:val="24"/>
              </w:rPr>
            </w:pPr>
          </w:p>
          <w:p w14:paraId="7D176677">
            <w:pPr>
              <w:pStyle w:val="22"/>
              <w:snapToGrid w:val="0"/>
              <w:spacing w:line="360" w:lineRule="auto"/>
              <w:jc w:val="left"/>
              <w:rPr>
                <w:rFonts w:hAnsi="宋体" w:cs="宋体"/>
                <w:sz w:val="24"/>
                <w:szCs w:val="24"/>
              </w:rPr>
            </w:pPr>
          </w:p>
          <w:p w14:paraId="75E0F953">
            <w:pPr>
              <w:pStyle w:val="22"/>
              <w:snapToGrid w:val="0"/>
              <w:spacing w:line="360" w:lineRule="auto"/>
              <w:jc w:val="left"/>
              <w:rPr>
                <w:rFonts w:hAnsi="宋体" w:cs="宋体"/>
                <w:sz w:val="24"/>
                <w:szCs w:val="24"/>
              </w:rPr>
            </w:pPr>
          </w:p>
          <w:p w14:paraId="77D84DA1">
            <w:pPr>
              <w:pStyle w:val="22"/>
              <w:snapToGrid w:val="0"/>
              <w:spacing w:line="360" w:lineRule="auto"/>
              <w:jc w:val="left"/>
              <w:rPr>
                <w:rFonts w:hAnsi="宋体" w:cs="宋体"/>
                <w:sz w:val="24"/>
                <w:szCs w:val="24"/>
              </w:rPr>
            </w:pPr>
          </w:p>
        </w:tc>
      </w:tr>
    </w:tbl>
    <w:p w14:paraId="26BD097C">
      <w:pPr>
        <w:pStyle w:val="22"/>
        <w:snapToGrid w:val="0"/>
        <w:spacing w:line="360" w:lineRule="auto"/>
        <w:jc w:val="left"/>
        <w:rPr>
          <w:rFonts w:hAnsi="宋体" w:cs="宋体"/>
          <w:b/>
          <w:bCs/>
          <w:sz w:val="24"/>
          <w:szCs w:val="24"/>
        </w:rPr>
      </w:pPr>
      <w:r>
        <w:rPr>
          <w:rFonts w:hint="eastAsia" w:hAnsi="宋体" w:cs="宋体"/>
          <w:b/>
          <w:bCs/>
          <w:sz w:val="24"/>
          <w:szCs w:val="24"/>
        </w:rPr>
        <w:t>注：对于本地化服务要求第（1）种情形的，应当提供固定办公场所的自有产权证明或租赁合同等证明材料；第（2）种情形的应当提供营业执照；第（3）种情形的，应当提供承诺函；第（4）种情形的，提供相关委托协议等证明材料。</w:t>
      </w:r>
    </w:p>
    <w:p w14:paraId="2B799399">
      <w:pPr>
        <w:spacing w:line="360" w:lineRule="auto"/>
        <w:jc w:val="center"/>
        <w:outlineLvl w:val="2"/>
        <w:rPr>
          <w:rFonts w:ascii="宋体" w:hAnsi="宋体"/>
          <w:b/>
          <w:sz w:val="24"/>
        </w:rPr>
        <w:sectPr>
          <w:pgSz w:w="11906" w:h="16838"/>
          <w:pgMar w:top="1440" w:right="1800" w:bottom="1440" w:left="1800" w:header="851" w:footer="992" w:gutter="0"/>
          <w:cols w:space="720" w:num="1"/>
          <w:docGrid w:type="lines" w:linePitch="312" w:charSpace="0"/>
        </w:sectPr>
      </w:pPr>
    </w:p>
    <w:p w14:paraId="62C9CA07">
      <w:pPr>
        <w:spacing w:line="360" w:lineRule="auto"/>
        <w:jc w:val="center"/>
        <w:outlineLvl w:val="2"/>
        <w:rPr>
          <w:rFonts w:ascii="宋体" w:hAnsi="宋体"/>
          <w:b/>
          <w:sz w:val="24"/>
        </w:rPr>
      </w:pPr>
      <w:r>
        <w:rPr>
          <w:rFonts w:hint="eastAsia" w:ascii="宋体" w:hAnsi="宋体"/>
          <w:b/>
          <w:sz w:val="24"/>
        </w:rPr>
        <w:t>十</w:t>
      </w:r>
      <w:r>
        <w:rPr>
          <w:rFonts w:hint="eastAsia" w:ascii="宋体" w:hAnsi="宋体"/>
          <w:b/>
          <w:sz w:val="24"/>
          <w:lang w:val="en-US" w:eastAsia="zh-CN"/>
        </w:rPr>
        <w:t>六</w:t>
      </w:r>
      <w:r>
        <w:rPr>
          <w:rFonts w:hint="eastAsia" w:ascii="宋体" w:hAnsi="宋体"/>
          <w:b/>
          <w:sz w:val="24"/>
        </w:rPr>
        <w:t>、其他相关证明材料</w:t>
      </w:r>
    </w:p>
    <w:p w14:paraId="61F24657">
      <w:pPr>
        <w:tabs>
          <w:tab w:val="left" w:pos="4620"/>
        </w:tabs>
        <w:spacing w:line="360" w:lineRule="auto"/>
        <w:ind w:firstLine="480" w:firstLineChars="200"/>
        <w:rPr>
          <w:rFonts w:ascii="宋体" w:hAnsi="宋体"/>
          <w:sz w:val="24"/>
        </w:rPr>
      </w:pPr>
      <w:r>
        <w:rPr>
          <w:rFonts w:hint="eastAsia" w:ascii="宋体" w:hAnsi="宋体"/>
          <w:sz w:val="24"/>
        </w:rPr>
        <w:t>提供符合招标邀请（招标公告）、招标需求及评审方法和标准规定的相关证明文件。</w:t>
      </w:r>
    </w:p>
    <w:p w14:paraId="2F6BFABF">
      <w:pPr>
        <w:spacing w:line="360" w:lineRule="auto"/>
        <w:ind w:firstLine="435"/>
        <w:rPr>
          <w:rFonts w:ascii="Times New Roman" w:hAnsi="Times New Roman" w:cs="Times New Roman"/>
          <w:sz w:val="24"/>
        </w:rPr>
      </w:pPr>
    </w:p>
    <w:sectPr>
      <w:headerReference r:id="rId10" w:type="default"/>
      <w:footerReference r:id="rId11" w:type="default"/>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97D41ED-8B6B-46C6-9EF8-847B0490E4D2}"/>
  </w:font>
  <w:font w:name="Arial">
    <w:panose1 w:val="020B0604020202020204"/>
    <w:charset w:val="01"/>
    <w:family w:val="swiss"/>
    <w:pitch w:val="default"/>
    <w:sig w:usb0="E0002EFF" w:usb1="C000785B" w:usb2="00000009" w:usb3="00000000" w:csb0="400001FF" w:csb1="FFFF0000"/>
    <w:embedRegular r:id="rId2" w:fontKey="{AF98F909-B2FB-4315-A661-CB63125B8A3C}"/>
  </w:font>
  <w:font w:name="黑体">
    <w:panose1 w:val="02010609060101010101"/>
    <w:charset w:val="86"/>
    <w:family w:val="auto"/>
    <w:pitch w:val="default"/>
    <w:sig w:usb0="800002BF" w:usb1="38CF7CFA" w:usb2="00000016" w:usb3="00000000" w:csb0="00040001" w:csb1="00000000"/>
    <w:embedRegular r:id="rId3" w:fontKey="{89EF6ED3-09AF-4077-8D69-2CEB702EC7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91868BD8-B04C-41CD-A755-9902C2E881CD}"/>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MS Sans Serif">
    <w:altName w:val="Arial"/>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简标宋">
    <w:altName w:val="黑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5" w:fontKey="{E9AC93F1-AAA1-44B5-8DA9-8D585A9346C9}"/>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E625A">
    <w:pPr>
      <w:pStyle w:val="27"/>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20426">
    <w:pPr>
      <w:pStyle w:val="27"/>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97058">
    <w:pPr>
      <w:pStyle w:val="27"/>
      <w:jc w:val="both"/>
      <w:rPr>
        <w:rFonts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A5D00">
    <w:pPr>
      <w:pStyle w:val="27"/>
      <w:rPr>
        <w:rFonts w:ascii="宋体" w:hAnsi="宋体"/>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7A71D">
    <w:pPr>
      <w:pStyle w:val="2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E578E">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F395C">
    <w:pPr>
      <w:pStyle w:val="2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8BDF0">
    <w:pPr>
      <w:pStyle w:val="2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CED32">
    <w:pPr>
      <w:pStyle w:val="2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CC80AA"/>
    <w:multiLevelType w:val="singleLevel"/>
    <w:tmpl w:val="A1CC80AA"/>
    <w:lvl w:ilvl="0" w:tentative="0">
      <w:start w:val="1"/>
      <w:numFmt w:val="decimal"/>
      <w:suff w:val="nothing"/>
      <w:lvlText w:val="%1、"/>
      <w:lvlJc w:val="left"/>
    </w:lvl>
  </w:abstractNum>
  <w:abstractNum w:abstractNumId="1">
    <w:nsid w:val="AE941F11"/>
    <w:multiLevelType w:val="singleLevel"/>
    <w:tmpl w:val="AE941F11"/>
    <w:lvl w:ilvl="0" w:tentative="0">
      <w:start w:val="1"/>
      <w:numFmt w:val="decimal"/>
      <w:lvlText w:val="%1."/>
      <w:lvlJc w:val="left"/>
      <w:pPr>
        <w:tabs>
          <w:tab w:val="left" w:pos="312"/>
        </w:tabs>
      </w:pPr>
    </w:lvl>
  </w:abstractNum>
  <w:abstractNum w:abstractNumId="2">
    <w:nsid w:val="C8AD724D"/>
    <w:multiLevelType w:val="singleLevel"/>
    <w:tmpl w:val="C8AD724D"/>
    <w:lvl w:ilvl="0" w:tentative="0">
      <w:start w:val="13"/>
      <w:numFmt w:val="decimal"/>
      <w:lvlText w:val="%1."/>
      <w:lvlJc w:val="left"/>
      <w:pPr>
        <w:tabs>
          <w:tab w:val="left" w:pos="312"/>
        </w:tabs>
      </w:pPr>
    </w:lvl>
  </w:abstractNum>
  <w:abstractNum w:abstractNumId="3">
    <w:nsid w:val="0E271B42"/>
    <w:multiLevelType w:val="singleLevel"/>
    <w:tmpl w:val="0E271B42"/>
    <w:lvl w:ilvl="0" w:tentative="0">
      <w:start w:val="1"/>
      <w:numFmt w:val="decimal"/>
      <w:lvlText w:val="%1."/>
      <w:lvlJc w:val="left"/>
      <w:pPr>
        <w:tabs>
          <w:tab w:val="left" w:pos="312"/>
        </w:tabs>
      </w:pPr>
    </w:lvl>
  </w:abstractNum>
  <w:abstractNum w:abstractNumId="4">
    <w:nsid w:val="1801FF91"/>
    <w:multiLevelType w:val="singleLevel"/>
    <w:tmpl w:val="1801FF91"/>
    <w:lvl w:ilvl="0" w:tentative="0">
      <w:start w:val="1"/>
      <w:numFmt w:val="bullet"/>
      <w:pStyle w:val="20"/>
      <w:lvlText w:val=""/>
      <w:lvlJc w:val="left"/>
      <w:pPr>
        <w:tabs>
          <w:tab w:val="left" w:pos="2040"/>
        </w:tabs>
        <w:ind w:left="2040" w:hanging="360"/>
      </w:pPr>
      <w:rPr>
        <w:rFonts w:hint="default" w:ascii="Wingdings" w:hAnsi="Wingdings"/>
      </w:rPr>
    </w:lvl>
  </w:abstractNum>
  <w:abstractNum w:abstractNumId="5">
    <w:nsid w:val="2DD96614"/>
    <w:multiLevelType w:val="singleLevel"/>
    <w:tmpl w:val="2DD96614"/>
    <w:lvl w:ilvl="0" w:tentative="0">
      <w:start w:val="1"/>
      <w:numFmt w:val="chineseCounting"/>
      <w:suff w:val="nothing"/>
      <w:lvlText w:val="%1、"/>
      <w:lvlJc w:val="left"/>
      <w:rPr>
        <w:rFonts w:hint="eastAsia"/>
      </w:rPr>
    </w:lvl>
  </w:abstractNum>
  <w:abstractNum w:abstractNumId="6">
    <w:nsid w:val="2E1FFC57"/>
    <w:multiLevelType w:val="singleLevel"/>
    <w:tmpl w:val="2E1FFC57"/>
    <w:lvl w:ilvl="0" w:tentative="0">
      <w:start w:val="1"/>
      <w:numFmt w:val="decimal"/>
      <w:lvlText w:val="%1."/>
      <w:lvlJc w:val="left"/>
      <w:pPr>
        <w:tabs>
          <w:tab w:val="left" w:pos="312"/>
        </w:tabs>
      </w:pPr>
    </w:lvl>
  </w:abstractNum>
  <w:abstractNum w:abstractNumId="7">
    <w:nsid w:val="371EFED2"/>
    <w:multiLevelType w:val="singleLevel"/>
    <w:tmpl w:val="371EFED2"/>
    <w:lvl w:ilvl="0" w:tentative="0">
      <w:start w:val="1"/>
      <w:numFmt w:val="decimal"/>
      <w:suff w:val="nothing"/>
      <w:lvlText w:val="%1、"/>
      <w:lvlJc w:val="left"/>
    </w:lvl>
  </w:abstractNum>
  <w:abstractNum w:abstractNumId="8">
    <w:nsid w:val="3E1EA5D2"/>
    <w:multiLevelType w:val="singleLevel"/>
    <w:tmpl w:val="3E1EA5D2"/>
    <w:lvl w:ilvl="0" w:tentative="0">
      <w:start w:val="1"/>
      <w:numFmt w:val="decimal"/>
      <w:suff w:val="nothing"/>
      <w:lvlText w:val="%1、"/>
      <w:lvlJc w:val="left"/>
    </w:lvl>
  </w:abstractNum>
  <w:abstractNum w:abstractNumId="9">
    <w:nsid w:val="697AB5B1"/>
    <w:multiLevelType w:val="singleLevel"/>
    <w:tmpl w:val="697AB5B1"/>
    <w:lvl w:ilvl="0" w:tentative="0">
      <w:start w:val="2"/>
      <w:numFmt w:val="chineseCounting"/>
      <w:suff w:val="nothing"/>
      <w:lvlText w:val="%1、"/>
      <w:lvlJc w:val="left"/>
      <w:pPr>
        <w:ind w:left="193"/>
      </w:pPr>
      <w:rPr>
        <w:rFonts w:hint="eastAsia"/>
      </w:rPr>
    </w:lvl>
  </w:abstractNum>
  <w:num w:numId="1">
    <w:abstractNumId w:val="4"/>
  </w:num>
  <w:num w:numId="2">
    <w:abstractNumId w:val="2"/>
  </w:num>
  <w:num w:numId="3">
    <w:abstractNumId w:val="9"/>
  </w:num>
  <w:num w:numId="4">
    <w:abstractNumId w:val="5"/>
  </w:num>
  <w:num w:numId="5">
    <w:abstractNumId w:val="1"/>
  </w:num>
  <w:num w:numId="6">
    <w:abstractNumId w:val="7"/>
  </w:num>
  <w:num w:numId="7">
    <w:abstractNumId w:val="0"/>
  </w:num>
  <w:num w:numId="8">
    <w:abstractNumId w:val="8"/>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yYWI5NTRhODMxYmEwMmU5ZWU3OWFjMTQ5ZTdhZWMifQ=="/>
  </w:docVars>
  <w:rsids>
    <w:rsidRoot w:val="00000000"/>
    <w:rsid w:val="01434E3A"/>
    <w:rsid w:val="02336475"/>
    <w:rsid w:val="023D3D5A"/>
    <w:rsid w:val="03197CC1"/>
    <w:rsid w:val="031C19DD"/>
    <w:rsid w:val="033E4BBF"/>
    <w:rsid w:val="05237BC9"/>
    <w:rsid w:val="06126354"/>
    <w:rsid w:val="0671217A"/>
    <w:rsid w:val="077E0605"/>
    <w:rsid w:val="07B41E06"/>
    <w:rsid w:val="084532CC"/>
    <w:rsid w:val="0A165F4E"/>
    <w:rsid w:val="0A7809B7"/>
    <w:rsid w:val="0ACF25B8"/>
    <w:rsid w:val="0B04224A"/>
    <w:rsid w:val="0B4C3734"/>
    <w:rsid w:val="0CA6467F"/>
    <w:rsid w:val="0DB461AA"/>
    <w:rsid w:val="0E1C3D4F"/>
    <w:rsid w:val="0E4F7C80"/>
    <w:rsid w:val="0F5D4B31"/>
    <w:rsid w:val="0F63568A"/>
    <w:rsid w:val="10146569"/>
    <w:rsid w:val="1145536B"/>
    <w:rsid w:val="11F1104F"/>
    <w:rsid w:val="128E47CA"/>
    <w:rsid w:val="13573133"/>
    <w:rsid w:val="13705AE8"/>
    <w:rsid w:val="140530A9"/>
    <w:rsid w:val="144813FA"/>
    <w:rsid w:val="145E0C1D"/>
    <w:rsid w:val="14C30A80"/>
    <w:rsid w:val="14D6431A"/>
    <w:rsid w:val="1585667E"/>
    <w:rsid w:val="173C2D6C"/>
    <w:rsid w:val="1B29046A"/>
    <w:rsid w:val="1BEA17C0"/>
    <w:rsid w:val="1D9D71B6"/>
    <w:rsid w:val="1F4B7FF0"/>
    <w:rsid w:val="221B2C1C"/>
    <w:rsid w:val="22B61C24"/>
    <w:rsid w:val="2463402E"/>
    <w:rsid w:val="266E3140"/>
    <w:rsid w:val="27005B64"/>
    <w:rsid w:val="29A45C57"/>
    <w:rsid w:val="29EF3C6E"/>
    <w:rsid w:val="2A181417"/>
    <w:rsid w:val="2EFE6E2D"/>
    <w:rsid w:val="30A42168"/>
    <w:rsid w:val="31467EBB"/>
    <w:rsid w:val="317853A3"/>
    <w:rsid w:val="319C62FD"/>
    <w:rsid w:val="31D976DD"/>
    <w:rsid w:val="323112C7"/>
    <w:rsid w:val="3236068C"/>
    <w:rsid w:val="32E05A51"/>
    <w:rsid w:val="33B63F0B"/>
    <w:rsid w:val="36304EC1"/>
    <w:rsid w:val="3687595A"/>
    <w:rsid w:val="371D006C"/>
    <w:rsid w:val="39CE38A0"/>
    <w:rsid w:val="3A26713C"/>
    <w:rsid w:val="3A345DF9"/>
    <w:rsid w:val="3A4231D7"/>
    <w:rsid w:val="3B1672AC"/>
    <w:rsid w:val="3B8F1A46"/>
    <w:rsid w:val="3BC94C7C"/>
    <w:rsid w:val="3CCA47F2"/>
    <w:rsid w:val="3CD042E5"/>
    <w:rsid w:val="3D9D5A63"/>
    <w:rsid w:val="3DB459B5"/>
    <w:rsid w:val="3E38578C"/>
    <w:rsid w:val="3E4D7489"/>
    <w:rsid w:val="3EBD2975"/>
    <w:rsid w:val="3F3C12AC"/>
    <w:rsid w:val="40CA68E9"/>
    <w:rsid w:val="420D0394"/>
    <w:rsid w:val="42672397"/>
    <w:rsid w:val="440A4F86"/>
    <w:rsid w:val="44915BF6"/>
    <w:rsid w:val="466E068E"/>
    <w:rsid w:val="466F4B6F"/>
    <w:rsid w:val="46E0781B"/>
    <w:rsid w:val="46E966CF"/>
    <w:rsid w:val="476B0980"/>
    <w:rsid w:val="48030BB8"/>
    <w:rsid w:val="4ACA1E61"/>
    <w:rsid w:val="4C486B77"/>
    <w:rsid w:val="4CD9638C"/>
    <w:rsid w:val="4D043409"/>
    <w:rsid w:val="4D331F40"/>
    <w:rsid w:val="4DF00587"/>
    <w:rsid w:val="4E6C5709"/>
    <w:rsid w:val="4EBA414E"/>
    <w:rsid w:val="4F1D45B9"/>
    <w:rsid w:val="4F710AFD"/>
    <w:rsid w:val="51A82756"/>
    <w:rsid w:val="522B768A"/>
    <w:rsid w:val="535350EA"/>
    <w:rsid w:val="53B611D5"/>
    <w:rsid w:val="53BD07B5"/>
    <w:rsid w:val="55436A98"/>
    <w:rsid w:val="557E60A6"/>
    <w:rsid w:val="55E72A4A"/>
    <w:rsid w:val="56A47A0A"/>
    <w:rsid w:val="5728063B"/>
    <w:rsid w:val="582F64DC"/>
    <w:rsid w:val="5A126092"/>
    <w:rsid w:val="5B477079"/>
    <w:rsid w:val="5C427AAA"/>
    <w:rsid w:val="5D927271"/>
    <w:rsid w:val="5ED03A93"/>
    <w:rsid w:val="5F177A55"/>
    <w:rsid w:val="5FC8476A"/>
    <w:rsid w:val="60175C03"/>
    <w:rsid w:val="6062071A"/>
    <w:rsid w:val="651A753E"/>
    <w:rsid w:val="65D8147F"/>
    <w:rsid w:val="6662597E"/>
    <w:rsid w:val="683A3D2B"/>
    <w:rsid w:val="685C6397"/>
    <w:rsid w:val="6A651D16"/>
    <w:rsid w:val="6BCF6E80"/>
    <w:rsid w:val="6C184383"/>
    <w:rsid w:val="6F401996"/>
    <w:rsid w:val="6FA8452B"/>
    <w:rsid w:val="72267F28"/>
    <w:rsid w:val="72EA3C3A"/>
    <w:rsid w:val="733D0C11"/>
    <w:rsid w:val="7443172F"/>
    <w:rsid w:val="74544FC0"/>
    <w:rsid w:val="74AA048A"/>
    <w:rsid w:val="74EC45FF"/>
    <w:rsid w:val="75E033DC"/>
    <w:rsid w:val="76550DDC"/>
    <w:rsid w:val="784E3ABE"/>
    <w:rsid w:val="79222CE5"/>
    <w:rsid w:val="79FF3026"/>
    <w:rsid w:val="7A682FFB"/>
    <w:rsid w:val="7A70182E"/>
    <w:rsid w:val="7BA934F5"/>
    <w:rsid w:val="7BDB5199"/>
    <w:rsid w:val="7C345209"/>
    <w:rsid w:val="7C7C132D"/>
    <w:rsid w:val="7DFC2925"/>
    <w:rsid w:val="7EBC3294"/>
    <w:rsid w:val="7F7233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semiHidden="0" w:name="endnote reference"/>
    <w:lsdException w:qFormat="1" w:uiPriority="0" w:semiHidden="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qFormat="1"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99" w:semiHidden="0" w:name="Plain Text"/>
    <w:lsdException w:uiPriority="0" w:name="E-mail Signature"/>
    <w:lsdException w:qFormat="1" w:unhideWhenUsed="0" w:uiPriority="0"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1"/>
      <w:lang w:val="en-US" w:eastAsia="zh-CN" w:bidi="ar-SA"/>
    </w:rPr>
  </w:style>
  <w:style w:type="paragraph" w:styleId="5">
    <w:name w:val="heading 1"/>
    <w:basedOn w:val="1"/>
    <w:next w:val="1"/>
    <w:link w:val="7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99"/>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link w:val="138"/>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84"/>
    <w:qFormat/>
    <w:uiPriority w:val="0"/>
    <w:pPr>
      <w:keepNext/>
      <w:keepLines/>
      <w:spacing w:before="280" w:after="290" w:line="376" w:lineRule="auto"/>
      <w:outlineLvl w:val="3"/>
    </w:pPr>
    <w:rPr>
      <w:b/>
      <w:bCs/>
      <w:sz w:val="28"/>
      <w:szCs w:val="28"/>
    </w:rPr>
  </w:style>
  <w:style w:type="paragraph" w:styleId="9">
    <w:name w:val="heading 5"/>
    <w:basedOn w:val="1"/>
    <w:next w:val="1"/>
    <w:link w:val="132"/>
    <w:unhideWhenUsed/>
    <w:qFormat/>
    <w:uiPriority w:val="9"/>
    <w:pPr>
      <w:keepNext/>
      <w:keepLines/>
      <w:spacing w:before="280" w:after="290" w:line="372" w:lineRule="auto"/>
      <w:outlineLvl w:val="4"/>
    </w:pPr>
    <w:rPr>
      <w:b/>
      <w:sz w:val="28"/>
    </w:rPr>
  </w:style>
  <w:style w:type="paragraph" w:styleId="10">
    <w:name w:val="heading 6"/>
    <w:basedOn w:val="1"/>
    <w:next w:val="1"/>
    <w:link w:val="133"/>
    <w:unhideWhenUsed/>
    <w:qFormat/>
    <w:uiPriority w:val="9"/>
    <w:pPr>
      <w:keepNext/>
      <w:keepLines/>
      <w:spacing w:before="240" w:after="64" w:line="317" w:lineRule="auto"/>
      <w:outlineLvl w:val="5"/>
    </w:pPr>
    <w:rPr>
      <w:rFonts w:ascii="Arial" w:hAnsi="Arial" w:eastAsia="黑体"/>
      <w:b/>
      <w:sz w:val="24"/>
    </w:rPr>
  </w:style>
  <w:style w:type="paragraph" w:styleId="11">
    <w:name w:val="heading 7"/>
    <w:basedOn w:val="1"/>
    <w:next w:val="1"/>
    <w:link w:val="120"/>
    <w:unhideWhenUsed/>
    <w:qFormat/>
    <w:uiPriority w:val="9"/>
    <w:pPr>
      <w:keepNext/>
      <w:keepLines/>
      <w:spacing w:before="240" w:after="64" w:line="317" w:lineRule="auto"/>
      <w:outlineLvl w:val="6"/>
    </w:pPr>
    <w:rPr>
      <w:b/>
      <w:sz w:val="24"/>
    </w:rPr>
  </w:style>
  <w:style w:type="paragraph" w:styleId="12">
    <w:name w:val="heading 8"/>
    <w:basedOn w:val="1"/>
    <w:next w:val="1"/>
    <w:link w:val="134"/>
    <w:unhideWhenUsed/>
    <w:qFormat/>
    <w:uiPriority w:val="9"/>
    <w:pPr>
      <w:keepNext/>
      <w:keepLines/>
      <w:spacing w:before="240" w:after="64" w:line="317" w:lineRule="auto"/>
      <w:outlineLvl w:val="7"/>
    </w:pPr>
    <w:rPr>
      <w:rFonts w:ascii="Arial" w:hAnsi="Arial" w:eastAsia="黑体"/>
      <w:sz w:val="24"/>
    </w:rPr>
  </w:style>
  <w:style w:type="paragraph" w:styleId="13">
    <w:name w:val="heading 9"/>
    <w:basedOn w:val="1"/>
    <w:next w:val="1"/>
    <w:link w:val="135"/>
    <w:unhideWhenUsed/>
    <w:qFormat/>
    <w:uiPriority w:val="9"/>
    <w:pPr>
      <w:keepNext/>
      <w:keepLines/>
      <w:spacing w:before="240" w:after="64" w:line="317" w:lineRule="auto"/>
      <w:outlineLvl w:val="8"/>
    </w:pPr>
    <w:rPr>
      <w:rFonts w:ascii="Arial" w:hAnsi="Arial" w:eastAsia="黑体"/>
    </w:rPr>
  </w:style>
  <w:style w:type="character" w:default="1" w:styleId="43">
    <w:name w:val="Default Paragraph Font"/>
    <w:unhideWhenUsed/>
    <w:qFormat/>
    <w:uiPriority w:val="1"/>
  </w:style>
  <w:style w:type="table" w:default="1" w:styleId="41">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link w:val="140"/>
    <w:qFormat/>
    <w:uiPriority w:val="0"/>
    <w:pPr>
      <w:spacing w:after="120"/>
      <w:ind w:left="420" w:leftChars="200"/>
    </w:pPr>
  </w:style>
  <w:style w:type="paragraph" w:styleId="4">
    <w:name w:val="envelope return"/>
    <w:basedOn w:val="1"/>
    <w:next w:val="1"/>
    <w:qFormat/>
    <w:uiPriority w:val="0"/>
    <w:pPr>
      <w:snapToGrid w:val="0"/>
    </w:pPr>
    <w:rPr>
      <w:rFonts w:ascii="Arial" w:hAnsi="Arial"/>
    </w:rPr>
  </w:style>
  <w:style w:type="paragraph" w:styleId="14">
    <w:name w:val="Normal Indent"/>
    <w:basedOn w:val="1"/>
    <w:qFormat/>
    <w:uiPriority w:val="0"/>
    <w:pPr>
      <w:autoSpaceDE w:val="0"/>
      <w:autoSpaceDN w:val="0"/>
      <w:adjustRightInd w:val="0"/>
      <w:ind w:firstLine="420"/>
      <w:jc w:val="left"/>
    </w:pPr>
    <w:rPr>
      <w:rFonts w:ascii="宋体" w:hAnsi="Times New Roman" w:cs="Times New Roman"/>
      <w:kern w:val="0"/>
      <w:sz w:val="24"/>
    </w:rPr>
  </w:style>
  <w:style w:type="paragraph" w:styleId="15">
    <w:name w:val="Document Map"/>
    <w:basedOn w:val="1"/>
    <w:link w:val="114"/>
    <w:unhideWhenUsed/>
    <w:qFormat/>
    <w:uiPriority w:val="0"/>
    <w:pPr>
      <w:shd w:val="clear" w:color="auto" w:fill="000080"/>
    </w:pPr>
  </w:style>
  <w:style w:type="paragraph" w:styleId="16">
    <w:name w:val="annotation text"/>
    <w:basedOn w:val="1"/>
    <w:link w:val="77"/>
    <w:qFormat/>
    <w:uiPriority w:val="99"/>
    <w:pPr>
      <w:jc w:val="left"/>
    </w:pPr>
    <w:rPr>
      <w:rFonts w:ascii="Arial" w:hAnsi="Arial" w:eastAsia="黑体" w:cs="Arial"/>
    </w:rPr>
  </w:style>
  <w:style w:type="paragraph" w:styleId="17">
    <w:name w:val="Salutation"/>
    <w:basedOn w:val="1"/>
    <w:next w:val="1"/>
    <w:link w:val="139"/>
    <w:unhideWhenUsed/>
    <w:qFormat/>
    <w:uiPriority w:val="0"/>
  </w:style>
  <w:style w:type="paragraph" w:styleId="18">
    <w:name w:val="Body Text 3"/>
    <w:basedOn w:val="1"/>
    <w:link w:val="130"/>
    <w:unhideWhenUsed/>
    <w:qFormat/>
    <w:uiPriority w:val="0"/>
    <w:pPr>
      <w:spacing w:after="120"/>
    </w:pPr>
    <w:rPr>
      <w:sz w:val="16"/>
    </w:rPr>
  </w:style>
  <w:style w:type="paragraph" w:styleId="19">
    <w:name w:val="Body Text"/>
    <w:basedOn w:val="1"/>
    <w:next w:val="20"/>
    <w:link w:val="92"/>
    <w:qFormat/>
    <w:uiPriority w:val="0"/>
    <w:rPr>
      <w:rFonts w:ascii="宋体" w:hAnsi="Arial" w:cs="Times New Roman"/>
      <w:sz w:val="28"/>
    </w:rPr>
  </w:style>
  <w:style w:type="paragraph" w:styleId="20">
    <w:name w:val="List Bullet 5"/>
    <w:basedOn w:val="1"/>
    <w:semiHidden/>
    <w:unhideWhenUsed/>
    <w:qFormat/>
    <w:uiPriority w:val="0"/>
    <w:pPr>
      <w:numPr>
        <w:ilvl w:val="0"/>
        <w:numId w:val="1"/>
      </w:numPr>
    </w:pPr>
  </w:style>
  <w:style w:type="paragraph" w:styleId="21">
    <w:name w:val="toc 3"/>
    <w:basedOn w:val="1"/>
    <w:next w:val="1"/>
    <w:unhideWhenUsed/>
    <w:qFormat/>
    <w:uiPriority w:val="39"/>
    <w:pPr>
      <w:widowControl/>
      <w:spacing w:after="100" w:line="276" w:lineRule="auto"/>
      <w:ind w:left="440"/>
      <w:jc w:val="left"/>
    </w:pPr>
    <w:rPr>
      <w:rFonts w:ascii="Calibri" w:hAnsi="Calibri" w:cs="黑体"/>
      <w:kern w:val="0"/>
      <w:sz w:val="22"/>
      <w:szCs w:val="22"/>
    </w:rPr>
  </w:style>
  <w:style w:type="paragraph" w:styleId="22">
    <w:name w:val="Plain Text"/>
    <w:basedOn w:val="1"/>
    <w:link w:val="70"/>
    <w:qFormat/>
    <w:uiPriority w:val="99"/>
    <w:rPr>
      <w:rFonts w:ascii="宋体" w:hAnsi="Courier New" w:cs="黑体"/>
      <w:szCs w:val="22"/>
    </w:rPr>
  </w:style>
  <w:style w:type="paragraph" w:styleId="23">
    <w:name w:val="Date"/>
    <w:basedOn w:val="1"/>
    <w:next w:val="1"/>
    <w:link w:val="74"/>
    <w:qFormat/>
    <w:uiPriority w:val="0"/>
    <w:rPr>
      <w:rFonts w:ascii="Arial" w:hAnsi="Arial" w:cs="Arial"/>
      <w:b/>
      <w:sz w:val="28"/>
    </w:rPr>
  </w:style>
  <w:style w:type="paragraph" w:styleId="24">
    <w:name w:val="Body Text Indent 2"/>
    <w:basedOn w:val="1"/>
    <w:link w:val="104"/>
    <w:unhideWhenUsed/>
    <w:qFormat/>
    <w:uiPriority w:val="0"/>
    <w:pPr>
      <w:spacing w:after="120" w:line="480" w:lineRule="auto"/>
      <w:ind w:left="420" w:leftChars="200"/>
    </w:pPr>
  </w:style>
  <w:style w:type="paragraph" w:styleId="25">
    <w:name w:val="endnote text"/>
    <w:basedOn w:val="1"/>
    <w:link w:val="141"/>
    <w:unhideWhenUsed/>
    <w:qFormat/>
    <w:uiPriority w:val="0"/>
    <w:pPr>
      <w:snapToGrid w:val="0"/>
      <w:jc w:val="left"/>
    </w:pPr>
  </w:style>
  <w:style w:type="paragraph" w:styleId="26">
    <w:name w:val="Balloon Text"/>
    <w:basedOn w:val="1"/>
    <w:link w:val="67"/>
    <w:unhideWhenUsed/>
    <w:qFormat/>
    <w:uiPriority w:val="99"/>
    <w:rPr>
      <w:sz w:val="18"/>
      <w:szCs w:val="18"/>
    </w:rPr>
  </w:style>
  <w:style w:type="paragraph" w:styleId="27">
    <w:name w:val="footer"/>
    <w:basedOn w:val="1"/>
    <w:link w:val="69"/>
    <w:unhideWhenUsed/>
    <w:qFormat/>
    <w:uiPriority w:val="99"/>
    <w:pPr>
      <w:tabs>
        <w:tab w:val="center" w:pos="4153"/>
        <w:tab w:val="right" w:pos="8306"/>
      </w:tabs>
      <w:snapToGrid w:val="0"/>
      <w:jc w:val="left"/>
    </w:pPr>
    <w:rPr>
      <w:sz w:val="18"/>
      <w:szCs w:val="18"/>
    </w:rPr>
  </w:style>
  <w:style w:type="paragraph" w:styleId="28">
    <w:name w:val="header"/>
    <w:basedOn w:val="1"/>
    <w:link w:val="68"/>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unhideWhenUsed/>
    <w:qFormat/>
    <w:uiPriority w:val="39"/>
    <w:pPr>
      <w:widowControl/>
      <w:spacing w:after="100" w:line="276" w:lineRule="auto"/>
      <w:jc w:val="left"/>
    </w:pPr>
    <w:rPr>
      <w:rFonts w:ascii="Calibri" w:hAnsi="Calibri" w:cs="黑体"/>
      <w:kern w:val="0"/>
      <w:sz w:val="22"/>
      <w:szCs w:val="22"/>
    </w:rPr>
  </w:style>
  <w:style w:type="paragraph" w:styleId="30">
    <w:name w:val="Subtitle"/>
    <w:basedOn w:val="1"/>
    <w:link w:val="113"/>
    <w:qFormat/>
    <w:uiPriority w:val="11"/>
    <w:pPr>
      <w:spacing w:before="240" w:after="60" w:line="312" w:lineRule="auto"/>
      <w:jc w:val="center"/>
      <w:outlineLvl w:val="1"/>
    </w:pPr>
    <w:rPr>
      <w:rFonts w:ascii="Arial" w:hAnsi="Arial"/>
      <w:b/>
      <w:kern w:val="28"/>
      <w:sz w:val="32"/>
    </w:rPr>
  </w:style>
  <w:style w:type="paragraph" w:styleId="31">
    <w:name w:val="List"/>
    <w:basedOn w:val="1"/>
    <w:qFormat/>
    <w:uiPriority w:val="0"/>
    <w:pPr>
      <w:ind w:left="200" w:hanging="200" w:hangingChars="200"/>
    </w:pPr>
    <w:rPr>
      <w:rFonts w:ascii="Calibri" w:hAnsi="Calibri"/>
      <w:szCs w:val="22"/>
    </w:rPr>
  </w:style>
  <w:style w:type="paragraph" w:styleId="32">
    <w:name w:val="footnote text"/>
    <w:basedOn w:val="1"/>
    <w:link w:val="142"/>
    <w:unhideWhenUsed/>
    <w:qFormat/>
    <w:uiPriority w:val="0"/>
    <w:pPr>
      <w:snapToGrid w:val="0"/>
      <w:jc w:val="left"/>
    </w:pPr>
    <w:rPr>
      <w:rFonts w:ascii="Times New Roman" w:hAnsi="Times New Roman" w:cs="Times New Roman"/>
      <w:sz w:val="18"/>
      <w:szCs w:val="18"/>
      <w:lang w:val="zh-CN"/>
    </w:rPr>
  </w:style>
  <w:style w:type="paragraph" w:styleId="33">
    <w:name w:val="Body Text Indent 3"/>
    <w:basedOn w:val="1"/>
    <w:link w:val="121"/>
    <w:unhideWhenUsed/>
    <w:qFormat/>
    <w:uiPriority w:val="0"/>
    <w:pPr>
      <w:spacing w:after="120"/>
      <w:ind w:left="420" w:leftChars="200"/>
    </w:pPr>
    <w:rPr>
      <w:sz w:val="16"/>
    </w:rPr>
  </w:style>
  <w:style w:type="paragraph" w:styleId="34">
    <w:name w:val="toc 2"/>
    <w:basedOn w:val="1"/>
    <w:next w:val="1"/>
    <w:unhideWhenUsed/>
    <w:qFormat/>
    <w:uiPriority w:val="39"/>
    <w:pPr>
      <w:widowControl/>
      <w:spacing w:after="100" w:line="276" w:lineRule="auto"/>
      <w:ind w:left="220"/>
      <w:jc w:val="left"/>
    </w:pPr>
    <w:rPr>
      <w:rFonts w:ascii="Calibri" w:hAnsi="Calibri" w:cs="黑体"/>
      <w:kern w:val="0"/>
      <w:sz w:val="22"/>
      <w:szCs w:val="22"/>
    </w:rPr>
  </w:style>
  <w:style w:type="paragraph" w:styleId="35">
    <w:name w:val="Body Text 2"/>
    <w:basedOn w:val="1"/>
    <w:link w:val="143"/>
    <w:unhideWhenUsed/>
    <w:qFormat/>
    <w:uiPriority w:val="0"/>
    <w:pPr>
      <w:spacing w:after="120" w:line="480" w:lineRule="auto"/>
    </w:pPr>
  </w:style>
  <w:style w:type="paragraph" w:styleId="36">
    <w:name w:val="Normal (Web)"/>
    <w:basedOn w:val="1"/>
    <w:qFormat/>
    <w:uiPriority w:val="0"/>
    <w:pPr>
      <w:spacing w:beforeAutospacing="1" w:afterAutospacing="1"/>
      <w:jc w:val="left"/>
    </w:pPr>
    <w:rPr>
      <w:kern w:val="0"/>
      <w:sz w:val="24"/>
    </w:rPr>
  </w:style>
  <w:style w:type="paragraph" w:styleId="37">
    <w:name w:val="index 1"/>
    <w:basedOn w:val="1"/>
    <w:next w:val="1"/>
    <w:qFormat/>
    <w:uiPriority w:val="0"/>
    <w:pPr>
      <w:jc w:val="center"/>
    </w:pPr>
    <w:rPr>
      <w:rFonts w:ascii="Arial" w:hAnsi="Arial" w:eastAsia="Arial" w:cs="Arial"/>
      <w:b/>
      <w:bCs/>
      <w:sz w:val="28"/>
    </w:rPr>
  </w:style>
  <w:style w:type="paragraph" w:styleId="38">
    <w:name w:val="Title"/>
    <w:basedOn w:val="1"/>
    <w:link w:val="108"/>
    <w:qFormat/>
    <w:uiPriority w:val="10"/>
    <w:pPr>
      <w:spacing w:before="240" w:after="60"/>
      <w:jc w:val="center"/>
      <w:outlineLvl w:val="0"/>
    </w:pPr>
    <w:rPr>
      <w:rFonts w:ascii="Arial" w:hAnsi="Arial"/>
      <w:b/>
      <w:sz w:val="32"/>
    </w:rPr>
  </w:style>
  <w:style w:type="paragraph" w:styleId="39">
    <w:name w:val="annotation subject"/>
    <w:basedOn w:val="16"/>
    <w:next w:val="16"/>
    <w:link w:val="87"/>
    <w:unhideWhenUsed/>
    <w:qFormat/>
    <w:uiPriority w:val="99"/>
    <w:rPr>
      <w:rFonts w:ascii="@仿宋_GB2312" w:hAnsi="@仿宋_GB2312" w:eastAsia="@仿宋_GB2312" w:cs="@仿宋_GB2312"/>
      <w:b/>
      <w:bCs/>
    </w:rPr>
  </w:style>
  <w:style w:type="paragraph" w:styleId="40">
    <w:name w:val="Body Text First Indent"/>
    <w:basedOn w:val="19"/>
    <w:next w:val="1"/>
    <w:qFormat/>
    <w:uiPriority w:val="0"/>
    <w:pPr>
      <w:autoSpaceDE w:val="0"/>
      <w:autoSpaceDN w:val="0"/>
      <w:adjustRightInd w:val="0"/>
      <w:ind w:right="-24" w:rightChars="-10" w:firstLine="425" w:firstLineChars="225"/>
    </w:pPr>
    <w:rPr>
      <w:rFonts w:ascii="Arial" w:eastAsia="仿宋_GB2312" w:cs="Arial"/>
      <w:szCs w:val="32"/>
    </w:rPr>
  </w:style>
  <w:style w:type="table" w:styleId="42">
    <w:name w:val="Table Grid"/>
    <w:basedOn w:val="41"/>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endnote reference"/>
    <w:basedOn w:val="43"/>
    <w:unhideWhenUsed/>
    <w:qFormat/>
    <w:uiPriority w:val="0"/>
    <w:rPr>
      <w:vertAlign w:val="superscript"/>
    </w:rPr>
  </w:style>
  <w:style w:type="character" w:styleId="46">
    <w:name w:val="FollowedHyperlink"/>
    <w:basedOn w:val="43"/>
    <w:unhideWhenUsed/>
    <w:qFormat/>
    <w:uiPriority w:val="0"/>
    <w:rPr>
      <w:color w:val="800080"/>
      <w:u w:val="none"/>
    </w:rPr>
  </w:style>
  <w:style w:type="character" w:styleId="47">
    <w:name w:val="Emphasis"/>
    <w:basedOn w:val="43"/>
    <w:qFormat/>
    <w:uiPriority w:val="20"/>
  </w:style>
  <w:style w:type="character" w:styleId="48">
    <w:name w:val="HTML Definition"/>
    <w:basedOn w:val="43"/>
    <w:unhideWhenUsed/>
    <w:qFormat/>
    <w:uiPriority w:val="0"/>
  </w:style>
  <w:style w:type="character" w:styleId="49">
    <w:name w:val="HTML Typewriter"/>
    <w:basedOn w:val="43"/>
    <w:unhideWhenUsed/>
    <w:qFormat/>
    <w:uiPriority w:val="0"/>
    <w:rPr>
      <w:rFonts w:ascii="monospace" w:hAnsi="monospace" w:eastAsia="monospace" w:cs="monospace"/>
      <w:sz w:val="20"/>
    </w:rPr>
  </w:style>
  <w:style w:type="character" w:styleId="50">
    <w:name w:val="HTML Acronym"/>
    <w:basedOn w:val="43"/>
    <w:unhideWhenUsed/>
    <w:qFormat/>
    <w:uiPriority w:val="0"/>
  </w:style>
  <w:style w:type="character" w:styleId="51">
    <w:name w:val="HTML Variable"/>
    <w:basedOn w:val="43"/>
    <w:unhideWhenUsed/>
    <w:qFormat/>
    <w:uiPriority w:val="0"/>
  </w:style>
  <w:style w:type="character" w:styleId="52">
    <w:name w:val="Hyperlink"/>
    <w:basedOn w:val="43"/>
    <w:unhideWhenUsed/>
    <w:qFormat/>
    <w:uiPriority w:val="99"/>
    <w:rPr>
      <w:color w:val="0000FF"/>
      <w:u w:val="single"/>
    </w:rPr>
  </w:style>
  <w:style w:type="character" w:styleId="53">
    <w:name w:val="HTML Code"/>
    <w:basedOn w:val="43"/>
    <w:unhideWhenUsed/>
    <w:qFormat/>
    <w:uiPriority w:val="0"/>
    <w:rPr>
      <w:rFonts w:hint="default" w:ascii="monospace" w:hAnsi="monospace" w:eastAsia="monospace" w:cs="monospace"/>
      <w:sz w:val="20"/>
    </w:rPr>
  </w:style>
  <w:style w:type="character" w:styleId="54">
    <w:name w:val="annotation reference"/>
    <w:basedOn w:val="43"/>
    <w:unhideWhenUsed/>
    <w:qFormat/>
    <w:uiPriority w:val="99"/>
    <w:rPr>
      <w:sz w:val="21"/>
      <w:szCs w:val="21"/>
    </w:rPr>
  </w:style>
  <w:style w:type="character" w:styleId="55">
    <w:name w:val="HTML Cite"/>
    <w:basedOn w:val="43"/>
    <w:unhideWhenUsed/>
    <w:qFormat/>
    <w:uiPriority w:val="0"/>
  </w:style>
  <w:style w:type="character" w:styleId="56">
    <w:name w:val="footnote reference"/>
    <w:unhideWhenUsed/>
    <w:qFormat/>
    <w:uiPriority w:val="0"/>
    <w:rPr>
      <w:vertAlign w:val="superscript"/>
    </w:rPr>
  </w:style>
  <w:style w:type="character" w:styleId="57">
    <w:name w:val="HTML Keyboard"/>
    <w:basedOn w:val="43"/>
    <w:unhideWhenUsed/>
    <w:qFormat/>
    <w:uiPriority w:val="0"/>
    <w:rPr>
      <w:rFonts w:hint="default" w:ascii="monospace" w:hAnsi="monospace" w:eastAsia="monospace" w:cs="monospace"/>
      <w:sz w:val="20"/>
    </w:rPr>
  </w:style>
  <w:style w:type="character" w:styleId="58">
    <w:name w:val="HTML Sample"/>
    <w:basedOn w:val="43"/>
    <w:unhideWhenUsed/>
    <w:qFormat/>
    <w:uiPriority w:val="0"/>
    <w:rPr>
      <w:rFonts w:hint="default" w:ascii="monospace" w:hAnsi="monospace" w:eastAsia="monospace" w:cs="monospace"/>
    </w:rPr>
  </w:style>
  <w:style w:type="paragraph" w:customStyle="1" w:styleId="59">
    <w:name w:val="正文（缩进）"/>
    <w:basedOn w:val="1"/>
    <w:qFormat/>
    <w:uiPriority w:val="0"/>
    <w:pPr>
      <w:widowControl/>
      <w:spacing w:before="156" w:after="156"/>
      <w:ind w:firstLine="480" w:firstLineChars="200"/>
      <w:jc w:val="left"/>
    </w:pPr>
    <w:rPr>
      <w:kern w:val="0"/>
      <w:sz w:val="24"/>
      <w:szCs w:val="24"/>
    </w:rPr>
  </w:style>
  <w:style w:type="paragraph" w:customStyle="1" w:styleId="60">
    <w:name w:val="xl31"/>
    <w:basedOn w:val="1"/>
    <w:qFormat/>
    <w:uiPriority w:val="0"/>
    <w:pPr>
      <w:widowControl/>
      <w:spacing w:before="100" w:beforeAutospacing="1" w:after="100" w:afterAutospacing="1"/>
      <w:jc w:val="center"/>
    </w:pPr>
    <w:rPr>
      <w:b/>
      <w:bCs/>
      <w:kern w:val="0"/>
      <w:sz w:val="28"/>
      <w:szCs w:val="28"/>
    </w:rPr>
  </w:style>
  <w:style w:type="paragraph" w:customStyle="1" w:styleId="61">
    <w:name w:val="D&amp;L"/>
    <w:basedOn w:val="28"/>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2">
    <w:name w:val="列表段落1"/>
    <w:basedOn w:val="1"/>
    <w:qFormat/>
    <w:uiPriority w:val="34"/>
    <w:pPr>
      <w:ind w:firstLine="420" w:firstLineChars="200"/>
    </w:pPr>
  </w:style>
  <w:style w:type="paragraph" w:customStyle="1" w:styleId="63">
    <w:name w:val="Char Char Char Char Char Char Char1 Char"/>
    <w:basedOn w:val="1"/>
    <w:qFormat/>
    <w:uiPriority w:val="0"/>
    <w:rPr>
      <w:rFonts w:ascii="Arial" w:hAnsi="Arial" w:cs="Arial"/>
      <w:sz w:val="24"/>
    </w:rPr>
  </w:style>
  <w:style w:type="paragraph" w:customStyle="1" w:styleId="64">
    <w:name w:val="TOC 标题1"/>
    <w:basedOn w:val="5"/>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5">
    <w:name w:val="Char"/>
    <w:basedOn w:val="1"/>
    <w:qFormat/>
    <w:uiPriority w:val="0"/>
    <w:rPr>
      <w:rFonts w:ascii="Tahoma" w:hAnsi="Tahoma"/>
      <w:sz w:val="24"/>
    </w:rPr>
  </w:style>
  <w:style w:type="paragraph" w:customStyle="1" w:styleId="66">
    <w:name w:val="列表段落2"/>
    <w:basedOn w:val="1"/>
    <w:qFormat/>
    <w:uiPriority w:val="34"/>
    <w:pPr>
      <w:ind w:firstLine="420" w:firstLineChars="200"/>
    </w:pPr>
  </w:style>
  <w:style w:type="character" w:customStyle="1" w:styleId="67">
    <w:name w:val="批注框文本 字符"/>
    <w:basedOn w:val="43"/>
    <w:link w:val="26"/>
    <w:semiHidden/>
    <w:qFormat/>
    <w:uiPriority w:val="99"/>
    <w:rPr>
      <w:rFonts w:ascii="@仿宋_GB2312" w:hAnsi="@仿宋_GB2312" w:eastAsia="@仿宋_GB2312" w:cs="@仿宋_GB2312"/>
      <w:sz w:val="18"/>
      <w:szCs w:val="18"/>
    </w:rPr>
  </w:style>
  <w:style w:type="character" w:customStyle="1" w:styleId="68">
    <w:name w:val="页眉 字符"/>
    <w:basedOn w:val="43"/>
    <w:link w:val="28"/>
    <w:qFormat/>
    <w:uiPriority w:val="99"/>
    <w:rPr>
      <w:rFonts w:ascii="@仿宋_GB2312" w:hAnsi="@仿宋_GB2312" w:eastAsia="@仿宋_GB2312" w:cs="@仿宋_GB2312"/>
      <w:sz w:val="18"/>
      <w:szCs w:val="18"/>
    </w:rPr>
  </w:style>
  <w:style w:type="character" w:customStyle="1" w:styleId="69">
    <w:name w:val="页脚 字符"/>
    <w:basedOn w:val="43"/>
    <w:link w:val="27"/>
    <w:qFormat/>
    <w:uiPriority w:val="99"/>
    <w:rPr>
      <w:rFonts w:ascii="@仿宋_GB2312" w:hAnsi="@仿宋_GB2312" w:eastAsia="@仿宋_GB2312" w:cs="@仿宋_GB2312"/>
      <w:sz w:val="18"/>
      <w:szCs w:val="18"/>
    </w:rPr>
  </w:style>
  <w:style w:type="character" w:customStyle="1" w:styleId="70">
    <w:name w:val="纯文本 字符"/>
    <w:link w:val="22"/>
    <w:qFormat/>
    <w:uiPriority w:val="0"/>
    <w:rPr>
      <w:rFonts w:ascii="宋体" w:hAnsi="Courier New"/>
    </w:rPr>
  </w:style>
  <w:style w:type="character" w:customStyle="1" w:styleId="71">
    <w:name w:val="纯文本 字符1"/>
    <w:basedOn w:val="43"/>
    <w:semiHidden/>
    <w:qFormat/>
    <w:uiPriority w:val="99"/>
    <w:rPr>
      <w:rFonts w:ascii="宋体" w:hAnsi="Courier New" w:cs="Courier New"/>
      <w:szCs w:val="20"/>
    </w:rPr>
  </w:style>
  <w:style w:type="character" w:customStyle="1" w:styleId="72">
    <w:name w:val="未处理的提及1"/>
    <w:basedOn w:val="43"/>
    <w:unhideWhenUsed/>
    <w:qFormat/>
    <w:uiPriority w:val="99"/>
    <w:rPr>
      <w:color w:val="605E5C"/>
      <w:shd w:val="clear" w:color="auto" w:fill="E1DFDD"/>
    </w:rPr>
  </w:style>
  <w:style w:type="character" w:customStyle="1" w:styleId="73">
    <w:name w:val="日期 字符"/>
    <w:basedOn w:val="43"/>
    <w:semiHidden/>
    <w:qFormat/>
    <w:uiPriority w:val="99"/>
    <w:rPr>
      <w:rFonts w:ascii="@仿宋_GB2312" w:hAnsi="@仿宋_GB2312" w:eastAsia="@仿宋_GB2312" w:cs="@仿宋_GB2312"/>
      <w:szCs w:val="20"/>
    </w:rPr>
  </w:style>
  <w:style w:type="character" w:customStyle="1" w:styleId="74">
    <w:name w:val="日期 字符1"/>
    <w:link w:val="23"/>
    <w:qFormat/>
    <w:uiPriority w:val="0"/>
    <w:rPr>
      <w:rFonts w:ascii="Arial" w:hAnsi="Arial" w:eastAsia="宋体" w:cs="Arial"/>
      <w:b/>
      <w:sz w:val="28"/>
      <w:szCs w:val="20"/>
    </w:rPr>
  </w:style>
  <w:style w:type="character" w:customStyle="1" w:styleId="75">
    <w:name w:val="纯文本 Char1"/>
    <w:qFormat/>
    <w:locked/>
    <w:uiPriority w:val="99"/>
    <w:rPr>
      <w:rFonts w:ascii="Arial" w:hAnsi="Arial" w:eastAsia="Arial"/>
      <w:kern w:val="2"/>
      <w:sz w:val="21"/>
      <w:lang w:val="en-US" w:eastAsia="zh-CN" w:bidi="ar-SA"/>
    </w:rPr>
  </w:style>
  <w:style w:type="character" w:customStyle="1" w:styleId="76">
    <w:name w:val="批注文字 Char"/>
    <w:basedOn w:val="43"/>
    <w:semiHidden/>
    <w:qFormat/>
    <w:uiPriority w:val="99"/>
    <w:rPr>
      <w:rFonts w:ascii="@仿宋_GB2312" w:hAnsi="@仿宋_GB2312" w:eastAsia="@仿宋_GB2312" w:cs="@仿宋_GB2312"/>
      <w:szCs w:val="20"/>
    </w:rPr>
  </w:style>
  <w:style w:type="character" w:customStyle="1" w:styleId="77">
    <w:name w:val="批注文字 字符"/>
    <w:link w:val="16"/>
    <w:qFormat/>
    <w:uiPriority w:val="99"/>
    <w:rPr>
      <w:rFonts w:ascii="Arial" w:hAnsi="Arial" w:eastAsia="黑体" w:cs="Arial"/>
      <w:szCs w:val="20"/>
    </w:rPr>
  </w:style>
  <w:style w:type="character" w:customStyle="1" w:styleId="78">
    <w:name w:val="标题 1 字符"/>
    <w:basedOn w:val="43"/>
    <w:link w:val="5"/>
    <w:qFormat/>
    <w:uiPriority w:val="9"/>
    <w:rPr>
      <w:rFonts w:ascii="@仿宋_GB2312" w:hAnsi="@仿宋_GB2312" w:eastAsia="@仿宋_GB2312" w:cs="@仿宋_GB2312"/>
      <w:b/>
      <w:bCs/>
      <w:kern w:val="44"/>
      <w:sz w:val="44"/>
      <w:szCs w:val="44"/>
    </w:rPr>
  </w:style>
  <w:style w:type="character" w:customStyle="1" w:styleId="79">
    <w:name w:val="标题 3 字符"/>
    <w:basedOn w:val="43"/>
    <w:semiHidden/>
    <w:qFormat/>
    <w:uiPriority w:val="9"/>
    <w:rPr>
      <w:rFonts w:ascii="@仿宋_GB2312" w:hAnsi="@仿宋_GB2312" w:eastAsia="@仿宋_GB2312" w:cs="@仿宋_GB2312"/>
      <w:b/>
      <w:bCs/>
      <w:sz w:val="32"/>
      <w:szCs w:val="32"/>
    </w:rPr>
  </w:style>
  <w:style w:type="character" w:customStyle="1" w:styleId="80">
    <w:name w:val="fontstyle01"/>
    <w:basedOn w:val="43"/>
    <w:qFormat/>
    <w:uiPriority w:val="0"/>
    <w:rPr>
      <w:rFonts w:hint="eastAsia" w:ascii="宋体" w:hAnsi="宋体" w:eastAsia="宋体"/>
      <w:color w:val="000000"/>
      <w:sz w:val="22"/>
      <w:szCs w:val="22"/>
    </w:rPr>
  </w:style>
  <w:style w:type="character" w:customStyle="1" w:styleId="81">
    <w:name w:val="fontstyle21"/>
    <w:basedOn w:val="43"/>
    <w:qFormat/>
    <w:uiPriority w:val="0"/>
    <w:rPr>
      <w:rFonts w:hint="default" w:ascii="TimesNewRomanPSMT" w:hAnsi="TimesNewRomanPSMT"/>
      <w:color w:val="000000"/>
      <w:sz w:val="22"/>
      <w:szCs w:val="22"/>
    </w:rPr>
  </w:style>
  <w:style w:type="character" w:customStyle="1" w:styleId="82">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83">
    <w:name w:val="标题 4 字符"/>
    <w:basedOn w:val="43"/>
    <w:semiHidden/>
    <w:qFormat/>
    <w:uiPriority w:val="9"/>
    <w:rPr>
      <w:rFonts w:ascii="Cambria" w:hAnsi="Cambria" w:eastAsia="宋体" w:cs="黑体"/>
      <w:b/>
      <w:bCs/>
      <w:sz w:val="28"/>
      <w:szCs w:val="28"/>
    </w:rPr>
  </w:style>
  <w:style w:type="character" w:customStyle="1" w:styleId="84">
    <w:name w:val="标题 4 字符1"/>
    <w:link w:val="8"/>
    <w:qFormat/>
    <w:uiPriority w:val="0"/>
    <w:rPr>
      <w:rFonts w:ascii="@仿宋_GB2312" w:hAnsi="@仿宋_GB2312" w:eastAsia="@仿宋_GB2312" w:cs="@仿宋_GB2312"/>
      <w:b/>
      <w:bCs/>
      <w:sz w:val="28"/>
      <w:szCs w:val="28"/>
    </w:rPr>
  </w:style>
  <w:style w:type="character" w:customStyle="1" w:styleId="85">
    <w:name w:val="标题 4 Char"/>
    <w:qFormat/>
    <w:uiPriority w:val="0"/>
    <w:rPr>
      <w:rFonts w:ascii="Arial" w:hAnsi="Arial" w:eastAsia="Arial"/>
      <w:b/>
      <w:bCs/>
      <w:kern w:val="2"/>
      <w:sz w:val="28"/>
      <w:szCs w:val="28"/>
      <w:lang w:val="en-US" w:eastAsia="zh-CN" w:bidi="ar-SA"/>
    </w:rPr>
  </w:style>
  <w:style w:type="character" w:customStyle="1" w:styleId="86">
    <w:name w:val="fontstyle11"/>
    <w:basedOn w:val="43"/>
    <w:qFormat/>
    <w:uiPriority w:val="0"/>
    <w:rPr>
      <w:rFonts w:hint="eastAsia" w:ascii="宋体" w:hAnsi="宋体" w:eastAsia="宋体"/>
      <w:color w:val="000000"/>
      <w:sz w:val="22"/>
      <w:szCs w:val="22"/>
    </w:rPr>
  </w:style>
  <w:style w:type="character" w:customStyle="1" w:styleId="87">
    <w:name w:val="批注主题 字符"/>
    <w:basedOn w:val="77"/>
    <w:link w:val="39"/>
    <w:semiHidden/>
    <w:qFormat/>
    <w:uiPriority w:val="99"/>
    <w:rPr>
      <w:rFonts w:ascii="@仿宋_GB2312" w:hAnsi="@仿宋_GB2312" w:eastAsia="@仿宋_GB2312" w:cs="@仿宋_GB2312"/>
      <w:b/>
      <w:bCs/>
      <w:szCs w:val="20"/>
    </w:rPr>
  </w:style>
  <w:style w:type="table" w:customStyle="1" w:styleId="88">
    <w:name w:val="网格表 1 浅色1"/>
    <w:basedOn w:val="41"/>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9">
    <w:name w:val="网格型1"/>
    <w:basedOn w:val="4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0">
    <w:name w:val="List Paragraph"/>
    <w:basedOn w:val="1"/>
    <w:qFormat/>
    <w:uiPriority w:val="99"/>
    <w:pPr>
      <w:ind w:firstLine="420" w:firstLineChars="200"/>
    </w:pPr>
  </w:style>
  <w:style w:type="character" w:customStyle="1" w:styleId="91">
    <w:name w:val="正文文本 Char"/>
    <w:basedOn w:val="43"/>
    <w:semiHidden/>
    <w:qFormat/>
    <w:uiPriority w:val="0"/>
    <w:rPr>
      <w:rFonts w:ascii="@仿宋_GB2312" w:hAnsi="@仿宋_GB2312" w:eastAsia="@仿宋_GB2312" w:cs="@仿宋_GB2312"/>
      <w:kern w:val="2"/>
      <w:sz w:val="21"/>
    </w:rPr>
  </w:style>
  <w:style w:type="character" w:customStyle="1" w:styleId="92">
    <w:name w:val="正文文本 字符"/>
    <w:link w:val="19"/>
    <w:qFormat/>
    <w:uiPriority w:val="0"/>
    <w:rPr>
      <w:rFonts w:ascii="宋体" w:hAnsi="Arial"/>
      <w:kern w:val="2"/>
      <w:sz w:val="28"/>
    </w:rPr>
  </w:style>
  <w:style w:type="paragraph" w:customStyle="1" w:styleId="93">
    <w:name w:val="正文 New"/>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4">
    <w:name w:val="Table Paragraph"/>
    <w:basedOn w:val="1"/>
    <w:qFormat/>
    <w:uiPriority w:val="1"/>
    <w:rPr>
      <w:rFonts w:ascii="宋体" w:hAnsi="宋体" w:cs="宋体"/>
      <w:lang w:val="zh-CN" w:bidi="zh-CN"/>
    </w:rPr>
  </w:style>
  <w:style w:type="paragraph" w:customStyle="1" w:styleId="95">
    <w:name w:val="纯文本1"/>
    <w:basedOn w:val="1"/>
    <w:qFormat/>
    <w:uiPriority w:val="0"/>
    <w:rPr>
      <w:rFonts w:ascii="Arial" w:hAnsi="Arial" w:eastAsia="Arial" w:cstheme="minorBidi"/>
    </w:rPr>
  </w:style>
  <w:style w:type="paragraph" w:customStyle="1" w:styleId="9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2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99">
    <w:name w:val="标题 2 字符"/>
    <w:basedOn w:val="43"/>
    <w:link w:val="6"/>
    <w:qFormat/>
    <w:uiPriority w:val="0"/>
    <w:rPr>
      <w:rFonts w:hint="default" w:ascii="Cambria" w:hAnsi="Cambria" w:eastAsia="Cambria" w:cs="Cambria"/>
      <w:b/>
      <w:bCs/>
      <w:kern w:val="2"/>
      <w:sz w:val="32"/>
      <w:szCs w:val="32"/>
    </w:rPr>
  </w:style>
  <w:style w:type="paragraph" w:customStyle="1" w:styleId="100">
    <w:name w:val="正文_0"/>
    <w:basedOn w:val="1"/>
    <w:qFormat/>
    <w:uiPriority w:val="0"/>
    <w:rPr>
      <w:rFonts w:ascii="Times New Roman" w:hAnsi="Times New Roman" w:cs="Times New Roman"/>
      <w:szCs w:val="24"/>
    </w:rPr>
  </w:style>
  <w:style w:type="character" w:customStyle="1" w:styleId="101">
    <w:name w:val="正文文本 Char1"/>
    <w:basedOn w:val="43"/>
    <w:qFormat/>
    <w:uiPriority w:val="0"/>
    <w:rPr>
      <w:kern w:val="2"/>
      <w:sz w:val="21"/>
      <w:szCs w:val="22"/>
    </w:rPr>
  </w:style>
  <w:style w:type="character" w:customStyle="1" w:styleId="102">
    <w:name w:val="Blockquote Char_0_1"/>
    <w:basedOn w:val="43"/>
    <w:qFormat/>
    <w:uiPriority w:val="0"/>
    <w:rPr>
      <w:sz w:val="24"/>
    </w:rPr>
  </w:style>
  <w:style w:type="character" w:customStyle="1" w:styleId="103">
    <w:name w:val="NormalCharacter"/>
    <w:qFormat/>
    <w:uiPriority w:val="0"/>
    <w:rPr>
      <w:rFonts w:ascii="@仿宋_GB2312" w:hAnsi="@仿宋_GB2312" w:eastAsia="宋体" w:cs="@仿宋_GB2312"/>
      <w:kern w:val="2"/>
      <w:sz w:val="21"/>
      <w:lang w:val="en-US" w:eastAsia="zh-CN" w:bidi="ar-SA"/>
    </w:rPr>
  </w:style>
  <w:style w:type="character" w:customStyle="1" w:styleId="104">
    <w:name w:val="正文文本缩进 2 字符"/>
    <w:basedOn w:val="43"/>
    <w:link w:val="24"/>
    <w:qFormat/>
    <w:uiPriority w:val="0"/>
    <w:rPr>
      <w:rFonts w:hint="eastAsia" w:ascii="宋体" w:hAnsi="MS Sans Serif" w:eastAsia="宋体" w:cs="宋体"/>
      <w:bCs/>
      <w:spacing w:val="12"/>
      <w:sz w:val="24"/>
    </w:rPr>
  </w:style>
  <w:style w:type="character" w:customStyle="1" w:styleId="105">
    <w:name w:val="纯文本 Char"/>
    <w:basedOn w:val="43"/>
    <w:qFormat/>
    <w:uiPriority w:val="0"/>
    <w:rPr>
      <w:rFonts w:hint="eastAsia" w:ascii="宋体" w:hAnsi="Courier New" w:eastAsia="宋体" w:cs="Courier New"/>
      <w:kern w:val="2"/>
      <w:sz w:val="21"/>
      <w:szCs w:val="21"/>
    </w:rPr>
  </w:style>
  <w:style w:type="character" w:customStyle="1" w:styleId="106">
    <w:name w:val="msointenseemphasis"/>
    <w:basedOn w:val="43"/>
    <w:qFormat/>
    <w:uiPriority w:val="0"/>
    <w:rPr>
      <w:b/>
      <w:bCs/>
      <w:i/>
      <w:iCs/>
      <w:color w:val="4F81BD"/>
    </w:rPr>
  </w:style>
  <w:style w:type="character" w:customStyle="1" w:styleId="107">
    <w:name w:val="标题 Char1"/>
    <w:basedOn w:val="43"/>
    <w:qFormat/>
    <w:uiPriority w:val="0"/>
    <w:rPr>
      <w:rFonts w:hint="default" w:ascii="Cambria" w:hAnsi="Cambria" w:eastAsia="Cambria" w:cs="Times New Roman"/>
      <w:b/>
      <w:bCs/>
      <w:kern w:val="2"/>
      <w:sz w:val="32"/>
      <w:szCs w:val="32"/>
    </w:rPr>
  </w:style>
  <w:style w:type="character" w:customStyle="1" w:styleId="108">
    <w:name w:val="标题 字符"/>
    <w:basedOn w:val="43"/>
    <w:link w:val="38"/>
    <w:qFormat/>
    <w:uiPriority w:val="0"/>
    <w:rPr>
      <w:rFonts w:hint="eastAsia" w:ascii="宋体" w:hAnsi="宋体" w:eastAsia="黑体" w:cs="宋体"/>
      <w:b/>
      <w:smallCaps/>
      <w:kern w:val="2"/>
      <w:sz w:val="44"/>
      <w:szCs w:val="24"/>
    </w:rPr>
  </w:style>
  <w:style w:type="character" w:customStyle="1" w:styleId="109">
    <w:name w:val="明显引用 字符1"/>
    <w:basedOn w:val="43"/>
    <w:qFormat/>
    <w:uiPriority w:val="0"/>
    <w:rPr>
      <w:i/>
      <w:iCs/>
      <w:color w:val="4472C4"/>
      <w:kern w:val="2"/>
      <w:sz w:val="21"/>
      <w:szCs w:val="24"/>
    </w:rPr>
  </w:style>
  <w:style w:type="character" w:customStyle="1" w:styleId="110">
    <w:name w:val="正文文本 (2)_"/>
    <w:basedOn w:val="43"/>
    <w:qFormat/>
    <w:uiPriority w:val="0"/>
    <w:rPr>
      <w:rFonts w:hint="eastAsia" w:ascii="MingLiU" w:hAnsi="MingLiU" w:eastAsia="MingLiU" w:cs="MingLiU"/>
      <w:spacing w:val="20"/>
      <w:sz w:val="22"/>
      <w:shd w:val="clear" w:color="auto" w:fill="FFFFFF"/>
    </w:rPr>
  </w:style>
  <w:style w:type="character" w:customStyle="1" w:styleId="111">
    <w:name w:val="页眉 Char1"/>
    <w:basedOn w:val="43"/>
    <w:qFormat/>
    <w:uiPriority w:val="0"/>
    <w:rPr>
      <w:kern w:val="2"/>
      <w:sz w:val="18"/>
      <w:szCs w:val="18"/>
    </w:rPr>
  </w:style>
  <w:style w:type="character" w:customStyle="1" w:styleId="112">
    <w:name w:val="明显引用 Char1"/>
    <w:basedOn w:val="43"/>
    <w:qFormat/>
    <w:uiPriority w:val="0"/>
    <w:rPr>
      <w:b/>
      <w:bCs/>
      <w:i/>
      <w:iCs/>
      <w:color w:val="4F81BD"/>
      <w:kern w:val="2"/>
      <w:sz w:val="21"/>
      <w:szCs w:val="24"/>
    </w:rPr>
  </w:style>
  <w:style w:type="character" w:customStyle="1" w:styleId="113">
    <w:name w:val="副标题 字符"/>
    <w:basedOn w:val="43"/>
    <w:link w:val="30"/>
    <w:qFormat/>
    <w:uiPriority w:val="0"/>
    <w:rPr>
      <w:rFonts w:ascii="Arial" w:hAnsi="Arial" w:cs="Arial"/>
      <w:b/>
      <w:bCs/>
      <w:kern w:val="28"/>
      <w:sz w:val="32"/>
      <w:szCs w:val="32"/>
    </w:rPr>
  </w:style>
  <w:style w:type="character" w:customStyle="1" w:styleId="114">
    <w:name w:val="文档结构图 字符"/>
    <w:basedOn w:val="43"/>
    <w:link w:val="15"/>
    <w:qFormat/>
    <w:uiPriority w:val="0"/>
    <w:rPr>
      <w:rFonts w:hint="default" w:ascii="Calibri" w:hAnsi="Calibri" w:cs="Calibri"/>
      <w:bCs/>
      <w:kern w:val="2"/>
      <w:sz w:val="21"/>
      <w:szCs w:val="32"/>
      <w:shd w:val="clear" w:color="auto" w:fill="000080"/>
    </w:rPr>
  </w:style>
  <w:style w:type="character" w:customStyle="1" w:styleId="115">
    <w:name w:val="标题 3 Char_0"/>
    <w:basedOn w:val="43"/>
    <w:qFormat/>
    <w:uiPriority w:val="0"/>
    <w:rPr>
      <w:b/>
      <w:sz w:val="32"/>
    </w:rPr>
  </w:style>
  <w:style w:type="character" w:customStyle="1" w:styleId="116">
    <w:name w:val="页脚 Char1"/>
    <w:basedOn w:val="43"/>
    <w:qFormat/>
    <w:uiPriority w:val="0"/>
    <w:rPr>
      <w:kern w:val="2"/>
      <w:sz w:val="18"/>
      <w:szCs w:val="18"/>
    </w:rPr>
  </w:style>
  <w:style w:type="character" w:customStyle="1" w:styleId="117">
    <w:name w:val="标题 7 Char_0"/>
    <w:basedOn w:val="43"/>
    <w:qFormat/>
    <w:uiPriority w:val="0"/>
    <w:rPr>
      <w:b/>
      <w:bCs/>
      <w:sz w:val="24"/>
      <w:szCs w:val="24"/>
    </w:rPr>
  </w:style>
  <w:style w:type="character" w:customStyle="1" w:styleId="118">
    <w:name w:val="mini-outputtext1"/>
    <w:basedOn w:val="43"/>
    <w:qFormat/>
    <w:uiPriority w:val="0"/>
  </w:style>
  <w:style w:type="character" w:customStyle="1" w:styleId="119">
    <w:name w:val="正文文本 Char_0"/>
    <w:basedOn w:val="43"/>
    <w:qFormat/>
    <w:uiPriority w:val="0"/>
    <w:rPr>
      <w:kern w:val="2"/>
      <w:sz w:val="21"/>
      <w:szCs w:val="24"/>
    </w:rPr>
  </w:style>
  <w:style w:type="character" w:customStyle="1" w:styleId="120">
    <w:name w:val="标题 7 字符"/>
    <w:basedOn w:val="43"/>
    <w:link w:val="11"/>
    <w:qFormat/>
    <w:uiPriority w:val="0"/>
    <w:rPr>
      <w:b/>
      <w:bCs/>
      <w:kern w:val="2"/>
      <w:sz w:val="30"/>
      <w:szCs w:val="18"/>
    </w:rPr>
  </w:style>
  <w:style w:type="character" w:customStyle="1" w:styleId="121">
    <w:name w:val="正文文本缩进 3 字符"/>
    <w:basedOn w:val="43"/>
    <w:link w:val="33"/>
    <w:qFormat/>
    <w:uiPriority w:val="0"/>
    <w:rPr>
      <w:rFonts w:hint="eastAsia" w:ascii="宋体" w:hAnsi="MS Sans Serif" w:eastAsia="宋体" w:cs="宋体"/>
      <w:bCs/>
      <w:color w:val="000000"/>
      <w:sz w:val="24"/>
    </w:rPr>
  </w:style>
  <w:style w:type="character" w:customStyle="1" w:styleId="122">
    <w:name w:val="Texte Char1"/>
    <w:basedOn w:val="43"/>
    <w:autoRedefine/>
    <w:qFormat/>
    <w:uiPriority w:val="0"/>
    <w:rPr>
      <w:rFonts w:hint="eastAsia" w:ascii="宋体" w:hAnsi="Courier New" w:eastAsia="宋体" w:cs="宋体"/>
      <w:kern w:val="2"/>
      <w:sz w:val="21"/>
      <w:szCs w:val="21"/>
    </w:rPr>
  </w:style>
  <w:style w:type="character" w:customStyle="1" w:styleId="123">
    <w:name w:val="标题 2 Char_0"/>
    <w:basedOn w:val="43"/>
    <w:autoRedefine/>
    <w:qFormat/>
    <w:uiPriority w:val="0"/>
    <w:rPr>
      <w:rFonts w:hint="eastAsia" w:ascii="黑体" w:hAnsi="宋体" w:eastAsia="黑体" w:cs="黑体"/>
      <w:b/>
      <w:smallCaps/>
      <w:sz w:val="36"/>
      <w:szCs w:val="24"/>
    </w:rPr>
  </w:style>
  <w:style w:type="character" w:customStyle="1" w:styleId="124">
    <w:name w:val="msosubtlereference"/>
    <w:basedOn w:val="43"/>
    <w:autoRedefine/>
    <w:qFormat/>
    <w:uiPriority w:val="0"/>
    <w:rPr>
      <w:smallCaps/>
      <w:color w:val="C0504D"/>
      <w:u w:val="single"/>
    </w:rPr>
  </w:style>
  <w:style w:type="character" w:customStyle="1" w:styleId="125">
    <w:name w:val="标题 8 Char1"/>
    <w:basedOn w:val="43"/>
    <w:autoRedefine/>
    <w:qFormat/>
    <w:uiPriority w:val="0"/>
    <w:rPr>
      <w:rFonts w:hint="default" w:ascii="Cambria" w:hAnsi="Cambria" w:eastAsia="宋体" w:cs="Cambria"/>
      <w:kern w:val="2"/>
      <w:sz w:val="24"/>
      <w:szCs w:val="24"/>
    </w:rPr>
  </w:style>
  <w:style w:type="character" w:customStyle="1" w:styleId="126">
    <w:name w:val="msointensereference"/>
    <w:basedOn w:val="43"/>
    <w:autoRedefine/>
    <w:qFormat/>
    <w:uiPriority w:val="0"/>
    <w:rPr>
      <w:b/>
      <w:bCs/>
      <w:smallCaps/>
      <w:color w:val="C0504D"/>
      <w:spacing w:val="5"/>
      <w:u w:val="single"/>
    </w:rPr>
  </w:style>
  <w:style w:type="character" w:customStyle="1" w:styleId="127">
    <w:name w:val="textcontents"/>
    <w:basedOn w:val="43"/>
    <w:autoRedefine/>
    <w:qFormat/>
    <w:uiPriority w:val="0"/>
    <w:rPr>
      <w:rFonts w:hint="default" w:ascii="Times New Roman" w:hAnsi="Times New Roman" w:cs="Times New Roman"/>
    </w:rPr>
  </w:style>
  <w:style w:type="character" w:customStyle="1" w:styleId="128">
    <w:name w:val="msobooktitle"/>
    <w:basedOn w:val="43"/>
    <w:autoRedefine/>
    <w:qFormat/>
    <w:uiPriority w:val="0"/>
    <w:rPr>
      <w:b/>
      <w:bCs/>
      <w:smallCaps/>
      <w:spacing w:val="5"/>
    </w:rPr>
  </w:style>
  <w:style w:type="character" w:customStyle="1" w:styleId="129">
    <w:name w:val="文档结构图 Char1"/>
    <w:basedOn w:val="43"/>
    <w:autoRedefine/>
    <w:qFormat/>
    <w:uiPriority w:val="0"/>
    <w:rPr>
      <w:rFonts w:hint="eastAsia" w:ascii="宋体" w:hAnsi="宋体" w:eastAsia="宋体" w:cs="宋体"/>
      <w:kern w:val="2"/>
      <w:sz w:val="18"/>
      <w:szCs w:val="18"/>
    </w:rPr>
  </w:style>
  <w:style w:type="character" w:customStyle="1" w:styleId="130">
    <w:name w:val="正文文本 3 字符"/>
    <w:basedOn w:val="43"/>
    <w:link w:val="18"/>
    <w:autoRedefine/>
    <w:qFormat/>
    <w:uiPriority w:val="0"/>
    <w:rPr>
      <w:rFonts w:hint="eastAsia" w:ascii="仿宋_GB2312" w:hAnsi="宋体" w:eastAsia="仿宋_GB2312" w:cs="仿宋_GB2312"/>
      <w:bCs/>
      <w:color w:val="000000"/>
      <w:kern w:val="2"/>
      <w:sz w:val="24"/>
      <w:szCs w:val="32"/>
    </w:rPr>
  </w:style>
  <w:style w:type="character" w:customStyle="1" w:styleId="131">
    <w:name w:val="msosubtleemphasis"/>
    <w:basedOn w:val="43"/>
    <w:autoRedefine/>
    <w:qFormat/>
    <w:uiPriority w:val="0"/>
    <w:rPr>
      <w:i/>
      <w:iCs/>
      <w:color w:val="808080"/>
    </w:rPr>
  </w:style>
  <w:style w:type="character" w:customStyle="1" w:styleId="132">
    <w:name w:val="标题 5 字符"/>
    <w:basedOn w:val="43"/>
    <w:link w:val="9"/>
    <w:autoRedefine/>
    <w:qFormat/>
    <w:uiPriority w:val="0"/>
    <w:rPr>
      <w:rFonts w:hint="default" w:ascii="Calibri" w:hAnsi="Calibri" w:cs="Calibri"/>
      <w:b/>
      <w:bCs/>
      <w:kern w:val="2"/>
      <w:sz w:val="28"/>
      <w:szCs w:val="28"/>
    </w:rPr>
  </w:style>
  <w:style w:type="character" w:customStyle="1" w:styleId="133">
    <w:name w:val="标题 6 字符"/>
    <w:basedOn w:val="43"/>
    <w:link w:val="10"/>
    <w:autoRedefine/>
    <w:qFormat/>
    <w:uiPriority w:val="0"/>
    <w:rPr>
      <w:b/>
      <w:bCs/>
      <w:kern w:val="2"/>
      <w:sz w:val="30"/>
      <w:szCs w:val="18"/>
    </w:rPr>
  </w:style>
  <w:style w:type="character" w:customStyle="1" w:styleId="134">
    <w:name w:val="标题 8 字符"/>
    <w:basedOn w:val="43"/>
    <w:link w:val="12"/>
    <w:autoRedefine/>
    <w:qFormat/>
    <w:uiPriority w:val="0"/>
    <w:rPr>
      <w:rFonts w:hint="eastAsia" w:ascii="宋体" w:hAnsi="宋体" w:eastAsia="黑体" w:cs="宋体"/>
      <w:kern w:val="2"/>
      <w:sz w:val="32"/>
      <w:szCs w:val="32"/>
    </w:rPr>
  </w:style>
  <w:style w:type="character" w:customStyle="1" w:styleId="135">
    <w:name w:val="标题 9 字符"/>
    <w:basedOn w:val="43"/>
    <w:link w:val="13"/>
    <w:autoRedefine/>
    <w:qFormat/>
    <w:uiPriority w:val="0"/>
    <w:rPr>
      <w:rFonts w:hint="default" w:ascii="Cambria" w:hAnsi="Cambria" w:eastAsia="Cambria" w:cs="Cambria"/>
      <w:kern w:val="2"/>
      <w:sz w:val="21"/>
      <w:szCs w:val="21"/>
    </w:rPr>
  </w:style>
  <w:style w:type="character" w:customStyle="1" w:styleId="136">
    <w:name w:val="标题 9 Char1"/>
    <w:basedOn w:val="43"/>
    <w:autoRedefine/>
    <w:qFormat/>
    <w:uiPriority w:val="0"/>
    <w:rPr>
      <w:rFonts w:hint="default" w:ascii="Cambria" w:hAnsi="Cambria" w:eastAsia="宋体" w:cs="Cambria"/>
      <w:kern w:val="2"/>
      <w:sz w:val="21"/>
      <w:szCs w:val="21"/>
    </w:rPr>
  </w:style>
  <w:style w:type="character" w:customStyle="1" w:styleId="137">
    <w:name w:val="ask-title2"/>
    <w:basedOn w:val="43"/>
    <w:autoRedefine/>
    <w:qFormat/>
    <w:uiPriority w:val="0"/>
  </w:style>
  <w:style w:type="character" w:customStyle="1" w:styleId="138">
    <w:name w:val="标题 3 字符1"/>
    <w:basedOn w:val="43"/>
    <w:link w:val="7"/>
    <w:autoRedefine/>
    <w:qFormat/>
    <w:uiPriority w:val="0"/>
    <w:rPr>
      <w:rFonts w:hint="eastAsia" w:ascii="黑体" w:hAnsi="宋体" w:eastAsia="黑体" w:cs="黑体"/>
      <w:bCs/>
      <w:kern w:val="2"/>
      <w:sz w:val="24"/>
      <w:szCs w:val="24"/>
    </w:rPr>
  </w:style>
  <w:style w:type="character" w:customStyle="1" w:styleId="139">
    <w:name w:val="称呼 字符"/>
    <w:basedOn w:val="43"/>
    <w:link w:val="17"/>
    <w:autoRedefine/>
    <w:qFormat/>
    <w:uiPriority w:val="0"/>
    <w:rPr>
      <w:rFonts w:hint="eastAsia" w:ascii="仿宋_GB2312" w:eastAsia="仿宋_GB2312" w:cs="仿宋_GB2312"/>
      <w:kern w:val="2"/>
      <w:sz w:val="28"/>
    </w:rPr>
  </w:style>
  <w:style w:type="character" w:customStyle="1" w:styleId="140">
    <w:name w:val="正文文本缩进 字符"/>
    <w:basedOn w:val="43"/>
    <w:link w:val="3"/>
    <w:autoRedefine/>
    <w:qFormat/>
    <w:uiPriority w:val="0"/>
    <w:rPr>
      <w:rFonts w:hint="eastAsia" w:ascii="宋体" w:hAnsi="宋体" w:eastAsia="宋体" w:cs="宋体"/>
      <w:bCs/>
      <w:kern w:val="2"/>
      <w:sz w:val="28"/>
      <w:szCs w:val="32"/>
    </w:rPr>
  </w:style>
  <w:style w:type="character" w:customStyle="1" w:styleId="141">
    <w:name w:val="尾注文本 字符"/>
    <w:basedOn w:val="43"/>
    <w:link w:val="25"/>
    <w:autoRedefine/>
    <w:qFormat/>
    <w:uiPriority w:val="0"/>
    <w:rPr>
      <w:kern w:val="2"/>
      <w:sz w:val="21"/>
      <w:szCs w:val="24"/>
    </w:rPr>
  </w:style>
  <w:style w:type="character" w:customStyle="1" w:styleId="142">
    <w:name w:val="脚注文本 字符"/>
    <w:basedOn w:val="43"/>
    <w:link w:val="32"/>
    <w:autoRedefine/>
    <w:qFormat/>
    <w:uiPriority w:val="0"/>
    <w:rPr>
      <w:kern w:val="2"/>
      <w:sz w:val="18"/>
      <w:szCs w:val="18"/>
    </w:rPr>
  </w:style>
  <w:style w:type="character" w:customStyle="1" w:styleId="143">
    <w:name w:val="正文文本 2 字符"/>
    <w:basedOn w:val="43"/>
    <w:link w:val="35"/>
    <w:autoRedefine/>
    <w:qFormat/>
    <w:uiPriority w:val="0"/>
    <w:rPr>
      <w:rFonts w:hint="eastAsia" w:ascii="宋体" w:hAnsi="宋体" w:eastAsia="宋体" w:cs="宋体"/>
      <w:spacing w:val="-20"/>
      <w:kern w:val="2"/>
      <w:sz w:val="28"/>
    </w:rPr>
  </w:style>
  <w:style w:type="character" w:customStyle="1" w:styleId="144">
    <w:name w:val="引用 字符"/>
    <w:basedOn w:val="43"/>
    <w:autoRedefine/>
    <w:qFormat/>
    <w:uiPriority w:val="0"/>
    <w:rPr>
      <w:i/>
      <w:iCs/>
      <w:color w:val="000000"/>
      <w:kern w:val="2"/>
      <w:sz w:val="21"/>
      <w:szCs w:val="22"/>
    </w:rPr>
  </w:style>
  <w:style w:type="character" w:customStyle="1" w:styleId="145">
    <w:name w:val="引用 字符1"/>
    <w:basedOn w:val="43"/>
    <w:autoRedefine/>
    <w:qFormat/>
    <w:uiPriority w:val="0"/>
    <w:rPr>
      <w:i/>
      <w:iCs/>
      <w:color w:val="404040"/>
      <w:kern w:val="2"/>
      <w:sz w:val="21"/>
      <w:szCs w:val="24"/>
    </w:rPr>
  </w:style>
  <w:style w:type="character" w:customStyle="1" w:styleId="146">
    <w:name w:val="普通文字1 Char"/>
    <w:basedOn w:val="43"/>
    <w:autoRedefine/>
    <w:qFormat/>
    <w:uiPriority w:val="0"/>
    <w:rPr>
      <w:rFonts w:hint="eastAsia" w:ascii="宋体" w:hAnsi="Courier New" w:eastAsia="宋体" w:cs="Courier New"/>
      <w:szCs w:val="21"/>
    </w:rPr>
  </w:style>
  <w:style w:type="character" w:customStyle="1" w:styleId="147">
    <w:name w:val="批注文字 Char1"/>
    <w:basedOn w:val="43"/>
    <w:autoRedefine/>
    <w:qFormat/>
    <w:uiPriority w:val="0"/>
    <w:rPr>
      <w:kern w:val="2"/>
      <w:sz w:val="21"/>
      <w:szCs w:val="24"/>
    </w:rPr>
  </w:style>
  <w:style w:type="character" w:customStyle="1" w:styleId="148">
    <w:name w:val="tdrownotice1"/>
    <w:basedOn w:val="43"/>
    <w:autoRedefine/>
    <w:qFormat/>
    <w:uiPriority w:val="0"/>
    <w:rPr>
      <w:sz w:val="22"/>
    </w:rPr>
  </w:style>
  <w:style w:type="character" w:customStyle="1" w:styleId="149">
    <w:name w:val="标题4 Char Char"/>
    <w:basedOn w:val="43"/>
    <w:autoRedefine/>
    <w:qFormat/>
    <w:uiPriority w:val="0"/>
    <w:rPr>
      <w:rFonts w:hint="default" w:ascii="Arial" w:hAnsi="Arial" w:cs="Arial"/>
      <w:b/>
      <w:bCs/>
      <w:sz w:val="24"/>
      <w:szCs w:val="32"/>
    </w:rPr>
  </w:style>
  <w:style w:type="character" w:customStyle="1" w:styleId="150">
    <w:name w:val="纯文本 Char1_1"/>
    <w:basedOn w:val="43"/>
    <w:autoRedefine/>
    <w:qFormat/>
    <w:uiPriority w:val="0"/>
    <w:rPr>
      <w:rFonts w:hint="eastAsia" w:ascii="宋体" w:hAnsi="Courier New" w:eastAsia="宋体" w:cs="宋体"/>
      <w:kern w:val="2"/>
      <w:sz w:val="21"/>
      <w:szCs w:val="21"/>
    </w:rPr>
  </w:style>
  <w:style w:type="character" w:customStyle="1" w:styleId="151">
    <w:name w:val="标题 6 Char_0"/>
    <w:basedOn w:val="43"/>
    <w:autoRedefine/>
    <w:qFormat/>
    <w:uiPriority w:val="0"/>
    <w:rPr>
      <w:rFonts w:hint="default" w:ascii="Arial" w:hAnsi="Arial" w:eastAsia="黑体" w:cs="Arial"/>
      <w:b/>
      <w:bCs/>
      <w:sz w:val="24"/>
      <w:szCs w:val="24"/>
    </w:rPr>
  </w:style>
  <w:style w:type="character" w:customStyle="1" w:styleId="152">
    <w:name w:val="正文文本 (2) + 间距 0 pt5"/>
    <w:basedOn w:val="43"/>
    <w:autoRedefine/>
    <w:qFormat/>
    <w:uiPriority w:val="0"/>
    <w:rPr>
      <w:rFonts w:hint="eastAsia" w:ascii="MingLiU" w:hAnsi="MingLiU" w:eastAsia="MingLiU" w:cs="MingLiU"/>
      <w:spacing w:val="0"/>
      <w:sz w:val="22"/>
      <w:shd w:val="clear" w:color="auto" w:fill="FFFFFF"/>
    </w:rPr>
  </w:style>
  <w:style w:type="character" w:customStyle="1" w:styleId="153">
    <w:name w:val="脚注文本 Char_0"/>
    <w:basedOn w:val="43"/>
    <w:autoRedefine/>
    <w:qFormat/>
    <w:uiPriority w:val="0"/>
    <w:rPr>
      <w:sz w:val="18"/>
    </w:rPr>
  </w:style>
  <w:style w:type="character" w:customStyle="1" w:styleId="154">
    <w:name w:val="标题 2 Char"/>
    <w:basedOn w:val="43"/>
    <w:autoRedefine/>
    <w:qFormat/>
    <w:uiPriority w:val="0"/>
    <w:rPr>
      <w:rFonts w:hint="default" w:ascii="Cambria" w:hAnsi="Cambria" w:eastAsia="宋体" w:cs="Times New Roman"/>
      <w:b/>
      <w:bCs/>
      <w:kern w:val="2"/>
      <w:sz w:val="32"/>
      <w:szCs w:val="32"/>
    </w:rPr>
  </w:style>
  <w:style w:type="character" w:customStyle="1" w:styleId="155">
    <w:name w:val="标题 8 Char_0"/>
    <w:basedOn w:val="43"/>
    <w:autoRedefine/>
    <w:qFormat/>
    <w:uiPriority w:val="0"/>
    <w:rPr>
      <w:rFonts w:hint="default" w:ascii="Arial" w:hAnsi="Arial" w:eastAsia="黑体" w:cs="Arial"/>
      <w:sz w:val="24"/>
      <w:szCs w:val="24"/>
    </w:rPr>
  </w:style>
  <w:style w:type="character" w:customStyle="1" w:styleId="156">
    <w:name w:val="批注框文本 Char1"/>
    <w:basedOn w:val="43"/>
    <w:autoRedefine/>
    <w:qFormat/>
    <w:uiPriority w:val="0"/>
    <w:rPr>
      <w:kern w:val="2"/>
      <w:sz w:val="18"/>
      <w:szCs w:val="18"/>
    </w:rPr>
  </w:style>
  <w:style w:type="character" w:customStyle="1" w:styleId="157">
    <w:name w:val="纯文本 Char1_0"/>
    <w:basedOn w:val="43"/>
    <w:autoRedefine/>
    <w:qFormat/>
    <w:uiPriority w:val="0"/>
    <w:rPr>
      <w:rFonts w:hint="eastAsia" w:ascii="宋体" w:hAnsi="Courier New" w:eastAsia="宋体" w:cs="宋体"/>
      <w:kern w:val="2"/>
      <w:sz w:val="21"/>
      <w:szCs w:val="21"/>
    </w:rPr>
  </w:style>
  <w:style w:type="character" w:customStyle="1" w:styleId="158">
    <w:name w:val="Blockquote Char_0"/>
    <w:basedOn w:val="43"/>
    <w:autoRedefine/>
    <w:qFormat/>
    <w:uiPriority w:val="0"/>
    <w:rPr>
      <w:sz w:val="24"/>
    </w:rPr>
  </w:style>
  <w:style w:type="character" w:customStyle="1" w:styleId="159">
    <w:name w:val="标题 4 Char1"/>
    <w:basedOn w:val="43"/>
    <w:autoRedefine/>
    <w:qFormat/>
    <w:uiPriority w:val="0"/>
    <w:rPr>
      <w:rFonts w:hint="default" w:ascii="Cambria" w:hAnsi="Cambria" w:eastAsia="宋体" w:cs="Cambria"/>
      <w:b/>
      <w:kern w:val="2"/>
      <w:sz w:val="28"/>
      <w:szCs w:val="28"/>
    </w:rPr>
  </w:style>
  <w:style w:type="character" w:customStyle="1" w:styleId="160">
    <w:name w:val="标题 6 Char1"/>
    <w:basedOn w:val="43"/>
    <w:autoRedefine/>
    <w:qFormat/>
    <w:uiPriority w:val="0"/>
    <w:rPr>
      <w:rFonts w:hint="default" w:ascii="Cambria" w:hAnsi="Cambria" w:eastAsia="宋体" w:cs="Cambria"/>
      <w:b/>
      <w:kern w:val="2"/>
      <w:sz w:val="24"/>
      <w:szCs w:val="24"/>
    </w:rPr>
  </w:style>
  <w:style w:type="character" w:customStyle="1" w:styleId="161">
    <w:name w:val="标题 1 Char_0"/>
    <w:basedOn w:val="43"/>
    <w:autoRedefine/>
    <w:qFormat/>
    <w:uiPriority w:val="0"/>
    <w:rPr>
      <w:rFonts w:hint="eastAsia" w:ascii="黑体" w:hAnsi="宋体" w:eastAsia="黑体" w:cs="黑体"/>
      <w:sz w:val="52"/>
    </w:rPr>
  </w:style>
  <w:style w:type="character" w:customStyle="1" w:styleId="162">
    <w:name w:val="引用 Char1"/>
    <w:basedOn w:val="43"/>
    <w:autoRedefine/>
    <w:qFormat/>
    <w:uiPriority w:val="0"/>
    <w:rPr>
      <w:i/>
      <w:iCs/>
      <w:color w:val="000000"/>
      <w:kern w:val="2"/>
      <w:sz w:val="21"/>
      <w:szCs w:val="24"/>
    </w:rPr>
  </w:style>
  <w:style w:type="character" w:customStyle="1" w:styleId="163">
    <w:name w:val="标题 3 Char1"/>
    <w:basedOn w:val="43"/>
    <w:autoRedefine/>
    <w:qFormat/>
    <w:uiPriority w:val="0"/>
    <w:rPr>
      <w:rFonts w:hint="default" w:ascii="Calibri" w:hAnsi="Calibri" w:eastAsia="宋体" w:cs="Calibri"/>
      <w:b/>
      <w:kern w:val="2"/>
      <w:sz w:val="32"/>
    </w:rPr>
  </w:style>
  <w:style w:type="character" w:customStyle="1" w:styleId="164">
    <w:name w:val="Blockquote Char"/>
    <w:basedOn w:val="43"/>
    <w:autoRedefine/>
    <w:qFormat/>
    <w:uiPriority w:val="0"/>
    <w:rPr>
      <w:sz w:val="24"/>
    </w:rPr>
  </w:style>
  <w:style w:type="character" w:customStyle="1" w:styleId="165">
    <w:name w:val="标题 4 Char_0"/>
    <w:basedOn w:val="43"/>
    <w:autoRedefine/>
    <w:qFormat/>
    <w:uiPriority w:val="0"/>
    <w:rPr>
      <w:rFonts w:hint="default" w:ascii="Arial" w:hAnsi="Arial" w:eastAsia="黑体" w:cs="Arial"/>
      <w:sz w:val="28"/>
    </w:rPr>
  </w:style>
  <w:style w:type="character" w:customStyle="1" w:styleId="166">
    <w:name w:val="标题 7 Char1"/>
    <w:basedOn w:val="43"/>
    <w:autoRedefine/>
    <w:qFormat/>
    <w:uiPriority w:val="0"/>
    <w:rPr>
      <w:rFonts w:hint="default" w:ascii="Calibri" w:hAnsi="Calibri" w:eastAsia="宋体" w:cs="Calibri"/>
      <w:b/>
      <w:kern w:val="2"/>
      <w:sz w:val="24"/>
      <w:szCs w:val="24"/>
    </w:rPr>
  </w:style>
  <w:style w:type="character" w:customStyle="1" w:styleId="167">
    <w:name w:val="标题 5 Char1"/>
    <w:basedOn w:val="43"/>
    <w:autoRedefine/>
    <w:qFormat/>
    <w:uiPriority w:val="0"/>
    <w:rPr>
      <w:rFonts w:hint="default" w:ascii="Calibri" w:hAnsi="Calibri" w:eastAsia="宋体" w:cs="Calibri"/>
      <w:b/>
      <w:kern w:val="2"/>
      <w:sz w:val="28"/>
      <w:szCs w:val="28"/>
    </w:rPr>
  </w:style>
  <w:style w:type="character" w:customStyle="1" w:styleId="168">
    <w:name w:val="批注主题 Char2"/>
    <w:basedOn w:val="43"/>
    <w:autoRedefine/>
    <w:qFormat/>
    <w:uiPriority w:val="0"/>
    <w:rPr>
      <w:b/>
      <w:bCs/>
      <w:kern w:val="2"/>
      <w:sz w:val="21"/>
      <w:szCs w:val="22"/>
    </w:rPr>
  </w:style>
  <w:style w:type="character" w:customStyle="1" w:styleId="169">
    <w:name w:val="副标题 Char1"/>
    <w:basedOn w:val="43"/>
    <w:autoRedefine/>
    <w:qFormat/>
    <w:uiPriority w:val="0"/>
    <w:rPr>
      <w:rFonts w:hint="default" w:ascii="Cambria" w:hAnsi="Cambria" w:eastAsia="Cambria" w:cs="Times New Roman"/>
      <w:b/>
      <w:bCs/>
      <w:kern w:val="28"/>
      <w:sz w:val="32"/>
      <w:szCs w:val="32"/>
    </w:rPr>
  </w:style>
  <w:style w:type="character" w:customStyle="1" w:styleId="170">
    <w:name w:val="文档结构图 Char2"/>
    <w:basedOn w:val="43"/>
    <w:autoRedefine/>
    <w:qFormat/>
    <w:uiPriority w:val="0"/>
    <w:rPr>
      <w:rFonts w:hint="eastAsia" w:ascii="宋体" w:hAnsi="宋体" w:eastAsia="宋体" w:cs="宋体"/>
      <w:kern w:val="2"/>
      <w:sz w:val="18"/>
      <w:szCs w:val="18"/>
    </w:rPr>
  </w:style>
  <w:style w:type="character" w:customStyle="1" w:styleId="171">
    <w:name w:val="批注主题 Char1"/>
    <w:basedOn w:val="43"/>
    <w:autoRedefine/>
    <w:qFormat/>
    <w:uiPriority w:val="0"/>
    <w:rPr>
      <w:b/>
      <w:bCs/>
      <w:kern w:val="2"/>
      <w:sz w:val="21"/>
      <w:szCs w:val="24"/>
    </w:rPr>
  </w:style>
  <w:style w:type="character" w:customStyle="1" w:styleId="172">
    <w:name w:val="正文2 Char"/>
    <w:basedOn w:val="43"/>
    <w:autoRedefine/>
    <w:qFormat/>
    <w:uiPriority w:val="0"/>
    <w:rPr>
      <w:rFonts w:hint="eastAsia" w:ascii="楷体" w:hAnsi="楷体" w:eastAsia="楷体" w:cs="楷体"/>
      <w:b/>
      <w:color w:val="0000FF"/>
      <w:kern w:val="2"/>
      <w:sz w:val="21"/>
      <w:szCs w:val="22"/>
    </w:rPr>
  </w:style>
  <w:style w:type="character" w:customStyle="1" w:styleId="173">
    <w:name w:val="正文文本 Char2"/>
    <w:basedOn w:val="43"/>
    <w:autoRedefine/>
    <w:qFormat/>
    <w:uiPriority w:val="0"/>
    <w:rPr>
      <w:kern w:val="2"/>
      <w:sz w:val="21"/>
      <w:szCs w:val="22"/>
    </w:rPr>
  </w:style>
  <w:style w:type="character" w:customStyle="1" w:styleId="174">
    <w:name w:val="日期 Char1"/>
    <w:basedOn w:val="43"/>
    <w:autoRedefine/>
    <w:qFormat/>
    <w:uiPriority w:val="0"/>
    <w:rPr>
      <w:kern w:val="2"/>
      <w:sz w:val="21"/>
      <w:szCs w:val="22"/>
    </w:rPr>
  </w:style>
  <w:style w:type="character" w:customStyle="1" w:styleId="175">
    <w:name w:val="批注框文本 Char2"/>
    <w:basedOn w:val="43"/>
    <w:autoRedefine/>
    <w:qFormat/>
    <w:uiPriority w:val="0"/>
    <w:rPr>
      <w:kern w:val="2"/>
      <w:sz w:val="18"/>
      <w:szCs w:val="18"/>
    </w:rPr>
  </w:style>
  <w:style w:type="character" w:customStyle="1" w:styleId="176">
    <w:name w:val="标题 9 Char_0"/>
    <w:basedOn w:val="43"/>
    <w:autoRedefine/>
    <w:qFormat/>
    <w:uiPriority w:val="0"/>
    <w:rPr>
      <w:rFonts w:hint="default" w:ascii="Arial" w:hAnsi="Arial" w:eastAsia="黑体" w:cs="Arial"/>
      <w:sz w:val="21"/>
      <w:szCs w:val="21"/>
    </w:rPr>
  </w:style>
  <w:style w:type="character" w:customStyle="1" w:styleId="177">
    <w:name w:val="脚注文本 Char"/>
    <w:basedOn w:val="43"/>
    <w:autoRedefine/>
    <w:qFormat/>
    <w:uiPriority w:val="0"/>
    <w:rPr>
      <w:kern w:val="2"/>
      <w:sz w:val="18"/>
      <w:szCs w:val="18"/>
    </w:rPr>
  </w:style>
  <w:style w:type="character" w:customStyle="1" w:styleId="178">
    <w:name w:val="标题5 Char Char"/>
    <w:basedOn w:val="43"/>
    <w:autoRedefine/>
    <w:qFormat/>
    <w:uiPriority w:val="0"/>
    <w:rPr>
      <w:rFonts w:hint="default" w:ascii="Arial" w:hAnsi="Arial" w:cs="Arial"/>
      <w:b/>
      <w:bCs/>
      <w:sz w:val="24"/>
      <w:szCs w:val="32"/>
    </w:rPr>
  </w:style>
  <w:style w:type="character" w:customStyle="1" w:styleId="179">
    <w:name w:val="明显引用 字符"/>
    <w:basedOn w:val="43"/>
    <w:autoRedefine/>
    <w:qFormat/>
    <w:uiPriority w:val="0"/>
    <w:rPr>
      <w:b/>
      <w:bCs/>
      <w:i/>
      <w:iCs/>
      <w:color w:val="4F81BD"/>
      <w:kern w:val="2"/>
      <w:sz w:val="21"/>
      <w:szCs w:val="22"/>
    </w:rPr>
  </w:style>
  <w:style w:type="character" w:customStyle="1" w:styleId="180">
    <w:name w:val="批注文字 Char Char"/>
    <w:basedOn w:val="43"/>
    <w:autoRedefine/>
    <w:qFormat/>
    <w:uiPriority w:val="0"/>
    <w:rPr>
      <w:rFonts w:hint="eastAsia" w:ascii="宋体" w:hAnsi="Times New Roman" w:eastAsia="宋体" w:cs="Times New Roman"/>
      <w:sz w:val="28"/>
      <w:szCs w:val="20"/>
    </w:rPr>
  </w:style>
  <w:style w:type="character" w:customStyle="1" w:styleId="181">
    <w:name w:val="t_tag"/>
    <w:basedOn w:val="43"/>
    <w:autoRedefine/>
    <w:qFormat/>
    <w:uiPriority w:val="0"/>
  </w:style>
  <w:style w:type="character" w:customStyle="1" w:styleId="182">
    <w:name w:val="日期 Char2"/>
    <w:basedOn w:val="43"/>
    <w:autoRedefine/>
    <w:qFormat/>
    <w:uiPriority w:val="0"/>
    <w:rPr>
      <w:kern w:val="2"/>
      <w:sz w:val="21"/>
      <w:szCs w:val="22"/>
    </w:rPr>
  </w:style>
  <w:style w:type="character" w:customStyle="1" w:styleId="183">
    <w:name w:val="标题 1 Char1"/>
    <w:basedOn w:val="43"/>
    <w:autoRedefine/>
    <w:qFormat/>
    <w:uiPriority w:val="0"/>
    <w:rPr>
      <w:rFonts w:hint="default" w:ascii="Calibri" w:hAnsi="Calibri" w:eastAsia="宋体" w:cs="Calibri"/>
      <w:b/>
      <w:kern w:val="44"/>
      <w:sz w:val="44"/>
      <w:szCs w:val="44"/>
    </w:rPr>
  </w:style>
  <w:style w:type="character" w:customStyle="1" w:styleId="184">
    <w:name w:val="Char Char"/>
    <w:basedOn w:val="43"/>
    <w:autoRedefine/>
    <w:qFormat/>
    <w:uiPriority w:val="0"/>
    <w:rPr>
      <w:rFonts w:hint="eastAsia" w:ascii="宋体" w:hAnsi="Courier New" w:eastAsia="宋体" w:cs="Courier New"/>
      <w:kern w:val="2"/>
      <w:sz w:val="21"/>
      <w:szCs w:val="21"/>
      <w:lang w:val="en-US" w:eastAsia="zh-CN" w:bidi="ar"/>
    </w:rPr>
  </w:style>
  <w:style w:type="paragraph" w:customStyle="1" w:styleId="185">
    <w:name w:val="附件标题"/>
    <w:basedOn w:val="6"/>
    <w:next w:val="1"/>
    <w:autoRedefine/>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6">
    <w:name w:val="UserStyle_11"/>
    <w:basedOn w:val="1"/>
    <w:autoRedefine/>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7">
    <w:name w:val="AnnotationText"/>
    <w:basedOn w:val="1"/>
    <w:autoRedefine/>
    <w:qFormat/>
    <w:uiPriority w:val="0"/>
    <w:pPr>
      <w:jc w:val="left"/>
      <w:textAlignment w:val="baseline"/>
    </w:pPr>
    <w:rPr>
      <w:rFonts w:ascii="Arial" w:hAnsi="Arial" w:eastAsia="黑体"/>
    </w:rPr>
  </w:style>
  <w:style w:type="paragraph" w:customStyle="1" w:styleId="188">
    <w:name w:val="BodyText1I2"/>
    <w:basedOn w:val="189"/>
    <w:next w:val="1"/>
    <w:autoRedefine/>
    <w:qFormat/>
    <w:uiPriority w:val="0"/>
    <w:pPr>
      <w:spacing w:line="520" w:lineRule="exact"/>
      <w:ind w:firstLine="420" w:firstLineChars="200"/>
    </w:pPr>
    <w:rPr>
      <w:rFonts w:ascii="微软简标宋" w:hAnsi="微软简标宋" w:eastAsia="@仿宋_GB2312"/>
      <w:color w:val="000000"/>
      <w:sz w:val="24"/>
    </w:rPr>
  </w:style>
  <w:style w:type="paragraph" w:customStyle="1" w:styleId="189">
    <w:name w:val="BodyTextIndent"/>
    <w:basedOn w:val="1"/>
    <w:autoRedefine/>
    <w:qFormat/>
    <w:uiPriority w:val="0"/>
    <w:pPr>
      <w:spacing w:after="120"/>
      <w:ind w:left="420" w:leftChars="200"/>
      <w:textAlignment w:val="baseline"/>
    </w:pPr>
  </w:style>
  <w:style w:type="paragraph" w:customStyle="1" w:styleId="190">
    <w:name w:val="BodyText1I"/>
    <w:basedOn w:val="191"/>
    <w:autoRedefine/>
    <w:qFormat/>
    <w:uiPriority w:val="0"/>
    <w:pPr>
      <w:ind w:firstLine="420" w:firstLineChars="100"/>
    </w:pPr>
    <w:rPr>
      <w:rFonts w:eastAsia="@仿宋_GB2312"/>
    </w:rPr>
  </w:style>
  <w:style w:type="paragraph" w:customStyle="1" w:styleId="191">
    <w:name w:val="BodyText"/>
    <w:basedOn w:val="1"/>
    <w:autoRedefine/>
    <w:qFormat/>
    <w:uiPriority w:val="0"/>
    <w:pPr>
      <w:spacing w:after="120"/>
      <w:textAlignment w:val="baseline"/>
    </w:pPr>
  </w:style>
  <w:style w:type="paragraph" w:customStyle="1" w:styleId="192">
    <w:name w:val="font2324242"/>
    <w:basedOn w:val="1"/>
    <w:autoRedefine/>
    <w:qFormat/>
    <w:uiPriority w:val="0"/>
    <w:pPr>
      <w:widowControl/>
      <w:spacing w:before="100" w:beforeAutospacing="1" w:after="100" w:afterAutospacing="1"/>
      <w:jc w:val="left"/>
    </w:pPr>
    <w:rPr>
      <w:rFonts w:ascii="宋体" w:hAnsi="宋体" w:cs="宋体"/>
      <w:kern w:val="0"/>
      <w:sz w:val="22"/>
      <w:szCs w:val="22"/>
    </w:rPr>
  </w:style>
  <w:style w:type="character" w:customStyle="1" w:styleId="193">
    <w:name w:val="font71"/>
    <w:basedOn w:val="43"/>
    <w:autoRedefine/>
    <w:qFormat/>
    <w:uiPriority w:val="0"/>
    <w:rPr>
      <w:rFonts w:hint="eastAsia" w:ascii="宋体" w:hAnsi="宋体" w:eastAsia="宋体" w:cs="宋体"/>
      <w:color w:val="000000"/>
      <w:sz w:val="22"/>
      <w:szCs w:val="22"/>
      <w:u w:val="none"/>
    </w:rPr>
  </w:style>
  <w:style w:type="character" w:customStyle="1" w:styleId="194">
    <w:name w:val="font51"/>
    <w:basedOn w:val="43"/>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61</Pages>
  <Words>27981</Words>
  <Characters>30046</Characters>
  <Lines>406</Lines>
  <Paragraphs>114</Paragraphs>
  <TotalTime>0</TotalTime>
  <ScaleCrop>false</ScaleCrop>
  <LinksUpToDate>false</LinksUpToDate>
  <CharactersWithSpaces>32284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2023-08-17T01:38:00Z</dcterms:created>
  <dc:creator>Anakin</dc:creator>
  <cp:lastModifiedBy>熊猫啊熊猫我在努力</cp:lastModifiedBy>
  <cp:lastPrinted>2022-01-07T16:43:00Z</cp:lastPrinted>
  <dcterms:modified xsi:type="dcterms:W3CDTF">2024-08-16T10:07:02Z</dcterms:modified>
  <dc:title>某项目（项目编号：某编号）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3890C56E2FC94356A6357751E93DF2C1_13</vt:lpwstr>
  </property>
</Properties>
</file>