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方正小标宋简体" w:cs="Times New Roman"/>
          <w:sz w:val="32"/>
          <w:szCs w:val="32"/>
        </w:rPr>
      </w:pPr>
      <w:bookmarkStart w:id="0" w:name="_Hlk9544796"/>
    </w:p>
    <w:p>
      <w:pPr>
        <w:widowControl/>
        <w:jc w:val="center"/>
        <w:rPr>
          <w:rFonts w:ascii="Times New Roman" w:hAnsi="Times New Roman" w:eastAsia="方正小标宋简体" w:cs="Times New Roman"/>
          <w:sz w:val="32"/>
          <w:szCs w:val="32"/>
        </w:rPr>
      </w:pPr>
    </w:p>
    <w:p>
      <w:pPr>
        <w:pStyle w:val="40"/>
        <w:ind w:firstLine="560"/>
        <w:rPr>
          <w:rFonts w:ascii="Times New Roman" w:hAnsi="Times New Roman" w:eastAsia="方正小标宋简体" w:cs="Times New Roman"/>
          <w:snapToGrid w:val="0"/>
          <w:kern w:val="0"/>
          <w:sz w:val="28"/>
          <w:szCs w:val="28"/>
        </w:rPr>
      </w:pPr>
    </w:p>
    <w:p>
      <w:pPr>
        <w:rPr>
          <w:rFonts w:ascii="Times New Roman" w:hAnsi="Times New Roman" w:cs="Times New Roman"/>
        </w:rPr>
      </w:pPr>
    </w:p>
    <w:p>
      <w:pPr>
        <w:tabs>
          <w:tab w:val="left" w:pos="315"/>
          <w:tab w:val="left" w:pos="8820"/>
        </w:tabs>
        <w:spacing w:before="156" w:beforeLines="50" w:after="156" w:afterLines="50"/>
        <w:ind w:right="265" w:rightChars="126"/>
        <w:jc w:val="center"/>
        <w:rPr>
          <w:rFonts w:ascii="Times New Roman" w:hAnsi="Times New Roman" w:cs="Times New Roman"/>
          <w:b/>
          <w:bCs/>
          <w:sz w:val="96"/>
          <w:szCs w:val="96"/>
        </w:rPr>
      </w:pPr>
      <w:r>
        <w:rPr>
          <w:rFonts w:ascii="Times New Roman" w:hAnsi="Times New Roman" w:eastAsia="黑体" w:cs="Times New Roman"/>
          <w:sz w:val="72"/>
          <w:szCs w:val="72"/>
        </w:rPr>
        <w:t>招 标 文 件</w:t>
      </w:r>
    </w:p>
    <w:p>
      <w:pPr>
        <w:tabs>
          <w:tab w:val="left" w:pos="315"/>
          <w:tab w:val="left" w:pos="8820"/>
        </w:tabs>
        <w:spacing w:before="312" w:beforeLines="100" w:after="156" w:afterLines="50" w:line="500" w:lineRule="exact"/>
        <w:ind w:right="267" w:rightChars="127"/>
        <w:jc w:val="center"/>
        <w:rPr>
          <w:rFonts w:ascii="Times New Roman" w:hAnsi="Times New Roman" w:cs="Times New Roman"/>
          <w:b/>
          <w:bCs/>
          <w:sz w:val="52"/>
          <w:szCs w:val="52"/>
        </w:rPr>
      </w:pPr>
      <w:r>
        <w:rPr>
          <w:rFonts w:ascii="Times New Roman" w:hAnsi="Times New Roman" w:cs="Times New Roman"/>
          <w:b/>
          <w:bCs/>
          <w:sz w:val="52"/>
          <w:szCs w:val="52"/>
        </w:rPr>
        <w:t>（</w:t>
      </w:r>
      <w:r>
        <w:rPr>
          <w:rFonts w:hint="eastAsia" w:ascii="Times New Roman" w:hAnsi="Times New Roman" w:cs="Times New Roman"/>
          <w:b/>
          <w:bCs/>
          <w:sz w:val="52"/>
          <w:szCs w:val="52"/>
          <w:lang w:val="en-US" w:eastAsia="zh-CN"/>
        </w:rPr>
        <w:t>服务类</w:t>
      </w:r>
      <w:r>
        <w:rPr>
          <w:rFonts w:ascii="Times New Roman" w:hAnsi="Times New Roman" w:cs="Times New Roman"/>
          <w:b/>
          <w:bCs/>
          <w:sz w:val="52"/>
          <w:szCs w:val="52"/>
        </w:rPr>
        <w:t>）</w:t>
      </w:r>
    </w:p>
    <w:p>
      <w:pPr>
        <w:tabs>
          <w:tab w:val="left" w:pos="315"/>
          <w:tab w:val="left" w:pos="8820"/>
        </w:tabs>
        <w:spacing w:before="312" w:beforeLines="100" w:after="156" w:afterLines="50" w:line="500" w:lineRule="exact"/>
        <w:ind w:right="267" w:rightChars="127"/>
        <w:jc w:val="center"/>
        <w:rPr>
          <w:rFonts w:ascii="Times New Roman" w:hAnsi="Times New Roman" w:cs="Times New Roman"/>
          <w:b/>
          <w:bCs/>
          <w:sz w:val="52"/>
          <w:szCs w:val="52"/>
        </w:rPr>
      </w:pPr>
    </w:p>
    <w:p>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rPr>
      </w:pPr>
    </w:p>
    <w:p>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rPr>
      </w:pPr>
    </w:p>
    <w:p>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rPr>
      </w:pPr>
    </w:p>
    <w:p>
      <w:pPr>
        <w:tabs>
          <w:tab w:val="left" w:pos="2410"/>
        </w:tabs>
        <w:autoSpaceDE w:val="0"/>
        <w:autoSpaceDN w:val="0"/>
        <w:adjustRightInd w:val="0"/>
        <w:snapToGrid w:val="0"/>
        <w:spacing w:line="360" w:lineRule="auto"/>
        <w:ind w:left="3528" w:leftChars="304" w:hanging="2890" w:hangingChars="800"/>
        <w:rPr>
          <w:rFonts w:ascii="Times New Roman" w:hAnsi="Times New Roman" w:cs="Times New Roman"/>
          <w:b/>
          <w:spacing w:val="20"/>
          <w:kern w:val="0"/>
          <w:sz w:val="32"/>
          <w:szCs w:val="32"/>
        </w:rPr>
      </w:pPr>
      <w:r>
        <w:rPr>
          <w:rFonts w:ascii="Times New Roman" w:hAnsi="Times New Roman" w:cs="Times New Roman"/>
          <w:b/>
          <w:spacing w:val="20"/>
          <w:kern w:val="0"/>
          <w:sz w:val="32"/>
          <w:szCs w:val="32"/>
        </w:rPr>
        <w:t>项目名称：</w:t>
      </w:r>
      <w:r>
        <w:rPr>
          <w:rFonts w:hint="eastAsia" w:ascii="Times New Roman" w:hAnsi="Times New Roman" w:cs="Times New Roman"/>
          <w:b/>
          <w:spacing w:val="20"/>
          <w:kern w:val="0"/>
          <w:sz w:val="32"/>
          <w:szCs w:val="32"/>
          <w:u w:val="single"/>
          <w:lang w:val="en-US" w:eastAsia="zh-CN"/>
        </w:rPr>
        <w:t>合肥滨湖时光产业投资集团有限公司企业年金受托人评选项目</w:t>
      </w:r>
      <w:r>
        <w:rPr>
          <w:rFonts w:hint="eastAsia" w:ascii="Times New Roman" w:hAnsi="Times New Roman" w:cs="Times New Roman"/>
          <w:b/>
          <w:spacing w:val="20"/>
          <w:kern w:val="0"/>
          <w:sz w:val="32"/>
          <w:szCs w:val="32"/>
          <w:u w:val="single"/>
        </w:rPr>
        <w:t xml:space="preserve"> </w:t>
      </w:r>
    </w:p>
    <w:p>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u w:val="single"/>
        </w:rPr>
      </w:pPr>
      <w:r>
        <w:rPr>
          <w:rFonts w:ascii="Times New Roman" w:hAnsi="Times New Roman" w:cs="Times New Roman"/>
          <w:b/>
          <w:spacing w:val="20"/>
          <w:kern w:val="0"/>
          <w:sz w:val="32"/>
          <w:szCs w:val="32"/>
        </w:rPr>
        <w:t>项目编号：</w:t>
      </w:r>
      <w:r>
        <w:rPr>
          <w:rFonts w:hint="eastAsia" w:ascii="Times New Roman" w:hAnsi="Times New Roman" w:cs="Times New Roman"/>
          <w:b/>
          <w:spacing w:val="20"/>
          <w:kern w:val="0"/>
          <w:sz w:val="32"/>
          <w:szCs w:val="32"/>
          <w:u w:val="single"/>
        </w:rPr>
        <w:t xml:space="preserve"> </w:t>
      </w:r>
      <w:r>
        <w:rPr>
          <w:rFonts w:ascii="Times New Roman" w:hAnsi="Times New Roman" w:cs="Times New Roman"/>
          <w:b/>
          <w:spacing w:val="20"/>
          <w:kern w:val="0"/>
          <w:sz w:val="32"/>
          <w:szCs w:val="32"/>
          <w:u w:val="single"/>
        </w:rPr>
        <w:t xml:space="preserve"> </w:t>
      </w:r>
      <w:r>
        <w:rPr>
          <w:rFonts w:hint="eastAsia" w:ascii="Times New Roman" w:hAnsi="Times New Roman" w:cs="Times New Roman"/>
          <w:b/>
          <w:spacing w:val="20"/>
          <w:kern w:val="0"/>
          <w:sz w:val="32"/>
          <w:szCs w:val="32"/>
          <w:u w:val="single"/>
        </w:rPr>
        <w:t xml:space="preserve"> </w:t>
      </w:r>
      <w:r>
        <w:rPr>
          <w:rFonts w:ascii="Times New Roman" w:hAnsi="Times New Roman" w:cs="Times New Roman"/>
          <w:b/>
          <w:spacing w:val="20"/>
          <w:kern w:val="0"/>
          <w:sz w:val="32"/>
          <w:szCs w:val="32"/>
          <w:u w:val="single"/>
        </w:rPr>
        <w:t xml:space="preserve">   </w:t>
      </w:r>
      <w:r>
        <w:rPr>
          <w:rFonts w:hint="eastAsia" w:ascii="Times New Roman" w:hAnsi="Times New Roman" w:cs="Times New Roman"/>
          <w:b/>
          <w:spacing w:val="20"/>
          <w:kern w:val="0"/>
          <w:sz w:val="32"/>
          <w:szCs w:val="32"/>
          <w:u w:val="single"/>
          <w:lang w:val="en-US" w:eastAsia="zh-CN"/>
        </w:rPr>
        <w:t xml:space="preserve">                    </w:t>
      </w:r>
      <w:r>
        <w:rPr>
          <w:rFonts w:ascii="Times New Roman" w:hAnsi="Times New Roman" w:cs="Times New Roman"/>
          <w:b/>
          <w:spacing w:val="20"/>
          <w:kern w:val="0"/>
          <w:sz w:val="32"/>
          <w:szCs w:val="32"/>
          <w:u w:val="single"/>
        </w:rPr>
        <w:t xml:space="preserve">  </w:t>
      </w:r>
    </w:p>
    <w:p>
      <w:pPr>
        <w:tabs>
          <w:tab w:val="left" w:pos="2410"/>
        </w:tabs>
        <w:autoSpaceDE w:val="0"/>
        <w:autoSpaceDN w:val="0"/>
        <w:adjustRightInd w:val="0"/>
        <w:snapToGrid w:val="0"/>
        <w:spacing w:line="360" w:lineRule="auto"/>
        <w:ind w:left="6057" w:leftChars="304" w:hanging="5419" w:hangingChars="1500"/>
        <w:rPr>
          <w:rFonts w:hint="default" w:ascii="Times New Roman" w:hAnsi="Times New Roman" w:eastAsia="宋体" w:cs="Times New Roman"/>
          <w:b/>
          <w:spacing w:val="20"/>
          <w:kern w:val="0"/>
          <w:sz w:val="32"/>
          <w:szCs w:val="32"/>
          <w:u w:val="single"/>
          <w:lang w:val="en-US" w:eastAsia="zh-CN"/>
        </w:rPr>
      </w:pPr>
      <w:r>
        <w:rPr>
          <w:rFonts w:ascii="Times New Roman" w:hAnsi="Times New Roman" w:cs="Times New Roman"/>
          <w:b/>
          <w:spacing w:val="20"/>
          <w:kern w:val="0"/>
          <w:sz w:val="32"/>
          <w:szCs w:val="32"/>
        </w:rPr>
        <w:t>招标人：</w:t>
      </w:r>
      <w:r>
        <w:rPr>
          <w:rFonts w:hint="eastAsia" w:ascii="Times New Roman" w:hAnsi="Times New Roman" w:cs="Times New Roman"/>
          <w:b/>
          <w:spacing w:val="20"/>
          <w:kern w:val="0"/>
          <w:sz w:val="32"/>
          <w:szCs w:val="32"/>
          <w:u w:val="single"/>
          <w:lang w:val="en-US" w:eastAsia="zh-CN"/>
        </w:rPr>
        <w:t>合肥滨湖时光产业投资集团有限公司</w:t>
      </w:r>
    </w:p>
    <w:p>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u w:val="single"/>
        </w:rPr>
      </w:pPr>
    </w:p>
    <w:p>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u w:val="single"/>
        </w:rPr>
      </w:pPr>
    </w:p>
    <w:p>
      <w:pPr>
        <w:tabs>
          <w:tab w:val="left" w:pos="315"/>
          <w:tab w:val="left" w:pos="8820"/>
        </w:tabs>
        <w:spacing w:before="312" w:beforeLines="100" w:after="156" w:afterLines="50" w:line="500" w:lineRule="exact"/>
        <w:ind w:right="267" w:rightChars="127"/>
        <w:jc w:val="center"/>
        <w:rPr>
          <w:rFonts w:ascii="Times New Roman" w:hAnsi="Times New Roman" w:cs="Times New Roman"/>
          <w:b/>
          <w:sz w:val="36"/>
        </w:rPr>
      </w:pPr>
      <w:r>
        <w:rPr>
          <w:rFonts w:hint="eastAsia" w:ascii="Times New Roman" w:hAnsi="Times New Roman" w:cs="Times New Roman"/>
          <w:b/>
          <w:sz w:val="36"/>
          <w:u w:val="single"/>
        </w:rPr>
        <w:t xml:space="preserve"> </w:t>
      </w:r>
      <w:r>
        <w:rPr>
          <w:rFonts w:ascii="Times New Roman" w:hAnsi="Times New Roman" w:cs="Times New Roman"/>
          <w:b/>
          <w:sz w:val="36"/>
          <w:u w:val="single"/>
        </w:rPr>
        <w:t>202</w:t>
      </w:r>
      <w:r>
        <w:rPr>
          <w:rFonts w:hint="eastAsia" w:ascii="Times New Roman" w:hAnsi="Times New Roman" w:cs="Times New Roman"/>
          <w:b/>
          <w:sz w:val="36"/>
          <w:u w:val="single"/>
          <w:lang w:val="en-US" w:eastAsia="zh-CN"/>
        </w:rPr>
        <w:t>4</w:t>
      </w:r>
      <w:r>
        <w:rPr>
          <w:rFonts w:ascii="Times New Roman" w:hAnsi="Times New Roman" w:cs="Times New Roman"/>
          <w:b/>
          <w:sz w:val="36"/>
        </w:rPr>
        <w:t>年</w:t>
      </w:r>
      <w:r>
        <w:rPr>
          <w:rFonts w:hint="eastAsia" w:ascii="Times New Roman" w:hAnsi="Times New Roman" w:cs="Times New Roman"/>
          <w:b/>
          <w:sz w:val="36"/>
          <w:u w:val="single"/>
        </w:rPr>
        <w:t xml:space="preserve"> </w:t>
      </w:r>
      <w:r>
        <w:rPr>
          <w:rFonts w:hint="eastAsia" w:ascii="Times New Roman" w:hAnsi="Times New Roman" w:cs="Times New Roman"/>
          <w:b/>
          <w:sz w:val="36"/>
          <w:u w:val="single"/>
          <w:lang w:val="en-US" w:eastAsia="zh-CN"/>
        </w:rPr>
        <w:t>8</w:t>
      </w:r>
      <w:r>
        <w:rPr>
          <w:rFonts w:hint="eastAsia" w:ascii="Times New Roman" w:hAnsi="Times New Roman" w:cs="Times New Roman"/>
          <w:b/>
          <w:sz w:val="36"/>
          <w:u w:val="single"/>
        </w:rPr>
        <w:t xml:space="preserve"> </w:t>
      </w:r>
      <w:r>
        <w:rPr>
          <w:rFonts w:ascii="Times New Roman" w:hAnsi="Times New Roman" w:cs="Times New Roman"/>
          <w:b/>
          <w:sz w:val="36"/>
        </w:rPr>
        <w:t>月</w:t>
      </w:r>
    </w:p>
    <w:bookmarkEnd w:id="0"/>
    <w:p>
      <w:pPr>
        <w:tabs>
          <w:tab w:val="left" w:pos="315"/>
          <w:tab w:val="left" w:pos="8820"/>
        </w:tabs>
        <w:spacing w:before="312" w:beforeLines="100" w:after="156" w:afterLines="50" w:line="500" w:lineRule="exact"/>
        <w:ind w:right="267" w:rightChars="127"/>
        <w:rPr>
          <w:rFonts w:ascii="Times New Roman" w:hAnsi="Times New Roman" w:cs="Times New Roman"/>
          <w:b/>
          <w:sz w:val="28"/>
        </w:rPr>
        <w:sectPr>
          <w:footerReference r:id="rId3" w:type="default"/>
          <w:pgSz w:w="11906" w:h="16838"/>
          <w:pgMar w:top="1417" w:right="1417" w:bottom="1417" w:left="1417" w:header="851" w:footer="992" w:gutter="0"/>
          <w:pgNumType w:start="1"/>
          <w:cols w:space="720" w:num="1"/>
          <w:docGrid w:type="lines" w:linePitch="312" w:charSpace="0"/>
        </w:sectPr>
      </w:pPr>
    </w:p>
    <w:p>
      <w:pPr>
        <w:tabs>
          <w:tab w:val="left" w:pos="2410"/>
        </w:tabs>
        <w:autoSpaceDE w:val="0"/>
        <w:autoSpaceDN w:val="0"/>
        <w:adjustRightInd w:val="0"/>
        <w:snapToGrid w:val="0"/>
        <w:spacing w:line="360" w:lineRule="auto"/>
        <w:jc w:val="center"/>
        <w:rPr>
          <w:rFonts w:ascii="Times New Roman" w:hAnsi="Times New Roman" w:cs="Times New Roman"/>
          <w:b/>
          <w:sz w:val="28"/>
        </w:rPr>
      </w:pPr>
      <w:r>
        <w:rPr>
          <w:rFonts w:ascii="Times New Roman" w:hAnsi="Times New Roman" w:cs="Times New Roman"/>
          <w:b/>
          <w:sz w:val="28"/>
        </w:rPr>
        <w:t>目  录</w:t>
      </w:r>
    </w:p>
    <w:p>
      <w:pPr>
        <w:pStyle w:val="33"/>
        <w:tabs>
          <w:tab w:val="right" w:leader="dot" w:pos="9072"/>
        </w:tabs>
        <w:rPr>
          <w:rFonts w:ascii="Times New Roman" w:hAnsi="Times New Roman" w:cs="Times New Roman"/>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fldChar w:fldCharType="begin"/>
      </w:r>
      <w:r>
        <w:instrText xml:space="preserve"> HYPERLINK \l "_Toc13708" </w:instrText>
      </w:r>
      <w:r>
        <w:fldChar w:fldCharType="separate"/>
      </w:r>
      <w:r>
        <w:rPr>
          <w:rFonts w:ascii="Times New Roman" w:hAnsi="Times New Roman" w:cs="Times New Roman"/>
        </w:rPr>
        <w:t>第一章  投标邀请（招标公告）</w:t>
      </w:r>
      <w:r>
        <w:rPr>
          <w:rFonts w:ascii="Times New Roman" w:hAnsi="Times New Roman" w:cs="Times New Roman"/>
        </w:rPr>
        <w:tab/>
      </w:r>
      <w:r>
        <w:rPr>
          <w:rFonts w:ascii="Times New Roman" w:hAnsi="Times New Roman" w:cs="Times New Roman"/>
        </w:rPr>
        <w:fldChar w:fldCharType="end"/>
      </w:r>
    </w:p>
    <w:p>
      <w:pPr>
        <w:pStyle w:val="33"/>
        <w:tabs>
          <w:tab w:val="right" w:leader="dot" w:pos="9072"/>
        </w:tabs>
        <w:rPr>
          <w:rFonts w:ascii="Times New Roman" w:hAnsi="Times New Roman" w:cs="Times New Roman"/>
        </w:rPr>
      </w:pPr>
      <w:r>
        <w:fldChar w:fldCharType="begin"/>
      </w:r>
      <w:r>
        <w:instrText xml:space="preserve"> HYPERLINK \l "_Toc19060" </w:instrText>
      </w:r>
      <w:r>
        <w:fldChar w:fldCharType="separate"/>
      </w:r>
      <w:r>
        <w:rPr>
          <w:rFonts w:ascii="Times New Roman" w:hAnsi="Times New Roman" w:cs="Times New Roman"/>
        </w:rPr>
        <w:t>第二章  投标人须知</w:t>
      </w:r>
      <w:r>
        <w:rPr>
          <w:rFonts w:ascii="Times New Roman" w:hAnsi="Times New Roman" w:cs="Times New Roman"/>
        </w:rPr>
        <w:tab/>
      </w:r>
      <w:r>
        <w:rPr>
          <w:rFonts w:ascii="Times New Roman" w:hAnsi="Times New Roman" w:cs="Times New Roman"/>
        </w:rPr>
        <w:fldChar w:fldCharType="end"/>
      </w:r>
    </w:p>
    <w:p>
      <w:pPr>
        <w:pStyle w:val="33"/>
        <w:tabs>
          <w:tab w:val="right" w:leader="dot" w:pos="9072"/>
        </w:tabs>
        <w:rPr>
          <w:rFonts w:ascii="Times New Roman" w:hAnsi="Times New Roman" w:cs="Times New Roman"/>
          <w:szCs w:val="24"/>
        </w:rPr>
      </w:pPr>
      <w:r>
        <w:fldChar w:fldCharType="begin"/>
      </w:r>
      <w:r>
        <w:instrText xml:space="preserve"> HYPERLINK \l "_Toc27373" </w:instrText>
      </w:r>
      <w:r>
        <w:fldChar w:fldCharType="separate"/>
      </w:r>
      <w:r>
        <w:rPr>
          <w:rFonts w:ascii="Times New Roman" w:hAnsi="Times New Roman" w:cs="Times New Roman"/>
        </w:rPr>
        <w:t>第</w:t>
      </w:r>
      <w:r>
        <w:rPr>
          <w:rFonts w:hint="eastAsia" w:ascii="Times New Roman" w:hAnsi="Times New Roman" w:cs="Times New Roman"/>
        </w:rPr>
        <w:t>三</w:t>
      </w:r>
      <w:r>
        <w:rPr>
          <w:rFonts w:ascii="Times New Roman" w:hAnsi="Times New Roman" w:cs="Times New Roman"/>
        </w:rPr>
        <w:t xml:space="preserve">章  </w:t>
      </w:r>
      <w:r>
        <w:rPr>
          <w:rFonts w:hint="eastAsia" w:ascii="Times New Roman" w:hAnsi="Times New Roman" w:cs="Times New Roman"/>
        </w:rPr>
        <w:t>招标</w:t>
      </w:r>
      <w:r>
        <w:rPr>
          <w:rFonts w:ascii="Times New Roman" w:hAnsi="Times New Roman" w:cs="Times New Roman"/>
        </w:rPr>
        <w:t>要求</w:t>
      </w:r>
      <w:r>
        <w:rPr>
          <w:rFonts w:ascii="Times New Roman" w:hAnsi="Times New Roman" w:cs="Times New Roman"/>
        </w:rPr>
        <w:tab/>
      </w:r>
      <w:r>
        <w:rPr>
          <w:rFonts w:ascii="Times New Roman" w:hAnsi="Times New Roman" w:cs="Times New Roman"/>
        </w:rPr>
        <w:fldChar w:fldCharType="end"/>
      </w:r>
    </w:p>
    <w:p>
      <w:pPr>
        <w:pStyle w:val="33"/>
        <w:tabs>
          <w:tab w:val="right" w:leader="dot" w:pos="9072"/>
        </w:tabs>
        <w:rPr>
          <w:rFonts w:ascii="Times New Roman" w:hAnsi="Times New Roman" w:cs="Times New Roman"/>
        </w:rPr>
      </w:pPr>
      <w:r>
        <w:fldChar w:fldCharType="begin"/>
      </w:r>
      <w:r>
        <w:instrText xml:space="preserve"> HYPERLINK \l "_Toc15352" </w:instrText>
      </w:r>
      <w:r>
        <w:fldChar w:fldCharType="separate"/>
      </w:r>
      <w:r>
        <w:rPr>
          <w:rFonts w:ascii="Times New Roman" w:hAnsi="Times New Roman" w:cs="Times New Roman" w:eastAsiaTheme="minorEastAsia"/>
        </w:rPr>
        <w:t>第</w:t>
      </w:r>
      <w:r>
        <w:rPr>
          <w:rFonts w:hint="eastAsia" w:ascii="Times New Roman" w:hAnsi="Times New Roman" w:cs="Times New Roman" w:eastAsiaTheme="minorEastAsia"/>
        </w:rPr>
        <w:t>四</w:t>
      </w:r>
      <w:r>
        <w:rPr>
          <w:rFonts w:ascii="Times New Roman" w:hAnsi="Times New Roman" w:cs="Times New Roman" w:eastAsiaTheme="minorEastAsia"/>
        </w:rPr>
        <w:t>章  评标办法</w:t>
      </w:r>
      <w:r>
        <w:rPr>
          <w:rFonts w:ascii="Times New Roman" w:hAnsi="Times New Roman" w:cs="Times New Roman"/>
        </w:rPr>
        <w:tab/>
      </w:r>
      <w:r>
        <w:rPr>
          <w:rFonts w:ascii="Times New Roman" w:hAnsi="Times New Roman" w:cs="Times New Roman"/>
        </w:rPr>
        <w:fldChar w:fldCharType="end"/>
      </w:r>
    </w:p>
    <w:p>
      <w:pPr>
        <w:pStyle w:val="33"/>
        <w:tabs>
          <w:tab w:val="right" w:leader="dot" w:pos="9072"/>
        </w:tabs>
        <w:rPr>
          <w:rFonts w:ascii="Times New Roman" w:hAnsi="Times New Roman" w:cs="Times New Roman"/>
        </w:rPr>
      </w:pPr>
      <w:r>
        <w:fldChar w:fldCharType="begin"/>
      </w:r>
      <w:r>
        <w:instrText xml:space="preserve"> HYPERLINK \l "_Toc17261" </w:instrText>
      </w:r>
      <w:r>
        <w:fldChar w:fldCharType="separate"/>
      </w:r>
      <w:r>
        <w:rPr>
          <w:rFonts w:ascii="Times New Roman" w:hAnsi="Times New Roman" w:cs="Times New Roman" w:eastAsiaTheme="minorEastAsia"/>
        </w:rPr>
        <w:t>第</w:t>
      </w:r>
      <w:r>
        <w:rPr>
          <w:rFonts w:hint="eastAsia" w:ascii="Times New Roman" w:hAnsi="Times New Roman" w:cs="Times New Roman" w:eastAsiaTheme="minorEastAsia"/>
        </w:rPr>
        <w:t>五</w:t>
      </w:r>
      <w:r>
        <w:rPr>
          <w:rFonts w:ascii="Times New Roman" w:hAnsi="Times New Roman" w:cs="Times New Roman" w:eastAsiaTheme="minorEastAsia"/>
        </w:rPr>
        <w:t>章  合同条款及格式</w:t>
      </w:r>
      <w:r>
        <w:rPr>
          <w:rFonts w:ascii="Times New Roman" w:hAnsi="Times New Roman" w:cs="Times New Roman"/>
        </w:rPr>
        <w:tab/>
      </w:r>
      <w:r>
        <w:rPr>
          <w:rFonts w:ascii="Times New Roman" w:hAnsi="Times New Roman" w:cs="Times New Roman"/>
        </w:rPr>
        <w:fldChar w:fldCharType="end"/>
      </w:r>
    </w:p>
    <w:p>
      <w:pPr>
        <w:pStyle w:val="33"/>
        <w:tabs>
          <w:tab w:val="right" w:leader="dot" w:pos="9072"/>
        </w:tabs>
        <w:rPr>
          <w:rFonts w:ascii="Times New Roman" w:hAnsi="Times New Roman" w:cs="Times New Roman"/>
        </w:rPr>
      </w:pPr>
      <w:r>
        <w:fldChar w:fldCharType="begin"/>
      </w:r>
      <w:r>
        <w:instrText xml:space="preserve"> HYPERLINK \l "_Toc29760" </w:instrText>
      </w:r>
      <w:r>
        <w:fldChar w:fldCharType="separate"/>
      </w:r>
      <w:r>
        <w:rPr>
          <w:rFonts w:ascii="Times New Roman" w:hAnsi="Times New Roman" w:cs="Times New Roman"/>
        </w:rPr>
        <w:t>第六章  投标文件格式</w:t>
      </w:r>
      <w:r>
        <w:rPr>
          <w:rFonts w:ascii="Times New Roman" w:hAnsi="Times New Roman" w:cs="Times New Roman"/>
        </w:rPr>
        <w:tab/>
      </w:r>
      <w:r>
        <w:rPr>
          <w:rFonts w:ascii="Times New Roman" w:hAnsi="Times New Roman" w:cs="Times New Roman"/>
        </w:rPr>
        <w:fldChar w:fldCharType="end"/>
      </w:r>
    </w:p>
    <w:p>
      <w:pPr>
        <w:pStyle w:val="33"/>
        <w:tabs>
          <w:tab w:val="right" w:leader="dot" w:pos="9072"/>
        </w:tabs>
        <w:rPr>
          <w:rFonts w:ascii="Times New Roman" w:hAnsi="Times New Roman" w:cs="Times New Roman"/>
        </w:rPr>
      </w:pPr>
      <w:r>
        <w:rPr>
          <w:rFonts w:ascii="Times New Roman" w:hAnsi="Times New Roman" w:cs="Times New Roman"/>
          <w:szCs w:val="24"/>
        </w:rPr>
        <w:fldChar w:fldCharType="end"/>
      </w:r>
    </w:p>
    <w:p>
      <w:pPr>
        <w:rPr>
          <w:rFonts w:ascii="Times New Roman" w:hAnsi="Times New Roman" w:cs="Times New Roman"/>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pPr>
        <w:spacing w:line="360" w:lineRule="auto"/>
        <w:jc w:val="center"/>
        <w:outlineLvl w:val="1"/>
        <w:rPr>
          <w:rFonts w:ascii="Times New Roman" w:hAnsi="Times New Roman" w:cs="Times New Roman"/>
          <w:b/>
          <w:sz w:val="28"/>
        </w:rPr>
      </w:pPr>
      <w:bookmarkStart w:id="1" w:name="_Toc13708"/>
      <w:r>
        <w:rPr>
          <w:rFonts w:ascii="Times New Roman" w:hAnsi="Times New Roman" w:cs="Times New Roman"/>
          <w:b/>
          <w:sz w:val="28"/>
        </w:rPr>
        <w:t>第一章  投标邀请（招标公告）</w:t>
      </w:r>
      <w:bookmarkEnd w:id="1"/>
    </w:p>
    <w:p>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spacing w:val="20"/>
          <w:sz w:val="24"/>
          <w:szCs w:val="24"/>
          <w:highlight w:val="none"/>
        </w:rPr>
      </w:pPr>
      <w:bookmarkStart w:id="2" w:name="_Toc28359003"/>
      <w:bookmarkStart w:id="3" w:name="_Toc35393622"/>
      <w:bookmarkStart w:id="4" w:name="_Toc28359080"/>
      <w:bookmarkStart w:id="5" w:name="_Toc35393791"/>
      <w:r>
        <w:rPr>
          <w:rFonts w:hint="eastAsia" w:ascii="Times New Roman" w:hAnsi="Times New Roman" w:cs="Times New Roman"/>
          <w:spacing w:val="20"/>
          <w:sz w:val="24"/>
          <w:szCs w:val="24"/>
        </w:rPr>
        <w:t>项目概况</w:t>
      </w:r>
    </w:p>
    <w:p>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sz w:val="24"/>
          <w:szCs w:val="24"/>
          <w:highlight w:val="none"/>
        </w:rPr>
      </w:pPr>
      <w:r>
        <w:rPr>
          <w:rFonts w:hint="eastAsia" w:ascii="Times New Roman" w:hAnsi="Times New Roman" w:cs="Times New Roman"/>
          <w:spacing w:val="20"/>
          <w:sz w:val="24"/>
          <w:szCs w:val="24"/>
          <w:highlight w:val="none"/>
          <w:u w:val="single"/>
          <w:lang w:val="en-US" w:eastAsia="zh-CN"/>
        </w:rPr>
        <w:t>合肥滨湖时光产业投资集团有限公司企业年金受托人评选项目</w:t>
      </w:r>
      <w:r>
        <w:rPr>
          <w:rFonts w:ascii="Times New Roman" w:hAnsi="Times New Roman" w:cs="Times New Roman"/>
          <w:spacing w:val="20"/>
          <w:sz w:val="24"/>
          <w:szCs w:val="24"/>
          <w:highlight w:val="none"/>
          <w:u w:val="single"/>
        </w:rPr>
        <w:t xml:space="preserve"> </w:t>
      </w:r>
      <w:r>
        <w:rPr>
          <w:rFonts w:ascii="Times New Roman" w:hAnsi="Times New Roman" w:cs="Times New Roman"/>
          <w:spacing w:val="20"/>
          <w:sz w:val="24"/>
          <w:szCs w:val="24"/>
          <w:highlight w:val="none"/>
        </w:rPr>
        <w:t>的潜在投标人应在</w:t>
      </w:r>
      <w:r>
        <w:rPr>
          <w:rFonts w:hint="eastAsia" w:ascii="Times New Roman" w:hAnsi="Times New Roman" w:cs="Times New Roman"/>
          <w:spacing w:val="20"/>
          <w:sz w:val="24"/>
          <w:szCs w:val="24"/>
          <w:highlight w:val="none"/>
          <w:u w:val="single"/>
          <w:lang w:eastAsia="zh-CN"/>
        </w:rPr>
        <w:t>合肥滨湖时光产业投资集团有限公司</w:t>
      </w:r>
      <w:r>
        <w:rPr>
          <w:rFonts w:ascii="Times New Roman" w:hAnsi="Times New Roman" w:cs="Times New Roman"/>
          <w:spacing w:val="20"/>
          <w:kern w:val="10"/>
          <w:sz w:val="24"/>
          <w:szCs w:val="24"/>
          <w:highlight w:val="none"/>
          <w:u w:val="single"/>
        </w:rPr>
        <w:t>官方网站</w:t>
      </w:r>
      <w:r>
        <w:rPr>
          <w:rFonts w:hint="eastAsia" w:ascii="Times New Roman" w:hAnsi="Times New Roman" w:cs="Times New Roman"/>
          <w:spacing w:val="20"/>
          <w:sz w:val="24"/>
          <w:szCs w:val="24"/>
          <w:highlight w:val="none"/>
          <w:u w:val="single"/>
          <w:lang w:eastAsia="zh-CN"/>
        </w:rPr>
        <w:t>http://bhsggroup.cn/</w:t>
      </w:r>
      <w:r>
        <w:rPr>
          <w:rFonts w:ascii="Times New Roman" w:hAnsi="Times New Roman" w:cs="Times New Roman"/>
          <w:sz w:val="24"/>
          <w:szCs w:val="24"/>
          <w:highlight w:val="none"/>
        </w:rPr>
        <w:t>获取招标文件，并于</w:t>
      </w:r>
      <w:r>
        <w:rPr>
          <w:rFonts w:hint="eastAsia" w:ascii="Times New Roman" w:hAnsi="Times New Roman" w:cs="Times New Roman"/>
          <w:sz w:val="24"/>
          <w:szCs w:val="24"/>
          <w:highlight w:val="none"/>
          <w:u w:val="single"/>
        </w:rPr>
        <w:t xml:space="preserve">  202</w:t>
      </w:r>
      <w:r>
        <w:rPr>
          <w:rFonts w:hint="eastAsia" w:ascii="Times New Roman" w:hAnsi="Times New Roman" w:cs="Times New Roman"/>
          <w:sz w:val="24"/>
          <w:szCs w:val="24"/>
          <w:highlight w:val="none"/>
          <w:u w:val="single"/>
          <w:lang w:val="en-US" w:eastAsia="zh-CN"/>
        </w:rPr>
        <w:t>4</w:t>
      </w:r>
      <w:r>
        <w:rPr>
          <w:rFonts w:hint="eastAsia" w:ascii="Times New Roman" w:hAnsi="Times New Roman" w:cs="Times New Roman"/>
          <w:sz w:val="24"/>
          <w:szCs w:val="24"/>
          <w:highlight w:val="none"/>
          <w:u w:val="single"/>
        </w:rPr>
        <w:t>年</w:t>
      </w:r>
      <w:r>
        <w:rPr>
          <w:rFonts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9</w:t>
      </w:r>
      <w:r>
        <w:rPr>
          <w:rFonts w:hint="eastAsia" w:ascii="Times New Roman" w:hAnsi="Times New Roman" w:cs="Times New Roman"/>
          <w:sz w:val="24"/>
          <w:szCs w:val="24"/>
          <w:highlight w:val="none"/>
          <w:u w:val="single"/>
        </w:rPr>
        <w:t>月</w:t>
      </w:r>
      <w:r>
        <w:rPr>
          <w:rFonts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12</w:t>
      </w:r>
      <w:r>
        <w:rPr>
          <w:rFonts w:hint="eastAsia" w:ascii="Times New Roman" w:hAnsi="Times New Roman" w:cs="Times New Roman"/>
          <w:sz w:val="24"/>
          <w:szCs w:val="24"/>
          <w:highlight w:val="none"/>
          <w:u w:val="single"/>
        </w:rPr>
        <w:t>日</w:t>
      </w:r>
      <w:r>
        <w:rPr>
          <w:rFonts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rPr>
        <w:t>9:30</w:t>
      </w:r>
      <w:r>
        <w:rPr>
          <w:rFonts w:ascii="Times New Roman" w:hAnsi="Times New Roman" w:cs="Times New Roman"/>
          <w:sz w:val="24"/>
          <w:szCs w:val="24"/>
          <w:highlight w:val="none"/>
          <w:u w:val="single"/>
        </w:rPr>
        <w:t xml:space="preserve">   </w:t>
      </w:r>
      <w:r>
        <w:rPr>
          <w:rFonts w:ascii="Times New Roman" w:hAnsi="Times New Roman" w:cs="Times New Roman"/>
          <w:bCs/>
          <w:sz w:val="24"/>
          <w:szCs w:val="24"/>
          <w:highlight w:val="none"/>
        </w:rPr>
        <w:t>（北京时间）前递交投标文件</w:t>
      </w:r>
      <w:r>
        <w:rPr>
          <w:rFonts w:ascii="Times New Roman" w:hAnsi="Times New Roman" w:cs="Times New Roman"/>
          <w:sz w:val="24"/>
          <w:szCs w:val="24"/>
          <w:highlight w:val="none"/>
        </w:rPr>
        <w:t>。</w:t>
      </w:r>
    </w:p>
    <w:p>
      <w:pPr>
        <w:snapToGrid w:val="0"/>
        <w:spacing w:line="360" w:lineRule="auto"/>
        <w:rPr>
          <w:rFonts w:ascii="Times New Roman" w:hAnsi="Times New Roman" w:cs="Times New Roman"/>
          <w:sz w:val="24"/>
          <w:szCs w:val="24"/>
          <w:highlight w:val="none"/>
        </w:rPr>
      </w:pPr>
    </w:p>
    <w:p>
      <w:pPr>
        <w:snapToGrid w:val="0"/>
        <w:spacing w:line="360" w:lineRule="auto"/>
        <w:ind w:firstLine="482" w:firstLineChars="200"/>
        <w:rPr>
          <w:rFonts w:ascii="Times New Roman" w:hAnsi="Times New Roman" w:cs="Times New Roman"/>
          <w:b/>
          <w:bCs/>
          <w:sz w:val="24"/>
          <w:szCs w:val="24"/>
          <w:highlight w:val="none"/>
        </w:rPr>
      </w:pPr>
      <w:bookmarkStart w:id="6" w:name="_Toc28359002"/>
      <w:bookmarkStart w:id="7" w:name="_Toc35393790"/>
      <w:bookmarkStart w:id="8" w:name="_Toc28359079"/>
      <w:bookmarkStart w:id="9" w:name="_Toc35393621"/>
      <w:bookmarkStart w:id="10" w:name="_Hlk24379207"/>
      <w:r>
        <w:rPr>
          <w:rFonts w:ascii="Times New Roman" w:hAnsi="Times New Roman" w:cs="Times New Roman"/>
          <w:b/>
          <w:bCs/>
          <w:sz w:val="24"/>
          <w:szCs w:val="24"/>
          <w:highlight w:val="none"/>
        </w:rPr>
        <w:t>一、</w:t>
      </w:r>
      <w:bookmarkEnd w:id="6"/>
      <w:bookmarkEnd w:id="7"/>
      <w:bookmarkEnd w:id="8"/>
      <w:bookmarkEnd w:id="9"/>
      <w:r>
        <w:rPr>
          <w:rFonts w:ascii="Times New Roman" w:hAnsi="Times New Roman" w:cs="Times New Roman"/>
          <w:b/>
          <w:bCs/>
          <w:sz w:val="24"/>
          <w:szCs w:val="18"/>
          <w:highlight w:val="none"/>
        </w:rPr>
        <w:t>项目名称及内容</w:t>
      </w:r>
    </w:p>
    <w:p>
      <w:pPr>
        <w:tabs>
          <w:tab w:val="left" w:pos="2410"/>
        </w:tabs>
        <w:autoSpaceDE w:val="0"/>
        <w:autoSpaceDN w:val="0"/>
        <w:adjustRightInd w:val="0"/>
        <w:snapToGrid w:val="0"/>
        <w:spacing w:line="360" w:lineRule="auto"/>
        <w:ind w:firstLine="480" w:firstLineChars="200"/>
        <w:rPr>
          <w:rFonts w:ascii="Times New Roman" w:hAnsi="Times New Roman" w:cs="Times New Roman"/>
          <w:sz w:val="24"/>
          <w:szCs w:val="24"/>
          <w:highlight w:val="none"/>
          <w:u w:val="single"/>
        </w:rPr>
      </w:pPr>
      <w:r>
        <w:rPr>
          <w:rFonts w:ascii="Times New Roman" w:hAnsi="Times New Roman" w:cs="Times New Roman"/>
          <w:sz w:val="24"/>
          <w:szCs w:val="24"/>
          <w:highlight w:val="none"/>
        </w:rPr>
        <w:t>1.项目编号：</w:t>
      </w:r>
      <w:r>
        <w:rPr>
          <w:rFonts w:hint="eastAsia" w:ascii="Times New Roman" w:hAnsi="Times New Roman" w:cs="Times New Roman"/>
          <w:sz w:val="24"/>
          <w:szCs w:val="24"/>
          <w:highlight w:val="none"/>
        </w:rPr>
        <w:t xml:space="preserve"> </w:t>
      </w:r>
      <w:r>
        <w:rPr>
          <w:rFonts w:ascii="Times New Roman" w:hAnsi="Times New Roman" w:cs="Times New Roman"/>
          <w:sz w:val="24"/>
          <w:szCs w:val="24"/>
          <w:highlight w:val="none"/>
          <w:u w:val="single"/>
        </w:rPr>
        <w:t xml:space="preserve">      </w:t>
      </w:r>
    </w:p>
    <w:p>
      <w:pPr>
        <w:snapToGrid w:val="0"/>
        <w:spacing w:line="360" w:lineRule="auto"/>
        <w:ind w:firstLine="480" w:firstLineChars="200"/>
        <w:rPr>
          <w:rFonts w:hint="eastAsia" w:ascii="Times New Roman" w:hAnsi="Times New Roman" w:eastAsia="宋体" w:cs="Times New Roman"/>
          <w:sz w:val="24"/>
          <w:szCs w:val="24"/>
          <w:highlight w:val="none"/>
          <w:u w:val="single"/>
          <w:lang w:eastAsia="zh-CN"/>
        </w:rPr>
      </w:pPr>
      <w:r>
        <w:rPr>
          <w:rFonts w:ascii="Times New Roman" w:hAnsi="Times New Roman" w:cs="Times New Roman"/>
          <w:sz w:val="24"/>
          <w:szCs w:val="24"/>
          <w:highlight w:val="none"/>
        </w:rPr>
        <w:t>2.项目名称：</w:t>
      </w:r>
      <w:bookmarkEnd w:id="10"/>
      <w:r>
        <w:rPr>
          <w:rFonts w:hint="eastAsia" w:ascii="Times New Roman" w:hAnsi="Times New Roman" w:cs="Times New Roman"/>
          <w:spacing w:val="20"/>
          <w:sz w:val="24"/>
          <w:szCs w:val="24"/>
          <w:highlight w:val="none"/>
          <w:u w:val="single"/>
          <w:lang w:val="en-US" w:eastAsia="zh-CN"/>
        </w:rPr>
        <w:t>合肥滨湖时光产业投资集团有限公司企业年金受托人评选项目</w:t>
      </w:r>
    </w:p>
    <w:p>
      <w:pPr>
        <w:snapToGrid w:val="0"/>
        <w:spacing w:line="360" w:lineRule="auto"/>
        <w:ind w:firstLine="480" w:firstLineChars="200"/>
        <w:rPr>
          <w:rFonts w:ascii="Times New Roman" w:hAnsi="Times New Roman" w:cs="Times New Roman"/>
          <w:sz w:val="24"/>
          <w:szCs w:val="24"/>
          <w:highlight w:val="none"/>
          <w:u w:val="single"/>
        </w:rPr>
      </w:pPr>
      <w:r>
        <w:rPr>
          <w:rFonts w:ascii="Times New Roman" w:hAnsi="Times New Roman" w:cs="Times New Roman"/>
          <w:sz w:val="24"/>
          <w:szCs w:val="24"/>
          <w:highlight w:val="none"/>
        </w:rPr>
        <w:t>3.项目地点：</w:t>
      </w:r>
      <w:r>
        <w:rPr>
          <w:rFonts w:ascii="Times New Roman" w:hAnsi="Times New Roman" w:cs="Times New Roman"/>
          <w:sz w:val="24"/>
          <w:szCs w:val="24"/>
          <w:highlight w:val="none"/>
          <w:u w:val="single"/>
        </w:rPr>
        <w:t>合肥市包河区</w:t>
      </w:r>
    </w:p>
    <w:p>
      <w:pPr>
        <w:snapToGrid w:val="0"/>
        <w:spacing w:line="360" w:lineRule="auto"/>
        <w:ind w:left="479" w:leftChars="228"/>
        <w:rPr>
          <w:rFonts w:ascii="Times New Roman" w:hAnsi="Times New Roman" w:cs="Times New Roman"/>
          <w:sz w:val="24"/>
          <w:szCs w:val="24"/>
          <w:highlight w:val="yellow"/>
          <w:u w:val="single"/>
        </w:rPr>
      </w:pPr>
      <w:r>
        <w:rPr>
          <w:rFonts w:hint="eastAsia" w:ascii="Times New Roman" w:hAnsi="Times New Roman" w:cs="Times New Roman"/>
          <w:sz w:val="24"/>
          <w:szCs w:val="24"/>
          <w:highlight w:val="yellow"/>
        </w:rPr>
        <w:t>4.项目概况：</w:t>
      </w:r>
      <w:r>
        <w:rPr>
          <w:rFonts w:hint="eastAsia" w:ascii="Times New Roman" w:hAnsi="Times New Roman" w:cs="Times New Roman"/>
          <w:spacing w:val="20"/>
          <w:sz w:val="24"/>
          <w:szCs w:val="24"/>
          <w:highlight w:val="yellow"/>
          <w:u w:val="single"/>
          <w:lang w:val="en-US" w:eastAsia="zh-CN"/>
        </w:rPr>
        <w:t>合肥滨湖时光产业投资集团有限公司企业年金受托人评选。</w:t>
      </w:r>
    </w:p>
    <w:p>
      <w:pPr>
        <w:snapToGrid w:val="0"/>
        <w:spacing w:line="360" w:lineRule="auto"/>
        <w:ind w:firstLine="480" w:firstLineChars="200"/>
        <w:rPr>
          <w:rFonts w:hint="default" w:ascii="Times New Roman" w:hAnsi="Times New Roman" w:eastAsia="宋体" w:cs="Times New Roman"/>
          <w:sz w:val="24"/>
          <w:szCs w:val="24"/>
          <w:highlight w:val="yellow"/>
          <w:u w:val="single"/>
          <w:lang w:val="en-US" w:eastAsia="zh-CN"/>
        </w:rPr>
      </w:pPr>
      <w:r>
        <w:rPr>
          <w:rFonts w:hint="eastAsia" w:ascii="Times New Roman" w:hAnsi="Times New Roman" w:cs="Times New Roman"/>
          <w:sz w:val="24"/>
          <w:szCs w:val="24"/>
          <w:highlight w:val="yellow"/>
        </w:rPr>
        <w:t>5</w:t>
      </w:r>
      <w:r>
        <w:rPr>
          <w:rFonts w:ascii="Times New Roman" w:hAnsi="Times New Roman" w:cs="Times New Roman"/>
          <w:sz w:val="24"/>
          <w:szCs w:val="24"/>
          <w:highlight w:val="yellow"/>
        </w:rPr>
        <w:t>.项目预算：</w:t>
      </w:r>
      <w:r>
        <w:rPr>
          <w:rFonts w:hint="eastAsia" w:ascii="Times New Roman" w:hAnsi="Times New Roman" w:cs="Times New Roman"/>
          <w:sz w:val="24"/>
          <w:szCs w:val="24"/>
          <w:highlight w:val="yellow"/>
          <w:u w:val="single"/>
          <w:lang w:val="en-US" w:eastAsia="zh-CN"/>
        </w:rPr>
        <w:t>15</w:t>
      </w:r>
      <w:r>
        <w:rPr>
          <w:rFonts w:ascii="Times New Roman" w:hAnsi="Times New Roman" w:cs="Times New Roman"/>
          <w:sz w:val="24"/>
          <w:szCs w:val="24"/>
          <w:highlight w:val="yellow"/>
          <w:u w:val="single"/>
        </w:rPr>
        <w:t>万元</w:t>
      </w:r>
      <w:r>
        <w:rPr>
          <w:rFonts w:hint="eastAsia" w:ascii="Times New Roman" w:hAnsi="Times New Roman" w:cs="Times New Roman"/>
          <w:sz w:val="24"/>
          <w:szCs w:val="24"/>
          <w:highlight w:val="yellow"/>
          <w:u w:val="single"/>
          <w:lang w:val="en-US" w:eastAsia="zh-CN"/>
        </w:rPr>
        <w:t>10年合同期</w:t>
      </w:r>
    </w:p>
    <w:p>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6</w:t>
      </w:r>
      <w:r>
        <w:rPr>
          <w:rFonts w:ascii="Times New Roman" w:hAnsi="Times New Roman" w:cs="Times New Roman"/>
          <w:sz w:val="24"/>
          <w:szCs w:val="24"/>
          <w:highlight w:val="none"/>
        </w:rPr>
        <w:t>.最高限价：</w:t>
      </w:r>
      <w:r>
        <w:rPr>
          <w:rFonts w:hint="eastAsia" w:ascii="Times New Roman" w:hAnsi="Times New Roman" w:cs="Times New Roman"/>
          <w:sz w:val="24"/>
          <w:szCs w:val="24"/>
          <w:highlight w:val="none"/>
          <w:u w:val="single"/>
          <w:lang w:val="en-US" w:eastAsia="zh-CN"/>
        </w:rPr>
        <w:t>15</w:t>
      </w:r>
      <w:r>
        <w:rPr>
          <w:rFonts w:ascii="Times New Roman" w:hAnsi="Times New Roman" w:cs="Times New Roman"/>
          <w:sz w:val="24"/>
          <w:szCs w:val="24"/>
          <w:highlight w:val="none"/>
          <w:u w:val="single"/>
        </w:rPr>
        <w:t>万元</w:t>
      </w:r>
    </w:p>
    <w:p>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7</w:t>
      </w:r>
      <w:r>
        <w:rPr>
          <w:rFonts w:ascii="Times New Roman" w:hAnsi="Times New Roman" w:cs="Times New Roman"/>
          <w:sz w:val="24"/>
          <w:szCs w:val="24"/>
          <w:highlight w:val="none"/>
        </w:rPr>
        <w:t>.项目类别：</w:t>
      </w:r>
      <w:r>
        <w:rPr>
          <w:rFonts w:hint="eastAsia" w:ascii="Times New Roman" w:hAnsi="Times New Roman" w:cs="Times New Roman"/>
          <w:sz w:val="24"/>
          <w:szCs w:val="24"/>
          <w:highlight w:val="none"/>
          <w:u w:val="single"/>
          <w:lang w:val="en-US" w:eastAsia="zh-CN"/>
        </w:rPr>
        <w:t>服务</w:t>
      </w:r>
      <w:r>
        <w:rPr>
          <w:rFonts w:hint="eastAsia" w:ascii="Times New Roman" w:hAnsi="Times New Roman" w:cs="Times New Roman"/>
          <w:sz w:val="24"/>
          <w:szCs w:val="24"/>
          <w:highlight w:val="none"/>
          <w:u w:val="single"/>
        </w:rPr>
        <w:t>类</w:t>
      </w:r>
    </w:p>
    <w:p>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8</w:t>
      </w:r>
      <w:r>
        <w:rPr>
          <w:rFonts w:ascii="Times New Roman" w:hAnsi="Times New Roman" w:cs="Times New Roman"/>
          <w:sz w:val="24"/>
          <w:szCs w:val="24"/>
          <w:highlight w:val="none"/>
        </w:rPr>
        <w:t>.合同履行期限：</w:t>
      </w:r>
      <w:r>
        <w:rPr>
          <w:rFonts w:ascii="Times New Roman" w:hAnsi="Times New Roman" w:cs="Times New Roman"/>
          <w:sz w:val="24"/>
          <w:szCs w:val="24"/>
          <w:highlight w:val="none"/>
          <w:u w:val="single"/>
        </w:rPr>
        <w:t>详见招标文件</w:t>
      </w:r>
    </w:p>
    <w:p>
      <w:pPr>
        <w:autoSpaceDE w:val="0"/>
        <w:autoSpaceDN w:val="0"/>
        <w:adjustRightInd w:val="0"/>
        <w:spacing w:line="360" w:lineRule="auto"/>
        <w:ind w:firstLine="436" w:firstLineChars="182"/>
        <w:jc w:val="left"/>
        <w:rPr>
          <w:rFonts w:ascii="宋体" w:hAnsi="宋体"/>
          <w:sz w:val="24"/>
          <w:szCs w:val="18"/>
          <w:highlight w:val="none"/>
          <w:u w:val="single"/>
        </w:rPr>
      </w:pPr>
      <w:r>
        <w:rPr>
          <w:rFonts w:hint="eastAsia" w:ascii="宋体" w:hAnsi="宋体"/>
          <w:sz w:val="24"/>
          <w:szCs w:val="18"/>
          <w:highlight w:val="none"/>
        </w:rPr>
        <w:t>9.标段（包别）划分：</w:t>
      </w:r>
    </w:p>
    <w:p>
      <w:pPr>
        <w:snapToGrid w:val="0"/>
        <w:spacing w:line="360" w:lineRule="auto"/>
        <w:ind w:firstLine="482" w:firstLineChars="200"/>
        <w:rPr>
          <w:rFonts w:ascii="Times New Roman" w:hAnsi="Times New Roman" w:cs="Times New Roman"/>
          <w:b/>
          <w:bCs/>
          <w:sz w:val="24"/>
          <w:szCs w:val="24"/>
          <w:highlight w:val="none"/>
        </w:rPr>
      </w:pPr>
      <w:r>
        <w:rPr>
          <w:rFonts w:ascii="Times New Roman" w:hAnsi="Times New Roman" w:cs="Times New Roman"/>
          <w:b/>
          <w:bCs/>
          <w:sz w:val="24"/>
          <w:szCs w:val="24"/>
          <w:highlight w:val="none"/>
        </w:rPr>
        <w:t>二、</w:t>
      </w:r>
      <w:r>
        <w:rPr>
          <w:rFonts w:ascii="Times New Roman" w:hAnsi="Times New Roman" w:cs="Times New Roman" w:eastAsiaTheme="minorEastAsia"/>
          <w:b/>
          <w:sz w:val="24"/>
          <w:highlight w:val="none"/>
        </w:rPr>
        <w:t>投标人</w:t>
      </w:r>
      <w:r>
        <w:rPr>
          <w:rFonts w:ascii="Times New Roman" w:hAnsi="Times New Roman" w:cs="Times New Roman"/>
          <w:b/>
          <w:bCs/>
          <w:sz w:val="24"/>
          <w:szCs w:val="18"/>
          <w:highlight w:val="none"/>
        </w:rPr>
        <w:t>资格</w:t>
      </w:r>
    </w:p>
    <w:p>
      <w:pPr>
        <w:pStyle w:val="3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6" w:afterAutospacing="0" w:line="496" w:lineRule="atLeast"/>
        <w:ind w:left="0" w:right="0" w:firstLine="420"/>
        <w:jc w:val="left"/>
        <w:rPr>
          <w:rFonts w:hint="eastAsia" w:ascii="宋体" w:hAnsi="宋体" w:eastAsia="宋体" w:cs="宋体"/>
          <w:i w:val="0"/>
          <w:iCs w:val="0"/>
          <w:caps w:val="0"/>
          <w:color w:val="333333"/>
          <w:spacing w:val="0"/>
          <w:sz w:val="24"/>
          <w:szCs w:val="24"/>
          <w:highlight w:val="yellow"/>
        </w:rPr>
      </w:pPr>
      <w:r>
        <w:rPr>
          <w:rFonts w:hint="eastAsia" w:ascii="宋体" w:hAnsi="宋体" w:eastAsia="宋体" w:cs="宋体"/>
          <w:i w:val="0"/>
          <w:iCs w:val="0"/>
          <w:caps w:val="0"/>
          <w:color w:val="333333"/>
          <w:spacing w:val="0"/>
          <w:sz w:val="24"/>
          <w:szCs w:val="24"/>
          <w:highlight w:val="yellow"/>
        </w:rPr>
        <w:t>1、具有人力资源和社会保障部颁发的企业年金基金管理机构资格证书且资格类型为受托人的企业或其分支机构。投标人是分支机构的，须提供具有企业年金基金管理机构资格且资格类型为受托人的总（母）公司授权书；</w:t>
      </w:r>
    </w:p>
    <w:p>
      <w:pPr>
        <w:pStyle w:val="3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6" w:afterAutospacing="0" w:line="496" w:lineRule="atLeast"/>
        <w:ind w:left="0" w:right="0" w:firstLine="420"/>
        <w:jc w:val="left"/>
        <w:rPr>
          <w:rFonts w:hint="eastAsia" w:ascii="宋体" w:hAnsi="宋体" w:eastAsia="宋体" w:cs="宋体"/>
          <w:i w:val="0"/>
          <w:iCs w:val="0"/>
          <w:caps w:val="0"/>
          <w:color w:val="333333"/>
          <w:spacing w:val="0"/>
          <w:sz w:val="24"/>
          <w:szCs w:val="24"/>
          <w:highlight w:val="yellow"/>
        </w:rPr>
      </w:pPr>
      <w:r>
        <w:rPr>
          <w:rFonts w:hint="eastAsia" w:ascii="宋体" w:hAnsi="宋体" w:eastAsia="宋体" w:cs="宋体"/>
          <w:i w:val="0"/>
          <w:iCs w:val="0"/>
          <w:caps w:val="0"/>
          <w:color w:val="333333"/>
          <w:spacing w:val="0"/>
          <w:sz w:val="24"/>
          <w:szCs w:val="24"/>
          <w:highlight w:val="yellow"/>
        </w:rPr>
        <w:t>2、本项目不接受联合体投标；</w:t>
      </w:r>
    </w:p>
    <w:p>
      <w:pPr>
        <w:pStyle w:val="3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6" w:afterAutospacing="0" w:line="496"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3、投标人存在以下不良信用记录情形之一的，不得推荐为中标候选人，不得确定为中标人：</w:t>
      </w:r>
    </w:p>
    <w:p>
      <w:pPr>
        <w:pStyle w:val="3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6" w:afterAutospacing="0" w:line="496"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（1）投标人被人民法院列入失信被执行人的；</w:t>
      </w:r>
    </w:p>
    <w:p>
      <w:pPr>
        <w:pStyle w:val="3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6" w:afterAutospacing="0" w:line="496"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（2）投标人或其法定代表人或拟派项目经理（项目负责人）被人民检察院列入行贿犯罪档案的；</w:t>
      </w:r>
    </w:p>
    <w:p>
      <w:pPr>
        <w:pStyle w:val="3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6" w:afterAutospacing="0" w:line="496"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（3）投标人被工商行政管理部门列入企业经营异常名录的；</w:t>
      </w:r>
    </w:p>
    <w:p>
      <w:pPr>
        <w:pStyle w:val="3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6" w:afterAutospacing="0" w:line="496"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（4）投标人被税务部门列入重大税收违法案件当事人名单的。</w:t>
      </w:r>
    </w:p>
    <w:p>
      <w:pPr>
        <w:spacing w:line="360" w:lineRule="auto"/>
        <w:ind w:firstLine="435"/>
        <w:rPr>
          <w:rFonts w:hint="eastAsia" w:ascii="宋体" w:hAnsi="宋体"/>
          <w:sz w:val="24"/>
          <w:szCs w:val="18"/>
        </w:rPr>
      </w:pPr>
    </w:p>
    <w:p>
      <w:pPr>
        <w:snapToGrid w:val="0"/>
        <w:spacing w:line="360"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三、获取招标文件方式</w:t>
      </w:r>
    </w:p>
    <w:p>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1.获取时间：</w:t>
      </w:r>
      <w:r>
        <w:rPr>
          <w:rFonts w:ascii="Times New Roman" w:hAnsi="Times New Roman" w:cs="Times New Roman"/>
          <w:sz w:val="24"/>
          <w:szCs w:val="24"/>
          <w:u w:val="single"/>
        </w:rPr>
        <w:t>202</w:t>
      </w:r>
      <w:r>
        <w:rPr>
          <w:rFonts w:hint="eastAsia" w:ascii="Times New Roman" w:hAnsi="Times New Roman" w:cs="Times New Roman"/>
          <w:sz w:val="24"/>
          <w:szCs w:val="24"/>
          <w:u w:val="single"/>
          <w:lang w:val="en-US" w:eastAsia="zh-CN"/>
        </w:rPr>
        <w:t>4</w:t>
      </w:r>
      <w:r>
        <w:rPr>
          <w:rFonts w:ascii="Times New Roman" w:hAnsi="Times New Roman" w:cs="Times New Roman"/>
          <w:sz w:val="24"/>
          <w:szCs w:val="24"/>
          <w:u w:val="single"/>
        </w:rPr>
        <w:t xml:space="preserve">年 </w:t>
      </w:r>
      <w:r>
        <w:rPr>
          <w:rFonts w:hint="eastAsia" w:ascii="Times New Roman" w:hAnsi="Times New Roman" w:cs="Times New Roman"/>
          <w:sz w:val="24"/>
          <w:szCs w:val="24"/>
          <w:u w:val="single"/>
          <w:lang w:val="en-US" w:eastAsia="zh-CN"/>
        </w:rPr>
        <w:t>9</w:t>
      </w:r>
      <w:r>
        <w:rPr>
          <w:rFonts w:ascii="Times New Roman" w:hAnsi="Times New Roman" w:cs="Times New Roman"/>
          <w:sz w:val="24"/>
          <w:szCs w:val="24"/>
          <w:u w:val="single"/>
        </w:rPr>
        <w:t>月</w:t>
      </w:r>
      <w:r>
        <w:rPr>
          <w:rFonts w:hint="eastAsia" w:ascii="Times New Roman" w:hAnsi="Times New Roman" w:cs="Times New Roman"/>
          <w:sz w:val="24"/>
          <w:szCs w:val="24"/>
          <w:u w:val="single"/>
          <w:lang w:val="en-US" w:eastAsia="zh-CN"/>
        </w:rPr>
        <w:t>1</w:t>
      </w:r>
      <w:r>
        <w:rPr>
          <w:rFonts w:ascii="Times New Roman" w:hAnsi="Times New Roman" w:cs="Times New Roman"/>
          <w:sz w:val="24"/>
          <w:szCs w:val="24"/>
          <w:u w:val="single"/>
        </w:rPr>
        <w:t>日至202</w:t>
      </w:r>
      <w:r>
        <w:rPr>
          <w:rFonts w:hint="eastAsia" w:ascii="Times New Roman" w:hAnsi="Times New Roman" w:cs="Times New Roman"/>
          <w:sz w:val="24"/>
          <w:szCs w:val="24"/>
          <w:u w:val="single"/>
          <w:lang w:val="en-US" w:eastAsia="zh-CN"/>
        </w:rPr>
        <w:t>4</w:t>
      </w:r>
      <w:r>
        <w:rPr>
          <w:rFonts w:ascii="Times New Roman" w:hAnsi="Times New Roman" w:cs="Times New Roman"/>
          <w:sz w:val="24"/>
          <w:szCs w:val="24"/>
          <w:u w:val="single"/>
        </w:rPr>
        <w:t>年</w:t>
      </w:r>
      <w:r>
        <w:rPr>
          <w:rFonts w:hint="eastAsia" w:ascii="Times New Roman" w:hAnsi="Times New Roman" w:cs="Times New Roman"/>
          <w:sz w:val="24"/>
          <w:szCs w:val="24"/>
          <w:u w:val="single"/>
          <w:lang w:val="en-US" w:eastAsia="zh-CN"/>
        </w:rPr>
        <w:t>9</w:t>
      </w:r>
      <w:r>
        <w:rPr>
          <w:rFonts w:ascii="Times New Roman" w:hAnsi="Times New Roman" w:cs="Times New Roman"/>
          <w:sz w:val="24"/>
          <w:szCs w:val="24"/>
          <w:u w:val="single"/>
        </w:rPr>
        <w:t>月</w:t>
      </w:r>
      <w:r>
        <w:rPr>
          <w:rFonts w:hint="eastAsia" w:ascii="Times New Roman" w:hAnsi="Times New Roman" w:cs="Times New Roman"/>
          <w:sz w:val="24"/>
          <w:szCs w:val="24"/>
          <w:u w:val="single"/>
          <w:lang w:val="en-US" w:eastAsia="zh-CN"/>
        </w:rPr>
        <w:t>12</w:t>
      </w:r>
      <w:r>
        <w:rPr>
          <w:rFonts w:ascii="Times New Roman" w:hAnsi="Times New Roman" w:cs="Times New Roman"/>
          <w:sz w:val="24"/>
          <w:szCs w:val="24"/>
          <w:u w:val="single"/>
        </w:rPr>
        <w:t>日</w:t>
      </w:r>
    </w:p>
    <w:p>
      <w:pPr>
        <w:snapToGrid w:val="0"/>
        <w:spacing w:line="360" w:lineRule="auto"/>
        <w:ind w:firstLine="480" w:firstLineChars="200"/>
        <w:jc w:val="left"/>
        <w:rPr>
          <w:rFonts w:ascii="Times New Roman" w:hAnsi="Times New Roman" w:cs="Times New Roman"/>
          <w:sz w:val="24"/>
          <w:szCs w:val="24"/>
          <w:shd w:val="clear" w:color="auto" w:fill="FFFFFF"/>
        </w:rPr>
      </w:pPr>
      <w:r>
        <w:rPr>
          <w:rFonts w:ascii="Times New Roman" w:hAnsi="Times New Roman" w:cs="Times New Roman"/>
          <w:sz w:val="24"/>
          <w:szCs w:val="24"/>
        </w:rPr>
        <w:t>2.获取方式：登录</w:t>
      </w:r>
      <w:r>
        <w:rPr>
          <w:rFonts w:hint="eastAsia" w:ascii="Times New Roman" w:hAnsi="Times New Roman" w:cs="Times New Roman"/>
          <w:sz w:val="24"/>
          <w:szCs w:val="24"/>
          <w:u w:val="single"/>
          <w:lang w:eastAsia="zh-CN"/>
        </w:rPr>
        <w:t>合肥滨湖时光产业投资集团有限公司</w:t>
      </w:r>
      <w:r>
        <w:rPr>
          <w:rFonts w:ascii="Times New Roman" w:hAnsi="Times New Roman" w:cs="Times New Roman"/>
          <w:sz w:val="24"/>
          <w:szCs w:val="24"/>
          <w:u w:val="single"/>
        </w:rPr>
        <w:t>官方网站</w:t>
      </w:r>
      <w:r>
        <w:rPr>
          <w:rFonts w:hint="eastAsia" w:ascii="Times New Roman" w:hAnsi="Times New Roman" w:cs="Times New Roman"/>
          <w:sz w:val="24"/>
          <w:szCs w:val="24"/>
          <w:u w:val="single"/>
          <w:lang w:eastAsia="zh-CN"/>
        </w:rPr>
        <w:t>http://bhsggroup.cn/</w:t>
      </w:r>
      <w:r>
        <w:rPr>
          <w:rFonts w:ascii="Times New Roman" w:hAnsi="Times New Roman" w:cs="Times New Roman"/>
          <w:sz w:val="24"/>
          <w:szCs w:val="24"/>
          <w:shd w:val="clear" w:color="auto" w:fill="FFFFFF"/>
        </w:rPr>
        <w:t>并下载招标文件及相关附件。在投标截止时间前，将投标文件密封提交（或快递）至项目联系人处即可。</w:t>
      </w:r>
    </w:p>
    <w:p>
      <w:pPr>
        <w:snapToGrid w:val="0"/>
        <w:spacing w:line="360"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四、</w:t>
      </w:r>
      <w:r>
        <w:rPr>
          <w:rFonts w:hint="eastAsia" w:ascii="宋体" w:hAnsi="宋体" w:cs="宋体"/>
          <w:b/>
          <w:bCs/>
          <w:sz w:val="24"/>
          <w:szCs w:val="24"/>
        </w:rPr>
        <w:t>提交投标文件截止时间、开标时间和地点</w:t>
      </w:r>
    </w:p>
    <w:p>
      <w:pPr>
        <w:snapToGrid w:val="0"/>
        <w:spacing w:line="360" w:lineRule="auto"/>
        <w:ind w:firstLine="480" w:firstLineChars="200"/>
        <w:rPr>
          <w:rFonts w:ascii="Times New Roman" w:hAnsi="Times New Roman" w:cs="Times New Roman"/>
          <w:b/>
          <w:bCs/>
          <w:sz w:val="24"/>
          <w:szCs w:val="24"/>
        </w:rPr>
      </w:pPr>
      <w:r>
        <w:rPr>
          <w:rFonts w:ascii="Times New Roman" w:hAnsi="Times New Roman" w:cs="Times New Roman"/>
          <w:sz w:val="24"/>
          <w:szCs w:val="24"/>
        </w:rPr>
        <w:t>1.投标文件提交截止时间：</w:t>
      </w:r>
      <w:r>
        <w:rPr>
          <w:rFonts w:ascii="Times New Roman" w:hAnsi="Times New Roman" w:cs="Times New Roman"/>
          <w:sz w:val="24"/>
          <w:szCs w:val="24"/>
          <w:u w:val="single"/>
        </w:rPr>
        <w:t>202</w:t>
      </w:r>
      <w:r>
        <w:rPr>
          <w:rFonts w:hint="eastAsia" w:ascii="Times New Roman" w:hAnsi="Times New Roman" w:cs="Times New Roman"/>
          <w:sz w:val="24"/>
          <w:szCs w:val="24"/>
          <w:u w:val="single"/>
          <w:lang w:val="en-US" w:eastAsia="zh-CN"/>
        </w:rPr>
        <w:t>4</w:t>
      </w:r>
      <w:r>
        <w:rPr>
          <w:rFonts w:ascii="Times New Roman" w:hAnsi="Times New Roman" w:cs="Times New Roman"/>
          <w:sz w:val="24"/>
          <w:szCs w:val="24"/>
          <w:u w:val="single"/>
        </w:rPr>
        <w:t>年</w:t>
      </w:r>
      <w:r>
        <w:rPr>
          <w:rFonts w:hint="eastAsia" w:ascii="Times New Roman" w:hAnsi="Times New Roman" w:cs="Times New Roman"/>
          <w:sz w:val="24"/>
          <w:szCs w:val="24"/>
          <w:u w:val="single"/>
          <w:lang w:val="en-US" w:eastAsia="zh-CN"/>
        </w:rPr>
        <w:t>9</w:t>
      </w:r>
      <w:r>
        <w:rPr>
          <w:rFonts w:ascii="Times New Roman" w:hAnsi="Times New Roman" w:cs="Times New Roman"/>
          <w:sz w:val="24"/>
          <w:szCs w:val="24"/>
          <w:u w:val="single"/>
        </w:rPr>
        <w:t>月</w:t>
      </w:r>
      <w:r>
        <w:rPr>
          <w:rFonts w:hint="eastAsia" w:ascii="Times New Roman" w:hAnsi="Times New Roman" w:cs="Times New Roman"/>
          <w:sz w:val="24"/>
          <w:szCs w:val="24"/>
          <w:u w:val="single"/>
          <w:lang w:val="en-US" w:eastAsia="zh-CN"/>
        </w:rPr>
        <w:t>12</w:t>
      </w:r>
      <w:r>
        <w:rPr>
          <w:rFonts w:ascii="Times New Roman" w:hAnsi="Times New Roman" w:cs="Times New Roman"/>
          <w:sz w:val="24"/>
          <w:szCs w:val="24"/>
          <w:u w:val="single"/>
        </w:rPr>
        <w:t>日</w:t>
      </w:r>
      <w:r>
        <w:rPr>
          <w:rFonts w:hint="eastAsia" w:ascii="Times New Roman" w:hAnsi="Times New Roman" w:cs="Times New Roman"/>
          <w:sz w:val="24"/>
          <w:szCs w:val="24"/>
          <w:u w:val="single"/>
        </w:rPr>
        <w:t>9</w:t>
      </w:r>
      <w:r>
        <w:rPr>
          <w:rFonts w:ascii="Times New Roman" w:hAnsi="Times New Roman" w:cs="Times New Roman"/>
          <w:sz w:val="24"/>
          <w:szCs w:val="24"/>
          <w:u w:val="single"/>
        </w:rPr>
        <w:t xml:space="preserve">时 </w:t>
      </w:r>
      <w:r>
        <w:rPr>
          <w:rFonts w:hint="eastAsia" w:ascii="Times New Roman" w:hAnsi="Times New Roman" w:cs="Times New Roman"/>
          <w:sz w:val="24"/>
          <w:szCs w:val="24"/>
          <w:u w:val="single"/>
        </w:rPr>
        <w:t>30</w:t>
      </w:r>
      <w:r>
        <w:rPr>
          <w:rFonts w:ascii="Times New Roman" w:hAnsi="Times New Roman" w:cs="Times New Roman"/>
          <w:sz w:val="24"/>
          <w:szCs w:val="24"/>
          <w:u w:val="single"/>
        </w:rPr>
        <w:t xml:space="preserve"> 分</w:t>
      </w:r>
      <w:r>
        <w:rPr>
          <w:rFonts w:hint="eastAsia" w:ascii="Times New Roman" w:hAnsi="Times New Roman" w:cs="Times New Roman"/>
          <w:sz w:val="24"/>
          <w:szCs w:val="24"/>
          <w:u w:val="single"/>
        </w:rPr>
        <w:t xml:space="preserve"> </w:t>
      </w:r>
    </w:p>
    <w:p>
      <w:pPr>
        <w:snapToGrid w:val="0"/>
        <w:spacing w:line="360" w:lineRule="auto"/>
        <w:ind w:firstLine="480" w:firstLineChars="200"/>
        <w:rPr>
          <w:rFonts w:ascii="Times New Roman" w:hAnsi="Times New Roman" w:cs="Times New Roman"/>
          <w:b/>
          <w:bCs/>
          <w:sz w:val="24"/>
          <w:szCs w:val="24"/>
          <w:u w:val="single"/>
        </w:rPr>
      </w:pPr>
      <w:r>
        <w:rPr>
          <w:rFonts w:ascii="Times New Roman" w:hAnsi="Times New Roman" w:cs="Times New Roman"/>
          <w:sz w:val="24"/>
          <w:szCs w:val="24"/>
        </w:rPr>
        <w:t>2.投标文件提交地点：</w:t>
      </w:r>
      <w:r>
        <w:rPr>
          <w:rFonts w:hint="eastAsia" w:ascii="宋体" w:hAnsi="宋体" w:cs="宋体"/>
          <w:sz w:val="24"/>
          <w:szCs w:val="24"/>
        </w:rPr>
        <w:t>合肥市包河区滨湖卓越城文华园一期A2楼</w:t>
      </w:r>
      <w:r>
        <w:rPr>
          <w:rFonts w:hint="eastAsia" w:ascii="宋体" w:hAnsi="宋体" w:cs="宋体"/>
          <w:sz w:val="24"/>
          <w:szCs w:val="24"/>
          <w:lang w:val="en-US" w:eastAsia="zh-CN"/>
        </w:rPr>
        <w:t>4</w:t>
      </w:r>
      <w:r>
        <w:rPr>
          <w:rFonts w:hint="eastAsia" w:ascii="宋体" w:hAnsi="宋体" w:cs="宋体"/>
          <w:sz w:val="24"/>
          <w:szCs w:val="24"/>
        </w:rPr>
        <w:t>层</w:t>
      </w:r>
    </w:p>
    <w:p>
      <w:pPr>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五、开标时间：同</w:t>
      </w:r>
      <w:r>
        <w:rPr>
          <w:rFonts w:ascii="宋体" w:hAnsi="宋体" w:cs="宋体"/>
          <w:b/>
          <w:bCs/>
          <w:sz w:val="24"/>
          <w:szCs w:val="24"/>
        </w:rPr>
        <w:t>投标文件提交截止时间</w:t>
      </w:r>
    </w:p>
    <w:p>
      <w:pPr>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六</w:t>
      </w:r>
      <w:r>
        <w:rPr>
          <w:rFonts w:ascii="宋体" w:hAnsi="宋体" w:cs="宋体"/>
          <w:b/>
          <w:bCs/>
          <w:sz w:val="24"/>
          <w:szCs w:val="24"/>
        </w:rPr>
        <w:t>、公告期限</w:t>
      </w:r>
    </w:p>
    <w:p>
      <w:pPr>
        <w:snapToGrid w:val="0"/>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自本公告发布之日起</w:t>
      </w:r>
      <w:r>
        <w:rPr>
          <w:rFonts w:hint="eastAsia" w:ascii="Times New Roman" w:hAnsi="Times New Roman" w:cs="Times New Roman"/>
          <w:b/>
          <w:bCs/>
          <w:szCs w:val="21"/>
        </w:rPr>
        <w:t>5</w:t>
      </w:r>
      <w:r>
        <w:rPr>
          <w:rFonts w:ascii="Times New Roman" w:hAnsi="Times New Roman" w:cs="Times New Roman"/>
          <w:b/>
          <w:bCs/>
          <w:szCs w:val="21"/>
        </w:rPr>
        <w:t>个工作日内。</w:t>
      </w:r>
    </w:p>
    <w:p>
      <w:pPr>
        <w:snapToGrid w:val="0"/>
        <w:spacing w:line="360" w:lineRule="auto"/>
        <w:ind w:firstLine="482" w:firstLineChars="200"/>
        <w:rPr>
          <w:rFonts w:ascii="宋体" w:hAnsi="宋体" w:cs="宋体"/>
          <w:b/>
          <w:bCs/>
          <w:sz w:val="24"/>
          <w:szCs w:val="24"/>
          <w:highlight w:val="yellow"/>
        </w:rPr>
      </w:pPr>
      <w:r>
        <w:rPr>
          <w:rFonts w:hint="eastAsia" w:ascii="宋体" w:hAnsi="宋体" w:cs="宋体"/>
          <w:b/>
          <w:bCs/>
          <w:sz w:val="24"/>
          <w:szCs w:val="24"/>
          <w:highlight w:val="yellow"/>
        </w:rPr>
        <w:t>七</w:t>
      </w:r>
      <w:r>
        <w:rPr>
          <w:rFonts w:ascii="宋体" w:hAnsi="宋体" w:cs="宋体"/>
          <w:b/>
          <w:bCs/>
          <w:sz w:val="24"/>
          <w:szCs w:val="24"/>
          <w:highlight w:val="yellow"/>
        </w:rPr>
        <w:t>、其他补充事宜</w:t>
      </w:r>
    </w:p>
    <w:p>
      <w:pPr>
        <w:snapToGrid w:val="0"/>
        <w:spacing w:line="360" w:lineRule="auto"/>
        <w:ind w:firstLine="480" w:firstLineChars="200"/>
        <w:rPr>
          <w:rFonts w:hint="default" w:ascii="Times New Roman" w:hAnsi="Times New Roman" w:eastAsia="宋体" w:cs="Times New Roman"/>
          <w:sz w:val="24"/>
          <w:szCs w:val="24"/>
          <w:highlight w:val="yellow"/>
          <w:lang w:val="en-US" w:eastAsia="zh-CN"/>
        </w:rPr>
      </w:pPr>
      <w:r>
        <w:rPr>
          <w:rFonts w:ascii="Times New Roman" w:hAnsi="Times New Roman" w:cs="Times New Roman"/>
          <w:sz w:val="24"/>
          <w:szCs w:val="24"/>
          <w:highlight w:val="yellow"/>
        </w:rPr>
        <w:t>1.</w:t>
      </w:r>
      <w:r>
        <w:rPr>
          <w:rFonts w:hint="eastAsia" w:ascii="Times New Roman" w:hAnsi="Times New Roman" w:cs="Times New Roman"/>
          <w:sz w:val="24"/>
          <w:szCs w:val="24"/>
          <w:highlight w:val="yellow"/>
          <w:lang w:val="en-US" w:eastAsia="zh-CN"/>
        </w:rPr>
        <w:t>合肥滨湖时光产业投资集团有限公司下属全资子公司和控股子公司，如有企业年金受托人评选需求，可直接选取此次中标投标人，由子公司与中标投标人直接签订合同。</w:t>
      </w:r>
    </w:p>
    <w:p>
      <w:pPr>
        <w:snapToGrid w:val="0"/>
        <w:spacing w:line="360" w:lineRule="auto"/>
        <w:ind w:firstLine="482" w:firstLineChars="200"/>
        <w:rPr>
          <w:rFonts w:ascii="Times New Roman" w:hAnsi="Times New Roman" w:cs="Times New Roman"/>
          <w:b/>
          <w:bCs/>
          <w:sz w:val="24"/>
          <w:szCs w:val="24"/>
        </w:rPr>
      </w:pPr>
      <w:r>
        <w:rPr>
          <w:rFonts w:hint="eastAsia" w:ascii="Times New Roman" w:hAnsi="Times New Roman" w:cs="Times New Roman"/>
          <w:b/>
          <w:bCs/>
          <w:sz w:val="24"/>
          <w:szCs w:val="24"/>
        </w:rPr>
        <w:t>八</w:t>
      </w:r>
      <w:r>
        <w:rPr>
          <w:rFonts w:ascii="Times New Roman" w:hAnsi="Times New Roman" w:cs="Times New Roman"/>
          <w:b/>
          <w:bCs/>
          <w:sz w:val="24"/>
          <w:szCs w:val="24"/>
        </w:rPr>
        <w:t>、对本次招标提出询问，请按以下方式联系。</w:t>
      </w:r>
    </w:p>
    <w:bookmarkEnd w:id="2"/>
    <w:bookmarkEnd w:id="3"/>
    <w:bookmarkEnd w:id="4"/>
    <w:bookmarkEnd w:id="5"/>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1.招标人信息</w:t>
      </w:r>
    </w:p>
    <w:p>
      <w:pPr>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名称：</w:t>
      </w:r>
      <w:r>
        <w:rPr>
          <w:rFonts w:hint="eastAsia" w:ascii="宋体" w:hAnsi="宋体" w:cs="宋体"/>
          <w:sz w:val="24"/>
          <w:szCs w:val="24"/>
          <w:u w:val="single"/>
        </w:rPr>
        <w:t xml:space="preserve"> </w:t>
      </w:r>
      <w:r>
        <w:rPr>
          <w:rFonts w:hint="eastAsia" w:ascii="宋体" w:hAnsi="宋体" w:cs="宋体"/>
          <w:sz w:val="24"/>
          <w:szCs w:val="24"/>
          <w:u w:val="single"/>
          <w:lang w:eastAsia="zh-CN"/>
        </w:rPr>
        <w:t>合肥滨湖时光</w:t>
      </w:r>
      <w:r>
        <w:rPr>
          <w:rFonts w:hint="eastAsia" w:ascii="宋体" w:hAnsi="宋体" w:cs="宋体"/>
          <w:sz w:val="24"/>
          <w:szCs w:val="24"/>
          <w:u w:val="single"/>
          <w:lang w:val="en-US" w:eastAsia="zh-CN"/>
        </w:rPr>
        <w:t>产业投资集团有限公司</w:t>
      </w:r>
    </w:p>
    <w:p>
      <w:pPr>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地址：</w:t>
      </w:r>
      <w:r>
        <w:rPr>
          <w:rFonts w:hint="eastAsia" w:ascii="宋体" w:hAnsi="宋体" w:cs="宋体"/>
          <w:sz w:val="24"/>
          <w:szCs w:val="24"/>
          <w:u w:val="single"/>
        </w:rPr>
        <w:t xml:space="preserve"> 合肥市包河区滨湖卓越城文华园一期A2楼</w:t>
      </w:r>
      <w:r>
        <w:rPr>
          <w:rFonts w:hint="eastAsia" w:ascii="宋体" w:hAnsi="宋体" w:cs="宋体"/>
          <w:sz w:val="24"/>
          <w:szCs w:val="24"/>
          <w:u w:val="single"/>
          <w:lang w:val="en-US" w:eastAsia="zh-CN"/>
        </w:rPr>
        <w:t>4</w:t>
      </w:r>
      <w:r>
        <w:rPr>
          <w:rFonts w:hint="eastAsia" w:ascii="宋体" w:hAnsi="宋体" w:cs="宋体"/>
          <w:sz w:val="24"/>
          <w:szCs w:val="24"/>
          <w:u w:val="single"/>
        </w:rPr>
        <w:t xml:space="preserve">层 </w:t>
      </w:r>
    </w:p>
    <w:p>
      <w:pPr>
        <w:pStyle w:val="40"/>
        <w:ind w:left="0" w:leftChars="0" w:firstLine="480"/>
        <w:rPr>
          <w:rFonts w:ascii="宋体" w:hAnsi="宋体" w:cs="宋体"/>
          <w:sz w:val="24"/>
          <w:szCs w:val="24"/>
          <w:u w:val="single"/>
        </w:rPr>
      </w:pPr>
      <w:r>
        <w:rPr>
          <w:rFonts w:hint="eastAsia" w:ascii="宋体" w:hAnsi="宋体" w:cs="宋体"/>
          <w:sz w:val="24"/>
          <w:szCs w:val="24"/>
          <w:u w:val="single"/>
        </w:rPr>
        <w:t>开户行及账号：徽商银行合肥濉溪路支行</w:t>
      </w:r>
    </w:p>
    <w:p>
      <w:pPr>
        <w:pStyle w:val="40"/>
        <w:ind w:left="0" w:leftChars="0" w:firstLine="480"/>
        <w:rPr>
          <w:rFonts w:ascii="宋体" w:hAnsi="宋体" w:cs="宋体"/>
          <w:sz w:val="24"/>
          <w:szCs w:val="24"/>
          <w:u w:val="single"/>
        </w:rPr>
      </w:pPr>
      <w:r>
        <w:rPr>
          <w:rFonts w:hint="eastAsia" w:ascii="宋体" w:hAnsi="宋体" w:cs="宋体"/>
          <w:sz w:val="24"/>
          <w:szCs w:val="24"/>
          <w:u w:val="single"/>
        </w:rPr>
        <w:t>2250 1339 8801 0000 0201</w:t>
      </w:r>
    </w:p>
    <w:p>
      <w:pPr>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2.项目联系方式</w:t>
      </w:r>
    </w:p>
    <w:p>
      <w:pPr>
        <w:pStyle w:val="21"/>
        <w:snapToGrid w:val="0"/>
        <w:spacing w:line="360" w:lineRule="auto"/>
        <w:ind w:firstLine="480" w:firstLineChars="200"/>
        <w:rPr>
          <w:rFonts w:hAnsi="宋体" w:cs="宋体"/>
          <w:sz w:val="24"/>
          <w:szCs w:val="24"/>
        </w:rPr>
      </w:pPr>
      <w:r>
        <w:rPr>
          <w:rFonts w:hint="eastAsia" w:hAnsi="宋体" w:cs="宋体"/>
          <w:sz w:val="24"/>
          <w:szCs w:val="24"/>
        </w:rPr>
        <w:t>项目联系人：</w:t>
      </w:r>
      <w:r>
        <w:rPr>
          <w:rFonts w:hint="eastAsia" w:hAnsi="宋体" w:cs="宋体"/>
          <w:sz w:val="24"/>
          <w:szCs w:val="24"/>
          <w:u w:val="single"/>
        </w:rPr>
        <w:t xml:space="preserve">            </w:t>
      </w:r>
      <w:r>
        <w:rPr>
          <w:rFonts w:hint="eastAsia" w:hAnsi="宋体" w:cs="宋体"/>
          <w:sz w:val="24"/>
          <w:szCs w:val="24"/>
          <w:u w:val="single"/>
          <w:lang w:val="en-US" w:eastAsia="zh-CN"/>
        </w:rPr>
        <w:t>丁宁</w:t>
      </w:r>
      <w:r>
        <w:rPr>
          <w:rFonts w:hint="eastAsia" w:hAnsi="宋体" w:cs="宋体"/>
          <w:sz w:val="24"/>
          <w:szCs w:val="24"/>
          <w:u w:val="single"/>
        </w:rPr>
        <w:t xml:space="preserve">         </w:t>
      </w:r>
    </w:p>
    <w:p>
      <w:pPr>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联系电话：</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13436789626</w:t>
      </w:r>
      <w:r>
        <w:rPr>
          <w:rFonts w:hint="eastAsia" w:ascii="宋体" w:hAnsi="宋体" w:cs="宋体"/>
          <w:sz w:val="24"/>
          <w:szCs w:val="24"/>
          <w:u w:val="single"/>
        </w:rPr>
        <w:t xml:space="preserve">     </w:t>
      </w:r>
    </w:p>
    <w:p>
      <w:pPr>
        <w:pStyle w:val="60"/>
        <w:widowControl w:val="0"/>
        <w:autoSpaceDE w:val="0"/>
        <w:autoSpaceDN w:val="0"/>
        <w:adjustRightInd w:val="0"/>
        <w:spacing w:before="0" w:after="0" w:line="360" w:lineRule="auto"/>
        <w:rPr>
          <w:rFonts w:ascii="Times New Roman" w:hAnsi="Times New Roman" w:cs="Times New Roman"/>
          <w:kern w:val="2"/>
          <w:szCs w:val="18"/>
        </w:rPr>
      </w:pPr>
    </w:p>
    <w:p>
      <w:pPr>
        <w:autoSpaceDE w:val="0"/>
        <w:autoSpaceDN w:val="0"/>
        <w:adjustRightInd w:val="0"/>
        <w:spacing w:line="360" w:lineRule="auto"/>
        <w:ind w:firstLine="434" w:firstLineChars="181"/>
        <w:jc w:val="right"/>
        <w:rPr>
          <w:rFonts w:ascii="Times New Roman" w:hAnsi="Times New Roman" w:cs="Times New Roman"/>
          <w:bCs/>
          <w:sz w:val="24"/>
          <w:szCs w:val="18"/>
        </w:rPr>
      </w:pPr>
      <w:r>
        <w:rPr>
          <w:rFonts w:ascii="Times New Roman" w:hAnsi="Times New Roman" w:cs="Times New Roman"/>
          <w:bCs/>
          <w:sz w:val="24"/>
          <w:szCs w:val="18"/>
        </w:rPr>
        <w:br w:type="page"/>
      </w:r>
    </w:p>
    <w:p>
      <w:pPr>
        <w:spacing w:line="360" w:lineRule="auto"/>
        <w:jc w:val="center"/>
        <w:outlineLvl w:val="1"/>
        <w:rPr>
          <w:rFonts w:ascii="Times New Roman" w:hAnsi="Times New Roman" w:cs="Times New Roman"/>
          <w:b/>
          <w:sz w:val="28"/>
        </w:rPr>
      </w:pPr>
      <w:bookmarkStart w:id="11" w:name="_Toc19060"/>
      <w:bookmarkStart w:id="12" w:name="_Toc31897"/>
      <w:r>
        <w:rPr>
          <w:rFonts w:ascii="Times New Roman" w:hAnsi="Times New Roman" w:cs="Times New Roman"/>
          <w:b/>
          <w:sz w:val="28"/>
        </w:rPr>
        <w:t>第二章  投标人须知</w:t>
      </w:r>
      <w:bookmarkEnd w:id="11"/>
      <w:bookmarkEnd w:id="12"/>
    </w:p>
    <w:p>
      <w:pPr>
        <w:spacing w:line="360" w:lineRule="auto"/>
        <w:jc w:val="center"/>
        <w:outlineLvl w:val="2"/>
        <w:rPr>
          <w:rFonts w:ascii="Times New Roman" w:hAnsi="Times New Roman" w:cs="Times New Roman"/>
          <w:b/>
          <w:sz w:val="24"/>
        </w:rPr>
      </w:pPr>
      <w:r>
        <w:rPr>
          <w:rFonts w:ascii="Times New Roman" w:hAnsi="Times New Roman" w:cs="Times New Roman"/>
          <w:b/>
          <w:sz w:val="24"/>
        </w:rPr>
        <w:t>一、投标人须知前附表</w:t>
      </w:r>
    </w:p>
    <w:p>
      <w:pPr>
        <w:spacing w:line="360" w:lineRule="auto"/>
        <w:ind w:firstLine="435"/>
        <w:rPr>
          <w:rFonts w:ascii="Times New Roman" w:hAnsi="Times New Roman" w:cs="Times New Roman"/>
          <w:sz w:val="24"/>
          <w:szCs w:val="18"/>
        </w:rPr>
      </w:pPr>
      <w:r>
        <w:rPr>
          <w:rFonts w:ascii="Times New Roman" w:hAnsi="Times New Roman" w:cs="Times New Roman"/>
          <w:b/>
          <w:bCs/>
          <w:sz w:val="24"/>
          <w:szCs w:val="18"/>
        </w:rPr>
        <w:t>注：</w:t>
      </w:r>
      <w:r>
        <w:rPr>
          <w:rFonts w:ascii="Times New Roman" w:hAnsi="Times New Roman" w:cs="Times New Roman"/>
          <w:sz w:val="24"/>
          <w:szCs w:val="18"/>
        </w:rPr>
        <w:t>本表是本项目的具体要求，是对投标人须知的具体补充和修改，如有不一致，以本表为准。</w:t>
      </w:r>
    </w:p>
    <w:tbl>
      <w:tblPr>
        <w:tblStyle w:val="41"/>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1"/>
              <w:widowControl w:val="0"/>
              <w:spacing w:before="0" w:beforeAutospacing="0" w:after="0" w:afterAutospacing="0" w:line="360" w:lineRule="auto"/>
              <w:rPr>
                <w:rFonts w:ascii="Times New Roman" w:hAnsi="Times New Roman" w:cs="Times New Roman"/>
                <w:bCs w:val="0"/>
                <w:kern w:val="2"/>
                <w:sz w:val="24"/>
                <w:szCs w:val="20"/>
              </w:rPr>
            </w:pPr>
            <w:r>
              <w:rPr>
                <w:rFonts w:ascii="Times New Roman" w:hAnsi="Times New Roman" w:cs="Times New Roman"/>
                <w:bCs w:val="0"/>
                <w:kern w:val="2"/>
                <w:sz w:val="24"/>
                <w:szCs w:val="20"/>
              </w:rPr>
              <w:t>条款名称</w:t>
            </w:r>
          </w:p>
        </w:tc>
        <w:tc>
          <w:tcPr>
            <w:tcW w:w="6687" w:type="dxa"/>
            <w:vAlign w:val="center"/>
          </w:tcPr>
          <w:p>
            <w:pPr>
              <w:pStyle w:val="61"/>
              <w:widowControl w:val="0"/>
              <w:spacing w:before="0" w:beforeAutospacing="0" w:after="0" w:afterAutospacing="0" w:line="360" w:lineRule="auto"/>
              <w:rPr>
                <w:rFonts w:ascii="Times New Roman" w:hAnsi="Times New Roman" w:cs="Times New Roman"/>
                <w:bCs w:val="0"/>
                <w:kern w:val="2"/>
                <w:sz w:val="24"/>
                <w:szCs w:val="20"/>
              </w:rPr>
            </w:pPr>
            <w:r>
              <w:rPr>
                <w:rFonts w:ascii="Times New Roman" w:hAnsi="Times New Roman" w:cs="Times New Roman"/>
                <w:bCs w:val="0"/>
                <w:kern w:val="2"/>
                <w:sz w:val="24"/>
                <w:szCs w:val="20"/>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1"/>
              <w:widowControl w:val="0"/>
              <w:spacing w:before="0" w:beforeAutospacing="0" w:after="0" w:afterAutospacing="0" w:line="360" w:lineRule="auto"/>
              <w:jc w:val="left"/>
              <w:rPr>
                <w:rFonts w:ascii="Times New Roman" w:hAnsi="Times New Roman" w:cs="Times New Roman"/>
                <w:b w:val="0"/>
                <w:bCs w:val="0"/>
                <w:sz w:val="24"/>
              </w:rPr>
            </w:pPr>
            <w:r>
              <w:rPr>
                <w:rFonts w:ascii="Times New Roman" w:hAnsi="Times New Roman" w:cs="Times New Roman"/>
                <w:b w:val="0"/>
                <w:bCs w:val="0"/>
                <w:sz w:val="24"/>
              </w:rPr>
              <w:t>招标人</w:t>
            </w:r>
          </w:p>
        </w:tc>
        <w:tc>
          <w:tcPr>
            <w:tcW w:w="6687" w:type="dxa"/>
            <w:vAlign w:val="center"/>
          </w:tcPr>
          <w:p>
            <w:pPr>
              <w:pStyle w:val="61"/>
              <w:widowControl w:val="0"/>
              <w:spacing w:before="0" w:beforeAutospacing="0" w:after="0" w:afterAutospacing="0" w:line="360" w:lineRule="auto"/>
              <w:jc w:val="both"/>
              <w:rPr>
                <w:rFonts w:hint="default" w:ascii="Times New Roman" w:hAnsi="Times New Roman" w:eastAsia="宋体" w:cs="Times New Roman"/>
                <w:b w:val="0"/>
                <w:bCs w:val="0"/>
                <w:kern w:val="2"/>
                <w:sz w:val="24"/>
                <w:szCs w:val="20"/>
                <w:lang w:val="en-US" w:eastAsia="zh-CN"/>
              </w:rPr>
            </w:pPr>
            <w:r>
              <w:rPr>
                <w:rFonts w:hint="eastAsia" w:ascii="Times New Roman" w:hAnsi="Times New Roman" w:cs="Times New Roman"/>
                <w:b w:val="0"/>
                <w:bCs w:val="0"/>
                <w:sz w:val="24"/>
                <w:szCs w:val="18"/>
                <w:lang w:eastAsia="zh-CN"/>
              </w:rPr>
              <w:t>合合肥滨湖时光产业投资集团有限公司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1"/>
              <w:widowControl w:val="0"/>
              <w:spacing w:before="0" w:beforeAutospacing="0" w:after="0" w:afterAutospacing="0" w:line="360" w:lineRule="auto"/>
              <w:jc w:val="left"/>
              <w:rPr>
                <w:rFonts w:ascii="Times New Roman" w:hAnsi="Times New Roman" w:cs="Times New Roman"/>
                <w:b w:val="0"/>
                <w:bCs w:val="0"/>
                <w:sz w:val="24"/>
              </w:rPr>
            </w:pPr>
            <w:r>
              <w:rPr>
                <w:rFonts w:ascii="Times New Roman" w:hAnsi="Times New Roman" w:cs="Times New Roman"/>
                <w:b w:val="0"/>
                <w:bCs w:val="0"/>
                <w:sz w:val="24"/>
              </w:rPr>
              <w:t>采购监督管理部门</w:t>
            </w:r>
          </w:p>
        </w:tc>
        <w:tc>
          <w:tcPr>
            <w:tcW w:w="6687" w:type="dxa"/>
            <w:vAlign w:val="center"/>
          </w:tcPr>
          <w:p>
            <w:pPr>
              <w:pStyle w:val="61"/>
              <w:widowControl w:val="0"/>
              <w:spacing w:before="0" w:beforeAutospacing="0" w:after="0" w:afterAutospacing="0" w:line="360" w:lineRule="auto"/>
              <w:jc w:val="both"/>
              <w:rPr>
                <w:rFonts w:hint="eastAsia" w:ascii="Times New Roman" w:hAnsi="Times New Roman" w:eastAsia="宋体" w:cs="Times New Roman"/>
                <w:b w:val="0"/>
                <w:bCs w:val="0"/>
                <w:sz w:val="24"/>
                <w:szCs w:val="18"/>
                <w:lang w:eastAsia="zh-CN"/>
              </w:rPr>
            </w:pPr>
            <w:r>
              <w:rPr>
                <w:rFonts w:hint="eastAsia" w:ascii="Times New Roman" w:hAnsi="Times New Roman" w:cs="Times New Roman"/>
                <w:b w:val="0"/>
                <w:bCs w:val="0"/>
                <w:sz w:val="24"/>
                <w:szCs w:val="18"/>
                <w:lang w:eastAsia="zh-CN"/>
              </w:rPr>
              <w:t>合肥滨湖时光产业投资集团有限公司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1"/>
              <w:widowControl w:val="0"/>
              <w:spacing w:before="0" w:beforeAutospacing="0" w:after="0" w:afterAutospacing="0" w:line="360" w:lineRule="auto"/>
              <w:jc w:val="left"/>
              <w:rPr>
                <w:rFonts w:ascii="Times New Roman" w:hAnsi="Times New Roman" w:cs="Times New Roman"/>
                <w:b w:val="0"/>
                <w:sz w:val="24"/>
              </w:rPr>
            </w:pPr>
            <w:r>
              <w:rPr>
                <w:rFonts w:ascii="Times New Roman" w:hAnsi="Times New Roman" w:cs="Times New Roman"/>
                <w:b w:val="0"/>
                <w:sz w:val="24"/>
              </w:rPr>
              <w:t>是否允许联合体投标</w:t>
            </w:r>
          </w:p>
        </w:tc>
        <w:tc>
          <w:tcPr>
            <w:tcW w:w="6687" w:type="dxa"/>
            <w:vAlign w:val="center"/>
          </w:tcPr>
          <w:p>
            <w:pPr>
              <w:pStyle w:val="61"/>
              <w:widowControl w:val="0"/>
              <w:spacing w:before="0" w:beforeAutospacing="0" w:after="0" w:afterAutospacing="0" w:line="360" w:lineRule="auto"/>
              <w:jc w:val="both"/>
              <w:rPr>
                <w:rFonts w:ascii="Times New Roman" w:hAnsi="Times New Roman" w:cs="Times New Roman"/>
                <w:b w:val="0"/>
                <w:sz w:val="24"/>
              </w:rPr>
            </w:pPr>
            <w:r>
              <w:rPr>
                <w:rFonts w:hint="eastAsia" w:ascii="Times New Roman" w:hAnsi="Times New Roman" w:cs="Times New Roman"/>
                <w:b w:val="0"/>
                <w:bCs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1"/>
              <w:widowControl w:val="0"/>
              <w:spacing w:before="0" w:beforeAutospacing="0" w:after="0" w:afterAutospacing="0" w:line="360" w:lineRule="auto"/>
              <w:jc w:val="left"/>
              <w:rPr>
                <w:rFonts w:ascii="Times New Roman" w:hAnsi="Times New Roman" w:cs="Times New Roman"/>
                <w:b w:val="0"/>
                <w:sz w:val="24"/>
              </w:rPr>
            </w:pPr>
            <w:r>
              <w:rPr>
                <w:rFonts w:ascii="Times New Roman" w:hAnsi="Times New Roman" w:cs="Times New Roman"/>
                <w:b w:val="0"/>
                <w:sz w:val="24"/>
              </w:rPr>
              <w:t>现场考察</w:t>
            </w:r>
          </w:p>
        </w:tc>
        <w:tc>
          <w:tcPr>
            <w:tcW w:w="6687" w:type="dxa"/>
            <w:vAlign w:val="center"/>
          </w:tcPr>
          <w:p>
            <w:pPr>
              <w:pStyle w:val="61"/>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bCs w:val="0"/>
                <w:sz w:val="24"/>
              </w:rPr>
              <w:t>不组织，投标人自行考察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1"/>
              <w:widowControl w:val="0"/>
              <w:spacing w:before="0" w:beforeAutospacing="0" w:after="0" w:afterAutospacing="0" w:line="360" w:lineRule="auto"/>
              <w:jc w:val="left"/>
              <w:rPr>
                <w:rFonts w:ascii="Times New Roman" w:hAnsi="Times New Roman" w:cs="Times New Roman"/>
                <w:b w:val="0"/>
                <w:sz w:val="24"/>
              </w:rPr>
            </w:pPr>
            <w:r>
              <w:rPr>
                <w:rFonts w:ascii="Times New Roman" w:hAnsi="Times New Roman" w:cs="Times New Roman"/>
                <w:b w:val="0"/>
                <w:sz w:val="24"/>
              </w:rPr>
              <w:t>包别划分</w:t>
            </w:r>
          </w:p>
        </w:tc>
        <w:tc>
          <w:tcPr>
            <w:tcW w:w="6687" w:type="dxa"/>
            <w:vAlign w:val="center"/>
          </w:tcPr>
          <w:p>
            <w:pPr>
              <w:pStyle w:val="61"/>
              <w:widowControl w:val="0"/>
              <w:spacing w:before="0" w:beforeAutospacing="0" w:after="0" w:afterAutospacing="0" w:line="360" w:lineRule="auto"/>
              <w:jc w:val="both"/>
              <w:rPr>
                <w:rFonts w:ascii="Times New Roman" w:hAnsi="Times New Roman" w:cs="Times New Roman"/>
                <w:b w:val="0"/>
                <w:sz w:val="24"/>
                <w:u w:val="single"/>
              </w:rPr>
            </w:pPr>
            <w:r>
              <w:rPr>
                <w:rFonts w:ascii="Times New Roman" w:hAnsi="Times New Roman" w:cs="Times New Roman"/>
                <w:b w:val="0"/>
                <w:sz w:val="24"/>
              </w:rPr>
              <w:t>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pPr>
              <w:pStyle w:val="61"/>
              <w:widowControl w:val="0"/>
              <w:spacing w:before="0" w:beforeAutospacing="0" w:after="0" w:afterAutospacing="0" w:line="360" w:lineRule="auto"/>
              <w:jc w:val="left"/>
              <w:rPr>
                <w:rFonts w:ascii="Times New Roman" w:hAnsi="Times New Roman" w:cs="Times New Roman"/>
                <w:b w:val="0"/>
                <w:sz w:val="24"/>
              </w:rPr>
            </w:pPr>
            <w:r>
              <w:rPr>
                <w:rFonts w:ascii="Times New Roman" w:hAnsi="Times New Roman" w:cs="Times New Roman"/>
                <w:b w:val="0"/>
                <w:sz w:val="24"/>
              </w:rPr>
              <w:t>投标保证金</w:t>
            </w:r>
          </w:p>
        </w:tc>
        <w:tc>
          <w:tcPr>
            <w:tcW w:w="6687" w:type="dxa"/>
            <w:vAlign w:val="center"/>
          </w:tcPr>
          <w:p>
            <w:pPr>
              <w:spacing w:line="360" w:lineRule="auto"/>
              <w:jc w:val="left"/>
              <w:rPr>
                <w:rFonts w:ascii="Times New Roman" w:hAnsi="Times New Roman" w:cs="Times New Roman"/>
                <w:sz w:val="24"/>
              </w:rPr>
            </w:pPr>
            <w:r>
              <w:rPr>
                <w:rFonts w:ascii="Times New Roman" w:hAnsi="Times New Roman" w:cs="Times New Roman"/>
                <w:sz w:val="24"/>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1"/>
              <w:widowControl w:val="0"/>
              <w:spacing w:before="0" w:beforeAutospacing="0" w:after="0" w:afterAutospacing="0" w:line="360" w:lineRule="auto"/>
              <w:jc w:val="both"/>
              <w:rPr>
                <w:rFonts w:ascii="Times New Roman" w:hAnsi="Times New Roman" w:cs="Times New Roman"/>
                <w:b w:val="0"/>
                <w:sz w:val="24"/>
                <w:highlight w:val="yellow"/>
              </w:rPr>
            </w:pPr>
            <w:r>
              <w:rPr>
                <w:rFonts w:ascii="Times New Roman" w:hAnsi="Times New Roman" w:cs="Times New Roman"/>
                <w:b w:val="0"/>
                <w:sz w:val="24"/>
                <w:highlight w:val="none"/>
              </w:rPr>
              <w:t>投标有效期</w:t>
            </w:r>
          </w:p>
        </w:tc>
        <w:tc>
          <w:tcPr>
            <w:tcW w:w="6687" w:type="dxa"/>
            <w:vAlign w:val="center"/>
          </w:tcPr>
          <w:p>
            <w:pPr>
              <w:pStyle w:val="61"/>
              <w:widowControl w:val="0"/>
              <w:spacing w:before="0" w:beforeAutospacing="0" w:after="0" w:afterAutospacing="0" w:line="360" w:lineRule="auto"/>
              <w:jc w:val="both"/>
              <w:rPr>
                <w:rFonts w:ascii="Times New Roman" w:hAnsi="Times New Roman" w:cs="Times New Roman"/>
                <w:b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1"/>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投标文件要求</w:t>
            </w:r>
            <w:r>
              <w:rPr>
                <w:rFonts w:ascii="Times New Roman" w:hAnsi="Times New Roman" w:cs="Times New Roman"/>
                <w:bCs w:val="0"/>
                <w:sz w:val="24"/>
              </w:rPr>
              <w:t>（纸质）</w:t>
            </w:r>
          </w:p>
        </w:tc>
        <w:tc>
          <w:tcPr>
            <w:tcW w:w="6687" w:type="dxa"/>
            <w:vAlign w:val="center"/>
          </w:tcPr>
          <w:p>
            <w:pPr>
              <w:pStyle w:val="61"/>
              <w:widowControl w:val="0"/>
              <w:spacing w:before="0" w:beforeAutospacing="0" w:after="0" w:afterAutospacing="0" w:line="360" w:lineRule="auto"/>
              <w:jc w:val="both"/>
              <w:rPr>
                <w:rFonts w:ascii="Times New Roman" w:hAnsi="Times New Roman" w:cs="Times New Roman"/>
                <w:bCs w:val="0"/>
                <w:sz w:val="24"/>
              </w:rPr>
            </w:pPr>
            <w:r>
              <w:rPr>
                <w:rFonts w:ascii="Times New Roman" w:hAnsi="Times New Roman" w:cs="Times New Roman"/>
                <w:bCs w:val="0"/>
                <w:sz w:val="24"/>
              </w:rPr>
              <w:t>（1）纸质版投标文件（建议胶装成册）：</w:t>
            </w:r>
          </w:p>
          <w:p>
            <w:pPr>
              <w:pStyle w:val="61"/>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Cs w:val="0"/>
                <w:sz w:val="24"/>
              </w:rPr>
              <w:t>正</w:t>
            </w:r>
            <w:r>
              <w:rPr>
                <w:rFonts w:hint="eastAsia" w:ascii="仿宋" w:hAnsi="仿宋" w:eastAsia="仿宋" w:cs="仿宋"/>
              </w:rPr>
              <w:t>响应文件一式5份，不区分正副本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1"/>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开标现场提交的其他材料要求</w:t>
            </w:r>
          </w:p>
        </w:tc>
        <w:tc>
          <w:tcPr>
            <w:tcW w:w="6687" w:type="dxa"/>
            <w:vAlign w:val="center"/>
          </w:tcPr>
          <w:p>
            <w:pPr>
              <w:pStyle w:val="61"/>
              <w:widowControl w:val="0"/>
              <w:spacing w:before="0" w:beforeAutospacing="0" w:after="0" w:afterAutospacing="0" w:line="360" w:lineRule="auto"/>
              <w:jc w:val="both"/>
              <w:rPr>
                <w:rFonts w:ascii="Times New Roman" w:hAnsi="Times New Roman" w:cs="Times New Roman"/>
                <w:b w:val="0"/>
                <w:sz w:val="24"/>
                <w:u w:val="single"/>
              </w:rPr>
            </w:pPr>
            <w:r>
              <w:rPr>
                <w:rFonts w:ascii="Times New Roman" w:hAnsi="Times New Roman" w:cs="Times New Roman"/>
                <w:b w:val="0"/>
                <w:bCs w:val="0"/>
                <w:sz w:val="24"/>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1"/>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投标截止时间及地点</w:t>
            </w:r>
          </w:p>
        </w:tc>
        <w:tc>
          <w:tcPr>
            <w:tcW w:w="6687" w:type="dxa"/>
            <w:vAlign w:val="center"/>
          </w:tcPr>
          <w:p>
            <w:pPr>
              <w:pStyle w:val="61"/>
              <w:widowControl w:val="0"/>
              <w:spacing w:before="0" w:beforeAutospacing="0" w:after="0" w:afterAutospacing="0" w:line="360" w:lineRule="auto"/>
              <w:jc w:val="both"/>
              <w:rPr>
                <w:rFonts w:ascii="Times New Roman" w:hAnsi="Times New Roman" w:cs="Times New Roman"/>
                <w:kern w:val="2"/>
                <w:sz w:val="24"/>
                <w:szCs w:val="24"/>
              </w:rPr>
            </w:pPr>
            <w:r>
              <w:rPr>
                <w:rFonts w:ascii="Times New Roman" w:hAnsi="Times New Roman" w:cs="Times New Roman"/>
                <w:b w:val="0"/>
                <w:sz w:val="24"/>
              </w:rPr>
              <w:t>投标截止时间：</w:t>
            </w:r>
            <w:r>
              <w:rPr>
                <w:rFonts w:ascii="Times New Roman" w:hAnsi="Times New Roman" w:cs="Times New Roman"/>
                <w:kern w:val="2"/>
                <w:sz w:val="24"/>
                <w:szCs w:val="24"/>
              </w:rPr>
              <w:t>详见投标邀请（招标公告）</w:t>
            </w:r>
          </w:p>
          <w:p>
            <w:pPr>
              <w:snapToGrid w:val="0"/>
              <w:spacing w:line="360" w:lineRule="auto"/>
              <w:rPr>
                <w:rFonts w:ascii="Times New Roman" w:hAnsi="Times New Roman" w:cs="Times New Roman"/>
                <w:b/>
                <w:bCs/>
                <w:sz w:val="24"/>
                <w:szCs w:val="24"/>
              </w:rPr>
            </w:pPr>
            <w:r>
              <w:rPr>
                <w:rFonts w:ascii="Times New Roman" w:hAnsi="Times New Roman" w:cs="Times New Roman"/>
                <w:sz w:val="24"/>
              </w:rPr>
              <w:t>投标文件递交地点：</w:t>
            </w:r>
            <w:r>
              <w:rPr>
                <w:rFonts w:hint="eastAsia" w:ascii="宋体" w:hAnsi="宋体" w:cs="宋体"/>
                <w:b/>
                <w:bCs/>
                <w:sz w:val="24"/>
                <w:szCs w:val="24"/>
              </w:rPr>
              <w:t>合肥市包河区滨湖卓越城文华园一期A2楼</w:t>
            </w:r>
            <w:r>
              <w:rPr>
                <w:rFonts w:hint="eastAsia" w:ascii="宋体" w:hAnsi="宋体" w:cs="宋体"/>
                <w:b/>
                <w:bCs/>
                <w:sz w:val="24"/>
                <w:szCs w:val="24"/>
                <w:lang w:val="en-US" w:eastAsia="zh-CN"/>
              </w:rPr>
              <w:t>4</w:t>
            </w:r>
            <w:r>
              <w:rPr>
                <w:rFonts w:hint="eastAsia" w:ascii="宋体" w:hAnsi="宋体" w:cs="宋体"/>
                <w:b/>
                <w:bCs/>
                <w:sz w:val="24"/>
                <w:szCs w:val="24"/>
              </w:rPr>
              <w:t>层</w:t>
            </w:r>
          </w:p>
          <w:p>
            <w:pPr>
              <w:pStyle w:val="61"/>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投标文件接收时间：</w:t>
            </w:r>
            <w:r>
              <w:rPr>
                <w:rFonts w:ascii="Times New Roman" w:hAnsi="Times New Roman" w:cs="Times New Roman"/>
                <w:kern w:val="2"/>
                <w:sz w:val="24"/>
                <w:szCs w:val="24"/>
              </w:rPr>
              <w:t>详见投标邀请（招标公告）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1"/>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资格审查</w:t>
            </w:r>
          </w:p>
        </w:tc>
        <w:tc>
          <w:tcPr>
            <w:tcW w:w="6687" w:type="dxa"/>
            <w:vAlign w:val="center"/>
          </w:tcPr>
          <w:p>
            <w:pPr>
              <w:pStyle w:val="61"/>
              <w:widowControl w:val="0"/>
              <w:spacing w:before="0" w:beforeAutospacing="0" w:after="0" w:afterAutospacing="0" w:line="360" w:lineRule="auto"/>
              <w:jc w:val="both"/>
              <w:rPr>
                <w:rFonts w:ascii="Times New Roman" w:hAnsi="Times New Roman" w:cs="Times New Roman"/>
                <w:b w:val="0"/>
                <w:sz w:val="24"/>
                <w:u w:val="single"/>
              </w:rPr>
            </w:pPr>
            <w:r>
              <w:rPr>
                <w:rFonts w:ascii="Times New Roman" w:hAnsi="Times New Roman" w:cs="Times New Roman"/>
                <w:b w:val="0"/>
                <w:bCs w:val="0"/>
                <w:sz w:val="24"/>
                <w:szCs w:val="24"/>
              </w:rPr>
              <w:t>评标委员会进行审查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1"/>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评标方法</w:t>
            </w:r>
          </w:p>
        </w:tc>
        <w:tc>
          <w:tcPr>
            <w:tcW w:w="6687" w:type="dxa"/>
            <w:vAlign w:val="center"/>
          </w:tcPr>
          <w:p>
            <w:pPr>
              <w:pStyle w:val="61"/>
              <w:widowControl w:val="0"/>
              <w:spacing w:before="0" w:beforeAutospacing="0" w:after="0" w:afterAutospacing="0" w:line="360" w:lineRule="auto"/>
              <w:jc w:val="both"/>
              <w:rPr>
                <w:rFonts w:ascii="Times New Roman" w:hAnsi="Times New Roman" w:cs="Times New Roman"/>
                <w:b w:val="0"/>
                <w:sz w:val="24"/>
                <w:u w:val="single"/>
              </w:rPr>
            </w:pPr>
            <w:r>
              <w:rPr>
                <w:rFonts w:hint="eastAsia" w:ascii="Times New Roman" w:hAnsi="Times New Roman" w:cs="Times New Roman"/>
                <w:b w:val="0"/>
                <w:sz w:val="24"/>
                <w:u w:val="single"/>
              </w:rPr>
              <w:t>□</w:t>
            </w:r>
            <w:r>
              <w:rPr>
                <w:rFonts w:ascii="Times New Roman" w:hAnsi="Times New Roman" w:cs="Times New Roman"/>
                <w:b w:val="0"/>
                <w:sz w:val="24"/>
                <w:u w:val="single"/>
              </w:rPr>
              <w:t>最低评标价法</w:t>
            </w:r>
          </w:p>
          <w:p>
            <w:pPr>
              <w:pStyle w:val="61"/>
              <w:widowControl w:val="0"/>
              <w:spacing w:before="0" w:beforeAutospacing="0" w:after="0" w:afterAutospacing="0" w:line="360" w:lineRule="auto"/>
              <w:jc w:val="both"/>
              <w:rPr>
                <w:rFonts w:ascii="Times New Roman" w:hAnsi="Times New Roman" w:cs="Times New Roman"/>
                <w:b w:val="0"/>
                <w:sz w:val="24"/>
              </w:rPr>
            </w:pPr>
            <w:r>
              <w:rPr>
                <w:rFonts w:hint="eastAsia" w:ascii="Times New Roman" w:hAnsi="Times New Roman" w:cs="Times New Roman"/>
                <w:b w:val="0"/>
                <w:sz w:val="24"/>
                <w:u w:val="single"/>
              </w:rPr>
              <w:t>☑</w:t>
            </w:r>
            <w:r>
              <w:rPr>
                <w:rFonts w:ascii="Times New Roman" w:hAnsi="Times New Roman" w:cs="Times New Roman"/>
                <w:b w:val="0"/>
                <w:sz w:val="24"/>
                <w:u w:val="singl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1"/>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推荐中标候选人的数量</w:t>
            </w:r>
          </w:p>
        </w:tc>
        <w:tc>
          <w:tcPr>
            <w:tcW w:w="6687" w:type="dxa"/>
            <w:vAlign w:val="center"/>
          </w:tcPr>
          <w:p>
            <w:pPr>
              <w:pStyle w:val="61"/>
              <w:widowControl w:val="0"/>
              <w:spacing w:before="0" w:beforeAutospacing="0" w:after="0" w:afterAutospacing="0" w:line="360" w:lineRule="auto"/>
              <w:jc w:val="both"/>
              <w:rPr>
                <w:rFonts w:ascii="Times New Roman" w:hAnsi="Times New Roman" w:cs="Times New Roman"/>
                <w:b w:val="0"/>
                <w:sz w:val="24"/>
                <w:u w:val="single"/>
              </w:rPr>
            </w:pPr>
            <w:r>
              <w:rPr>
                <w:rFonts w:ascii="Times New Roman" w:hAnsi="Times New Roman" w:cs="Times New Roman"/>
                <w:b w:val="0"/>
                <w:sz w:val="24"/>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1"/>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确定中标人</w:t>
            </w:r>
          </w:p>
        </w:tc>
        <w:tc>
          <w:tcPr>
            <w:tcW w:w="6687" w:type="dxa"/>
            <w:vAlign w:val="center"/>
          </w:tcPr>
          <w:p>
            <w:pPr>
              <w:pStyle w:val="61"/>
              <w:widowControl w:val="0"/>
              <w:spacing w:before="0" w:beforeAutospacing="0" w:after="0" w:afterAutospacing="0" w:line="360" w:lineRule="auto"/>
              <w:jc w:val="both"/>
              <w:rPr>
                <w:rFonts w:ascii="Times New Roman" w:hAnsi="Times New Roman" w:cs="Times New Roman"/>
                <w:b w:val="0"/>
                <w:bCs w:val="0"/>
                <w:sz w:val="24"/>
                <w:szCs w:val="24"/>
              </w:rPr>
            </w:pPr>
            <w:r>
              <w:rPr>
                <w:rFonts w:hint="eastAsia" w:ascii="Times New Roman" w:hAnsi="Times New Roman" w:cs="Times New Roman"/>
                <w:b w:val="0"/>
                <w:bCs w:val="0"/>
                <w:sz w:val="24"/>
                <w:szCs w:val="24"/>
              </w:rPr>
              <w:t>□</w:t>
            </w:r>
            <w:r>
              <w:rPr>
                <w:rFonts w:ascii="Times New Roman" w:hAnsi="Times New Roman" w:cs="Times New Roman"/>
                <w:b w:val="0"/>
                <w:bCs w:val="0"/>
                <w:sz w:val="24"/>
                <w:szCs w:val="24"/>
              </w:rPr>
              <w:t>招标人委托评标委员会确定</w:t>
            </w:r>
          </w:p>
          <w:p>
            <w:pPr>
              <w:pStyle w:val="61"/>
              <w:widowControl w:val="0"/>
              <w:spacing w:before="0" w:beforeAutospacing="0" w:after="0" w:afterAutospacing="0" w:line="360" w:lineRule="auto"/>
              <w:jc w:val="both"/>
              <w:rPr>
                <w:rFonts w:ascii="Times New Roman" w:hAnsi="Times New Roman" w:cs="Times New Roman"/>
                <w:b w:val="0"/>
                <w:sz w:val="24"/>
              </w:rPr>
            </w:pPr>
            <w:r>
              <w:rPr>
                <w:rFonts w:hint="eastAsia" w:ascii="Times New Roman" w:hAnsi="Times New Roman" w:cs="Times New Roman"/>
                <w:b w:val="0"/>
                <w:bCs w:val="0"/>
                <w:sz w:val="24"/>
                <w:szCs w:val="24"/>
              </w:rPr>
              <w:t>☑</w:t>
            </w:r>
            <w:r>
              <w:rPr>
                <w:rFonts w:ascii="Times New Roman" w:hAnsi="Times New Roman" w:cs="Times New Roman"/>
                <w:b w:val="0"/>
                <w:bCs w:val="0"/>
                <w:sz w:val="24"/>
                <w:szCs w:val="24"/>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1"/>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随中标结果公告同时公告的中标人的投标文件内容</w:t>
            </w:r>
          </w:p>
        </w:tc>
        <w:tc>
          <w:tcPr>
            <w:tcW w:w="6687" w:type="dxa"/>
            <w:vAlign w:val="center"/>
          </w:tcPr>
          <w:p>
            <w:pPr>
              <w:pStyle w:val="61"/>
              <w:widowControl w:val="0"/>
              <w:spacing w:before="0" w:beforeAutospacing="0" w:after="0" w:afterAutospacing="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1"/>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告知招标结果的形式</w:t>
            </w:r>
          </w:p>
        </w:tc>
        <w:tc>
          <w:tcPr>
            <w:tcW w:w="6687" w:type="dxa"/>
            <w:vAlign w:val="center"/>
          </w:tcPr>
          <w:p>
            <w:pPr>
              <w:pStyle w:val="61"/>
              <w:widowControl w:val="0"/>
              <w:spacing w:before="0" w:beforeAutospacing="0" w:after="0" w:afterAutospacing="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投标人自行上网查看（</w:t>
            </w:r>
            <w:r>
              <w:rPr>
                <w:rFonts w:hint="eastAsia" w:ascii="Times New Roman" w:hAnsi="Times New Roman" w:cs="Times New Roman"/>
                <w:b w:val="0"/>
                <w:bCs w:val="0"/>
                <w:sz w:val="24"/>
                <w:szCs w:val="24"/>
                <w:lang w:eastAsia="zh-CN"/>
              </w:rPr>
              <w:t>合肥滨湖时光产业投资集团有限公司</w:t>
            </w:r>
            <w:r>
              <w:rPr>
                <w:rFonts w:ascii="Times New Roman" w:hAnsi="Times New Roman" w:cs="Times New Roman"/>
                <w:b w:val="0"/>
                <w:bCs w:val="0"/>
                <w:sz w:val="24"/>
                <w:szCs w:val="24"/>
              </w:rPr>
              <w:t>官方网站</w:t>
            </w:r>
            <w:r>
              <w:rPr>
                <w:rFonts w:hint="eastAsia" w:ascii="Times New Roman" w:hAnsi="Times New Roman" w:cs="Times New Roman"/>
                <w:b w:val="0"/>
                <w:bCs w:val="0"/>
                <w:sz w:val="24"/>
                <w:szCs w:val="24"/>
                <w:lang w:eastAsia="zh-CN"/>
              </w:rPr>
              <w:t>http://bhsggroup.cn/</w:t>
            </w:r>
            <w:r>
              <w:rPr>
                <w:rFonts w:ascii="Times New Roman" w:hAnsi="Times New Roman" w:cs="Times New Roman"/>
                <w:b w:val="0"/>
                <w:bCs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pPr>
              <w:pStyle w:val="61"/>
              <w:widowControl w:val="0"/>
              <w:spacing w:before="0" w:beforeAutospacing="0" w:after="0" w:afterAutospacing="0" w:line="360" w:lineRule="auto"/>
              <w:rPr>
                <w:rFonts w:ascii="Times New Roman" w:hAnsi="Times New Roman" w:cs="Times New Roman"/>
                <w:b w:val="0"/>
                <w:sz w:val="24"/>
              </w:rPr>
            </w:pPr>
            <w:r>
              <w:rPr>
                <w:rFonts w:ascii="Times New Roman" w:hAnsi="Times New Roman" w:cs="Times New Roman"/>
                <w:b w:val="0"/>
                <w:sz w:val="24"/>
              </w:rPr>
              <w:t>履约保证金</w:t>
            </w:r>
          </w:p>
          <w:p>
            <w:pPr>
              <w:pStyle w:val="61"/>
              <w:widowControl w:val="0"/>
              <w:spacing w:before="0" w:beforeAutospacing="0" w:after="0" w:afterAutospacing="0" w:line="360" w:lineRule="auto"/>
              <w:rPr>
                <w:rFonts w:ascii="Times New Roman" w:hAnsi="Times New Roman" w:cs="Times New Roman"/>
                <w:b w:val="0"/>
                <w:sz w:val="24"/>
              </w:rPr>
            </w:pPr>
            <w:r>
              <w:rPr>
                <w:rFonts w:hint="eastAsia" w:ascii="Times New Roman" w:hAnsi="Times New Roman" w:cs="Times New Roman"/>
                <w:b w:val="0"/>
                <w:sz w:val="24"/>
              </w:rPr>
              <w:t>（本项目不收取）</w:t>
            </w:r>
          </w:p>
        </w:tc>
        <w:tc>
          <w:tcPr>
            <w:tcW w:w="6687" w:type="dxa"/>
            <w:vAlign w:val="center"/>
          </w:tcPr>
          <w:p>
            <w:pPr>
              <w:pStyle w:val="95"/>
              <w:tabs>
                <w:tab w:val="left" w:pos="351"/>
              </w:tabs>
              <w:spacing w:line="360" w:lineRule="auto"/>
              <w:ind w:right="96"/>
              <w:jc w:val="left"/>
              <w:rPr>
                <w:rFonts w:ascii="Times New Roman" w:hAnsi="Times New Roman" w:cs="Times New Roman"/>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1"/>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中标服务费</w:t>
            </w:r>
          </w:p>
        </w:tc>
        <w:tc>
          <w:tcPr>
            <w:tcW w:w="6687" w:type="dxa"/>
            <w:vAlign w:val="center"/>
          </w:tcPr>
          <w:p>
            <w:pPr>
              <w:pStyle w:val="61"/>
              <w:widowControl w:val="0"/>
              <w:spacing w:before="0" w:beforeAutospacing="0" w:after="0" w:afterAutospacing="0" w:line="360" w:lineRule="auto"/>
              <w:jc w:val="both"/>
              <w:rPr>
                <w:rFonts w:ascii="Times New Roman" w:hAnsi="Times New Roman" w:cs="Times New Roman"/>
                <w:b w:val="0"/>
                <w:sz w:val="24"/>
              </w:rPr>
            </w:pPr>
            <w:r>
              <w:rPr>
                <w:rFonts w:hint="eastAsia" w:ascii="Times New Roman" w:hAnsi="Times New Roman" w:cs="Times New Roman"/>
                <w:b w:val="0"/>
                <w:sz w:val="24"/>
              </w:rPr>
              <w:t>☑</w:t>
            </w:r>
            <w:r>
              <w:rPr>
                <w:rFonts w:ascii="Times New Roman" w:hAnsi="Times New Roman" w:cs="Times New Roman"/>
                <w:b w:val="0"/>
                <w:sz w:val="24"/>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1"/>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其他内容</w:t>
            </w:r>
          </w:p>
        </w:tc>
        <w:tc>
          <w:tcPr>
            <w:tcW w:w="6687" w:type="dxa"/>
            <w:vAlign w:val="center"/>
          </w:tcPr>
          <w:p>
            <w:pPr>
              <w:pStyle w:val="61"/>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1"/>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关于联合体投标的相关约定</w:t>
            </w:r>
          </w:p>
        </w:tc>
        <w:tc>
          <w:tcPr>
            <w:tcW w:w="6687" w:type="dxa"/>
            <w:vAlign w:val="center"/>
          </w:tcPr>
          <w:p>
            <w:pPr>
              <w:pStyle w:val="61"/>
              <w:widowControl w:val="0"/>
              <w:spacing w:before="0" w:beforeAutospacing="0" w:after="0" w:afterAutospacing="0" w:line="360" w:lineRule="auto"/>
              <w:jc w:val="both"/>
              <w:rPr>
                <w:rFonts w:ascii="Times New Roman" w:hAnsi="Times New Roman" w:cs="Times New Roman"/>
                <w:b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1"/>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社保证明材料</w:t>
            </w:r>
          </w:p>
        </w:tc>
        <w:tc>
          <w:tcPr>
            <w:tcW w:w="6687" w:type="dxa"/>
            <w:vAlign w:val="center"/>
          </w:tcPr>
          <w:p>
            <w:pPr>
              <w:pStyle w:val="61"/>
              <w:widowControl w:val="0"/>
              <w:spacing w:before="0" w:beforeAutospacing="0" w:after="0" w:afterAutospacing="0" w:line="360" w:lineRule="auto"/>
              <w:jc w:val="both"/>
              <w:rPr>
                <w:rFonts w:ascii="Times New Roman" w:hAnsi="Times New Roman" w:cs="Times New Roman"/>
                <w:b w:val="0"/>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1"/>
              <w:widowControl w:val="0"/>
              <w:spacing w:before="0" w:beforeAutospacing="0" w:after="0" w:afterAutospacing="0" w:line="360" w:lineRule="auto"/>
              <w:jc w:val="both"/>
              <w:rPr>
                <w:rFonts w:ascii="宋体" w:hAnsi="宋体"/>
                <w:bCs w:val="0"/>
                <w:sz w:val="24"/>
              </w:rPr>
            </w:pPr>
            <w:r>
              <w:rPr>
                <w:rFonts w:hint="eastAsia" w:ascii="宋体" w:hAnsi="宋体"/>
                <w:bCs w:val="0"/>
                <w:snapToGrid w:val="0"/>
                <w:sz w:val="24"/>
                <w:szCs w:val="24"/>
              </w:rPr>
              <w:t>本地化服务</w:t>
            </w:r>
          </w:p>
        </w:tc>
        <w:tc>
          <w:tcPr>
            <w:tcW w:w="6687" w:type="dxa"/>
            <w:vAlign w:val="center"/>
          </w:tcPr>
          <w:p>
            <w:pPr>
              <w:pStyle w:val="61"/>
              <w:widowControl w:val="0"/>
              <w:spacing w:before="0" w:beforeAutospacing="0" w:after="0" w:afterAutospacing="0" w:line="360" w:lineRule="auto"/>
              <w:jc w:val="both"/>
              <w:rPr>
                <w:rFonts w:ascii="宋体" w:hAnsi="宋体"/>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1"/>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重要提示</w:t>
            </w:r>
          </w:p>
        </w:tc>
        <w:tc>
          <w:tcPr>
            <w:tcW w:w="6687" w:type="dxa"/>
            <w:vAlign w:val="center"/>
          </w:tcPr>
          <w:p>
            <w:pPr>
              <w:spacing w:line="360" w:lineRule="auto"/>
              <w:rPr>
                <w:rFonts w:ascii="Times New Roman" w:hAnsi="Times New Roman" w:cs="Times New Roman"/>
                <w:bCs/>
                <w:sz w:val="24"/>
                <w:szCs w:val="24"/>
              </w:rPr>
            </w:pPr>
            <w:r>
              <w:rPr>
                <w:rFonts w:ascii="Times New Roman" w:hAnsi="Times New Roman" w:cs="Times New Roman"/>
                <w:bCs/>
                <w:sz w:val="24"/>
                <w:szCs w:val="24"/>
              </w:rPr>
              <w:t>（1）中标人应在规定期限内领取《中标通知书》，若中标人未在规定期限内领取《中标通知书》，招标人有权取消中标人中标资格，并将相关违约行为报送监管部门，实施信用惩戒；</w:t>
            </w:r>
          </w:p>
          <w:p>
            <w:pPr>
              <w:spacing w:line="360" w:lineRule="auto"/>
              <w:rPr>
                <w:rFonts w:ascii="Times New Roman" w:hAnsi="Times New Roman" w:cs="Times New Roman"/>
                <w:bCs/>
                <w:sz w:val="24"/>
                <w:szCs w:val="24"/>
              </w:rPr>
            </w:pPr>
            <w:r>
              <w:rPr>
                <w:rFonts w:ascii="Times New Roman" w:hAnsi="Times New Roman" w:cs="Times New Roman"/>
                <w:bCs/>
                <w:sz w:val="24"/>
                <w:szCs w:val="24"/>
              </w:rPr>
              <w:t>（2）中标人应在规定期限内与招标人签订合同，若中标人未能在规定期限内签订合同，招标人有权取消中标人中标资格，并将相关违约行为报送监管部门，实施信用惩戒；</w:t>
            </w:r>
          </w:p>
          <w:p>
            <w:pPr>
              <w:spacing w:line="360" w:lineRule="auto"/>
              <w:rPr>
                <w:rFonts w:ascii="Times New Roman" w:hAnsi="Times New Roman" w:cs="Times New Roman"/>
                <w:bCs/>
                <w:sz w:val="24"/>
                <w:szCs w:val="24"/>
              </w:rPr>
            </w:pPr>
            <w:r>
              <w:rPr>
                <w:rFonts w:ascii="Times New Roman" w:hAnsi="Times New Roman" w:cs="Times New Roman"/>
                <w:bCs/>
                <w:sz w:val="24"/>
                <w:szCs w:val="24"/>
              </w:rPr>
              <w:t>（3）合同签订后，中标人存在规定时间内不履行服务义务等情况，招标人有权解除合同，并追究违约责任，同时将相关违约行为报送监管部门，实施信用惩戒；</w:t>
            </w:r>
          </w:p>
          <w:p>
            <w:pPr>
              <w:spacing w:line="360" w:lineRule="auto"/>
              <w:rPr>
                <w:rFonts w:ascii="Times New Roman" w:hAnsi="Times New Roman" w:cs="Times New Roman"/>
                <w:bCs/>
                <w:sz w:val="24"/>
                <w:szCs w:val="24"/>
              </w:rPr>
            </w:pPr>
            <w:r>
              <w:rPr>
                <w:rFonts w:ascii="Times New Roman" w:hAnsi="Times New Roman" w:cs="Times New Roman"/>
                <w:bCs/>
                <w:sz w:val="24"/>
                <w:szCs w:val="24"/>
              </w:rPr>
              <w:t>（4）中标人中标后被监管部门查实存在违法行为，不满足中标条件的，由招标人取消中标资格，并做好项目后续工作；</w:t>
            </w:r>
          </w:p>
          <w:p>
            <w:pPr>
              <w:spacing w:line="360" w:lineRule="auto"/>
              <w:rPr>
                <w:rFonts w:ascii="Times New Roman" w:hAnsi="Times New Roman" w:cs="Times New Roman"/>
                <w:bCs/>
                <w:sz w:val="24"/>
                <w:szCs w:val="24"/>
              </w:rPr>
            </w:pPr>
            <w:r>
              <w:rPr>
                <w:rFonts w:ascii="Times New Roman" w:hAnsi="Times New Roman" w:cs="Times New Roman"/>
                <w:bCs/>
                <w:sz w:val="24"/>
                <w:szCs w:val="24"/>
              </w:rPr>
              <w:t>（5）中标人在中标项目发生投诉、信访举报案件、履约存在争议时，拒绝协助配合执法部门调查案件的，招标人可以取消其中标资格或解除合同，并追究其违约责任。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1"/>
              <w:widowControl w:val="0"/>
              <w:spacing w:before="0" w:beforeAutospacing="0" w:after="0" w:afterAutospacing="0" w:line="360" w:lineRule="auto"/>
              <w:rPr>
                <w:rFonts w:ascii="Times New Roman" w:hAnsi="Times New Roman" w:cs="Times New Roman"/>
                <w:b w:val="0"/>
                <w:sz w:val="24"/>
              </w:rPr>
            </w:pPr>
            <w:r>
              <w:rPr>
                <w:rFonts w:ascii="Times New Roman" w:hAnsi="Times New Roman" w:cs="Times New Roman"/>
                <w:b w:val="0"/>
                <w:sz w:val="24"/>
              </w:rPr>
              <w:t>解释权</w:t>
            </w:r>
          </w:p>
        </w:tc>
        <w:tc>
          <w:tcPr>
            <w:tcW w:w="6687" w:type="dxa"/>
            <w:vAlign w:val="center"/>
          </w:tcPr>
          <w:p>
            <w:pPr>
              <w:spacing w:line="360" w:lineRule="auto"/>
              <w:rPr>
                <w:rFonts w:ascii="Times New Roman" w:hAnsi="Times New Roman" w:cs="Times New Roman"/>
                <w:bCs/>
                <w:sz w:val="24"/>
                <w:szCs w:val="24"/>
              </w:rPr>
            </w:pPr>
            <w:r>
              <w:rPr>
                <w:rFonts w:ascii="Times New Roman" w:hAnsi="Times New Roman" w:cs="Times New Roman"/>
                <w:bCs/>
                <w:sz w:val="24"/>
                <w:szCs w:val="24"/>
              </w:rPr>
              <w:t>（1）构成本招标文件的各个组成文件应互为解释，互为说明；</w:t>
            </w:r>
          </w:p>
          <w:p>
            <w:pPr>
              <w:spacing w:line="360" w:lineRule="auto"/>
              <w:rPr>
                <w:rFonts w:ascii="Times New Roman" w:hAnsi="Times New Roman" w:cs="Times New Roman"/>
                <w:bCs/>
                <w:sz w:val="24"/>
                <w:szCs w:val="24"/>
              </w:rPr>
            </w:pPr>
            <w:r>
              <w:rPr>
                <w:rFonts w:ascii="Times New Roman" w:hAnsi="Times New Roman" w:cs="Times New Roman"/>
                <w:bCs/>
                <w:sz w:val="24"/>
                <w:szCs w:val="24"/>
              </w:rPr>
              <w:t>（2）同一组成文件中就同一事项的规定或约定不一致的，除招标文件另有规定外，以编排顺序在后者为准；</w:t>
            </w:r>
          </w:p>
          <w:p>
            <w:pPr>
              <w:spacing w:line="360" w:lineRule="auto"/>
              <w:rPr>
                <w:rFonts w:ascii="Times New Roman" w:hAnsi="Times New Roman" w:cs="Times New Roman"/>
                <w:bCs/>
                <w:sz w:val="24"/>
                <w:szCs w:val="24"/>
              </w:rPr>
            </w:pPr>
            <w:r>
              <w:rPr>
                <w:rFonts w:ascii="Times New Roman" w:hAnsi="Times New Roman" w:cs="Times New Roman"/>
                <w:bCs/>
                <w:sz w:val="24"/>
                <w:szCs w:val="24"/>
              </w:rPr>
              <w:t>（3）如有不明确或不一致，构成合同文件组成内容的，以合同文件约定内容为准，且以专用合同条款约定的合同文件优先顺序解释；</w:t>
            </w:r>
          </w:p>
          <w:p>
            <w:pPr>
              <w:spacing w:line="360" w:lineRule="auto"/>
              <w:rPr>
                <w:rFonts w:ascii="Times New Roman" w:hAnsi="Times New Roman" w:cs="Times New Roman"/>
                <w:bCs/>
                <w:sz w:val="24"/>
                <w:szCs w:val="24"/>
              </w:rPr>
            </w:pPr>
            <w:r>
              <w:rPr>
                <w:rFonts w:ascii="Times New Roman" w:hAnsi="Times New Roman" w:cs="Times New Roman"/>
                <w:bCs/>
                <w:sz w:val="24"/>
                <w:szCs w:val="24"/>
              </w:rPr>
              <w:t>（4）除招标文件中有特别规定外，仅适用于招标投标阶段的规定，按投标邀请、投标人须知、评标方法和标准、投标文件格式的先后顺序解释；</w:t>
            </w:r>
          </w:p>
          <w:p>
            <w:pPr>
              <w:spacing w:line="360" w:lineRule="auto"/>
              <w:rPr>
                <w:rFonts w:ascii="Times New Roman" w:hAnsi="Times New Roman" w:cs="Times New Roman"/>
                <w:bCs/>
                <w:sz w:val="24"/>
                <w:szCs w:val="24"/>
              </w:rPr>
            </w:pPr>
            <w:r>
              <w:rPr>
                <w:rFonts w:ascii="Times New Roman" w:hAnsi="Times New Roman" w:cs="Times New Roman"/>
                <w:bCs/>
                <w:sz w:val="24"/>
                <w:szCs w:val="24"/>
              </w:rPr>
              <w:t>（5）按本款前述规定仍不能形成结论的，由招标人负责解释。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1"/>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其他补充说明</w:t>
            </w:r>
          </w:p>
        </w:tc>
        <w:tc>
          <w:tcPr>
            <w:tcW w:w="6687" w:type="dxa"/>
            <w:vAlign w:val="center"/>
          </w:tcPr>
          <w:p>
            <w:pPr>
              <w:spacing w:line="360" w:lineRule="auto"/>
              <w:rPr>
                <w:rFonts w:ascii="Times New Roman" w:hAnsi="Times New Roman" w:cs="Times New Roman"/>
                <w:bCs/>
                <w:sz w:val="24"/>
                <w:szCs w:val="24"/>
                <w:u w:val="single"/>
              </w:rPr>
            </w:pPr>
          </w:p>
        </w:tc>
      </w:tr>
    </w:tbl>
    <w:p>
      <w:pPr>
        <w:spacing w:line="360" w:lineRule="auto"/>
        <w:ind w:firstLine="435"/>
        <w:rPr>
          <w:rFonts w:ascii="Times New Roman" w:hAnsi="Times New Roman" w:cs="Times New Roman"/>
          <w:sz w:val="24"/>
          <w:szCs w:val="18"/>
        </w:rPr>
      </w:pPr>
    </w:p>
    <w:p>
      <w:pPr>
        <w:rPr>
          <w:rFonts w:ascii="Times New Roman" w:hAnsi="Times New Roman" w:cs="Times New Roman"/>
          <w:b/>
        </w:rPr>
      </w:pPr>
      <w:bookmarkStart w:id="13" w:name="_Toc460226989"/>
      <w:bookmarkStart w:id="14" w:name="_Toc460660062"/>
      <w:bookmarkStart w:id="15" w:name="_Toc421916975"/>
      <w:bookmarkStart w:id="16" w:name="_Toc283798416"/>
      <w:bookmarkStart w:id="17" w:name="_Toc11078137"/>
      <w:bookmarkStart w:id="18" w:name="_Toc460226720"/>
      <w:bookmarkStart w:id="19" w:name="_Toc26766"/>
      <w:r>
        <w:rPr>
          <w:rFonts w:ascii="Times New Roman" w:hAnsi="Times New Roman" w:cs="Times New Roman"/>
          <w:b/>
        </w:rPr>
        <w:br w:type="page"/>
      </w:r>
    </w:p>
    <w:p>
      <w:pPr>
        <w:rPr>
          <w:rFonts w:ascii="Times New Roman" w:hAnsi="Times New Roman" w:cs="Times New Roman"/>
          <w:b/>
        </w:rPr>
      </w:pPr>
    </w:p>
    <w:bookmarkEnd w:id="13"/>
    <w:bookmarkEnd w:id="14"/>
    <w:bookmarkEnd w:id="15"/>
    <w:bookmarkEnd w:id="16"/>
    <w:bookmarkEnd w:id="17"/>
    <w:bookmarkEnd w:id="18"/>
    <w:bookmarkEnd w:id="19"/>
    <w:p>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二、投标人须知正文</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pPr>
        <w:spacing w:line="360" w:lineRule="auto"/>
        <w:ind w:firstLine="435"/>
        <w:rPr>
          <w:rFonts w:ascii="Times New Roman" w:hAnsi="Times New Roman" w:cs="Times New Roman"/>
          <w:sz w:val="24"/>
        </w:rPr>
      </w:pPr>
      <w:r>
        <w:rPr>
          <w:rFonts w:ascii="Times New Roman" w:hAnsi="Times New Roman" w:cs="Times New Roman"/>
          <w:sz w:val="24"/>
        </w:rPr>
        <w:t>1.1本</w:t>
      </w:r>
      <w:r>
        <w:rPr>
          <w:rFonts w:hint="eastAsia" w:ascii="Times New Roman" w:hAnsi="Times New Roman" w:cs="Times New Roman"/>
          <w:sz w:val="24"/>
        </w:rPr>
        <w:t>招标</w:t>
      </w:r>
      <w:r>
        <w:rPr>
          <w:rFonts w:ascii="Times New Roman" w:hAnsi="Times New Roman" w:cs="Times New Roman"/>
          <w:sz w:val="24"/>
        </w:rPr>
        <w:t>文件仅适用于本次</w:t>
      </w:r>
      <w:r>
        <w:rPr>
          <w:rFonts w:hint="eastAsia" w:ascii="Times New Roman" w:hAnsi="Times New Roman" w:cs="Times New Roman"/>
          <w:sz w:val="24"/>
        </w:rPr>
        <w:t>招标</w:t>
      </w:r>
      <w:r>
        <w:rPr>
          <w:rFonts w:ascii="Times New Roman" w:hAnsi="Times New Roman" w:cs="Times New Roman"/>
          <w:sz w:val="24"/>
        </w:rPr>
        <w:t>所述的</w:t>
      </w:r>
      <w:r>
        <w:rPr>
          <w:rFonts w:hint="eastAsia" w:ascii="宋体" w:hAnsi="宋体"/>
          <w:sz w:val="24"/>
        </w:rPr>
        <w:t>货物项目招标</w:t>
      </w:r>
      <w:r>
        <w:rPr>
          <w:rFonts w:ascii="Times New Roman" w:hAnsi="Times New Roman" w:cs="Times New Roman"/>
          <w:sz w:val="24"/>
        </w:rPr>
        <w:t>。</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2.定义</w:t>
      </w:r>
    </w:p>
    <w:p>
      <w:pPr>
        <w:spacing w:line="360" w:lineRule="auto"/>
        <w:ind w:firstLine="435"/>
        <w:rPr>
          <w:rFonts w:ascii="Times New Roman" w:hAnsi="Times New Roman" w:cs="Times New Roman"/>
          <w:sz w:val="24"/>
        </w:rPr>
      </w:pPr>
      <w:r>
        <w:rPr>
          <w:rFonts w:ascii="Times New Roman" w:hAnsi="Times New Roman" w:cs="Times New Roman"/>
          <w:sz w:val="24"/>
        </w:rPr>
        <w:t>2.1</w:t>
      </w:r>
      <w:r>
        <w:rPr>
          <w:rFonts w:hint="eastAsia" w:ascii="宋体" w:hAnsi="宋体"/>
          <w:sz w:val="24"/>
        </w:rPr>
        <w:t>货物：是指各种形态和种类的物品，包括原材料、燃料、设备、产品等。</w:t>
      </w:r>
    </w:p>
    <w:p>
      <w:pPr>
        <w:spacing w:line="360" w:lineRule="auto"/>
        <w:ind w:firstLine="470" w:firstLineChars="196"/>
        <w:rPr>
          <w:rFonts w:ascii="Times New Roman" w:hAnsi="Times New Roman" w:cs="Times New Roman"/>
          <w:b/>
        </w:rPr>
      </w:pPr>
      <w:r>
        <w:rPr>
          <w:rFonts w:ascii="Times New Roman" w:hAnsi="Times New Roman" w:cs="Times New Roman"/>
          <w:sz w:val="24"/>
        </w:rPr>
        <w:t>2.2时限（年份、月份等）计算：系指从</w:t>
      </w:r>
      <w:r>
        <w:rPr>
          <w:rFonts w:hint="eastAsia" w:ascii="Times New Roman" w:hAnsi="Times New Roman" w:cs="Times New Roman"/>
          <w:sz w:val="24"/>
        </w:rPr>
        <w:t>投标</w:t>
      </w:r>
      <w:r>
        <w:rPr>
          <w:rFonts w:ascii="Times New Roman" w:hAnsi="Times New Roman" w:cs="Times New Roman"/>
          <w:sz w:val="24"/>
        </w:rPr>
        <w:t>文件提交截止之日向前追溯X年/月（“X”为“一”及以后整数）起算。</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3.招标人及投标人</w:t>
      </w:r>
    </w:p>
    <w:p>
      <w:pPr>
        <w:spacing w:line="360" w:lineRule="auto"/>
        <w:ind w:firstLine="435"/>
        <w:rPr>
          <w:rFonts w:ascii="Times New Roman" w:hAnsi="Times New Roman" w:cs="Times New Roman"/>
          <w:sz w:val="24"/>
        </w:rPr>
      </w:pPr>
      <w:r>
        <w:rPr>
          <w:rFonts w:ascii="Times New Roman" w:hAnsi="Times New Roman" w:cs="Times New Roman"/>
          <w:sz w:val="24"/>
        </w:rPr>
        <w:t>3.1招标人：是指开展招标活动的各类主体。本项目的招标人见</w:t>
      </w:r>
      <w:r>
        <w:rPr>
          <w:rFonts w:ascii="Times New Roman" w:hAnsi="Times New Roman" w:cs="Times New Roman"/>
          <w:sz w:val="24"/>
          <w:u w:val="single"/>
        </w:rPr>
        <w:t>投标人须知前附表</w:t>
      </w:r>
      <w:r>
        <w:rPr>
          <w:rFonts w:ascii="Times New Roman" w:hAnsi="Times New Roman" w:cs="Times New Roman"/>
          <w:sz w:val="24"/>
        </w:rPr>
        <w:t>。</w:t>
      </w:r>
    </w:p>
    <w:p>
      <w:pPr>
        <w:spacing w:line="360" w:lineRule="auto"/>
        <w:ind w:firstLine="435"/>
        <w:rPr>
          <w:rFonts w:ascii="Times New Roman" w:hAnsi="Times New Roman" w:cs="Times New Roman"/>
          <w:sz w:val="24"/>
        </w:rPr>
      </w:pPr>
      <w:r>
        <w:rPr>
          <w:rFonts w:ascii="Times New Roman" w:hAnsi="Times New Roman" w:cs="Times New Roman"/>
          <w:sz w:val="24"/>
        </w:rPr>
        <w:t>3.2采购监督管理部门：</w:t>
      </w:r>
      <w:r>
        <w:rPr>
          <w:rFonts w:ascii="Times New Roman" w:hAnsi="Times New Roman" w:cs="Times New Roman"/>
          <w:sz w:val="24"/>
          <w:szCs w:val="22"/>
        </w:rPr>
        <w:t>与</w:t>
      </w:r>
      <w:r>
        <w:rPr>
          <w:rFonts w:ascii="Times New Roman" w:hAnsi="Times New Roman" w:cs="Times New Roman"/>
          <w:sz w:val="24"/>
        </w:rPr>
        <w:t>招标</w:t>
      </w:r>
      <w:r>
        <w:rPr>
          <w:rFonts w:ascii="Times New Roman" w:hAnsi="Times New Roman" w:cs="Times New Roman"/>
          <w:sz w:val="24"/>
          <w:szCs w:val="22"/>
        </w:rPr>
        <w:t>活动有关的具有监督管理权利的相关部门。</w:t>
      </w:r>
      <w:r>
        <w:rPr>
          <w:rFonts w:ascii="Times New Roman" w:hAnsi="Times New Roman" w:cs="Times New Roman"/>
          <w:sz w:val="24"/>
        </w:rPr>
        <w:t>本项目的采购监督管理部门见</w:t>
      </w:r>
      <w:r>
        <w:rPr>
          <w:rFonts w:ascii="Times New Roman" w:hAnsi="Times New Roman" w:cs="Times New Roman"/>
          <w:sz w:val="24"/>
          <w:u w:val="single"/>
        </w:rPr>
        <w:t>投标人须知前附表</w:t>
      </w:r>
      <w:r>
        <w:rPr>
          <w:rFonts w:ascii="Times New Roman" w:hAnsi="Times New Roman" w:cs="Times New Roman"/>
          <w:sz w:val="24"/>
        </w:rPr>
        <w:t>。</w:t>
      </w:r>
    </w:p>
    <w:p>
      <w:pPr>
        <w:spacing w:line="360" w:lineRule="auto"/>
        <w:ind w:firstLine="435"/>
        <w:rPr>
          <w:rFonts w:ascii="Times New Roman" w:hAnsi="Times New Roman" w:cs="Times New Roman"/>
          <w:sz w:val="24"/>
        </w:rPr>
      </w:pPr>
      <w:r>
        <w:rPr>
          <w:rFonts w:ascii="Times New Roman" w:hAnsi="Times New Roman" w:cs="Times New Roman"/>
          <w:sz w:val="24"/>
        </w:rPr>
        <w:t>3.3投标人：是指向招标人提供货物、工程或者服务的法人、非法人组织或者自然人。分支机构不得参加采购活动，但银行、保险、石油石化、电力、电信等特殊行业除外。本项目的投标人及其投标货物须满足以下条件：</w:t>
      </w:r>
    </w:p>
    <w:p>
      <w:pPr>
        <w:spacing w:line="360" w:lineRule="auto"/>
        <w:ind w:firstLine="435"/>
        <w:rPr>
          <w:rFonts w:ascii="Times New Roman" w:hAnsi="Times New Roman" w:cs="Times New Roman"/>
          <w:sz w:val="24"/>
        </w:rPr>
      </w:pPr>
      <w:r>
        <w:rPr>
          <w:rFonts w:ascii="Times New Roman" w:hAnsi="Times New Roman" w:cs="Times New Roman"/>
          <w:sz w:val="24"/>
        </w:rPr>
        <w:t>3.4在中华人民共和国境内注册，能够独立承担民事责任，有生产或供应能力的本国投标人。</w:t>
      </w:r>
    </w:p>
    <w:p>
      <w:pPr>
        <w:spacing w:line="360" w:lineRule="auto"/>
        <w:ind w:firstLine="435"/>
        <w:rPr>
          <w:rFonts w:ascii="Times New Roman" w:hAnsi="Times New Roman" w:cs="Times New Roman"/>
          <w:sz w:val="24"/>
        </w:rPr>
      </w:pPr>
      <w:r>
        <w:rPr>
          <w:rFonts w:ascii="Times New Roman" w:hAnsi="Times New Roman" w:cs="Times New Roman"/>
          <w:sz w:val="24"/>
        </w:rPr>
        <w:t>3.5若</w:t>
      </w:r>
      <w:r>
        <w:rPr>
          <w:rFonts w:ascii="Times New Roman" w:hAnsi="Times New Roman" w:cs="Times New Roman"/>
          <w:sz w:val="24"/>
          <w:u w:val="single"/>
        </w:rPr>
        <w:t>投标人须知前附表</w:t>
      </w:r>
      <w:r>
        <w:rPr>
          <w:rFonts w:ascii="Times New Roman" w:hAnsi="Times New Roman" w:cs="Times New Roman"/>
          <w:sz w:val="24"/>
        </w:rPr>
        <w:t>中允许联合体投标，对联合体规定如下：</w:t>
      </w:r>
    </w:p>
    <w:p>
      <w:pPr>
        <w:spacing w:line="360" w:lineRule="auto"/>
        <w:ind w:firstLine="435"/>
        <w:rPr>
          <w:rFonts w:ascii="Times New Roman" w:hAnsi="Times New Roman" w:cs="Times New Roman"/>
          <w:sz w:val="24"/>
        </w:rPr>
      </w:pPr>
      <w:r>
        <w:rPr>
          <w:rFonts w:ascii="Times New Roman" w:hAnsi="Times New Roman" w:cs="Times New Roman"/>
          <w:sz w:val="24"/>
        </w:rPr>
        <w:t>3.5.1两个以上投标人可以组成一个投标联合体，以一个投标人的身份投标。</w:t>
      </w:r>
    </w:p>
    <w:p>
      <w:pPr>
        <w:spacing w:line="360" w:lineRule="auto"/>
        <w:ind w:firstLine="435"/>
        <w:rPr>
          <w:rFonts w:ascii="Times New Roman" w:hAnsi="Times New Roman" w:cs="Times New Roman"/>
          <w:sz w:val="24"/>
        </w:rPr>
      </w:pPr>
      <w:r>
        <w:rPr>
          <w:rFonts w:ascii="Times New Roman" w:hAnsi="Times New Roman" w:cs="Times New Roman"/>
          <w:sz w:val="24"/>
        </w:rPr>
        <w:t>3.5.2联合体各方均应为在中华人民共和国境内注册，能够独立承担民事责任，有生产或供应能力的本国投标人。</w:t>
      </w:r>
    </w:p>
    <w:p>
      <w:pPr>
        <w:spacing w:line="360" w:lineRule="auto"/>
        <w:ind w:firstLine="435"/>
        <w:rPr>
          <w:rFonts w:ascii="Times New Roman" w:hAnsi="Times New Roman" w:cs="Times New Roman"/>
          <w:sz w:val="24"/>
        </w:rPr>
      </w:pPr>
      <w:r>
        <w:rPr>
          <w:rFonts w:ascii="Times New Roman" w:hAnsi="Times New Roman" w:cs="Times New Roman"/>
          <w:sz w:val="24"/>
        </w:rPr>
        <w:t>3.5.3招标人根据采购项目对投标人的特殊要求，联合体中至少应当有一方符合相关规定。</w:t>
      </w:r>
    </w:p>
    <w:p>
      <w:pPr>
        <w:spacing w:line="360" w:lineRule="auto"/>
        <w:ind w:firstLine="435"/>
        <w:rPr>
          <w:rFonts w:ascii="Times New Roman" w:hAnsi="Times New Roman" w:cs="Times New Roman"/>
          <w:sz w:val="24"/>
        </w:rPr>
      </w:pPr>
      <w:r>
        <w:rPr>
          <w:rFonts w:ascii="Times New Roman" w:hAnsi="Times New Roman" w:cs="Times New Roman"/>
          <w:sz w:val="24"/>
        </w:rPr>
        <w:t>3.5.4联合体各方应签订联合体协议，明确约定联合体各方承担的工作和相应的责任，并将联合体协议作为投标文件的一部分提交。</w:t>
      </w:r>
    </w:p>
    <w:p>
      <w:pPr>
        <w:spacing w:line="360" w:lineRule="auto"/>
        <w:ind w:firstLine="435"/>
        <w:rPr>
          <w:rFonts w:ascii="Times New Roman" w:hAnsi="Times New Roman" w:cs="Times New Roman"/>
          <w:sz w:val="24"/>
        </w:rPr>
      </w:pPr>
      <w:r>
        <w:rPr>
          <w:rFonts w:ascii="Times New Roman" w:hAnsi="Times New Roman" w:cs="Times New Roman"/>
          <w:sz w:val="24"/>
        </w:rPr>
        <w:t>3.5.5联合体中有同类资质的投标人按照联合体分工承担相同工作的，应当按照资质等级较低的投标人确定资质等级。</w:t>
      </w:r>
    </w:p>
    <w:p>
      <w:pPr>
        <w:spacing w:line="360" w:lineRule="auto"/>
        <w:ind w:firstLine="435"/>
        <w:rPr>
          <w:rFonts w:ascii="Times New Roman" w:hAnsi="Times New Roman" w:cs="Times New Roman"/>
          <w:sz w:val="24"/>
        </w:rPr>
      </w:pPr>
      <w:r>
        <w:rPr>
          <w:rFonts w:ascii="Times New Roman" w:hAnsi="Times New Roman" w:cs="Times New Roman"/>
          <w:sz w:val="24"/>
        </w:rPr>
        <w:t>3.5.6以联合体形式参加采购活动的，联合体各方不得再单独参加或者与其他投标人另外组成联合体参加本项目投标，否则相关投标将被认定为</w:t>
      </w:r>
      <w:r>
        <w:rPr>
          <w:rFonts w:ascii="Times New Roman" w:hAnsi="Times New Roman" w:cs="Times New Roman"/>
          <w:b/>
          <w:sz w:val="24"/>
        </w:rPr>
        <w:t>投标无效</w:t>
      </w:r>
      <w:r>
        <w:rPr>
          <w:rFonts w:ascii="Times New Roman" w:hAnsi="Times New Roman" w:cs="Times New Roman"/>
          <w:sz w:val="24"/>
        </w:rPr>
        <w:t>。</w:t>
      </w:r>
    </w:p>
    <w:p>
      <w:pPr>
        <w:spacing w:line="360" w:lineRule="auto"/>
        <w:ind w:firstLine="435"/>
        <w:rPr>
          <w:rFonts w:ascii="Times New Roman" w:hAnsi="Times New Roman" w:cs="Times New Roman"/>
          <w:sz w:val="24"/>
        </w:rPr>
      </w:pPr>
      <w:r>
        <w:rPr>
          <w:rFonts w:ascii="Times New Roman" w:hAnsi="Times New Roman" w:cs="Times New Roman"/>
          <w:sz w:val="24"/>
        </w:rPr>
        <w:t>3.5.7对联合体投标的其他资格要求见</w:t>
      </w:r>
      <w:r>
        <w:rPr>
          <w:rFonts w:ascii="Times New Roman" w:hAnsi="Times New Roman" w:cs="Times New Roman"/>
          <w:sz w:val="24"/>
          <w:u w:val="single"/>
        </w:rPr>
        <w:t>投标人资格</w:t>
      </w:r>
      <w:r>
        <w:rPr>
          <w:rFonts w:ascii="Times New Roman" w:hAnsi="Times New Roman" w:cs="Times New Roman"/>
          <w:sz w:val="24"/>
        </w:rPr>
        <w:t>。</w:t>
      </w:r>
    </w:p>
    <w:p>
      <w:pPr>
        <w:spacing w:line="360" w:lineRule="auto"/>
        <w:ind w:firstLine="435"/>
        <w:rPr>
          <w:rFonts w:ascii="Times New Roman" w:hAnsi="Times New Roman" w:cs="Times New Roman"/>
          <w:sz w:val="24"/>
        </w:rPr>
      </w:pPr>
      <w:r>
        <w:rPr>
          <w:rFonts w:ascii="Times New Roman" w:hAnsi="Times New Roman" w:cs="Times New Roman"/>
          <w:sz w:val="24"/>
        </w:rPr>
        <w:t>3.6单位负责人为同一人或者存在直接控股、管理关系的不同投标人，不得参加同一合同项下的采购活动。否则其投标将被认定为</w:t>
      </w:r>
      <w:r>
        <w:rPr>
          <w:rFonts w:ascii="Times New Roman" w:hAnsi="Times New Roman" w:cs="Times New Roman"/>
          <w:b/>
          <w:bCs/>
          <w:sz w:val="24"/>
        </w:rPr>
        <w:t>投标无效</w:t>
      </w:r>
      <w:r>
        <w:rPr>
          <w:rFonts w:ascii="Times New Roman" w:hAnsi="Times New Roman" w:cs="Times New Roman"/>
          <w:sz w:val="24"/>
        </w:rPr>
        <w:t>。</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4.资金来源</w:t>
      </w:r>
    </w:p>
    <w:p>
      <w:pPr>
        <w:spacing w:line="360" w:lineRule="auto"/>
        <w:ind w:firstLine="435"/>
        <w:rPr>
          <w:rFonts w:ascii="Times New Roman" w:hAnsi="Times New Roman" w:cs="Times New Roman"/>
          <w:sz w:val="24"/>
        </w:rPr>
      </w:pPr>
      <w:r>
        <w:rPr>
          <w:rFonts w:ascii="Times New Roman" w:hAnsi="Times New Roman" w:cs="Times New Roman"/>
          <w:sz w:val="24"/>
        </w:rPr>
        <w:t>4.1本项目的招标人已获得足以支付本次招标后所签订的合同项下的资金。</w:t>
      </w:r>
    </w:p>
    <w:p>
      <w:pPr>
        <w:spacing w:line="360" w:lineRule="auto"/>
        <w:ind w:firstLine="435"/>
        <w:rPr>
          <w:rFonts w:ascii="Times New Roman" w:hAnsi="Times New Roman" w:cs="Times New Roman"/>
          <w:sz w:val="24"/>
        </w:rPr>
      </w:pPr>
      <w:bookmarkStart w:id="20" w:name="_Hlk11702998"/>
      <w:r>
        <w:rPr>
          <w:rFonts w:ascii="Times New Roman" w:hAnsi="Times New Roman" w:cs="Times New Roman"/>
          <w:sz w:val="24"/>
        </w:rPr>
        <w:t>4.2</w:t>
      </w:r>
      <w:r>
        <w:rPr>
          <w:rFonts w:ascii="Times New Roman" w:hAnsi="Times New Roman" w:cs="Times New Roman" w:eastAsiaTheme="minorEastAsia"/>
          <w:sz w:val="24"/>
        </w:rPr>
        <w:t>项目预算金额或分项（或分标段）预算金额见</w:t>
      </w:r>
      <w:r>
        <w:rPr>
          <w:rFonts w:ascii="Times New Roman" w:hAnsi="Times New Roman" w:cs="Times New Roman"/>
          <w:sz w:val="24"/>
          <w:u w:val="single"/>
        </w:rPr>
        <w:t>投标邀请（招标公告）</w:t>
      </w:r>
      <w:r>
        <w:rPr>
          <w:rFonts w:ascii="Times New Roman" w:hAnsi="Times New Roman" w:cs="Times New Roman"/>
          <w:sz w:val="24"/>
        </w:rPr>
        <w:t>。</w:t>
      </w:r>
    </w:p>
    <w:bookmarkEnd w:id="20"/>
    <w:p>
      <w:pPr>
        <w:spacing w:line="360" w:lineRule="auto"/>
        <w:ind w:firstLine="437"/>
        <w:outlineLvl w:val="3"/>
        <w:rPr>
          <w:rFonts w:ascii="Times New Roman" w:hAnsi="Times New Roman" w:cs="Times New Roman"/>
          <w:b/>
          <w:sz w:val="24"/>
        </w:rPr>
      </w:pPr>
      <w:r>
        <w:rPr>
          <w:rFonts w:ascii="Times New Roman" w:hAnsi="Times New Roman" w:cs="Times New Roman"/>
          <w:b/>
          <w:sz w:val="24"/>
        </w:rPr>
        <w:t>5.投标费用</w:t>
      </w:r>
    </w:p>
    <w:p>
      <w:pPr>
        <w:spacing w:line="360" w:lineRule="auto"/>
        <w:ind w:firstLine="435"/>
        <w:rPr>
          <w:rFonts w:ascii="Times New Roman" w:hAnsi="Times New Roman" w:cs="Times New Roman"/>
          <w:sz w:val="24"/>
        </w:rPr>
      </w:pPr>
      <w:r>
        <w:rPr>
          <w:rFonts w:ascii="Times New Roman" w:hAnsi="Times New Roman" w:cs="Times New Roman"/>
          <w:sz w:val="24"/>
        </w:rPr>
        <w:t>不论投标的结果如何，投标人应承担所有与准备和参加投标有关的费用。</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6.适用法律</w:t>
      </w:r>
    </w:p>
    <w:p>
      <w:pPr>
        <w:spacing w:line="360" w:lineRule="auto"/>
        <w:ind w:firstLine="435"/>
        <w:rPr>
          <w:rFonts w:ascii="Times New Roman" w:hAnsi="Times New Roman" w:cs="Times New Roman"/>
          <w:sz w:val="24"/>
        </w:rPr>
      </w:pPr>
      <w:r>
        <w:rPr>
          <w:rFonts w:ascii="Times New Roman" w:hAnsi="Times New Roman" w:cs="Times New Roman"/>
          <w:sz w:val="24"/>
        </w:rPr>
        <w:t>本项目招标人、投标人的相关行为和权利受招标人有关规定及本项目招标文件的约束和保护。</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7.招标文件构成</w:t>
      </w:r>
    </w:p>
    <w:p>
      <w:pPr>
        <w:spacing w:line="360" w:lineRule="auto"/>
        <w:ind w:firstLine="435"/>
        <w:rPr>
          <w:rFonts w:ascii="Times New Roman" w:hAnsi="Times New Roman" w:cs="Times New Roman"/>
          <w:sz w:val="24"/>
        </w:rPr>
      </w:pPr>
      <w:r>
        <w:rPr>
          <w:rFonts w:ascii="Times New Roman" w:hAnsi="Times New Roman" w:cs="Times New Roman"/>
          <w:sz w:val="24"/>
        </w:rPr>
        <w:t>7.1招标文件包括下列内容：</w:t>
      </w:r>
    </w:p>
    <w:p>
      <w:pPr>
        <w:spacing w:line="360" w:lineRule="auto"/>
        <w:ind w:firstLine="840" w:firstLineChars="350"/>
        <w:rPr>
          <w:rFonts w:ascii="Times New Roman" w:hAnsi="Times New Roman" w:cs="Times New Roman"/>
          <w:sz w:val="24"/>
        </w:rPr>
      </w:pPr>
      <w:r>
        <w:rPr>
          <w:rFonts w:ascii="Times New Roman" w:hAnsi="Times New Roman" w:cs="Times New Roman"/>
          <w:sz w:val="24"/>
        </w:rPr>
        <w:t>第一章  投标邀请（招标公告）</w:t>
      </w:r>
    </w:p>
    <w:p>
      <w:pPr>
        <w:spacing w:line="360" w:lineRule="auto"/>
        <w:ind w:firstLine="840" w:firstLineChars="350"/>
        <w:rPr>
          <w:rFonts w:ascii="Times New Roman" w:hAnsi="Times New Roman" w:cs="Times New Roman"/>
          <w:sz w:val="24"/>
        </w:rPr>
      </w:pPr>
      <w:r>
        <w:rPr>
          <w:rFonts w:ascii="Times New Roman" w:hAnsi="Times New Roman" w:cs="Times New Roman"/>
          <w:sz w:val="24"/>
        </w:rPr>
        <w:t>第二章  投标人须知</w:t>
      </w:r>
    </w:p>
    <w:p>
      <w:pPr>
        <w:spacing w:line="360" w:lineRule="auto"/>
        <w:ind w:firstLine="840" w:firstLineChars="350"/>
        <w:rPr>
          <w:rFonts w:ascii="Times New Roman" w:hAnsi="Times New Roman" w:cs="Times New Roman"/>
          <w:sz w:val="24"/>
        </w:rPr>
      </w:pPr>
      <w:r>
        <w:rPr>
          <w:rFonts w:ascii="Times New Roman" w:hAnsi="Times New Roman" w:cs="Times New Roman"/>
          <w:sz w:val="24"/>
        </w:rPr>
        <w:t>第三章  招标需求</w:t>
      </w:r>
    </w:p>
    <w:p>
      <w:pPr>
        <w:spacing w:line="360" w:lineRule="auto"/>
        <w:ind w:firstLine="840" w:firstLineChars="350"/>
        <w:rPr>
          <w:rFonts w:ascii="Times New Roman" w:hAnsi="Times New Roman" w:cs="Times New Roman"/>
          <w:sz w:val="24"/>
        </w:rPr>
      </w:pPr>
      <w:r>
        <w:rPr>
          <w:rFonts w:ascii="Times New Roman" w:hAnsi="Times New Roman" w:cs="Times New Roman"/>
          <w:sz w:val="24"/>
        </w:rPr>
        <w:t>第四章  评标方法和标准</w:t>
      </w:r>
    </w:p>
    <w:p>
      <w:pPr>
        <w:spacing w:line="360" w:lineRule="auto"/>
        <w:ind w:firstLine="840" w:firstLineChars="350"/>
        <w:rPr>
          <w:rFonts w:ascii="Times New Roman" w:hAnsi="Times New Roman" w:cs="Times New Roman"/>
          <w:sz w:val="24"/>
        </w:rPr>
      </w:pPr>
      <w:r>
        <w:rPr>
          <w:rFonts w:ascii="Times New Roman" w:hAnsi="Times New Roman" w:cs="Times New Roman"/>
          <w:sz w:val="24"/>
        </w:rPr>
        <w:t>第五章  合同模板</w:t>
      </w:r>
    </w:p>
    <w:p>
      <w:pPr>
        <w:spacing w:line="360" w:lineRule="auto"/>
        <w:ind w:firstLine="840" w:firstLineChars="350"/>
        <w:rPr>
          <w:rFonts w:ascii="Times New Roman" w:hAnsi="Times New Roman" w:cs="Times New Roman"/>
          <w:sz w:val="24"/>
        </w:rPr>
      </w:pPr>
      <w:r>
        <w:rPr>
          <w:rFonts w:ascii="Times New Roman" w:hAnsi="Times New Roman" w:cs="Times New Roman"/>
          <w:sz w:val="24"/>
        </w:rPr>
        <w:t>第六章  投标文件格式</w:t>
      </w:r>
    </w:p>
    <w:p>
      <w:pPr>
        <w:spacing w:line="360" w:lineRule="auto"/>
        <w:ind w:firstLine="435"/>
        <w:rPr>
          <w:rFonts w:ascii="Times New Roman" w:hAnsi="Times New Roman" w:cs="Times New Roman"/>
          <w:sz w:val="24"/>
        </w:rPr>
      </w:pPr>
      <w:r>
        <w:rPr>
          <w:rFonts w:ascii="Times New Roman" w:hAnsi="Times New Roman" w:cs="Times New Roman"/>
          <w:sz w:val="24"/>
        </w:rPr>
        <w:t>7.2招标文件中有不一致的，有澄清的部分以最终的澄清更正内容为准。</w:t>
      </w:r>
    </w:p>
    <w:p>
      <w:pPr>
        <w:spacing w:line="360" w:lineRule="auto"/>
        <w:ind w:firstLine="435"/>
        <w:rPr>
          <w:rFonts w:ascii="Times New Roman" w:hAnsi="Times New Roman" w:cs="Times New Roman"/>
          <w:sz w:val="24"/>
        </w:rPr>
      </w:pPr>
      <w:r>
        <w:rPr>
          <w:rFonts w:ascii="Times New Roman" w:hAnsi="Times New Roman" w:cs="Times New Roman"/>
          <w:sz w:val="24"/>
        </w:rPr>
        <w:t>7.3现场考察及相关事项见</w:t>
      </w:r>
      <w:r>
        <w:rPr>
          <w:rFonts w:ascii="Times New Roman" w:hAnsi="Times New Roman" w:cs="Times New Roman"/>
          <w:sz w:val="24"/>
          <w:u w:val="single"/>
        </w:rPr>
        <w:t>投标人须知前附表</w:t>
      </w:r>
      <w:r>
        <w:rPr>
          <w:rFonts w:ascii="Times New Roman" w:hAnsi="Times New Roman" w:cs="Times New Roman"/>
          <w:sz w:val="24"/>
        </w:rPr>
        <w:t>。</w:t>
      </w:r>
    </w:p>
    <w:p>
      <w:pPr>
        <w:spacing w:line="360" w:lineRule="auto"/>
        <w:ind w:firstLine="435"/>
        <w:rPr>
          <w:rFonts w:ascii="Times New Roman" w:hAnsi="Times New Roman" w:cs="Times New Roman"/>
          <w:sz w:val="24"/>
        </w:rPr>
      </w:pPr>
      <w:r>
        <w:rPr>
          <w:rFonts w:ascii="Times New Roman" w:hAnsi="Times New Roman" w:cs="Times New Roman"/>
          <w:sz w:val="24"/>
        </w:rPr>
        <w:t>7.4</w:t>
      </w:r>
      <w:r>
        <w:rPr>
          <w:rFonts w:hint="eastAsia" w:ascii="Times New Roman" w:hAnsi="Times New Roman" w:cs="Times New Roman"/>
          <w:sz w:val="24"/>
        </w:rPr>
        <w:t>本次招标需要</w:t>
      </w:r>
      <w:r>
        <w:rPr>
          <w:rFonts w:ascii="Times New Roman" w:hAnsi="Times New Roman" w:cs="Times New Roman"/>
          <w:sz w:val="24"/>
        </w:rPr>
        <w:t>提供</w:t>
      </w:r>
      <w:r>
        <w:rPr>
          <w:rFonts w:hint="eastAsia" w:ascii="Times New Roman" w:hAnsi="Times New Roman" w:cs="Times New Roman"/>
          <w:sz w:val="24"/>
        </w:rPr>
        <w:t>部分</w:t>
      </w:r>
      <w:r>
        <w:rPr>
          <w:rFonts w:ascii="Times New Roman" w:hAnsi="Times New Roman" w:cs="Times New Roman"/>
          <w:sz w:val="24"/>
        </w:rPr>
        <w:t>样品，对样品相关要求见采购需求，对样品的评审方法及评审标准见招标文件第四章。</w:t>
      </w:r>
    </w:p>
    <w:p>
      <w:pPr>
        <w:spacing w:line="360" w:lineRule="auto"/>
        <w:ind w:firstLine="435"/>
        <w:rPr>
          <w:rFonts w:ascii="Times New Roman" w:hAnsi="Times New Roman" w:cs="Times New Roman"/>
          <w:sz w:val="24"/>
        </w:rPr>
      </w:pPr>
      <w:r>
        <w:rPr>
          <w:rFonts w:ascii="Times New Roman" w:hAnsi="Times New Roman" w:cs="Times New Roman"/>
          <w:sz w:val="24"/>
        </w:rPr>
        <w:t>7.5投标人应认真阅读招标文件所有的事项、格式、条款和技术规范等。</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8.招标文件的澄清与修改</w:t>
      </w:r>
    </w:p>
    <w:p>
      <w:pPr>
        <w:spacing w:line="360" w:lineRule="auto"/>
        <w:ind w:firstLine="435"/>
        <w:rPr>
          <w:rFonts w:ascii="Times New Roman" w:hAnsi="Times New Roman" w:cs="Times New Roman"/>
          <w:sz w:val="24"/>
        </w:rPr>
      </w:pPr>
      <w:r>
        <w:rPr>
          <w:rFonts w:ascii="Times New Roman" w:hAnsi="Times New Roman" w:cs="Times New Roman"/>
          <w:sz w:val="24"/>
        </w:rPr>
        <w:t>8.1投标人如对招标文件内容有疑问，应以书面形式（如传真、邮件等）通知招标人。招标人对需要做出澄清的问题，以澄清和修改通知的方式予以答复。</w:t>
      </w:r>
    </w:p>
    <w:p>
      <w:pPr>
        <w:spacing w:line="360" w:lineRule="auto"/>
        <w:ind w:firstLine="435"/>
        <w:rPr>
          <w:rFonts w:ascii="Times New Roman" w:hAnsi="Times New Roman" w:cs="Times New Roman"/>
          <w:sz w:val="24"/>
        </w:rPr>
      </w:pPr>
      <w:r>
        <w:rPr>
          <w:rFonts w:ascii="Times New Roman" w:hAnsi="Times New Roman" w:cs="Times New Roman"/>
          <w:sz w:val="24"/>
        </w:rPr>
        <w:t>8.2招标人可主动或在解答投标人提出的问题时对招标文件进行澄清或者修改。</w:t>
      </w:r>
    </w:p>
    <w:p>
      <w:pPr>
        <w:spacing w:line="360" w:lineRule="auto"/>
        <w:ind w:firstLine="435"/>
        <w:rPr>
          <w:rFonts w:ascii="Times New Roman" w:hAnsi="Times New Roman" w:cs="Times New Roman"/>
          <w:sz w:val="24"/>
        </w:rPr>
      </w:pPr>
      <w:r>
        <w:rPr>
          <w:rFonts w:ascii="Times New Roman" w:hAnsi="Times New Roman" w:cs="Times New Roman"/>
          <w:sz w:val="24"/>
        </w:rPr>
        <w:t>8.3任何人或任何组织向投标人提供的任何书面或口头资料，未经招标人在网上发布或书面通知，均作无效处理，不得作为招标文件的组成部分。</w:t>
      </w:r>
    </w:p>
    <w:p>
      <w:pPr>
        <w:spacing w:line="360" w:lineRule="auto"/>
        <w:ind w:firstLine="435"/>
        <w:rPr>
          <w:rFonts w:ascii="Times New Roman" w:hAnsi="Times New Roman" w:cs="Times New Roman"/>
          <w:i/>
          <w:iCs/>
          <w:sz w:val="24"/>
        </w:rPr>
      </w:pPr>
      <w:r>
        <w:rPr>
          <w:rFonts w:ascii="Times New Roman" w:hAnsi="Times New Roman" w:cs="Times New Roman"/>
          <w:sz w:val="24"/>
        </w:rPr>
        <w:t>8.4对于没有提出疑问又参与了本项目投标的投标人将被视为完全认同本招标文件（含更正公告的内容）</w:t>
      </w:r>
      <w:r>
        <w:rPr>
          <w:rFonts w:ascii="Times New Roman" w:hAnsi="Times New Roman" w:cs="Times New Roman"/>
          <w:i/>
          <w:sz w:val="24"/>
        </w:rPr>
        <w:t>。</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9.投标范围及投标文件中标准和计量单位的使用</w:t>
      </w:r>
    </w:p>
    <w:p>
      <w:pPr>
        <w:spacing w:line="360" w:lineRule="auto"/>
        <w:ind w:firstLine="435"/>
        <w:rPr>
          <w:rFonts w:ascii="Times New Roman" w:hAnsi="Times New Roman" w:cs="Times New Roman"/>
          <w:sz w:val="24"/>
        </w:rPr>
      </w:pPr>
      <w:r>
        <w:rPr>
          <w:rFonts w:ascii="Times New Roman" w:hAnsi="Times New Roman" w:cs="Times New Roman"/>
          <w:sz w:val="24"/>
        </w:rPr>
        <w:t>9.1</w:t>
      </w:r>
      <w:r>
        <w:rPr>
          <w:rFonts w:ascii="Times New Roman" w:hAnsi="Times New Roman" w:cs="Times New Roman" w:eastAsiaTheme="minorEastAsia"/>
          <w:sz w:val="24"/>
        </w:rPr>
        <w:t>项目有划分标段的，投标人可参与其中某一个或多个标段的投标，中标标段数详见</w:t>
      </w:r>
      <w:r>
        <w:rPr>
          <w:rFonts w:ascii="Times New Roman" w:hAnsi="Times New Roman" w:cs="Times New Roman" w:eastAsiaTheme="minorEastAsia"/>
          <w:sz w:val="24"/>
          <w:u w:val="single"/>
        </w:rPr>
        <w:t>投标人须知前附表</w:t>
      </w:r>
      <w:r>
        <w:rPr>
          <w:rFonts w:ascii="Times New Roman" w:hAnsi="Times New Roman" w:cs="Times New Roman" w:eastAsiaTheme="minorEastAsia"/>
          <w:sz w:val="24"/>
        </w:rPr>
        <w:t>中规定。</w:t>
      </w:r>
    </w:p>
    <w:p>
      <w:pPr>
        <w:spacing w:line="360" w:lineRule="auto"/>
        <w:ind w:firstLine="435"/>
        <w:rPr>
          <w:rFonts w:ascii="Times New Roman" w:hAnsi="Times New Roman" w:cs="Times New Roman"/>
          <w:sz w:val="24"/>
        </w:rPr>
      </w:pPr>
      <w:bookmarkStart w:id="21" w:name="_Hlk16458980"/>
      <w:r>
        <w:rPr>
          <w:rFonts w:ascii="Times New Roman" w:hAnsi="Times New Roman" w:cs="Times New Roman"/>
          <w:sz w:val="24"/>
        </w:rPr>
        <w:t>9.2无论招标文件中是否要求，投标人所投货物及伴随的服务和工程均应符合国家强制性标准。</w:t>
      </w:r>
    </w:p>
    <w:bookmarkEnd w:id="21"/>
    <w:p>
      <w:pPr>
        <w:spacing w:line="360" w:lineRule="auto"/>
        <w:ind w:firstLine="435"/>
        <w:rPr>
          <w:rFonts w:ascii="Times New Roman" w:hAnsi="Times New Roman" w:cs="Times New Roman"/>
          <w:sz w:val="24"/>
        </w:rPr>
      </w:pPr>
      <w:r>
        <w:rPr>
          <w:rFonts w:ascii="Times New Roman" w:hAnsi="Times New Roman" w:cs="Times New Roman"/>
          <w:sz w:val="24"/>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pPr>
        <w:spacing w:line="360" w:lineRule="auto"/>
        <w:ind w:firstLine="435"/>
        <w:rPr>
          <w:rFonts w:ascii="Times New Roman" w:hAnsi="Times New Roman" w:cs="Times New Roman"/>
          <w:sz w:val="24"/>
        </w:rPr>
      </w:pPr>
      <w:r>
        <w:rPr>
          <w:rFonts w:ascii="Times New Roman" w:hAnsi="Times New Roman" w:cs="Times New Roman"/>
          <w:sz w:val="24"/>
        </w:rPr>
        <w:t>9.4除招标文件中有特殊要求外，投标文件中所使用的计量单位，应采用中华人民共和国法定计量单位。</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10.投标文件构成</w:t>
      </w:r>
    </w:p>
    <w:p>
      <w:pPr>
        <w:spacing w:line="360" w:lineRule="auto"/>
        <w:ind w:firstLine="435"/>
        <w:rPr>
          <w:rFonts w:ascii="Times New Roman" w:hAnsi="Times New Roman" w:cs="Times New Roman"/>
          <w:sz w:val="24"/>
        </w:rPr>
      </w:pPr>
      <w:r>
        <w:rPr>
          <w:rFonts w:ascii="Times New Roman" w:hAnsi="Times New Roman" w:cs="Times New Roman"/>
          <w:sz w:val="24"/>
        </w:rPr>
        <w:t>10.1投标人应完整地按招标文件提供的投标文件格式及要求编写投标文件，具体内容详见本项目第六章投标文件格式的相关内容。</w:t>
      </w:r>
    </w:p>
    <w:p>
      <w:pPr>
        <w:spacing w:line="360" w:lineRule="auto"/>
        <w:ind w:firstLine="435"/>
        <w:rPr>
          <w:rFonts w:ascii="Times New Roman" w:hAnsi="Times New Roman" w:cs="Times New Roman"/>
          <w:sz w:val="24"/>
        </w:rPr>
      </w:pPr>
      <w:r>
        <w:rPr>
          <w:rFonts w:ascii="Times New Roman" w:hAnsi="Times New Roman" w:cs="Times New Roman"/>
          <w:sz w:val="24"/>
        </w:rPr>
        <w:t>10.2上述文件应按照招标文件规定的格式填写、签署和盖章。</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11.证明投标标的的合格性和符合招标文件规定的技术文件</w:t>
      </w:r>
    </w:p>
    <w:p>
      <w:pPr>
        <w:spacing w:line="360" w:lineRule="auto"/>
        <w:ind w:firstLine="435"/>
        <w:rPr>
          <w:rFonts w:ascii="Times New Roman" w:hAnsi="Times New Roman" w:cs="Times New Roman"/>
          <w:sz w:val="24"/>
        </w:rPr>
      </w:pPr>
      <w:r>
        <w:rPr>
          <w:rFonts w:ascii="Times New Roman" w:hAnsi="Times New Roman" w:cs="Times New Roman"/>
          <w:sz w:val="24"/>
        </w:rPr>
        <w:t>11.1投标人应提交证明文件，证明其投标内容符合招标文件规定。该证明文件是投标文件的一部分。</w:t>
      </w:r>
    </w:p>
    <w:p>
      <w:pPr>
        <w:spacing w:line="360" w:lineRule="auto"/>
        <w:ind w:firstLine="435"/>
        <w:rPr>
          <w:rFonts w:ascii="Times New Roman" w:hAnsi="Times New Roman" w:cs="Times New Roman"/>
          <w:sz w:val="24"/>
        </w:rPr>
      </w:pPr>
      <w:r>
        <w:rPr>
          <w:rFonts w:ascii="Times New Roman" w:hAnsi="Times New Roman" w:cs="Times New Roman"/>
          <w:sz w:val="24"/>
        </w:rPr>
        <w:t>11.2上款所述的证明文件，可以是文字资料、图纸和数据</w:t>
      </w:r>
      <w:bookmarkStart w:id="22" w:name="_Hlk11703583"/>
      <w:r>
        <w:rPr>
          <w:rFonts w:ascii="Times New Roman" w:hAnsi="Times New Roman" w:cs="Times New Roman"/>
          <w:sz w:val="24"/>
        </w:rPr>
        <w:t>。</w:t>
      </w:r>
    </w:p>
    <w:bookmarkEnd w:id="22"/>
    <w:p>
      <w:pPr>
        <w:spacing w:line="360" w:lineRule="auto"/>
        <w:ind w:firstLine="435"/>
        <w:rPr>
          <w:rFonts w:ascii="Times New Roman" w:hAnsi="Times New Roman" w:cs="Times New Roman"/>
          <w:sz w:val="24"/>
        </w:rPr>
      </w:pPr>
      <w:r>
        <w:rPr>
          <w:rFonts w:ascii="Times New Roman" w:hAnsi="Times New Roman" w:cs="Times New Roman"/>
          <w:sz w:val="24"/>
        </w:rPr>
        <w:t>11.3本条所指证明文件不包括对招标文件相关部分的文字、图标的复制。</w:t>
      </w:r>
    </w:p>
    <w:p>
      <w:pPr>
        <w:spacing w:line="360" w:lineRule="auto"/>
        <w:ind w:firstLine="435"/>
        <w:rPr>
          <w:rFonts w:ascii="Times New Roman" w:hAnsi="Times New Roman" w:cs="Times New Roman"/>
          <w:sz w:val="24"/>
        </w:rPr>
      </w:pPr>
      <w:r>
        <w:rPr>
          <w:rFonts w:ascii="Times New Roman" w:hAnsi="Times New Roman" w:cs="Times New Roman"/>
          <w:sz w:val="24"/>
        </w:rPr>
        <w:t>11.4为保证公平公正，除非另有规定或说明，投标人对同一项目投标时，不得同时提供备选投标方案。</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12.投标报价</w:t>
      </w:r>
    </w:p>
    <w:p>
      <w:pPr>
        <w:spacing w:line="360" w:lineRule="auto"/>
        <w:ind w:firstLine="435"/>
        <w:rPr>
          <w:rFonts w:ascii="Times New Roman" w:hAnsi="Times New Roman" w:cs="Times New Roman"/>
          <w:sz w:val="24"/>
        </w:rPr>
      </w:pPr>
      <w:r>
        <w:rPr>
          <w:rFonts w:ascii="Times New Roman" w:hAnsi="Times New Roman" w:cs="Times New Roman"/>
          <w:sz w:val="24"/>
        </w:rPr>
        <w:t>12.1投标人的报价应当包括满足本次招标全部采购需求所应提供的货物，以及伴随的服务和工程。所有投标均应以人民币报价。投标人的投标报价应遵守《中华人民共和国价格法》。</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12.2除非招标文件另有规定或经招标人同意支付的，最后报价均不得高于招标文件（公告）列明的项目预算，否则其投标文件将被认定为</w:t>
      </w:r>
      <w:r>
        <w:rPr>
          <w:rFonts w:ascii="Times New Roman" w:hAnsi="Times New Roman" w:cs="Times New Roman" w:eastAsiaTheme="minorEastAsia"/>
          <w:b/>
          <w:sz w:val="24"/>
        </w:rPr>
        <w:t>投标无效</w:t>
      </w:r>
      <w:r>
        <w:rPr>
          <w:rFonts w:ascii="Times New Roman" w:hAnsi="Times New Roman" w:cs="Times New Roman" w:eastAsiaTheme="minorEastAsia"/>
          <w:sz w:val="24"/>
        </w:rPr>
        <w:t>。</w:t>
      </w:r>
    </w:p>
    <w:p>
      <w:pPr>
        <w:spacing w:line="360" w:lineRule="auto"/>
        <w:ind w:firstLine="435"/>
        <w:rPr>
          <w:rFonts w:ascii="Times New Roman" w:hAnsi="Times New Roman" w:cs="Times New Roman"/>
          <w:sz w:val="24"/>
        </w:rPr>
      </w:pPr>
      <w:r>
        <w:rPr>
          <w:rFonts w:ascii="Times New Roman" w:hAnsi="Times New Roman" w:cs="Times New Roman"/>
          <w:sz w:val="24"/>
        </w:rPr>
        <w:t>12.3投标报价在合同履行过程中是固定不变的，不得以任何理由予以变更。任何包含价格调整要求的投标，其投标将被认定为</w:t>
      </w:r>
      <w:r>
        <w:rPr>
          <w:rFonts w:ascii="Times New Roman" w:hAnsi="Times New Roman" w:cs="Times New Roman"/>
          <w:b/>
          <w:sz w:val="24"/>
        </w:rPr>
        <w:t>投标无效</w:t>
      </w:r>
      <w:r>
        <w:rPr>
          <w:rFonts w:ascii="Times New Roman" w:hAnsi="Times New Roman" w:cs="Times New Roman"/>
          <w:sz w:val="24"/>
        </w:rPr>
        <w:t>。</w:t>
      </w:r>
    </w:p>
    <w:p>
      <w:pPr>
        <w:spacing w:line="360" w:lineRule="auto"/>
        <w:ind w:firstLine="435"/>
        <w:rPr>
          <w:rFonts w:ascii="Times New Roman" w:hAnsi="Times New Roman" w:cs="Times New Roman"/>
          <w:sz w:val="24"/>
        </w:rPr>
      </w:pPr>
      <w:r>
        <w:rPr>
          <w:rFonts w:ascii="Times New Roman" w:hAnsi="Times New Roman" w:cs="Times New Roman"/>
          <w:sz w:val="24"/>
        </w:rPr>
        <w:t>12.4招标人不接受具有附加条件的报价。</w:t>
      </w:r>
    </w:p>
    <w:p>
      <w:pPr>
        <w:numPr>
          <w:ilvl w:val="0"/>
          <w:numId w:val="2"/>
        </w:numPr>
        <w:spacing w:line="360" w:lineRule="auto"/>
        <w:ind w:firstLine="437"/>
        <w:outlineLvl w:val="3"/>
        <w:rPr>
          <w:rFonts w:ascii="Times New Roman" w:hAnsi="Times New Roman" w:cs="Times New Roman"/>
          <w:b/>
          <w:sz w:val="24"/>
        </w:rPr>
      </w:pPr>
      <w:r>
        <w:rPr>
          <w:rFonts w:ascii="Times New Roman" w:hAnsi="Times New Roman" w:cs="Times New Roman"/>
          <w:b/>
          <w:sz w:val="24"/>
        </w:rPr>
        <w:t>投标保证金</w:t>
      </w:r>
    </w:p>
    <w:p>
      <w:pPr>
        <w:spacing w:line="360" w:lineRule="auto"/>
        <w:ind w:firstLine="437"/>
        <w:outlineLvl w:val="3"/>
        <w:rPr>
          <w:rFonts w:ascii="Times New Roman" w:hAnsi="Times New Roman" w:cs="Times New Roman"/>
          <w:sz w:val="24"/>
        </w:rPr>
      </w:pPr>
      <w:r>
        <w:rPr>
          <w:rFonts w:ascii="Times New Roman" w:hAnsi="Times New Roman" w:cs="Times New Roman"/>
          <w:sz w:val="24"/>
        </w:rPr>
        <w:t>中标人应按照</w:t>
      </w:r>
      <w:r>
        <w:rPr>
          <w:rFonts w:ascii="Times New Roman" w:hAnsi="Times New Roman" w:cs="Times New Roman"/>
          <w:sz w:val="24"/>
          <w:u w:val="single"/>
        </w:rPr>
        <w:t>投标人须知前附表</w:t>
      </w:r>
      <w:r>
        <w:rPr>
          <w:rFonts w:ascii="Times New Roman" w:hAnsi="Times New Roman" w:cs="Times New Roman"/>
          <w:sz w:val="24"/>
        </w:rPr>
        <w:t>规定缴纳投标保证金。</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14.投标有效期</w:t>
      </w:r>
    </w:p>
    <w:p>
      <w:pPr>
        <w:spacing w:line="360" w:lineRule="auto"/>
        <w:ind w:firstLine="435"/>
        <w:rPr>
          <w:rFonts w:ascii="Times New Roman" w:hAnsi="Times New Roman" w:cs="Times New Roman"/>
          <w:sz w:val="24"/>
        </w:rPr>
      </w:pPr>
      <w:r>
        <w:rPr>
          <w:rFonts w:ascii="Times New Roman" w:hAnsi="Times New Roman" w:cs="Times New Roman"/>
          <w:sz w:val="24"/>
        </w:rPr>
        <w:t>14.1投标有效期为从投标截止之日算起的日历天数，投标有效期详见</w:t>
      </w:r>
      <w:r>
        <w:rPr>
          <w:rFonts w:ascii="Times New Roman" w:hAnsi="Times New Roman" w:cs="Times New Roman"/>
          <w:sz w:val="24"/>
          <w:u w:val="single"/>
        </w:rPr>
        <w:t>投标人须知前附表</w:t>
      </w:r>
      <w:r>
        <w:rPr>
          <w:rFonts w:ascii="Times New Roman" w:hAnsi="Times New Roman" w:cs="Times New Roman"/>
          <w:sz w:val="24"/>
        </w:rPr>
        <w:t>。</w:t>
      </w:r>
    </w:p>
    <w:p>
      <w:pPr>
        <w:spacing w:line="360" w:lineRule="auto"/>
        <w:ind w:firstLine="435"/>
        <w:rPr>
          <w:rFonts w:ascii="Times New Roman" w:hAnsi="Times New Roman" w:cs="Times New Roman"/>
          <w:sz w:val="24"/>
        </w:rPr>
      </w:pPr>
      <w:r>
        <w:rPr>
          <w:rFonts w:ascii="Times New Roman" w:hAnsi="Times New Roman" w:cs="Times New Roman"/>
          <w:sz w:val="24"/>
        </w:rPr>
        <w:t>14.2在投标有效期内，投标人的投标保持有效，投标人不得要求撤销或修改其投标文件。投标有效期不满足要求的投标，其投标将被认定为</w:t>
      </w:r>
      <w:r>
        <w:rPr>
          <w:rFonts w:ascii="Times New Roman" w:hAnsi="Times New Roman" w:cs="Times New Roman"/>
          <w:b/>
          <w:sz w:val="24"/>
        </w:rPr>
        <w:t>投标无效</w:t>
      </w:r>
      <w:r>
        <w:rPr>
          <w:rFonts w:ascii="Times New Roman" w:hAnsi="Times New Roman" w:cs="Times New Roman"/>
          <w:sz w:val="24"/>
        </w:rPr>
        <w:t>。</w:t>
      </w:r>
    </w:p>
    <w:p>
      <w:pPr>
        <w:spacing w:line="360" w:lineRule="auto"/>
        <w:ind w:firstLine="435"/>
        <w:rPr>
          <w:rFonts w:ascii="Times New Roman" w:hAnsi="Times New Roman" w:cs="Times New Roman"/>
          <w:sz w:val="24"/>
        </w:rPr>
      </w:pPr>
      <w:r>
        <w:rPr>
          <w:rFonts w:ascii="Times New Roman" w:hAnsi="Times New Roman" w:cs="Times New Roman"/>
          <w:sz w:val="24"/>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15.投标文件的制作</w:t>
      </w:r>
    </w:p>
    <w:p>
      <w:pPr>
        <w:spacing w:line="360" w:lineRule="auto"/>
        <w:ind w:firstLine="435"/>
        <w:jc w:val="left"/>
        <w:rPr>
          <w:rFonts w:ascii="Times New Roman" w:hAnsi="Times New Roman" w:cs="Times New Roman"/>
          <w:sz w:val="24"/>
        </w:rPr>
      </w:pPr>
      <w:r>
        <w:rPr>
          <w:rFonts w:ascii="Times New Roman" w:hAnsi="Times New Roman" w:cs="Times New Roman"/>
          <w:sz w:val="24"/>
        </w:rPr>
        <w:t>15.1投标文件份数</w:t>
      </w:r>
    </w:p>
    <w:p>
      <w:pPr>
        <w:spacing w:line="360" w:lineRule="auto"/>
        <w:ind w:firstLine="435"/>
        <w:jc w:val="left"/>
        <w:rPr>
          <w:rFonts w:ascii="Times New Roman" w:hAnsi="Times New Roman" w:cs="Times New Roman"/>
          <w:sz w:val="24"/>
        </w:rPr>
      </w:pPr>
      <w:r>
        <w:rPr>
          <w:rFonts w:ascii="Times New Roman" w:hAnsi="Times New Roman" w:cs="Times New Roman"/>
          <w:sz w:val="24"/>
        </w:rPr>
        <w:t>15.1.1投标人应按照</w:t>
      </w:r>
      <w:r>
        <w:rPr>
          <w:rFonts w:ascii="Times New Roman" w:hAnsi="Times New Roman" w:cs="Times New Roman"/>
          <w:sz w:val="24"/>
          <w:u w:val="single"/>
        </w:rPr>
        <w:t>投标人须知前附表</w:t>
      </w:r>
      <w:r>
        <w:rPr>
          <w:rFonts w:ascii="Times New Roman" w:hAnsi="Times New Roman" w:cs="Times New Roman"/>
          <w:sz w:val="24"/>
        </w:rPr>
        <w:t>的要求编制投标文件，并在封面上注明“正本”和“副本”字样。投标文件的正本与副本如有不一致之处，以正本为准。</w:t>
      </w:r>
    </w:p>
    <w:p>
      <w:pPr>
        <w:spacing w:line="360" w:lineRule="auto"/>
        <w:ind w:firstLine="435"/>
        <w:jc w:val="left"/>
        <w:rPr>
          <w:rFonts w:ascii="Times New Roman" w:hAnsi="Times New Roman" w:cs="Times New Roman"/>
          <w:sz w:val="24"/>
        </w:rPr>
      </w:pPr>
      <w:r>
        <w:rPr>
          <w:rFonts w:ascii="Times New Roman" w:hAnsi="Times New Roman" w:cs="Times New Roman"/>
          <w:sz w:val="24"/>
        </w:rPr>
        <w:t>15.1.2投标文件应按招标文件要求加盖投标人公章，热敏纸无效。</w:t>
      </w:r>
    </w:p>
    <w:p>
      <w:pPr>
        <w:spacing w:line="360" w:lineRule="auto"/>
        <w:ind w:firstLine="435"/>
        <w:jc w:val="left"/>
        <w:rPr>
          <w:rFonts w:ascii="Times New Roman" w:hAnsi="Times New Roman" w:cs="Times New Roman"/>
          <w:sz w:val="24"/>
        </w:rPr>
      </w:pPr>
      <w:r>
        <w:rPr>
          <w:rFonts w:ascii="Times New Roman" w:hAnsi="Times New Roman" w:cs="Times New Roman"/>
          <w:sz w:val="24"/>
        </w:rPr>
        <w:t>15.1.3招标人保留要求中标人提供其投标文件电子版的权利。</w:t>
      </w:r>
    </w:p>
    <w:p>
      <w:pPr>
        <w:spacing w:line="360" w:lineRule="auto"/>
        <w:ind w:firstLine="435"/>
        <w:jc w:val="left"/>
        <w:rPr>
          <w:rFonts w:ascii="Times New Roman" w:hAnsi="Times New Roman" w:cs="Times New Roman"/>
          <w:sz w:val="24"/>
        </w:rPr>
      </w:pPr>
      <w:r>
        <w:rPr>
          <w:rFonts w:ascii="Times New Roman" w:hAnsi="Times New Roman" w:cs="Times New Roman"/>
          <w:sz w:val="24"/>
        </w:rPr>
        <w:t>15.2投标文件的封装和标记</w:t>
      </w:r>
    </w:p>
    <w:p>
      <w:pPr>
        <w:spacing w:line="360" w:lineRule="auto"/>
        <w:ind w:firstLine="435"/>
        <w:jc w:val="left"/>
        <w:rPr>
          <w:rFonts w:ascii="Times New Roman" w:hAnsi="Times New Roman" w:cs="Times New Roman"/>
          <w:sz w:val="24"/>
        </w:rPr>
      </w:pPr>
      <w:r>
        <w:rPr>
          <w:rFonts w:ascii="Times New Roman" w:hAnsi="Times New Roman" w:cs="Times New Roman"/>
          <w:sz w:val="24"/>
        </w:rPr>
        <w:t>15.2.1投标文件应装订成册并封装，建议在密封袋上标注项目名称、项目编号、投标人名称及包别。</w:t>
      </w:r>
    </w:p>
    <w:p>
      <w:pPr>
        <w:spacing w:line="360" w:lineRule="auto"/>
        <w:ind w:firstLine="435"/>
        <w:jc w:val="left"/>
        <w:rPr>
          <w:rFonts w:ascii="Times New Roman" w:hAnsi="Times New Roman" w:cs="Times New Roman"/>
          <w:sz w:val="24"/>
        </w:rPr>
      </w:pPr>
      <w:r>
        <w:rPr>
          <w:rFonts w:ascii="Times New Roman" w:hAnsi="Times New Roman" w:cs="Times New Roman"/>
          <w:sz w:val="24"/>
        </w:rPr>
        <w:t>15.2.2建议投标人将正本单独封装，全部副本一起封装。</w:t>
      </w:r>
    </w:p>
    <w:p>
      <w:pPr>
        <w:spacing w:line="360" w:lineRule="auto"/>
        <w:ind w:firstLine="435"/>
        <w:rPr>
          <w:rFonts w:ascii="Times New Roman" w:hAnsi="Times New Roman" w:cs="Times New Roman"/>
          <w:sz w:val="24"/>
        </w:rPr>
      </w:pPr>
      <w:r>
        <w:rPr>
          <w:rFonts w:ascii="Times New Roman" w:hAnsi="Times New Roman" w:cs="Times New Roman"/>
          <w:sz w:val="24"/>
        </w:rPr>
        <w:t>15.2.3如果未按规定封装或加写标记，招标人将不承担投标文件错放或提前开封的责任，并可能导致投标无效。</w:t>
      </w:r>
    </w:p>
    <w:p>
      <w:pPr>
        <w:spacing w:line="360" w:lineRule="auto"/>
        <w:ind w:firstLine="435"/>
        <w:rPr>
          <w:rFonts w:ascii="Times New Roman" w:hAnsi="Times New Roman" w:cs="Times New Roman"/>
          <w:sz w:val="24"/>
        </w:rPr>
      </w:pPr>
      <w:r>
        <w:rPr>
          <w:rFonts w:ascii="Times New Roman" w:hAnsi="Times New Roman" w:cs="Times New Roman"/>
          <w:sz w:val="24"/>
        </w:rPr>
        <w:t>15.3开标现场提交的其他材料要求详见</w:t>
      </w:r>
      <w:r>
        <w:rPr>
          <w:rFonts w:ascii="Times New Roman" w:hAnsi="Times New Roman" w:cs="Times New Roman"/>
          <w:sz w:val="24"/>
          <w:u w:val="single"/>
        </w:rPr>
        <w:t>投标人须知前附表</w:t>
      </w:r>
      <w:r>
        <w:rPr>
          <w:rFonts w:ascii="Times New Roman" w:hAnsi="Times New Roman" w:cs="Times New Roman"/>
          <w:sz w:val="24"/>
        </w:rPr>
        <w:t>。</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16.投标截止及投标文件的递交</w:t>
      </w:r>
    </w:p>
    <w:p>
      <w:pPr>
        <w:spacing w:line="360" w:lineRule="auto"/>
        <w:ind w:firstLine="437"/>
        <w:outlineLvl w:val="3"/>
        <w:rPr>
          <w:rFonts w:ascii="Times New Roman" w:hAnsi="Times New Roman" w:cs="Times New Roman"/>
          <w:bCs/>
          <w:sz w:val="24"/>
        </w:rPr>
      </w:pPr>
      <w:r>
        <w:rPr>
          <w:rFonts w:ascii="Times New Roman" w:hAnsi="Times New Roman" w:cs="Times New Roman"/>
          <w:bCs/>
          <w:sz w:val="24"/>
        </w:rPr>
        <w:t>16.1投标人应当在</w:t>
      </w:r>
      <w:r>
        <w:rPr>
          <w:rFonts w:ascii="Times New Roman" w:hAnsi="Times New Roman" w:cs="Times New Roman"/>
          <w:sz w:val="24"/>
        </w:rPr>
        <w:t>“投标邀请”</w:t>
      </w:r>
      <w:r>
        <w:rPr>
          <w:rFonts w:ascii="Times New Roman" w:hAnsi="Times New Roman" w:cs="Times New Roman"/>
          <w:bCs/>
          <w:sz w:val="24"/>
        </w:rPr>
        <w:t>规定的投标截止时间前，将投标文件密封送达</w:t>
      </w:r>
      <w:r>
        <w:rPr>
          <w:rFonts w:ascii="Times New Roman" w:hAnsi="Times New Roman" w:cs="Times New Roman"/>
          <w:sz w:val="24"/>
          <w:u w:val="single"/>
        </w:rPr>
        <w:t>投标人须知前附表</w:t>
      </w:r>
      <w:r>
        <w:rPr>
          <w:rFonts w:ascii="Times New Roman" w:hAnsi="Times New Roman" w:cs="Times New Roman"/>
          <w:bCs/>
          <w:sz w:val="24"/>
        </w:rPr>
        <w:t>指定地点。</w:t>
      </w:r>
    </w:p>
    <w:p>
      <w:pPr>
        <w:spacing w:line="360" w:lineRule="auto"/>
        <w:ind w:firstLine="437"/>
        <w:outlineLvl w:val="3"/>
        <w:rPr>
          <w:rFonts w:ascii="Times New Roman" w:hAnsi="Times New Roman" w:cs="Times New Roman"/>
          <w:bCs/>
          <w:sz w:val="24"/>
        </w:rPr>
      </w:pPr>
      <w:r>
        <w:rPr>
          <w:rFonts w:ascii="Times New Roman" w:hAnsi="Times New Roman" w:cs="Times New Roman"/>
          <w:bCs/>
          <w:sz w:val="24"/>
        </w:rPr>
        <w:t>16.2在投标截止时间之后送达的投标文件将被拒绝。</w:t>
      </w:r>
    </w:p>
    <w:p>
      <w:pPr>
        <w:spacing w:line="360" w:lineRule="auto"/>
        <w:ind w:firstLine="435"/>
        <w:rPr>
          <w:rFonts w:ascii="Times New Roman" w:hAnsi="Times New Roman" w:cs="Times New Roman"/>
          <w:sz w:val="24"/>
        </w:rPr>
      </w:pPr>
      <w:r>
        <w:rPr>
          <w:rFonts w:ascii="Times New Roman" w:hAnsi="Times New Roman" w:cs="Times New Roman"/>
          <w:sz w:val="24"/>
        </w:rPr>
        <w:t>16.3招标人有权按本招标文件的规定，延迟投标截止时间。在此情况下，招标人和投标人受投标截止时间制约的所有权利和义务均应延长至新的截止时间。</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17.投标文件的修改、补充与撤回</w:t>
      </w:r>
    </w:p>
    <w:p>
      <w:pPr>
        <w:spacing w:line="360" w:lineRule="auto"/>
        <w:ind w:firstLine="435"/>
        <w:rPr>
          <w:rFonts w:ascii="Times New Roman" w:hAnsi="Times New Roman" w:cs="Times New Roman"/>
          <w:sz w:val="24"/>
        </w:rPr>
      </w:pPr>
      <w:r>
        <w:rPr>
          <w:rFonts w:ascii="Times New Roman" w:hAnsi="Times New Roman" w:cs="Times New Roman"/>
          <w:sz w:val="24"/>
        </w:rPr>
        <w:t>17.1投标人在投标截止时间前，可以对所递交的投标文件进行补充、修改或者撤回，并书面通知招标人。</w:t>
      </w:r>
    </w:p>
    <w:p>
      <w:pPr>
        <w:spacing w:line="360" w:lineRule="auto"/>
        <w:ind w:firstLine="435"/>
        <w:rPr>
          <w:rFonts w:ascii="Times New Roman" w:hAnsi="Times New Roman" w:cs="Times New Roman"/>
          <w:sz w:val="24"/>
        </w:rPr>
      </w:pPr>
      <w:r>
        <w:rPr>
          <w:rFonts w:ascii="Times New Roman" w:hAnsi="Times New Roman" w:cs="Times New Roman"/>
          <w:sz w:val="24"/>
        </w:rPr>
        <w:t>17.2补充、修改的内容应当按照招标文件要求签署、盖章、密封后，作为投标文件的组成部分。</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18.开标（本项目不采用）</w:t>
      </w:r>
    </w:p>
    <w:p>
      <w:pPr>
        <w:spacing w:line="360" w:lineRule="auto"/>
        <w:ind w:firstLine="435"/>
        <w:rPr>
          <w:rFonts w:ascii="Times New Roman" w:hAnsi="Times New Roman" w:cs="Times New Roman"/>
          <w:sz w:val="24"/>
        </w:rPr>
      </w:pPr>
      <w:r>
        <w:rPr>
          <w:rFonts w:ascii="Times New Roman" w:hAnsi="Times New Roman" w:cs="Times New Roman"/>
          <w:sz w:val="24"/>
        </w:rPr>
        <w:t>18.1开标将在</w:t>
      </w:r>
      <w:r>
        <w:rPr>
          <w:rFonts w:ascii="Times New Roman" w:hAnsi="Times New Roman" w:cs="Times New Roman"/>
          <w:sz w:val="24"/>
          <w:u w:val="single"/>
        </w:rPr>
        <w:t>投标人须知前附表</w:t>
      </w:r>
      <w:r>
        <w:rPr>
          <w:rFonts w:ascii="Times New Roman" w:hAnsi="Times New Roman" w:cs="Times New Roman"/>
          <w:sz w:val="24"/>
        </w:rPr>
        <w:t>规定的时间和地点进行。</w:t>
      </w:r>
    </w:p>
    <w:p>
      <w:pPr>
        <w:spacing w:line="360" w:lineRule="auto"/>
        <w:ind w:firstLine="435"/>
        <w:rPr>
          <w:rFonts w:ascii="Times New Roman" w:hAnsi="Times New Roman" w:cs="Times New Roman"/>
          <w:sz w:val="24"/>
        </w:rPr>
      </w:pPr>
      <w:r>
        <w:rPr>
          <w:rFonts w:ascii="Times New Roman" w:hAnsi="Times New Roman" w:cs="Times New Roman"/>
          <w:sz w:val="24"/>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pPr>
        <w:spacing w:line="360" w:lineRule="auto"/>
        <w:ind w:firstLine="435"/>
        <w:rPr>
          <w:rFonts w:ascii="Times New Roman" w:hAnsi="Times New Roman" w:cs="Times New Roman"/>
          <w:sz w:val="24"/>
        </w:rPr>
      </w:pPr>
      <w:r>
        <w:rPr>
          <w:rFonts w:ascii="Times New Roman" w:hAnsi="Times New Roman" w:cs="Times New Roman"/>
          <w:sz w:val="24"/>
        </w:rPr>
        <w:t>18.3开标过程由招标人负责记录，并由参加开标的各投标人代表和相关工作人员签字确认。</w:t>
      </w:r>
    </w:p>
    <w:p>
      <w:pPr>
        <w:spacing w:line="360" w:lineRule="auto"/>
        <w:ind w:firstLine="435"/>
        <w:rPr>
          <w:rFonts w:ascii="Times New Roman" w:hAnsi="Times New Roman" w:cs="Times New Roman"/>
          <w:sz w:val="24"/>
        </w:rPr>
      </w:pPr>
      <w:r>
        <w:rPr>
          <w:rFonts w:ascii="Times New Roman" w:hAnsi="Times New Roman" w:cs="Times New Roman"/>
          <w:sz w:val="24"/>
        </w:rPr>
        <w:t>18.4投标人代表对开标过程和开标记录有疑义，以及认为招标人相关工作人员有需要回避的情形的，应当场提出询问或者回避申请。</w:t>
      </w:r>
    </w:p>
    <w:p>
      <w:pPr>
        <w:spacing w:line="360" w:lineRule="auto"/>
        <w:ind w:firstLine="435"/>
        <w:rPr>
          <w:rFonts w:ascii="Times New Roman" w:hAnsi="Times New Roman" w:cs="Times New Roman"/>
          <w:sz w:val="28"/>
        </w:rPr>
      </w:pPr>
      <w:r>
        <w:rPr>
          <w:rFonts w:ascii="Times New Roman" w:hAnsi="Times New Roman" w:cs="Times New Roman"/>
          <w:sz w:val="24"/>
        </w:rPr>
        <w:t>18.5投标人应参加开标，投标人未参加开标的，视同认可开标结果。</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19.资格审查及组建评标委员会</w:t>
      </w:r>
    </w:p>
    <w:p>
      <w:pPr>
        <w:spacing w:line="360" w:lineRule="auto"/>
        <w:ind w:firstLine="435"/>
        <w:rPr>
          <w:rFonts w:ascii="Times New Roman" w:hAnsi="Times New Roman" w:cs="Times New Roman"/>
          <w:b/>
          <w:sz w:val="24"/>
        </w:rPr>
      </w:pPr>
      <w:r>
        <w:rPr>
          <w:rFonts w:ascii="Times New Roman" w:hAnsi="Times New Roman" w:cs="Times New Roman"/>
          <w:sz w:val="24"/>
        </w:rPr>
        <w:t>19.1按照有关规定依法组建的评标委员会，负责本项目评标工作。</w:t>
      </w:r>
    </w:p>
    <w:p>
      <w:pPr>
        <w:spacing w:line="360" w:lineRule="auto"/>
        <w:ind w:firstLine="435"/>
        <w:rPr>
          <w:rFonts w:ascii="Times New Roman" w:hAnsi="Times New Roman" w:cs="Times New Roman"/>
          <w:sz w:val="24"/>
        </w:rPr>
      </w:pPr>
      <w:r>
        <w:rPr>
          <w:rFonts w:ascii="Times New Roman" w:hAnsi="Times New Roman" w:cs="Times New Roman"/>
          <w:sz w:val="24"/>
        </w:rPr>
        <w:t>19.2评标委员会依据法律法规和招标文件中规定的内容，对投标人资格进行审查，未通过资格审查的投标人不进入评标。</w:t>
      </w:r>
    </w:p>
    <w:p>
      <w:pPr>
        <w:spacing w:line="360" w:lineRule="auto"/>
        <w:ind w:firstLine="435"/>
        <w:rPr>
          <w:rFonts w:ascii="Times New Roman" w:hAnsi="Times New Roman" w:cs="Times New Roman"/>
          <w:sz w:val="24"/>
        </w:rPr>
      </w:pPr>
      <w:r>
        <w:rPr>
          <w:rFonts w:ascii="Times New Roman" w:hAnsi="Times New Roman" w:cs="Times New Roman"/>
          <w:sz w:val="24"/>
        </w:rPr>
        <w:t>19.3投标人存在不良信用记录的，其投标将被认定为</w:t>
      </w:r>
      <w:r>
        <w:rPr>
          <w:rFonts w:ascii="Times New Roman" w:hAnsi="Times New Roman" w:cs="Times New Roman"/>
          <w:b/>
          <w:sz w:val="24"/>
        </w:rPr>
        <w:t>投标无效</w:t>
      </w:r>
      <w:r>
        <w:rPr>
          <w:rFonts w:ascii="Times New Roman" w:hAnsi="Times New Roman" w:cs="Times New Roman"/>
          <w:sz w:val="24"/>
        </w:rPr>
        <w:t>。</w:t>
      </w:r>
    </w:p>
    <w:p>
      <w:pPr>
        <w:spacing w:line="360" w:lineRule="auto"/>
        <w:ind w:firstLine="435"/>
        <w:rPr>
          <w:rFonts w:ascii="Times New Roman" w:hAnsi="Times New Roman" w:cs="Times New Roman"/>
          <w:sz w:val="24"/>
          <w:szCs w:val="18"/>
        </w:rPr>
      </w:pPr>
      <w:r>
        <w:rPr>
          <w:rFonts w:ascii="Times New Roman" w:hAnsi="Times New Roman" w:cs="Times New Roman"/>
          <w:sz w:val="24"/>
        </w:rPr>
        <w:t>19.3.1不良信用记录是指：</w:t>
      </w:r>
      <w:bookmarkStart w:id="23" w:name="_Hlk24663244"/>
      <w:r>
        <w:rPr>
          <w:rFonts w:ascii="Times New Roman" w:hAnsi="Times New Roman" w:cs="Times New Roman"/>
          <w:sz w:val="24"/>
          <w:szCs w:val="18"/>
        </w:rPr>
        <w:t>（1）供应商被人民法院列入失信被执行人；（2）供应商被税务部门列入重大税收违法案件当事人名单。</w:t>
      </w:r>
    </w:p>
    <w:p>
      <w:pPr>
        <w:spacing w:line="360" w:lineRule="auto"/>
        <w:ind w:firstLine="435"/>
        <w:rPr>
          <w:rFonts w:ascii="Times New Roman" w:hAnsi="Times New Roman" w:cs="Times New Roman"/>
          <w:sz w:val="24"/>
        </w:rPr>
      </w:pPr>
      <w:r>
        <w:rPr>
          <w:rFonts w:ascii="Times New Roman" w:hAnsi="Times New Roman" w:cs="Times New Roman"/>
          <w:sz w:val="24"/>
        </w:rPr>
        <w:t>以联合体形式参加投标的，联合体任何成员存在以上不良信用记录的，联合体投标将被认定为</w:t>
      </w:r>
      <w:r>
        <w:rPr>
          <w:rFonts w:ascii="Times New Roman" w:hAnsi="Times New Roman" w:cs="Times New Roman"/>
          <w:b/>
          <w:sz w:val="24"/>
        </w:rPr>
        <w:t>投标无效</w:t>
      </w:r>
      <w:r>
        <w:rPr>
          <w:rFonts w:ascii="Times New Roman" w:hAnsi="Times New Roman" w:cs="Times New Roman"/>
          <w:sz w:val="24"/>
        </w:rPr>
        <w:t>。</w:t>
      </w:r>
    </w:p>
    <w:p>
      <w:pPr>
        <w:spacing w:line="360" w:lineRule="auto"/>
        <w:ind w:firstLine="435"/>
        <w:rPr>
          <w:rFonts w:ascii="Times New Roman" w:hAnsi="Times New Roman" w:cs="Times New Roman"/>
          <w:sz w:val="24"/>
        </w:rPr>
      </w:pPr>
      <w:r>
        <w:rPr>
          <w:rFonts w:ascii="Times New Roman" w:hAnsi="Times New Roman" w:cs="Times New Roman"/>
          <w:sz w:val="24"/>
        </w:rPr>
        <w:t>19.3.2信用信息查询渠道：“信用中国”网站（www.creditchina.gov.cn）。</w:t>
      </w:r>
    </w:p>
    <w:p>
      <w:pPr>
        <w:spacing w:line="360" w:lineRule="auto"/>
        <w:ind w:firstLine="435"/>
        <w:rPr>
          <w:rFonts w:ascii="Times New Roman" w:hAnsi="Times New Roman" w:cs="Times New Roman"/>
          <w:sz w:val="24"/>
        </w:rPr>
      </w:pPr>
      <w:r>
        <w:rPr>
          <w:rFonts w:ascii="Times New Roman" w:hAnsi="Times New Roman" w:cs="Times New Roman"/>
          <w:sz w:val="24"/>
        </w:rPr>
        <w:t>19.3.3信用信息记录方式：投标人将查询网页打印、盖章并在投标文件中提供。查询网页必须体现被查询人名称、查询时间、查询结果。</w:t>
      </w:r>
    </w:p>
    <w:p>
      <w:pPr>
        <w:spacing w:line="360" w:lineRule="auto"/>
        <w:ind w:firstLine="435"/>
        <w:rPr>
          <w:rFonts w:ascii="Times New Roman" w:hAnsi="Times New Roman" w:cs="Times New Roman"/>
          <w:sz w:val="24"/>
        </w:rPr>
      </w:pPr>
      <w:r>
        <w:rPr>
          <w:rFonts w:ascii="Times New Roman" w:hAnsi="Times New Roman" w:cs="Times New Roman"/>
          <w:sz w:val="24"/>
        </w:rPr>
        <w:t>投标人对不良信用记录的真实性和有效性负责。</w:t>
      </w:r>
    </w:p>
    <w:p>
      <w:pPr>
        <w:spacing w:line="360" w:lineRule="auto"/>
        <w:ind w:firstLine="435"/>
        <w:rPr>
          <w:rFonts w:ascii="Times New Roman" w:hAnsi="Times New Roman" w:cs="Times New Roman"/>
          <w:sz w:val="24"/>
        </w:rPr>
      </w:pPr>
      <w:bookmarkStart w:id="24" w:name="_Hlk24663338"/>
      <w:r>
        <w:rPr>
          <w:rFonts w:ascii="Times New Roman" w:hAnsi="Times New Roman" w:cs="Times New Roman"/>
          <w:sz w:val="24"/>
        </w:rPr>
        <w:t>信用信息查询时间为投标截止时间前2个工作日内。</w:t>
      </w:r>
    </w:p>
    <w:p>
      <w:pPr>
        <w:spacing w:line="360" w:lineRule="auto"/>
        <w:ind w:firstLine="435"/>
        <w:rPr>
          <w:rFonts w:ascii="Times New Roman" w:hAnsi="Times New Roman" w:cs="Times New Roman"/>
          <w:sz w:val="24"/>
        </w:rPr>
      </w:pPr>
      <w:r>
        <w:rPr>
          <w:rFonts w:ascii="Times New Roman" w:hAnsi="Times New Roman" w:cs="Times New Roman"/>
          <w:sz w:val="24"/>
        </w:rPr>
        <w:t>在本招标文件规定的查询时间之外，网站信息发生的任何变更均不作为资格审查依据。</w:t>
      </w:r>
    </w:p>
    <w:bookmarkEnd w:id="23"/>
    <w:bookmarkEnd w:id="24"/>
    <w:p>
      <w:pPr>
        <w:spacing w:line="360" w:lineRule="auto"/>
        <w:ind w:firstLine="437"/>
        <w:outlineLvl w:val="3"/>
        <w:rPr>
          <w:rFonts w:ascii="Times New Roman" w:hAnsi="Times New Roman" w:cs="Times New Roman"/>
          <w:b/>
          <w:sz w:val="24"/>
        </w:rPr>
      </w:pPr>
      <w:r>
        <w:rPr>
          <w:rFonts w:ascii="Times New Roman" w:hAnsi="Times New Roman" w:cs="Times New Roman"/>
          <w:b/>
          <w:sz w:val="24"/>
        </w:rPr>
        <w:t>20.投标文件初审与澄清</w:t>
      </w:r>
    </w:p>
    <w:p>
      <w:pPr>
        <w:spacing w:line="360" w:lineRule="auto"/>
        <w:ind w:firstLine="435"/>
        <w:rPr>
          <w:rFonts w:ascii="Times New Roman" w:hAnsi="Times New Roman" w:cs="Times New Roman"/>
          <w:sz w:val="24"/>
        </w:rPr>
      </w:pPr>
      <w:r>
        <w:rPr>
          <w:rFonts w:ascii="Times New Roman" w:hAnsi="Times New Roman" w:cs="Times New Roman"/>
          <w:sz w:val="24"/>
        </w:rPr>
        <w:t>20.1初审是指依据招标文件的规定，从投标文件的有效性和完整性对招标文件的响应程度进行审查，以确定是否对招标文件的实质性要求做出响应。</w:t>
      </w:r>
    </w:p>
    <w:p>
      <w:pPr>
        <w:spacing w:line="360" w:lineRule="auto"/>
        <w:ind w:firstLine="435"/>
        <w:rPr>
          <w:rFonts w:ascii="Times New Roman" w:hAnsi="Times New Roman" w:cs="Times New Roman"/>
          <w:sz w:val="24"/>
        </w:rPr>
      </w:pPr>
      <w:r>
        <w:rPr>
          <w:rFonts w:ascii="Times New Roman" w:hAnsi="Times New Roman" w:cs="Times New Roman"/>
          <w:sz w:val="24"/>
        </w:rPr>
        <w:t>20.2投标文件的澄清</w:t>
      </w:r>
    </w:p>
    <w:p>
      <w:pPr>
        <w:spacing w:line="360" w:lineRule="auto"/>
        <w:ind w:firstLine="435"/>
        <w:rPr>
          <w:rFonts w:ascii="Times New Roman" w:hAnsi="Times New Roman" w:cs="Times New Roman"/>
          <w:sz w:val="24"/>
        </w:rPr>
      </w:pPr>
      <w:r>
        <w:rPr>
          <w:rFonts w:ascii="Times New Roman" w:hAnsi="Times New Roman" w:cs="Times New Roman"/>
          <w:sz w:val="24"/>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pPr>
        <w:spacing w:line="360" w:lineRule="auto"/>
        <w:ind w:firstLine="435"/>
        <w:rPr>
          <w:rFonts w:ascii="Times New Roman" w:hAnsi="Times New Roman" w:cs="Times New Roman"/>
          <w:sz w:val="24"/>
        </w:rPr>
      </w:pPr>
      <w:r>
        <w:rPr>
          <w:rFonts w:ascii="Times New Roman" w:hAnsi="Times New Roman" w:cs="Times New Roman"/>
          <w:sz w:val="24"/>
        </w:rPr>
        <w:t>如有询标，授权代表（或法定代表人）携带本人有效身份证明原件参加询标。因授权代表联系不上、未到开标现场等情形而无法接受评审委员会询标的，投标人自行承担相关风险。</w:t>
      </w:r>
    </w:p>
    <w:p>
      <w:pPr>
        <w:spacing w:line="360" w:lineRule="auto"/>
        <w:ind w:firstLine="435"/>
        <w:rPr>
          <w:rFonts w:ascii="Times New Roman" w:hAnsi="Times New Roman" w:cs="Times New Roman"/>
          <w:sz w:val="24"/>
        </w:rPr>
      </w:pPr>
      <w:r>
        <w:rPr>
          <w:rFonts w:ascii="Times New Roman" w:hAnsi="Times New Roman" w:cs="Times New Roman"/>
          <w:sz w:val="24"/>
        </w:rPr>
        <w:t>20.2.2投标人的澄清、说明或补正将作为投标文件的一部分。</w:t>
      </w:r>
    </w:p>
    <w:p>
      <w:pPr>
        <w:spacing w:line="360" w:lineRule="auto"/>
        <w:ind w:firstLine="435"/>
        <w:rPr>
          <w:rFonts w:ascii="Times New Roman" w:hAnsi="Times New Roman" w:cs="Times New Roman"/>
          <w:sz w:val="24"/>
        </w:rPr>
      </w:pPr>
      <w:r>
        <w:rPr>
          <w:rFonts w:ascii="Times New Roman" w:hAnsi="Times New Roman" w:cs="Times New Roman"/>
          <w:sz w:val="24"/>
        </w:rPr>
        <w:t>20.2.3评标委员会对投标人提交的澄清、说明或补正有疑问的，可以要求投标人进一步澄清、说明或补正，直至满足评标委员会的要求。</w:t>
      </w:r>
    </w:p>
    <w:p>
      <w:pPr>
        <w:spacing w:line="360" w:lineRule="auto"/>
        <w:ind w:firstLine="435"/>
        <w:rPr>
          <w:rFonts w:ascii="Times New Roman" w:hAnsi="Times New Roman" w:cs="Times New Roman"/>
          <w:sz w:val="24"/>
        </w:rPr>
      </w:pPr>
      <w:r>
        <w:rPr>
          <w:rFonts w:ascii="Times New Roman" w:hAnsi="Times New Roman" w:cs="Times New Roman"/>
          <w:sz w:val="24"/>
        </w:rPr>
        <w:t>20.3投标文件报价出现前后不一致的，按照下列规定修正：</w:t>
      </w:r>
    </w:p>
    <w:p>
      <w:pPr>
        <w:spacing w:line="360" w:lineRule="auto"/>
        <w:ind w:firstLine="435"/>
        <w:rPr>
          <w:rFonts w:ascii="Times New Roman" w:hAnsi="Times New Roman" w:cs="Times New Roman"/>
          <w:sz w:val="24"/>
        </w:rPr>
      </w:pPr>
      <w:r>
        <w:rPr>
          <w:rFonts w:ascii="Times New Roman" w:hAnsi="Times New Roman" w:cs="Times New Roman"/>
          <w:sz w:val="24"/>
        </w:rPr>
        <w:t>（1）投标文件中开标一览表内容与投标文件中相应内容不一致的，以开标一览表为准；</w:t>
      </w:r>
    </w:p>
    <w:p>
      <w:pPr>
        <w:spacing w:line="360" w:lineRule="auto"/>
        <w:ind w:firstLine="435"/>
        <w:rPr>
          <w:rFonts w:ascii="Times New Roman" w:hAnsi="Times New Roman" w:cs="Times New Roman"/>
          <w:sz w:val="24"/>
        </w:rPr>
      </w:pPr>
      <w:r>
        <w:rPr>
          <w:rFonts w:ascii="Times New Roman" w:hAnsi="Times New Roman" w:cs="Times New Roman"/>
          <w:sz w:val="24"/>
        </w:rPr>
        <w:t>（2）大写金额和小写金额不一致的，以大写金额为准；</w:t>
      </w:r>
    </w:p>
    <w:p>
      <w:pPr>
        <w:spacing w:line="360" w:lineRule="auto"/>
        <w:ind w:firstLine="435"/>
        <w:rPr>
          <w:rFonts w:ascii="Times New Roman" w:hAnsi="Times New Roman" w:cs="Times New Roman"/>
          <w:sz w:val="24"/>
        </w:rPr>
      </w:pPr>
      <w:r>
        <w:rPr>
          <w:rFonts w:ascii="Times New Roman" w:hAnsi="Times New Roman" w:cs="Times New Roman"/>
          <w:sz w:val="24"/>
        </w:rPr>
        <w:t>（3）单价金额小数点或者百分比有明显错位的，以开标一览表的总价为准，并修改单价；</w:t>
      </w:r>
    </w:p>
    <w:p>
      <w:pPr>
        <w:spacing w:line="360" w:lineRule="auto"/>
        <w:ind w:firstLine="435"/>
        <w:rPr>
          <w:rFonts w:ascii="Times New Roman" w:hAnsi="Times New Roman" w:cs="Times New Roman"/>
          <w:sz w:val="24"/>
        </w:rPr>
      </w:pPr>
      <w:r>
        <w:rPr>
          <w:rFonts w:ascii="Times New Roman" w:hAnsi="Times New Roman" w:cs="Times New Roman"/>
          <w:sz w:val="24"/>
        </w:rPr>
        <w:t>（4）总价金额与按单价汇总金额不一致的，以单价金额计算结果为准。</w:t>
      </w:r>
    </w:p>
    <w:p>
      <w:pPr>
        <w:spacing w:line="360" w:lineRule="auto"/>
        <w:ind w:firstLine="435"/>
        <w:rPr>
          <w:rFonts w:ascii="Times New Roman" w:hAnsi="Times New Roman" w:cs="Times New Roman"/>
          <w:sz w:val="24"/>
        </w:rPr>
      </w:pPr>
      <w:r>
        <w:rPr>
          <w:rFonts w:ascii="Times New Roman" w:hAnsi="Times New Roman" w:cs="Times New Roman"/>
          <w:sz w:val="24"/>
        </w:rPr>
        <w:t>同时出现两种以上不一致的，按照前款规定的顺序修正。修正后的报价按照第20.4条的规定经投标人确认后产生约束力，投标人不确认的，其投标将被认定为</w:t>
      </w:r>
      <w:r>
        <w:rPr>
          <w:rFonts w:ascii="Times New Roman" w:hAnsi="Times New Roman" w:cs="Times New Roman"/>
          <w:b/>
          <w:sz w:val="24"/>
        </w:rPr>
        <w:t>投标无效</w:t>
      </w:r>
      <w:r>
        <w:rPr>
          <w:rFonts w:ascii="Times New Roman" w:hAnsi="Times New Roman" w:cs="Times New Roman"/>
          <w:sz w:val="24"/>
        </w:rPr>
        <w:t>。</w:t>
      </w:r>
    </w:p>
    <w:p>
      <w:pPr>
        <w:spacing w:line="360" w:lineRule="auto"/>
        <w:ind w:firstLine="435"/>
        <w:rPr>
          <w:rFonts w:ascii="Times New Roman" w:hAnsi="Times New Roman" w:cs="Times New Roman"/>
          <w:b/>
          <w:sz w:val="24"/>
        </w:rPr>
      </w:pPr>
      <w:r>
        <w:rPr>
          <w:rFonts w:ascii="Times New Roman" w:hAnsi="Times New Roman" w:cs="Times New Roman"/>
          <w:sz w:val="24"/>
        </w:rPr>
        <w:t>对不同文字文本投标文件的解释发生异议的，以中文文本为准。</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21.投标无效</w:t>
      </w:r>
    </w:p>
    <w:p>
      <w:pPr>
        <w:spacing w:line="360" w:lineRule="auto"/>
        <w:ind w:firstLine="435"/>
        <w:rPr>
          <w:rFonts w:ascii="Times New Roman" w:hAnsi="Times New Roman" w:cs="Times New Roman"/>
          <w:sz w:val="24"/>
        </w:rPr>
      </w:pPr>
      <w:r>
        <w:rPr>
          <w:rFonts w:ascii="Times New Roman" w:hAnsi="Times New Roman" w:cs="Times New Roman"/>
          <w:sz w:val="24"/>
        </w:rPr>
        <w:t>21.1根据本招标文件的规定，评标委员会要审查每份投标文件是否实质上响应了招标文件的要求。投标人不得通过修正或撤销不符合要求的偏离，从而使其投标成为实质上响应的投标。</w:t>
      </w:r>
    </w:p>
    <w:p>
      <w:pPr>
        <w:spacing w:line="360" w:lineRule="auto"/>
        <w:ind w:firstLine="435"/>
        <w:rPr>
          <w:rFonts w:ascii="Times New Roman" w:hAnsi="Times New Roman" w:cs="Times New Roman"/>
          <w:sz w:val="24"/>
        </w:rPr>
      </w:pPr>
      <w:r>
        <w:rPr>
          <w:rFonts w:ascii="Times New Roman" w:hAnsi="Times New Roman" w:cs="Times New Roman"/>
          <w:sz w:val="24"/>
        </w:rPr>
        <w:t>评标委员会决定投标的响应性只根据招标文件要求和投标文件内容。</w:t>
      </w:r>
    </w:p>
    <w:p>
      <w:pPr>
        <w:spacing w:line="360" w:lineRule="auto"/>
        <w:ind w:firstLine="435"/>
        <w:rPr>
          <w:rFonts w:ascii="Times New Roman" w:hAnsi="Times New Roman" w:cs="Times New Roman"/>
          <w:sz w:val="24"/>
        </w:rPr>
      </w:pPr>
      <w:r>
        <w:rPr>
          <w:rFonts w:ascii="Times New Roman" w:hAnsi="Times New Roman" w:cs="Times New Roman"/>
          <w:sz w:val="24"/>
        </w:rPr>
        <w:t>无论何种原因，即使投标人投标时携带了证书材料的原件，但投标文件中未提供与之内容完全一致的影印件或复印件的，评标委员会视同其未提供。</w:t>
      </w:r>
    </w:p>
    <w:p>
      <w:pPr>
        <w:spacing w:line="360" w:lineRule="auto"/>
        <w:ind w:firstLine="435"/>
        <w:rPr>
          <w:rFonts w:ascii="Times New Roman" w:hAnsi="Times New Roman" w:cs="Times New Roman"/>
          <w:sz w:val="24"/>
        </w:rPr>
      </w:pPr>
      <w:r>
        <w:rPr>
          <w:rFonts w:ascii="Times New Roman" w:hAnsi="Times New Roman" w:cs="Times New Roman"/>
          <w:sz w:val="24"/>
        </w:rPr>
        <w:t>21.2如发现下列情况之一的，其投标将被认定为</w:t>
      </w:r>
      <w:r>
        <w:rPr>
          <w:rFonts w:ascii="Times New Roman" w:hAnsi="Times New Roman" w:cs="Times New Roman"/>
          <w:b/>
          <w:sz w:val="24"/>
        </w:rPr>
        <w:t>投标无效</w:t>
      </w:r>
      <w:r>
        <w:rPr>
          <w:rFonts w:ascii="Times New Roman" w:hAnsi="Times New Roman" w:cs="Times New Roman"/>
          <w:sz w:val="24"/>
        </w:rPr>
        <w:t>：</w:t>
      </w:r>
    </w:p>
    <w:p>
      <w:pPr>
        <w:spacing w:line="360" w:lineRule="auto"/>
        <w:ind w:firstLine="435"/>
        <w:rPr>
          <w:rFonts w:ascii="Times New Roman" w:hAnsi="Times New Roman" w:cs="Times New Roman"/>
          <w:sz w:val="24"/>
        </w:rPr>
      </w:pPr>
      <w:r>
        <w:rPr>
          <w:rFonts w:ascii="Times New Roman" w:hAnsi="Times New Roman" w:cs="Times New Roman"/>
          <w:sz w:val="24"/>
        </w:rPr>
        <w:t>（1）投标文件未按照招标文件规定要求签署、盖章的；</w:t>
      </w:r>
    </w:p>
    <w:p>
      <w:pPr>
        <w:spacing w:line="360" w:lineRule="auto"/>
        <w:ind w:firstLine="435"/>
        <w:rPr>
          <w:rFonts w:ascii="Times New Roman" w:hAnsi="Times New Roman" w:cs="Times New Roman"/>
          <w:sz w:val="24"/>
        </w:rPr>
      </w:pPr>
      <w:r>
        <w:rPr>
          <w:rFonts w:ascii="Times New Roman" w:hAnsi="Times New Roman" w:cs="Times New Roman"/>
          <w:sz w:val="24"/>
        </w:rPr>
        <w:t>（2）不具备招标文件中规定的资格要求的；</w:t>
      </w:r>
    </w:p>
    <w:p>
      <w:pPr>
        <w:spacing w:line="360" w:lineRule="auto"/>
        <w:ind w:firstLine="435"/>
        <w:rPr>
          <w:rFonts w:ascii="Times New Roman" w:hAnsi="Times New Roman" w:cs="Times New Roman"/>
          <w:sz w:val="24"/>
        </w:rPr>
      </w:pPr>
      <w:r>
        <w:rPr>
          <w:rFonts w:ascii="Times New Roman" w:hAnsi="Times New Roman" w:cs="Times New Roman"/>
          <w:sz w:val="24"/>
        </w:rPr>
        <w:t>（3）投标报价超过招标文件中规定的项目预算或者最高限价的；</w:t>
      </w:r>
    </w:p>
    <w:p>
      <w:pPr>
        <w:spacing w:line="360" w:lineRule="auto"/>
        <w:ind w:firstLine="435"/>
        <w:rPr>
          <w:rFonts w:ascii="Times New Roman" w:hAnsi="Times New Roman" w:cs="Times New Roman"/>
          <w:sz w:val="24"/>
        </w:rPr>
      </w:pPr>
      <w:r>
        <w:rPr>
          <w:rFonts w:ascii="Times New Roman" w:hAnsi="Times New Roman" w:cs="Times New Roman"/>
          <w:sz w:val="24"/>
        </w:rPr>
        <w:t>（4）投标文件不满足招标文件全部实质性要求的；</w:t>
      </w:r>
    </w:p>
    <w:p>
      <w:pPr>
        <w:spacing w:line="360" w:lineRule="auto"/>
        <w:ind w:firstLine="435"/>
        <w:rPr>
          <w:rFonts w:ascii="Times New Roman" w:hAnsi="Times New Roman" w:cs="Times New Roman"/>
          <w:sz w:val="24"/>
        </w:rPr>
      </w:pPr>
      <w:r>
        <w:rPr>
          <w:rFonts w:ascii="Times New Roman" w:hAnsi="Times New Roman" w:cs="Times New Roman"/>
          <w:sz w:val="24"/>
        </w:rPr>
        <w:t>（5）投标文件含有招标人不能接受的附加条件的；</w:t>
      </w:r>
    </w:p>
    <w:p>
      <w:pPr>
        <w:spacing w:line="360" w:lineRule="auto"/>
        <w:ind w:firstLine="435"/>
        <w:rPr>
          <w:rFonts w:ascii="Times New Roman" w:hAnsi="Times New Roman" w:cs="Times New Roman"/>
          <w:sz w:val="24"/>
        </w:rPr>
      </w:pPr>
      <w:r>
        <w:rPr>
          <w:rFonts w:ascii="Times New Roman" w:hAnsi="Times New Roman" w:cs="Times New Roman"/>
          <w:sz w:val="24"/>
        </w:rPr>
        <w:t>（6）法律、法规和招标文件规定的其他无效情形。</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22.比较与评价</w:t>
      </w:r>
    </w:p>
    <w:p>
      <w:pPr>
        <w:spacing w:line="360" w:lineRule="auto"/>
        <w:ind w:firstLine="435"/>
        <w:rPr>
          <w:rFonts w:ascii="Times New Roman" w:hAnsi="Times New Roman" w:cs="Times New Roman"/>
          <w:sz w:val="24"/>
        </w:rPr>
      </w:pPr>
      <w:r>
        <w:rPr>
          <w:rFonts w:ascii="Times New Roman" w:hAnsi="Times New Roman" w:cs="Times New Roman"/>
          <w:sz w:val="24"/>
        </w:rPr>
        <w:t>22.1经初审合格的投标文件，评标委员会将根据招标文件确定的评标方法和标准，对其投标文件作进一步的比较与评价。</w:t>
      </w:r>
    </w:p>
    <w:p>
      <w:pPr>
        <w:spacing w:line="360" w:lineRule="auto"/>
        <w:ind w:firstLine="435"/>
        <w:rPr>
          <w:rFonts w:ascii="Times New Roman" w:hAnsi="Times New Roman" w:cs="Times New Roman"/>
          <w:sz w:val="24"/>
        </w:rPr>
      </w:pPr>
      <w:r>
        <w:rPr>
          <w:rFonts w:ascii="Times New Roman" w:hAnsi="Times New Roman" w:cs="Times New Roman"/>
          <w:sz w:val="24"/>
        </w:rPr>
        <w:t>22.2评标严格按照招标文件的要求和条件进行。根据实际情况，在</w:t>
      </w:r>
      <w:r>
        <w:rPr>
          <w:rFonts w:ascii="Times New Roman" w:hAnsi="Times New Roman" w:cs="Times New Roman"/>
          <w:sz w:val="24"/>
          <w:u w:val="single"/>
        </w:rPr>
        <w:t>投标人须知前附表</w:t>
      </w:r>
      <w:r>
        <w:rPr>
          <w:rFonts w:ascii="Times New Roman" w:hAnsi="Times New Roman" w:cs="Times New Roman"/>
          <w:sz w:val="24"/>
        </w:rPr>
        <w:t>中规定采用下列一种评标方法，详细评标方法和标准见招标文件第四章：</w:t>
      </w:r>
    </w:p>
    <w:p>
      <w:pPr>
        <w:spacing w:line="360" w:lineRule="auto"/>
        <w:ind w:firstLine="435"/>
        <w:rPr>
          <w:rFonts w:ascii="Times New Roman" w:hAnsi="Times New Roman" w:cs="Times New Roman"/>
          <w:sz w:val="24"/>
        </w:rPr>
      </w:pPr>
      <w:r>
        <w:rPr>
          <w:rFonts w:ascii="Times New Roman" w:hAnsi="Times New Roman" w:cs="Times New Roman"/>
          <w:sz w:val="24"/>
        </w:rPr>
        <w:t>（1）最低评标价法，是指投标文件满足招标文件全部实质性要求，且投标报价最低的投标人为中标候选人的评标方法。</w:t>
      </w:r>
    </w:p>
    <w:p>
      <w:pPr>
        <w:spacing w:line="360" w:lineRule="auto"/>
        <w:ind w:firstLine="435"/>
        <w:rPr>
          <w:rFonts w:ascii="Times New Roman" w:hAnsi="Times New Roman" w:cs="Times New Roman"/>
          <w:sz w:val="24"/>
        </w:rPr>
      </w:pPr>
      <w:r>
        <w:rPr>
          <w:rFonts w:ascii="Times New Roman" w:hAnsi="Times New Roman" w:cs="Times New Roman"/>
          <w:sz w:val="24"/>
        </w:rPr>
        <w:t>（2）综合评分法，是指投标文件满足招标文件全部实质性要求，且按照评审因素的量化指标评审得分最高的投标人为中标候选人的评标方法。</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23.废标</w:t>
      </w:r>
    </w:p>
    <w:p>
      <w:pPr>
        <w:spacing w:line="360" w:lineRule="auto"/>
        <w:ind w:firstLine="435"/>
        <w:rPr>
          <w:rFonts w:ascii="Times New Roman" w:hAnsi="Times New Roman" w:cs="Times New Roman"/>
          <w:sz w:val="24"/>
        </w:rPr>
      </w:pPr>
      <w:r>
        <w:rPr>
          <w:rFonts w:ascii="Times New Roman" w:hAnsi="Times New Roman" w:cs="Times New Roman"/>
          <w:sz w:val="24"/>
        </w:rPr>
        <w:t>出现下列情形之一，将导致项目废标：</w:t>
      </w:r>
    </w:p>
    <w:p>
      <w:pPr>
        <w:spacing w:line="360" w:lineRule="auto"/>
        <w:ind w:firstLine="435"/>
        <w:rPr>
          <w:rFonts w:ascii="Times New Roman" w:hAnsi="Times New Roman" w:cs="Times New Roman"/>
          <w:sz w:val="24"/>
        </w:rPr>
      </w:pPr>
      <w:r>
        <w:rPr>
          <w:rFonts w:ascii="Times New Roman" w:hAnsi="Times New Roman" w:cs="Times New Roman"/>
          <w:sz w:val="24"/>
        </w:rPr>
        <w:t>（1）符合专业条件的投标人或者对招标文件做实质性响应的投标人不足规定数量的；</w:t>
      </w:r>
    </w:p>
    <w:p>
      <w:pPr>
        <w:spacing w:line="360" w:lineRule="auto"/>
        <w:ind w:firstLine="435"/>
        <w:rPr>
          <w:rFonts w:ascii="Times New Roman" w:hAnsi="Times New Roman" w:cs="Times New Roman"/>
          <w:sz w:val="24"/>
        </w:rPr>
      </w:pPr>
      <w:r>
        <w:rPr>
          <w:rFonts w:ascii="Times New Roman" w:hAnsi="Times New Roman" w:cs="Times New Roman"/>
          <w:sz w:val="24"/>
        </w:rPr>
        <w:t>（2）出现影响采购公正的违法、违规行为的；</w:t>
      </w:r>
    </w:p>
    <w:p>
      <w:pPr>
        <w:spacing w:line="360" w:lineRule="auto"/>
        <w:ind w:firstLine="435"/>
        <w:rPr>
          <w:rFonts w:ascii="Times New Roman" w:hAnsi="Times New Roman" w:cs="Times New Roman"/>
          <w:sz w:val="24"/>
        </w:rPr>
      </w:pPr>
      <w:r>
        <w:rPr>
          <w:rFonts w:ascii="Times New Roman" w:hAnsi="Times New Roman" w:cs="Times New Roman"/>
          <w:sz w:val="24"/>
        </w:rPr>
        <w:t>（3）投标人的报价均超过了采购估算，招标人不能支付的；</w:t>
      </w:r>
    </w:p>
    <w:p>
      <w:pPr>
        <w:spacing w:line="360" w:lineRule="auto"/>
        <w:ind w:firstLine="435"/>
        <w:rPr>
          <w:rFonts w:ascii="Times New Roman" w:hAnsi="Times New Roman" w:cs="Times New Roman"/>
          <w:sz w:val="24"/>
        </w:rPr>
      </w:pPr>
      <w:r>
        <w:rPr>
          <w:rFonts w:ascii="Times New Roman" w:hAnsi="Times New Roman" w:cs="Times New Roman"/>
          <w:sz w:val="24"/>
        </w:rPr>
        <w:t>（4）因重大变故，采购任务取消的。</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24.保密要求</w:t>
      </w:r>
    </w:p>
    <w:p>
      <w:pPr>
        <w:spacing w:line="360" w:lineRule="auto"/>
        <w:ind w:firstLine="435"/>
        <w:rPr>
          <w:rFonts w:ascii="Times New Roman" w:hAnsi="Times New Roman" w:cs="Times New Roman"/>
          <w:sz w:val="24"/>
        </w:rPr>
      </w:pPr>
      <w:r>
        <w:rPr>
          <w:rFonts w:ascii="Times New Roman" w:hAnsi="Times New Roman" w:cs="Times New Roman"/>
          <w:sz w:val="24"/>
        </w:rPr>
        <w:t>24.1评标将在严格保密的情况下进行。</w:t>
      </w:r>
    </w:p>
    <w:p>
      <w:pPr>
        <w:spacing w:line="360" w:lineRule="auto"/>
        <w:ind w:firstLine="435"/>
        <w:rPr>
          <w:rFonts w:ascii="Times New Roman" w:hAnsi="Times New Roman" w:cs="Times New Roman"/>
          <w:sz w:val="24"/>
        </w:rPr>
      </w:pPr>
      <w:r>
        <w:rPr>
          <w:rFonts w:ascii="Times New Roman" w:hAnsi="Times New Roman" w:cs="Times New Roman"/>
          <w:sz w:val="24"/>
        </w:rPr>
        <w:t>24.2有关人员应当遵守评标工作纪律，不得泄露评标文件、评标情况和评标中获悉的国家秘密、商业秘密。</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25.中标候选人的确定原则及标准</w:t>
      </w:r>
    </w:p>
    <w:p>
      <w:pPr>
        <w:spacing w:line="360" w:lineRule="auto"/>
        <w:ind w:firstLine="435"/>
        <w:rPr>
          <w:rFonts w:ascii="Times New Roman" w:hAnsi="Times New Roman" w:cs="Times New Roman"/>
          <w:sz w:val="24"/>
        </w:rPr>
      </w:pPr>
      <w:r>
        <w:rPr>
          <w:rFonts w:ascii="Times New Roman" w:hAnsi="Times New Roman" w:cs="Times New Roman"/>
          <w:sz w:val="24"/>
        </w:rPr>
        <w:t>25.1评标委员会依据本项目招标文件所约定的评标方法，对实质上响应招标文件的投标人按下列方法进行排序，确定中标候选人：</w:t>
      </w:r>
    </w:p>
    <w:p>
      <w:pPr>
        <w:spacing w:line="360" w:lineRule="auto"/>
        <w:ind w:firstLine="435"/>
        <w:rPr>
          <w:rFonts w:ascii="Times New Roman" w:hAnsi="Times New Roman" w:cs="Times New Roman"/>
          <w:sz w:val="24"/>
        </w:rPr>
      </w:pPr>
      <w:r>
        <w:rPr>
          <w:rFonts w:ascii="Times New Roman" w:hAnsi="Times New Roman" w:cs="Times New Roman"/>
          <w:sz w:val="24"/>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pPr>
        <w:spacing w:line="360" w:lineRule="auto"/>
        <w:ind w:firstLine="435"/>
        <w:rPr>
          <w:rFonts w:ascii="Times New Roman" w:hAnsi="Times New Roman" w:cs="Times New Roman"/>
          <w:sz w:val="24"/>
        </w:rPr>
      </w:pPr>
      <w:r>
        <w:rPr>
          <w:rFonts w:ascii="Times New Roman" w:hAnsi="Times New Roman" w:cs="Times New Roman"/>
          <w:sz w:val="24"/>
        </w:rPr>
        <w:t>（2）采用综合评分法的，评标结果按评审后得分由高到低顺序排列。得分相同的，按投标报价由低到高顺序排列。得分与投标报价均相同的，采取评标委员会抽签方式确定中标候选顺序。</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26.确定中标候选人和中标人</w:t>
      </w:r>
    </w:p>
    <w:p>
      <w:pPr>
        <w:spacing w:line="360" w:lineRule="auto"/>
        <w:ind w:firstLine="435"/>
        <w:rPr>
          <w:rFonts w:ascii="Times New Roman" w:hAnsi="Times New Roman" w:cs="Times New Roman"/>
          <w:sz w:val="24"/>
        </w:rPr>
      </w:pPr>
      <w:r>
        <w:rPr>
          <w:rFonts w:ascii="Times New Roman" w:hAnsi="Times New Roman" w:cs="Times New Roman"/>
          <w:sz w:val="24"/>
        </w:rPr>
        <w:t>26.1评标委员会将根据评标标准，按</w:t>
      </w:r>
      <w:r>
        <w:rPr>
          <w:rFonts w:ascii="Times New Roman" w:hAnsi="Times New Roman" w:cs="Times New Roman"/>
          <w:sz w:val="24"/>
          <w:u w:val="single"/>
        </w:rPr>
        <w:t>投标人须知前附表</w:t>
      </w:r>
      <w:r>
        <w:rPr>
          <w:rFonts w:ascii="Times New Roman" w:hAnsi="Times New Roman" w:cs="Times New Roman"/>
          <w:sz w:val="24"/>
        </w:rPr>
        <w:t>中规定数量推荐中标候选人。</w:t>
      </w:r>
    </w:p>
    <w:p>
      <w:pPr>
        <w:spacing w:line="360" w:lineRule="auto"/>
        <w:ind w:firstLine="435"/>
        <w:rPr>
          <w:rFonts w:ascii="Times New Roman" w:hAnsi="Times New Roman" w:cs="Times New Roman"/>
          <w:sz w:val="24"/>
        </w:rPr>
      </w:pPr>
      <w:r>
        <w:rPr>
          <w:rFonts w:ascii="Times New Roman" w:hAnsi="Times New Roman" w:cs="Times New Roman"/>
          <w:sz w:val="24"/>
        </w:rPr>
        <w:t>26.2按</w:t>
      </w:r>
      <w:r>
        <w:rPr>
          <w:rFonts w:ascii="Times New Roman" w:hAnsi="Times New Roman" w:cs="Times New Roman"/>
          <w:sz w:val="24"/>
          <w:u w:val="single"/>
        </w:rPr>
        <w:t>投标人须知前附表</w:t>
      </w:r>
      <w:r>
        <w:rPr>
          <w:rFonts w:ascii="Times New Roman" w:hAnsi="Times New Roman" w:cs="Times New Roman"/>
          <w:sz w:val="24"/>
        </w:rPr>
        <w:t>中规定，由评标委员会或招标人确定中标人。</w:t>
      </w:r>
    </w:p>
    <w:p>
      <w:pPr>
        <w:spacing w:line="360" w:lineRule="auto"/>
        <w:ind w:firstLine="435"/>
        <w:rPr>
          <w:rFonts w:ascii="Times New Roman" w:hAnsi="Times New Roman" w:cs="Times New Roman"/>
          <w:sz w:val="24"/>
        </w:rPr>
      </w:pPr>
      <w:r>
        <w:rPr>
          <w:rFonts w:ascii="Times New Roman" w:hAnsi="Times New Roman" w:cs="Times New Roman"/>
          <w:sz w:val="24"/>
        </w:rPr>
        <w:t>26.3因重大变故采购任务取消时，招标人有权拒绝任何投标人中标，且对受影响的投标人不承担任何责任。</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27.编写评标报告</w:t>
      </w:r>
    </w:p>
    <w:p>
      <w:pPr>
        <w:spacing w:line="360" w:lineRule="auto"/>
        <w:ind w:firstLine="435"/>
        <w:rPr>
          <w:rFonts w:ascii="Times New Roman" w:hAnsi="Times New Roman" w:cs="Times New Roman"/>
          <w:sz w:val="24"/>
        </w:rPr>
      </w:pPr>
      <w:r>
        <w:rPr>
          <w:rFonts w:ascii="Times New Roman" w:hAnsi="Times New Roman" w:cs="Times New Roman"/>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28.中标结果公告</w:t>
      </w:r>
    </w:p>
    <w:p>
      <w:pPr>
        <w:spacing w:line="360" w:lineRule="auto"/>
        <w:ind w:firstLine="435"/>
        <w:rPr>
          <w:rFonts w:ascii="Times New Roman" w:hAnsi="Times New Roman" w:cs="Times New Roman"/>
          <w:sz w:val="24"/>
        </w:rPr>
      </w:pPr>
      <w:r>
        <w:rPr>
          <w:rFonts w:ascii="Times New Roman" w:hAnsi="Times New Roman" w:cs="Times New Roman"/>
          <w:sz w:val="24"/>
        </w:rPr>
        <w:t>28.1自中标人确定之日起</w:t>
      </w:r>
      <w:r>
        <w:rPr>
          <w:rFonts w:hint="eastAsia" w:ascii="Times New Roman" w:hAnsi="Times New Roman" w:cs="Times New Roman"/>
          <w:sz w:val="24"/>
        </w:rPr>
        <w:t>3</w:t>
      </w:r>
      <w:r>
        <w:rPr>
          <w:rFonts w:ascii="Times New Roman" w:hAnsi="Times New Roman" w:cs="Times New Roman"/>
          <w:sz w:val="24"/>
        </w:rPr>
        <w:t>日内，招标人将在</w:t>
      </w:r>
      <w:r>
        <w:rPr>
          <w:rFonts w:ascii="Times New Roman" w:hAnsi="Times New Roman" w:cs="Times New Roman"/>
          <w:sz w:val="24"/>
          <w:szCs w:val="22"/>
        </w:rPr>
        <w:t>公司网站</w:t>
      </w:r>
      <w:r>
        <w:rPr>
          <w:rFonts w:ascii="Times New Roman" w:hAnsi="Times New Roman" w:cs="Times New Roman"/>
          <w:sz w:val="24"/>
        </w:rPr>
        <w:t>发布中标结果公告。</w:t>
      </w:r>
    </w:p>
    <w:p>
      <w:pPr>
        <w:spacing w:line="360" w:lineRule="auto"/>
        <w:ind w:firstLine="435"/>
        <w:rPr>
          <w:rFonts w:ascii="Times New Roman" w:hAnsi="Times New Roman" w:cs="Times New Roman"/>
          <w:sz w:val="24"/>
        </w:rPr>
      </w:pPr>
      <w:r>
        <w:rPr>
          <w:rFonts w:ascii="Times New Roman" w:hAnsi="Times New Roman" w:cs="Times New Roman"/>
          <w:sz w:val="24"/>
        </w:rPr>
        <w:t>28.2中标结果公告内容应当包括招标人名称、地址、联系方式，项目名称和项目编号，中标人名称、地址和中标金额，主要中标标的的名称、规格型号、数量、单价、服务要求，中标公告期限、评审专家名单以及</w:t>
      </w:r>
      <w:r>
        <w:rPr>
          <w:rFonts w:ascii="Times New Roman" w:hAnsi="Times New Roman" w:cs="Times New Roman"/>
          <w:sz w:val="24"/>
          <w:u w:val="single"/>
        </w:rPr>
        <w:t>投标人须知前附表</w:t>
      </w:r>
      <w:r>
        <w:rPr>
          <w:rFonts w:ascii="Times New Roman" w:hAnsi="Times New Roman" w:cs="Times New Roman"/>
          <w:sz w:val="24"/>
        </w:rPr>
        <w:t>中约定进行公告的内容。中标公告期限为</w:t>
      </w:r>
      <w:r>
        <w:rPr>
          <w:rFonts w:hint="eastAsia" w:ascii="Times New Roman" w:hAnsi="Times New Roman" w:cs="Times New Roman"/>
          <w:sz w:val="24"/>
        </w:rPr>
        <w:t>3</w:t>
      </w:r>
      <w:r>
        <w:rPr>
          <w:rFonts w:ascii="Times New Roman" w:hAnsi="Times New Roman" w:cs="Times New Roman"/>
          <w:sz w:val="24"/>
        </w:rPr>
        <w:t>日。</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29.中标通知书</w:t>
      </w:r>
    </w:p>
    <w:p>
      <w:pPr>
        <w:spacing w:line="360" w:lineRule="auto"/>
        <w:ind w:firstLine="435"/>
        <w:rPr>
          <w:rFonts w:ascii="Times New Roman" w:hAnsi="Times New Roman" w:cs="Times New Roman"/>
          <w:sz w:val="24"/>
        </w:rPr>
      </w:pPr>
      <w:r>
        <w:rPr>
          <w:rFonts w:ascii="Times New Roman" w:hAnsi="Times New Roman" w:cs="Times New Roman"/>
          <w:sz w:val="24"/>
        </w:rPr>
        <w:t>29.1招标人发布中标公告</w:t>
      </w:r>
      <w:r>
        <w:rPr>
          <w:rFonts w:ascii="Times New Roman" w:hAnsi="Times New Roman" w:cs="Times New Roman"/>
          <w:iCs/>
          <w:sz w:val="24"/>
        </w:rPr>
        <w:t>的</w:t>
      </w:r>
      <w:r>
        <w:rPr>
          <w:rFonts w:ascii="Times New Roman" w:hAnsi="Times New Roman" w:cs="Times New Roman"/>
          <w:sz w:val="24"/>
        </w:rPr>
        <w:t>同时向中标人发出中标通知书。</w:t>
      </w:r>
    </w:p>
    <w:p>
      <w:pPr>
        <w:spacing w:line="360" w:lineRule="auto"/>
        <w:ind w:firstLine="435"/>
        <w:rPr>
          <w:rFonts w:ascii="Times New Roman" w:hAnsi="Times New Roman" w:cs="Times New Roman"/>
          <w:sz w:val="24"/>
        </w:rPr>
      </w:pPr>
      <w:r>
        <w:rPr>
          <w:rFonts w:ascii="Times New Roman" w:hAnsi="Times New Roman" w:cs="Times New Roman"/>
          <w:sz w:val="24"/>
        </w:rPr>
        <w:t>29.2中标通知书对招标人和中标人具有同等法律效力。中标通知书发出以后，招标人改变中标结果或者中标人放弃中标，应当承担相应的法律责任。</w:t>
      </w:r>
    </w:p>
    <w:p>
      <w:pPr>
        <w:spacing w:line="360" w:lineRule="auto"/>
        <w:ind w:firstLine="435"/>
        <w:rPr>
          <w:rFonts w:ascii="Times New Roman" w:hAnsi="Times New Roman" w:cs="Times New Roman"/>
          <w:sz w:val="24"/>
        </w:rPr>
      </w:pPr>
      <w:r>
        <w:rPr>
          <w:rFonts w:ascii="Times New Roman" w:hAnsi="Times New Roman" w:cs="Times New Roman"/>
          <w:sz w:val="24"/>
        </w:rPr>
        <w:t>29.3中标通知书是合同的组成部分。</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30.告知招标结果</w:t>
      </w:r>
    </w:p>
    <w:p>
      <w:pPr>
        <w:spacing w:line="360" w:lineRule="auto"/>
        <w:ind w:firstLine="435"/>
        <w:rPr>
          <w:rFonts w:ascii="Times New Roman" w:hAnsi="Times New Roman" w:cs="Times New Roman"/>
          <w:sz w:val="24"/>
        </w:rPr>
      </w:pPr>
      <w:r>
        <w:rPr>
          <w:rFonts w:ascii="Times New Roman" w:hAnsi="Times New Roman" w:cs="Times New Roman"/>
          <w:sz w:val="24"/>
        </w:rPr>
        <w:t>30.1在公告中标结果的同时，招标人同时以</w:t>
      </w:r>
      <w:r>
        <w:rPr>
          <w:rFonts w:ascii="Times New Roman" w:hAnsi="Times New Roman" w:cs="Times New Roman"/>
          <w:sz w:val="24"/>
          <w:u w:val="single"/>
        </w:rPr>
        <w:t>投标人须知前附表</w:t>
      </w:r>
      <w:r>
        <w:rPr>
          <w:rFonts w:ascii="Times New Roman" w:hAnsi="Times New Roman" w:cs="Times New Roman"/>
          <w:sz w:val="24"/>
        </w:rPr>
        <w:t>规定的形式告知未通过资格审查的投标人未通过的原因；采用综合评分法评审的，还将告知未中标人本人的评审得分和排序。</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31.履约保证金</w:t>
      </w:r>
    </w:p>
    <w:p>
      <w:pPr>
        <w:spacing w:line="360" w:lineRule="auto"/>
        <w:ind w:firstLine="435"/>
        <w:rPr>
          <w:rFonts w:ascii="Times New Roman" w:hAnsi="Times New Roman" w:cs="Times New Roman"/>
          <w:sz w:val="24"/>
        </w:rPr>
      </w:pPr>
      <w:r>
        <w:rPr>
          <w:rFonts w:ascii="Times New Roman" w:hAnsi="Times New Roman" w:cs="Times New Roman"/>
          <w:sz w:val="24"/>
        </w:rPr>
        <w:t>31.1中标人应按照</w:t>
      </w:r>
      <w:r>
        <w:rPr>
          <w:rFonts w:ascii="Times New Roman" w:hAnsi="Times New Roman" w:cs="Times New Roman"/>
          <w:sz w:val="24"/>
          <w:u w:val="single"/>
        </w:rPr>
        <w:t>投标人须知前附表</w:t>
      </w:r>
      <w:r>
        <w:rPr>
          <w:rFonts w:ascii="Times New Roman" w:hAnsi="Times New Roman" w:cs="Times New Roman"/>
          <w:sz w:val="24"/>
        </w:rPr>
        <w:t>规定缴纳履约保证金。</w:t>
      </w:r>
    </w:p>
    <w:p>
      <w:pPr>
        <w:spacing w:line="360" w:lineRule="auto"/>
        <w:ind w:firstLine="435"/>
        <w:rPr>
          <w:rFonts w:ascii="Times New Roman" w:hAnsi="Times New Roman" w:cs="Times New Roman"/>
          <w:b/>
          <w:sz w:val="24"/>
        </w:rPr>
      </w:pPr>
      <w:r>
        <w:rPr>
          <w:rFonts w:ascii="Times New Roman" w:hAnsi="Times New Roman" w:cs="Times New Roman"/>
          <w:sz w:val="24"/>
        </w:rPr>
        <w:t>31.2如果中标人没有按照上述履约保证金的规定执行，将视为放弃中标资格。在此情况下，招标人可确定下一中标候选人为中标人，也可以重新开展采购活动。</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32.签订合同</w:t>
      </w:r>
    </w:p>
    <w:p>
      <w:pPr>
        <w:spacing w:line="360" w:lineRule="auto"/>
        <w:ind w:firstLine="435"/>
        <w:rPr>
          <w:rFonts w:ascii="Times New Roman" w:hAnsi="Times New Roman" w:cs="Times New Roman"/>
          <w:sz w:val="24"/>
        </w:rPr>
      </w:pPr>
      <w:r>
        <w:rPr>
          <w:rFonts w:ascii="Times New Roman" w:hAnsi="Times New Roman" w:cs="Times New Roman"/>
          <w:sz w:val="24"/>
        </w:rPr>
        <w:t>32.1招标人与中标人应当自发出中标通知书之日起30日内签订合同。</w:t>
      </w:r>
    </w:p>
    <w:p>
      <w:pPr>
        <w:spacing w:line="360" w:lineRule="auto"/>
        <w:ind w:firstLine="435"/>
        <w:rPr>
          <w:rFonts w:ascii="Times New Roman" w:hAnsi="Times New Roman" w:cs="Times New Roman"/>
          <w:sz w:val="24"/>
        </w:rPr>
      </w:pPr>
      <w:r>
        <w:rPr>
          <w:rFonts w:ascii="Times New Roman" w:hAnsi="Times New Roman" w:cs="Times New Roman"/>
          <w:sz w:val="24"/>
        </w:rPr>
        <w:t>32.2招标文件、中标人的投标文件及其澄清文件等，均为签订合同的依据。</w:t>
      </w:r>
    </w:p>
    <w:p>
      <w:pPr>
        <w:spacing w:line="360" w:lineRule="auto"/>
        <w:ind w:firstLine="435"/>
        <w:rPr>
          <w:rFonts w:ascii="Times New Roman" w:hAnsi="Times New Roman" w:cs="Times New Roman"/>
          <w:sz w:val="24"/>
        </w:rPr>
      </w:pPr>
      <w:r>
        <w:rPr>
          <w:rFonts w:ascii="Times New Roman" w:hAnsi="Times New Roman" w:cs="Times New Roman"/>
          <w:sz w:val="24"/>
        </w:rPr>
        <w:t>32.3中标人拒绝与招标人签订合同的，招标人可以按照评审报告推荐的中标候选人名单排序，确定下一中标候选人为中标人，也可以重新开展采购活动。</w:t>
      </w:r>
    </w:p>
    <w:p>
      <w:pPr>
        <w:spacing w:line="360" w:lineRule="auto"/>
        <w:ind w:firstLine="435"/>
        <w:rPr>
          <w:rFonts w:ascii="Times New Roman" w:hAnsi="Times New Roman" w:cs="Times New Roman"/>
          <w:sz w:val="24"/>
        </w:rPr>
      </w:pPr>
      <w:r>
        <w:rPr>
          <w:rFonts w:ascii="Times New Roman" w:hAnsi="Times New Roman" w:cs="Times New Roman"/>
          <w:sz w:val="24"/>
        </w:rPr>
        <w:t>32.4当出现法规规定的中标无效或中标结果无效情形时，招标人可依法与排名下一位的中标候选人另行签订合同，或依法重新开展采购活动。</w:t>
      </w:r>
    </w:p>
    <w:p>
      <w:pPr>
        <w:spacing w:line="360" w:lineRule="auto"/>
        <w:ind w:firstLine="435"/>
        <w:rPr>
          <w:rFonts w:ascii="Times New Roman" w:hAnsi="Times New Roman" w:cs="Times New Roman"/>
          <w:sz w:val="24"/>
        </w:rPr>
      </w:pPr>
      <w:r>
        <w:rPr>
          <w:rFonts w:ascii="Times New Roman" w:hAnsi="Times New Roman" w:cs="Times New Roman"/>
          <w:sz w:val="24"/>
        </w:rPr>
        <w:t>32.5 投标人签订合同前，需向招标人演示投标产品的相关功能。否则招标人有权变更中标人。</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33.中标服务费</w:t>
      </w:r>
    </w:p>
    <w:p>
      <w:pPr>
        <w:spacing w:line="360" w:lineRule="auto"/>
        <w:ind w:firstLine="435"/>
        <w:rPr>
          <w:rFonts w:ascii="Times New Roman" w:hAnsi="Times New Roman" w:cs="Times New Roman"/>
          <w:sz w:val="24"/>
        </w:rPr>
      </w:pPr>
      <w:r>
        <w:rPr>
          <w:rFonts w:ascii="Times New Roman" w:hAnsi="Times New Roman" w:cs="Times New Roman"/>
          <w:sz w:val="24"/>
        </w:rPr>
        <w:t>33.1本项目中标服务费的收取按</w:t>
      </w:r>
      <w:r>
        <w:rPr>
          <w:rFonts w:ascii="Times New Roman" w:hAnsi="Times New Roman" w:cs="Times New Roman"/>
          <w:sz w:val="24"/>
          <w:u w:val="single"/>
        </w:rPr>
        <w:t>投标人须知前附表的</w:t>
      </w:r>
      <w:r>
        <w:rPr>
          <w:rFonts w:ascii="Times New Roman" w:hAnsi="Times New Roman" w:cs="Times New Roman"/>
          <w:sz w:val="24"/>
        </w:rPr>
        <w:t>规定执行。</w:t>
      </w:r>
    </w:p>
    <w:p>
      <w:pPr>
        <w:spacing w:line="360" w:lineRule="auto"/>
        <w:ind w:firstLine="437"/>
        <w:outlineLvl w:val="3"/>
        <w:rPr>
          <w:rFonts w:ascii="Times New Roman" w:hAnsi="Times New Roman" w:cs="Times New Roman"/>
          <w:b/>
          <w:sz w:val="24"/>
        </w:rPr>
      </w:pPr>
      <w:bookmarkStart w:id="25" w:name="_Toc518923100"/>
      <w:bookmarkStart w:id="26" w:name="_Toc2583661"/>
      <w:r>
        <w:rPr>
          <w:rFonts w:ascii="Times New Roman" w:hAnsi="Times New Roman" w:cs="Times New Roman"/>
          <w:b/>
          <w:sz w:val="24"/>
        </w:rPr>
        <w:t>34.廉洁自律规定</w:t>
      </w:r>
      <w:bookmarkEnd w:id="25"/>
      <w:bookmarkEnd w:id="26"/>
    </w:p>
    <w:p>
      <w:pPr>
        <w:spacing w:line="360" w:lineRule="auto"/>
        <w:ind w:firstLine="435"/>
        <w:rPr>
          <w:rFonts w:ascii="Times New Roman" w:hAnsi="Times New Roman" w:cs="Times New Roman"/>
          <w:sz w:val="24"/>
        </w:rPr>
      </w:pPr>
      <w:r>
        <w:rPr>
          <w:rFonts w:ascii="Times New Roman" w:hAnsi="Times New Roman" w:cs="Times New Roman"/>
          <w:sz w:val="24"/>
        </w:rPr>
        <w:t>34.1采购工作人员不得接受投标人组织的宴请、旅游、娱乐，不得收受礼品、现金、有价证券等，不得向投标人报销应当由个人承担的费用。</w:t>
      </w:r>
    </w:p>
    <w:p>
      <w:pPr>
        <w:spacing w:line="360" w:lineRule="auto"/>
        <w:ind w:firstLine="437"/>
        <w:outlineLvl w:val="3"/>
        <w:rPr>
          <w:rFonts w:ascii="Times New Roman" w:hAnsi="Times New Roman" w:cs="Times New Roman"/>
          <w:b/>
          <w:sz w:val="24"/>
        </w:rPr>
      </w:pPr>
      <w:bookmarkStart w:id="27" w:name="_Toc518923101"/>
      <w:bookmarkStart w:id="28" w:name="_Toc2583662"/>
      <w:r>
        <w:rPr>
          <w:rFonts w:ascii="Times New Roman" w:hAnsi="Times New Roman" w:cs="Times New Roman"/>
          <w:b/>
          <w:sz w:val="24"/>
        </w:rPr>
        <w:t>35.人员回避</w:t>
      </w:r>
      <w:bookmarkEnd w:id="27"/>
      <w:bookmarkEnd w:id="28"/>
    </w:p>
    <w:p>
      <w:pPr>
        <w:spacing w:line="360" w:lineRule="auto"/>
        <w:ind w:firstLine="435"/>
        <w:rPr>
          <w:rFonts w:ascii="Times New Roman" w:hAnsi="Times New Roman" w:cs="Times New Roman"/>
          <w:sz w:val="24"/>
        </w:rPr>
      </w:pPr>
      <w:r>
        <w:rPr>
          <w:rFonts w:ascii="Times New Roman" w:hAnsi="Times New Roman" w:cs="Times New Roman"/>
          <w:sz w:val="24"/>
        </w:rPr>
        <w:t>投标人认为招标人员及其相关人员有法律法规所列与其他投标人有利害关系的，可以向招标人书面提出回避申请，并说明理由。</w:t>
      </w:r>
    </w:p>
    <w:p>
      <w:pPr>
        <w:spacing w:line="360" w:lineRule="auto"/>
        <w:jc w:val="center"/>
        <w:outlineLvl w:val="1"/>
        <w:rPr>
          <w:rFonts w:ascii="Times New Roman" w:hAnsi="Times New Roman" w:cs="Times New Roman"/>
          <w:b/>
          <w:sz w:val="28"/>
        </w:rPr>
      </w:pPr>
      <w:r>
        <w:rPr>
          <w:rFonts w:ascii="Times New Roman" w:hAnsi="Times New Roman" w:cs="Times New Roman"/>
          <w:sz w:val="24"/>
        </w:rPr>
        <w:br w:type="page"/>
      </w:r>
      <w:r>
        <w:rPr>
          <w:rFonts w:ascii="Times New Roman" w:hAnsi="Times New Roman" w:cs="Times New Roman"/>
          <w:b/>
          <w:sz w:val="28"/>
        </w:rPr>
        <w:t xml:space="preserve">第三章  </w:t>
      </w:r>
      <w:r>
        <w:rPr>
          <w:rFonts w:hint="eastAsia" w:ascii="Times New Roman" w:hAnsi="Times New Roman" w:cs="Times New Roman"/>
          <w:b/>
          <w:sz w:val="28"/>
        </w:rPr>
        <w:t>招标需求</w:t>
      </w:r>
    </w:p>
    <w:p>
      <w:pPr>
        <w:spacing w:line="360" w:lineRule="auto"/>
        <w:ind w:firstLine="437"/>
        <w:rPr>
          <w:rFonts w:ascii="宋体" w:hAnsi="宋体"/>
          <w:b/>
          <w:sz w:val="24"/>
          <w:szCs w:val="18"/>
        </w:rPr>
      </w:pPr>
      <w:r>
        <w:rPr>
          <w:rFonts w:hint="eastAsia" w:ascii="宋体" w:hAnsi="宋体"/>
          <w:b/>
          <w:sz w:val="24"/>
          <w:szCs w:val="18"/>
        </w:rPr>
        <w:t>一、招标需求前附表</w:t>
      </w:r>
    </w:p>
    <w:tbl>
      <w:tblPr>
        <w:tblStyle w:val="41"/>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pPr>
              <w:pStyle w:val="62"/>
              <w:pBdr>
                <w:bottom w:val="none" w:color="auto" w:sz="0" w:space="0"/>
              </w:pBdr>
              <w:adjustRightInd/>
              <w:spacing w:line="240" w:lineRule="auto"/>
              <w:textAlignment w:val="auto"/>
              <w:rPr>
                <w:rFonts w:ascii="宋体" w:hAnsi="宋体"/>
                <w:b/>
                <w:kern w:val="2"/>
                <w:highlight w:val="none"/>
              </w:rPr>
            </w:pPr>
            <w:r>
              <w:rPr>
                <w:rFonts w:hint="eastAsia" w:ascii="宋体" w:hAnsi="宋体"/>
                <w:b/>
                <w:kern w:val="2"/>
                <w:highlight w:val="none"/>
              </w:rPr>
              <w:t>序号</w:t>
            </w:r>
          </w:p>
        </w:tc>
        <w:tc>
          <w:tcPr>
            <w:tcW w:w="2191" w:type="dxa"/>
            <w:vAlign w:val="center"/>
          </w:tcPr>
          <w:p>
            <w:pPr>
              <w:pStyle w:val="61"/>
              <w:widowControl w:val="0"/>
              <w:spacing w:before="0" w:beforeAutospacing="0" w:after="0" w:afterAutospacing="0" w:line="360" w:lineRule="auto"/>
              <w:rPr>
                <w:rFonts w:ascii="宋体" w:hAnsi="宋体"/>
                <w:bCs w:val="0"/>
                <w:sz w:val="24"/>
                <w:highlight w:val="none"/>
              </w:rPr>
            </w:pPr>
            <w:r>
              <w:rPr>
                <w:rFonts w:hint="eastAsia" w:ascii="宋体" w:hAnsi="宋体"/>
                <w:bCs w:val="0"/>
                <w:sz w:val="24"/>
                <w:highlight w:val="none"/>
              </w:rPr>
              <w:t>条款名称</w:t>
            </w:r>
          </w:p>
        </w:tc>
        <w:tc>
          <w:tcPr>
            <w:tcW w:w="5913" w:type="dxa"/>
            <w:vAlign w:val="center"/>
          </w:tcPr>
          <w:p>
            <w:pPr>
              <w:pStyle w:val="61"/>
              <w:widowControl w:val="0"/>
              <w:spacing w:before="0" w:beforeAutospacing="0" w:after="0" w:afterAutospacing="0" w:line="360" w:lineRule="auto"/>
              <w:rPr>
                <w:rFonts w:ascii="宋体" w:hAnsi="宋体"/>
                <w:bCs w:val="0"/>
                <w:sz w:val="24"/>
                <w:highlight w:val="none"/>
              </w:rPr>
            </w:pPr>
            <w:r>
              <w:rPr>
                <w:rFonts w:hint="eastAsia" w:ascii="宋体" w:hAnsi="宋体"/>
                <w:bCs w:val="0"/>
                <w:sz w:val="24"/>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87" w:type="dxa"/>
            <w:vAlign w:val="center"/>
          </w:tcPr>
          <w:p>
            <w:pPr>
              <w:pStyle w:val="62"/>
              <w:pBdr>
                <w:bottom w:val="none" w:color="auto" w:sz="0" w:space="0"/>
              </w:pBdr>
              <w:adjustRightInd/>
              <w:spacing w:line="240" w:lineRule="auto"/>
              <w:textAlignment w:val="auto"/>
              <w:rPr>
                <w:rFonts w:ascii="宋体" w:hAnsi="宋体"/>
                <w:bCs/>
                <w:kern w:val="2"/>
                <w:highlight w:val="yellow"/>
              </w:rPr>
            </w:pPr>
            <w:r>
              <w:rPr>
                <w:rFonts w:hint="eastAsia" w:ascii="宋体" w:hAnsi="宋体"/>
                <w:bCs/>
                <w:kern w:val="2"/>
                <w:highlight w:val="yellow"/>
              </w:rPr>
              <w:t>1</w:t>
            </w:r>
          </w:p>
        </w:tc>
        <w:tc>
          <w:tcPr>
            <w:tcW w:w="2191" w:type="dxa"/>
            <w:vAlign w:val="center"/>
          </w:tcPr>
          <w:p>
            <w:pPr>
              <w:pStyle w:val="61"/>
              <w:widowControl w:val="0"/>
              <w:spacing w:before="0" w:beforeAutospacing="0" w:after="0" w:afterAutospacing="0" w:line="360" w:lineRule="auto"/>
              <w:rPr>
                <w:rFonts w:ascii="宋体" w:hAnsi="宋体"/>
                <w:b w:val="0"/>
                <w:sz w:val="24"/>
                <w:highlight w:val="yellow"/>
              </w:rPr>
            </w:pPr>
            <w:r>
              <w:rPr>
                <w:rFonts w:hint="eastAsia" w:ascii="宋体" w:hAnsi="宋体"/>
                <w:b w:val="0"/>
                <w:sz w:val="24"/>
                <w:highlight w:val="yellow"/>
              </w:rPr>
              <w:t>付款方式</w:t>
            </w:r>
          </w:p>
          <w:p>
            <w:pPr>
              <w:rPr>
                <w:highlight w:val="yellow"/>
              </w:rPr>
            </w:pPr>
          </w:p>
        </w:tc>
        <w:tc>
          <w:tcPr>
            <w:tcW w:w="5913" w:type="dxa"/>
            <w:vAlign w:val="center"/>
          </w:tcPr>
          <w:p>
            <w:pPr>
              <w:pStyle w:val="187"/>
              <w:spacing w:before="0" w:after="0" w:line="360" w:lineRule="auto"/>
              <w:jc w:val="left"/>
              <w:rPr>
                <w:rFonts w:hint="eastAsia" w:ascii="宋体" w:hAnsi="宋体" w:eastAsia="宋体"/>
                <w:b w:val="0"/>
                <w:sz w:val="24"/>
                <w:highlight w:val="yellow"/>
                <w:u w:val="single"/>
                <w:lang w:eastAsia="zh-CN"/>
              </w:rPr>
            </w:pPr>
            <w:r>
              <w:rPr>
                <w:rFonts w:hint="eastAsia" w:ascii="宋体" w:hAnsi="宋体" w:eastAsia="宋体"/>
                <w:b w:val="0"/>
                <w:sz w:val="24"/>
                <w:highlight w:val="yellow"/>
                <w:u w:val="single"/>
                <w:lang w:val="en-US" w:eastAsia="zh-CN"/>
              </w:rPr>
              <w:t>账户管理费</w:t>
            </w:r>
            <w:r>
              <w:rPr>
                <w:rFonts w:hint="eastAsia" w:ascii="宋体" w:hAnsi="宋体" w:eastAsia="宋体"/>
                <w:b w:val="0"/>
                <w:sz w:val="24"/>
                <w:highlight w:val="yellow"/>
                <w:u w:val="single"/>
              </w:rPr>
              <w:t>按</w:t>
            </w:r>
            <w:r>
              <w:rPr>
                <w:rFonts w:hint="eastAsia" w:ascii="宋体" w:hAnsi="宋体" w:eastAsia="宋体"/>
                <w:b w:val="0"/>
                <w:sz w:val="24"/>
                <w:highlight w:val="yellow"/>
                <w:u w:val="single"/>
                <w:lang w:val="en-US" w:eastAsia="zh-CN"/>
              </w:rPr>
              <w:t>年度</w:t>
            </w:r>
            <w:r>
              <w:rPr>
                <w:rFonts w:hint="eastAsia" w:ascii="宋体" w:hAnsi="宋体" w:eastAsia="宋体"/>
                <w:b w:val="0"/>
                <w:sz w:val="24"/>
                <w:highlight w:val="yellow"/>
                <w:u w:val="single"/>
              </w:rPr>
              <w:t>支付</w:t>
            </w:r>
            <w:r>
              <w:rPr>
                <w:rFonts w:hint="eastAsia" w:ascii="宋体" w:hAnsi="宋体" w:eastAsia="宋体"/>
                <w:b w:val="0"/>
                <w:sz w:val="24"/>
                <w:highlight w:val="yellow"/>
                <w:u w:val="single"/>
                <w:lang w:eastAsia="zh-CN"/>
              </w:rPr>
              <w:t>，</w:t>
            </w:r>
            <w:r>
              <w:rPr>
                <w:rFonts w:hint="eastAsia" w:ascii="宋体" w:hAnsi="宋体" w:eastAsia="宋体"/>
                <w:b w:val="0"/>
                <w:sz w:val="24"/>
                <w:highlight w:val="yellow"/>
                <w:u w:val="single"/>
                <w:lang w:val="en-US" w:eastAsia="zh-CN"/>
              </w:rPr>
              <w:t>且账户</w:t>
            </w:r>
            <w:r>
              <w:rPr>
                <w:rFonts w:hint="eastAsia" w:ascii="宋体" w:hAnsi="宋体" w:eastAsia="宋体" w:cs="@仿宋_GB2312"/>
                <w:b w:val="0"/>
                <w:i w:val="0"/>
                <w:iCs w:val="0"/>
                <w:color w:val="auto"/>
                <w:kern w:val="0"/>
                <w:sz w:val="24"/>
                <w:szCs w:val="28"/>
                <w:highlight w:val="yellow"/>
                <w:u w:val="single"/>
                <w:lang w:val="en-US" w:eastAsia="zh-CN" w:bidi="ar"/>
              </w:rPr>
              <w:t>管理费要求正常账户每户每月为人民币1元。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87" w:type="dxa"/>
            <w:vAlign w:val="center"/>
          </w:tcPr>
          <w:p>
            <w:pPr>
              <w:pStyle w:val="62"/>
              <w:pBdr>
                <w:bottom w:val="none" w:color="auto" w:sz="0" w:space="0"/>
              </w:pBdr>
              <w:adjustRightInd/>
              <w:spacing w:line="240" w:lineRule="auto"/>
              <w:textAlignment w:val="auto"/>
              <w:rPr>
                <w:rFonts w:ascii="宋体" w:hAnsi="宋体"/>
                <w:bCs/>
                <w:kern w:val="2"/>
              </w:rPr>
            </w:pPr>
            <w:r>
              <w:rPr>
                <w:rFonts w:hint="eastAsia" w:ascii="宋体" w:hAnsi="宋体"/>
                <w:bCs/>
                <w:kern w:val="2"/>
              </w:rPr>
              <w:t>2</w:t>
            </w:r>
          </w:p>
        </w:tc>
        <w:tc>
          <w:tcPr>
            <w:tcW w:w="2191" w:type="dxa"/>
            <w:vAlign w:val="center"/>
          </w:tcPr>
          <w:p>
            <w:pPr>
              <w:pStyle w:val="61"/>
              <w:widowControl w:val="0"/>
              <w:spacing w:before="0" w:beforeAutospacing="0" w:after="0" w:afterAutospacing="0" w:line="360" w:lineRule="auto"/>
              <w:rPr>
                <w:rFonts w:ascii="宋体" w:hAnsi="宋体"/>
                <w:b w:val="0"/>
                <w:sz w:val="24"/>
              </w:rPr>
            </w:pPr>
            <w:r>
              <w:rPr>
                <w:rFonts w:hint="eastAsia" w:ascii="宋体" w:hAnsi="宋体"/>
                <w:b w:val="0"/>
                <w:sz w:val="24"/>
              </w:rPr>
              <w:t>供货及安装地点</w:t>
            </w:r>
          </w:p>
        </w:tc>
        <w:tc>
          <w:tcPr>
            <w:tcW w:w="5913" w:type="dxa"/>
            <w:vAlign w:val="center"/>
          </w:tcPr>
          <w:p>
            <w:pPr>
              <w:pStyle w:val="187"/>
              <w:spacing w:before="0" w:after="0" w:line="360" w:lineRule="auto"/>
              <w:jc w:val="left"/>
              <w:rPr>
                <w:rFonts w:hint="default" w:ascii="宋体" w:hAnsi="宋体" w:eastAsia="宋体"/>
                <w:b w:val="0"/>
                <w:sz w:val="24"/>
                <w:lang w:val="en-US" w:eastAsia="zh-CN"/>
              </w:rPr>
            </w:pPr>
            <w:ins w:id="0" w:author="witch_#" w:date="2024-08-30T14:50:57Z">
              <w:r>
                <w:rPr>
                  <w:rFonts w:hint="eastAsia" w:ascii="宋体" w:hAnsi="宋体" w:eastAsia="宋体"/>
                  <w:b w:val="0"/>
                  <w:sz w:val="24"/>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pPr>
              <w:pStyle w:val="62"/>
              <w:pBdr>
                <w:bottom w:val="none" w:color="auto" w:sz="0" w:space="0"/>
              </w:pBdr>
              <w:adjustRightInd/>
              <w:spacing w:line="240" w:lineRule="auto"/>
              <w:textAlignment w:val="auto"/>
              <w:rPr>
                <w:rFonts w:ascii="宋体" w:hAnsi="宋体"/>
                <w:bCs/>
                <w:kern w:val="2"/>
              </w:rPr>
            </w:pPr>
            <w:r>
              <w:rPr>
                <w:rFonts w:hint="eastAsia" w:ascii="宋体" w:hAnsi="宋体"/>
                <w:bCs/>
                <w:kern w:val="2"/>
              </w:rPr>
              <w:t>3</w:t>
            </w:r>
          </w:p>
        </w:tc>
        <w:tc>
          <w:tcPr>
            <w:tcW w:w="2191" w:type="dxa"/>
            <w:vAlign w:val="center"/>
          </w:tcPr>
          <w:p>
            <w:pPr>
              <w:pStyle w:val="61"/>
              <w:widowControl w:val="0"/>
              <w:spacing w:before="0" w:beforeAutospacing="0" w:after="0" w:afterAutospacing="0" w:line="360" w:lineRule="auto"/>
              <w:rPr>
                <w:rFonts w:ascii="宋体" w:hAnsi="宋体"/>
                <w:b w:val="0"/>
                <w:sz w:val="24"/>
              </w:rPr>
            </w:pPr>
            <w:r>
              <w:rPr>
                <w:rFonts w:hint="eastAsia" w:ascii="宋体" w:hAnsi="宋体"/>
                <w:b w:val="0"/>
                <w:sz w:val="24"/>
              </w:rPr>
              <w:t>供货及安装期限</w:t>
            </w:r>
          </w:p>
        </w:tc>
        <w:tc>
          <w:tcPr>
            <w:tcW w:w="5913" w:type="dxa"/>
            <w:vAlign w:val="center"/>
          </w:tcPr>
          <w:p>
            <w:pPr>
              <w:pStyle w:val="188"/>
              <w:widowControl/>
              <w:spacing w:line="360" w:lineRule="auto"/>
              <w:rPr>
                <w:rFonts w:hint="eastAsia" w:ascii="宋体" w:hAnsi="宋体" w:eastAsia="宋体"/>
                <w:sz w:val="24"/>
                <w:lang w:val="en-US" w:eastAsia="zh-CN"/>
              </w:rPr>
            </w:pPr>
            <w:ins w:id="1" w:author="witch_#" w:date="2024-08-30T14:50:58Z">
              <w:r>
                <w:rPr>
                  <w:rFonts w:hint="eastAsia" w:ascii="宋体" w:hAnsi="宋体" w:eastAsia="宋体"/>
                  <w:sz w:val="24"/>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pPr>
              <w:pStyle w:val="62"/>
              <w:pBdr>
                <w:bottom w:val="none" w:color="auto" w:sz="0" w:space="0"/>
              </w:pBdr>
              <w:adjustRightInd/>
              <w:spacing w:line="240" w:lineRule="auto"/>
              <w:textAlignment w:val="auto"/>
              <w:rPr>
                <w:rFonts w:ascii="宋体" w:hAnsi="宋体"/>
                <w:bCs/>
                <w:kern w:val="2"/>
              </w:rPr>
            </w:pPr>
            <w:r>
              <w:rPr>
                <w:rFonts w:hint="eastAsia" w:ascii="宋体" w:hAnsi="宋体"/>
                <w:bCs/>
                <w:kern w:val="2"/>
              </w:rPr>
              <w:t>4</w:t>
            </w:r>
          </w:p>
        </w:tc>
        <w:tc>
          <w:tcPr>
            <w:tcW w:w="2191" w:type="dxa"/>
            <w:vAlign w:val="center"/>
          </w:tcPr>
          <w:p>
            <w:pPr>
              <w:pStyle w:val="61"/>
              <w:widowControl w:val="0"/>
              <w:spacing w:before="0" w:beforeAutospacing="0" w:after="0" w:afterAutospacing="0" w:line="360" w:lineRule="auto"/>
              <w:rPr>
                <w:rFonts w:ascii="宋体" w:hAnsi="宋体"/>
                <w:b w:val="0"/>
                <w:sz w:val="24"/>
              </w:rPr>
            </w:pPr>
            <w:r>
              <w:rPr>
                <w:rFonts w:hint="eastAsia" w:ascii="宋体" w:hAnsi="宋体"/>
                <w:b w:val="0"/>
                <w:sz w:val="24"/>
              </w:rPr>
              <w:t>免费质保期</w:t>
            </w:r>
          </w:p>
        </w:tc>
        <w:tc>
          <w:tcPr>
            <w:tcW w:w="5913" w:type="dxa"/>
            <w:vAlign w:val="center"/>
          </w:tcPr>
          <w:p>
            <w:pPr>
              <w:pStyle w:val="187"/>
              <w:spacing w:before="0" w:after="0" w:line="360" w:lineRule="auto"/>
              <w:jc w:val="left"/>
              <w:rPr>
                <w:rFonts w:hint="eastAsia" w:ascii="宋体" w:hAnsi="宋体" w:eastAsia="宋体"/>
                <w:b w:val="0"/>
                <w:sz w:val="24"/>
                <w:lang w:val="en-US" w:eastAsia="zh-CN"/>
              </w:rPr>
            </w:pPr>
            <w:ins w:id="2" w:author="witch_#" w:date="2024-08-30T14:51:00Z">
              <w:r>
                <w:rPr>
                  <w:rFonts w:hint="eastAsia" w:ascii="宋体" w:hAnsi="宋体" w:eastAsia="宋体"/>
                  <w:b w:val="0"/>
                  <w:sz w:val="24"/>
                  <w:lang w:val="en-US" w:eastAsia="zh-CN"/>
                </w:rPr>
                <w:t>/</w:t>
              </w:r>
            </w:ins>
          </w:p>
        </w:tc>
      </w:tr>
    </w:tbl>
    <w:p>
      <w:pPr>
        <w:spacing w:line="360" w:lineRule="auto"/>
        <w:rPr>
          <w:rFonts w:hint="eastAsia" w:ascii="宋体" w:hAnsi="宋体"/>
          <w:b/>
          <w:bCs/>
          <w:sz w:val="24"/>
          <w:szCs w:val="18"/>
        </w:rPr>
      </w:pPr>
    </w:p>
    <w:p>
      <w:pPr>
        <w:spacing w:line="360" w:lineRule="auto"/>
        <w:jc w:val="center"/>
        <w:outlineLvl w:val="1"/>
        <w:rPr>
          <w:rFonts w:ascii="Times New Roman" w:hAnsi="Times New Roman" w:cs="Times New Roman"/>
          <w:b/>
          <w:sz w:val="28"/>
        </w:rPr>
      </w:pPr>
      <w:bookmarkStart w:id="29" w:name="_Toc7286"/>
    </w:p>
    <w:p>
      <w:pPr>
        <w:spacing w:line="360" w:lineRule="auto"/>
        <w:jc w:val="center"/>
        <w:outlineLvl w:val="1"/>
        <w:rPr>
          <w:rFonts w:ascii="Times New Roman" w:hAnsi="Times New Roman" w:cs="Times New Roman"/>
          <w:b/>
          <w:sz w:val="28"/>
        </w:rPr>
      </w:pPr>
    </w:p>
    <w:p>
      <w:pPr>
        <w:spacing w:line="360" w:lineRule="auto"/>
        <w:jc w:val="center"/>
        <w:outlineLvl w:val="1"/>
        <w:rPr>
          <w:rFonts w:ascii="Times New Roman" w:hAnsi="Times New Roman" w:cs="Times New Roman"/>
          <w:b/>
          <w:sz w:val="28"/>
        </w:rPr>
      </w:pPr>
    </w:p>
    <w:p>
      <w:pPr>
        <w:spacing w:line="360" w:lineRule="auto"/>
        <w:jc w:val="center"/>
        <w:outlineLvl w:val="1"/>
        <w:rPr>
          <w:rFonts w:ascii="Times New Roman" w:hAnsi="Times New Roman" w:cs="Times New Roman"/>
          <w:b/>
          <w:sz w:val="28"/>
        </w:rPr>
      </w:pPr>
      <w:r>
        <w:rPr>
          <w:rFonts w:ascii="Times New Roman" w:hAnsi="Times New Roman" w:cs="Times New Roman"/>
          <w:b/>
          <w:sz w:val="28"/>
        </w:rPr>
        <w:t>第</w:t>
      </w:r>
      <w:r>
        <w:rPr>
          <w:rFonts w:hint="eastAsia" w:ascii="Times New Roman" w:hAnsi="Times New Roman" w:cs="Times New Roman"/>
          <w:b/>
          <w:sz w:val="28"/>
        </w:rPr>
        <w:t>四</w:t>
      </w:r>
      <w:r>
        <w:rPr>
          <w:rFonts w:ascii="Times New Roman" w:hAnsi="Times New Roman" w:cs="Times New Roman"/>
          <w:b/>
          <w:sz w:val="28"/>
        </w:rPr>
        <w:t>章  评标办法</w:t>
      </w:r>
    </w:p>
    <w:p>
      <w:pPr>
        <w:spacing w:line="360" w:lineRule="auto"/>
        <w:ind w:firstLine="437"/>
        <w:outlineLvl w:val="2"/>
        <w:rPr>
          <w:rFonts w:ascii="Times New Roman" w:hAnsi="Times New Roman" w:cs="Times New Roman"/>
          <w:b/>
          <w:sz w:val="24"/>
        </w:rPr>
      </w:pPr>
      <w:r>
        <w:rPr>
          <w:rFonts w:ascii="Times New Roman" w:hAnsi="Times New Roman" w:cs="Times New Roman"/>
          <w:b/>
          <w:sz w:val="24"/>
        </w:rPr>
        <w:t>一、总则</w:t>
      </w:r>
    </w:p>
    <w:p>
      <w:pPr>
        <w:spacing w:line="360" w:lineRule="auto"/>
        <w:ind w:firstLine="435"/>
        <w:rPr>
          <w:rFonts w:ascii="Times New Roman" w:hAnsi="Times New Roman" w:cs="Times New Roman"/>
          <w:sz w:val="24"/>
        </w:rPr>
      </w:pPr>
      <w:r>
        <w:rPr>
          <w:rFonts w:ascii="Times New Roman" w:hAnsi="Times New Roman" w:cs="Times New Roman"/>
          <w:sz w:val="24"/>
        </w:rPr>
        <w:t>本项目将按照招标文件第二章 投标人须知的相关要求及本章的规定评标。</w:t>
      </w:r>
    </w:p>
    <w:p>
      <w:pPr>
        <w:spacing w:line="360" w:lineRule="auto"/>
        <w:ind w:firstLine="437"/>
        <w:outlineLvl w:val="2"/>
        <w:rPr>
          <w:rFonts w:ascii="Times New Roman" w:hAnsi="Times New Roman" w:cs="Times New Roman"/>
          <w:b/>
          <w:sz w:val="24"/>
        </w:rPr>
      </w:pPr>
      <w:r>
        <w:rPr>
          <w:rFonts w:ascii="Times New Roman" w:hAnsi="Times New Roman" w:cs="Times New Roman"/>
          <w:b/>
          <w:sz w:val="24"/>
        </w:rPr>
        <w:t>二、评标方法</w:t>
      </w:r>
    </w:p>
    <w:p>
      <w:pPr>
        <w:spacing w:line="360" w:lineRule="auto"/>
        <w:ind w:firstLine="435"/>
        <w:rPr>
          <w:rFonts w:ascii="Times New Roman" w:hAnsi="Times New Roman" w:cs="Times New Roman"/>
          <w:sz w:val="24"/>
        </w:rPr>
      </w:pPr>
      <w:r>
        <w:rPr>
          <w:rFonts w:ascii="Times New Roman" w:hAnsi="Times New Roman" w:cs="Times New Roman"/>
          <w:sz w:val="24"/>
        </w:rPr>
        <w:t>2.1资格审查</w:t>
      </w:r>
    </w:p>
    <w:p>
      <w:pPr>
        <w:spacing w:line="360" w:lineRule="auto"/>
        <w:ind w:firstLine="435"/>
        <w:rPr>
          <w:rFonts w:ascii="Times New Roman" w:hAnsi="Times New Roman" w:cs="Times New Roman"/>
          <w:sz w:val="24"/>
        </w:rPr>
      </w:pPr>
      <w:r>
        <w:rPr>
          <w:rFonts w:ascii="Times New Roman" w:hAnsi="Times New Roman" w:cs="Times New Roman"/>
          <w:sz w:val="24"/>
        </w:rPr>
        <w:t>由评标委员会进行资格审查。资格审查表如下：</w:t>
      </w:r>
    </w:p>
    <w:tbl>
      <w:tblPr>
        <w:tblStyle w:val="41"/>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pPr>
              <w:adjustRightInd w:val="0"/>
              <w:snapToGrid w:val="0"/>
              <w:spacing w:line="360" w:lineRule="auto"/>
              <w:ind w:right="-10"/>
              <w:jc w:val="center"/>
              <w:rPr>
                <w:rFonts w:ascii="Times New Roman" w:hAnsi="Times New Roman" w:cs="Times New Roman"/>
                <w:sz w:val="24"/>
              </w:rPr>
            </w:pPr>
            <w:r>
              <w:rPr>
                <w:rFonts w:ascii="Times New Roman" w:hAnsi="Times New Roman" w:cs="Times New Roman"/>
                <w:b/>
                <w:sz w:val="24"/>
                <w:szCs w:val="22"/>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pPr>
              <w:adjustRightInd w:val="0"/>
              <w:snapToGrid w:val="0"/>
              <w:spacing w:line="360" w:lineRule="auto"/>
              <w:ind w:right="-10"/>
              <w:jc w:val="center"/>
              <w:rPr>
                <w:rFonts w:ascii="Times New Roman" w:hAnsi="Times New Roman" w:cs="Times New Roman"/>
                <w:sz w:val="24"/>
              </w:rPr>
            </w:pPr>
            <w:r>
              <w:rPr>
                <w:rFonts w:ascii="Times New Roman" w:hAnsi="Times New Roman" w:cs="Times New Roman"/>
                <w:sz w:val="24"/>
              </w:rPr>
              <w:t>序号</w:t>
            </w:r>
          </w:p>
        </w:tc>
        <w:tc>
          <w:tcPr>
            <w:tcW w:w="1650" w:type="dxa"/>
            <w:tcBorders>
              <w:bottom w:val="single" w:color="auto" w:sz="4" w:space="0"/>
            </w:tcBorders>
            <w:vAlign w:val="center"/>
          </w:tcPr>
          <w:p>
            <w:pPr>
              <w:pStyle w:val="62"/>
              <w:pBdr>
                <w:bottom w:val="none" w:color="auto" w:sz="0" w:space="0"/>
              </w:pBdr>
              <w:snapToGrid w:val="0"/>
              <w:spacing w:line="360" w:lineRule="auto"/>
              <w:ind w:right="-10"/>
              <w:textAlignment w:val="auto"/>
              <w:rPr>
                <w:rFonts w:ascii="Times New Roman" w:hAnsi="Times New Roman" w:cs="Times New Roman"/>
                <w:kern w:val="2"/>
                <w:szCs w:val="24"/>
              </w:rPr>
            </w:pPr>
            <w:r>
              <w:rPr>
                <w:rFonts w:ascii="Times New Roman" w:hAnsi="Times New Roman" w:cs="Times New Roman"/>
                <w:kern w:val="2"/>
                <w:szCs w:val="24"/>
              </w:rPr>
              <w:t>评审指标</w:t>
            </w:r>
          </w:p>
        </w:tc>
        <w:tc>
          <w:tcPr>
            <w:tcW w:w="2192" w:type="dxa"/>
            <w:tcBorders>
              <w:bottom w:val="single" w:color="auto" w:sz="4" w:space="0"/>
            </w:tcBorders>
            <w:vAlign w:val="center"/>
          </w:tcPr>
          <w:p>
            <w:pPr>
              <w:adjustRightInd w:val="0"/>
              <w:snapToGrid w:val="0"/>
              <w:spacing w:line="360" w:lineRule="auto"/>
              <w:ind w:right="-10"/>
              <w:jc w:val="center"/>
              <w:rPr>
                <w:rFonts w:ascii="Times New Roman" w:hAnsi="Times New Roman" w:cs="Times New Roman"/>
                <w:sz w:val="24"/>
              </w:rPr>
            </w:pPr>
            <w:r>
              <w:rPr>
                <w:rFonts w:ascii="Times New Roman" w:hAnsi="Times New Roman" w:cs="Times New Roman"/>
                <w:sz w:val="24"/>
              </w:rPr>
              <w:t>评审标准</w:t>
            </w:r>
          </w:p>
        </w:tc>
        <w:tc>
          <w:tcPr>
            <w:tcW w:w="4700" w:type="dxa"/>
            <w:tcBorders>
              <w:bottom w:val="single" w:color="auto" w:sz="4" w:space="0"/>
            </w:tcBorders>
            <w:vAlign w:val="center"/>
          </w:tcPr>
          <w:p>
            <w:pPr>
              <w:adjustRightInd w:val="0"/>
              <w:snapToGrid w:val="0"/>
              <w:spacing w:line="360" w:lineRule="auto"/>
              <w:ind w:right="-10"/>
              <w:jc w:val="center"/>
              <w:rPr>
                <w:rFonts w:ascii="Times New Roman" w:hAnsi="Times New Roman" w:cs="Times New Roman"/>
                <w:sz w:val="24"/>
              </w:rPr>
            </w:pPr>
            <w:r>
              <w:rPr>
                <w:rFonts w:ascii="Times New Roman" w:hAnsi="Times New Roman" w:cs="Times New Roman"/>
                <w:sz w:val="24"/>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pPr>
              <w:adjustRightInd w:val="0"/>
              <w:snapToGrid w:val="0"/>
              <w:spacing w:line="360" w:lineRule="auto"/>
              <w:ind w:right="-10"/>
              <w:jc w:val="center"/>
              <w:rPr>
                <w:rFonts w:ascii="Times New Roman" w:hAnsi="Times New Roman" w:cs="Times New Roman"/>
                <w:sz w:val="24"/>
              </w:rPr>
            </w:pPr>
            <w:r>
              <w:rPr>
                <w:rFonts w:ascii="Times New Roman" w:hAnsi="Times New Roman" w:cs="Times New Roman"/>
                <w:sz w:val="24"/>
              </w:rPr>
              <w:t>1</w:t>
            </w:r>
          </w:p>
        </w:tc>
        <w:tc>
          <w:tcPr>
            <w:tcW w:w="1650" w:type="dxa"/>
            <w:vAlign w:val="center"/>
          </w:tcPr>
          <w:p>
            <w:pPr>
              <w:spacing w:after="50" w:line="360" w:lineRule="auto"/>
              <w:ind w:right="-10"/>
              <w:jc w:val="center"/>
              <w:rPr>
                <w:rFonts w:ascii="Times New Roman" w:hAnsi="Times New Roman" w:cs="Times New Roman"/>
                <w:sz w:val="24"/>
                <w:szCs w:val="28"/>
              </w:rPr>
            </w:pPr>
            <w:r>
              <w:rPr>
                <w:rFonts w:ascii="Times New Roman" w:hAnsi="Times New Roman" w:cs="Times New Roman"/>
                <w:sz w:val="24"/>
                <w:szCs w:val="28"/>
              </w:rPr>
              <w:t>营业执照</w:t>
            </w:r>
          </w:p>
        </w:tc>
        <w:tc>
          <w:tcPr>
            <w:tcW w:w="2192" w:type="dxa"/>
            <w:tcBorders>
              <w:bottom w:val="single" w:color="auto" w:sz="4" w:space="0"/>
            </w:tcBorders>
            <w:vAlign w:val="center"/>
          </w:tcPr>
          <w:p>
            <w:pPr>
              <w:spacing w:after="50" w:line="360" w:lineRule="auto"/>
              <w:ind w:right="-10"/>
              <w:jc w:val="center"/>
              <w:rPr>
                <w:rFonts w:ascii="Times New Roman" w:hAnsi="Times New Roman" w:cs="Times New Roman"/>
                <w:sz w:val="24"/>
                <w:szCs w:val="28"/>
              </w:rPr>
            </w:pPr>
            <w:r>
              <w:rPr>
                <w:rFonts w:ascii="Times New Roman" w:hAnsi="Times New Roman" w:cs="Times New Roman"/>
                <w:sz w:val="24"/>
                <w:szCs w:val="28"/>
              </w:rPr>
              <w:t>合法有效</w:t>
            </w:r>
          </w:p>
        </w:tc>
        <w:tc>
          <w:tcPr>
            <w:tcW w:w="4700" w:type="dxa"/>
            <w:vAlign w:val="center"/>
          </w:tcPr>
          <w:p>
            <w:pPr>
              <w:spacing w:line="360" w:lineRule="auto"/>
              <w:jc w:val="left"/>
              <w:rPr>
                <w:rFonts w:ascii="Times New Roman" w:hAnsi="Times New Roman" w:cs="Times New Roman"/>
                <w:sz w:val="24"/>
              </w:rPr>
            </w:pPr>
            <w:r>
              <w:rPr>
                <w:rFonts w:ascii="Times New Roman" w:hAnsi="Times New Roman" w:cs="Times New Roman"/>
                <w:sz w:val="24"/>
              </w:rPr>
              <w:t>提供有效的投标人营业执照（或事业单位法人登记证书）复印件，应完整地体现出营业执照（或事业单位法人登记证书）的全部内容。联合体投标的联合体各方均须提供。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pPr>
              <w:adjustRightInd w:val="0"/>
              <w:snapToGrid w:val="0"/>
              <w:spacing w:line="360" w:lineRule="auto"/>
              <w:ind w:right="-10"/>
              <w:jc w:val="center"/>
              <w:rPr>
                <w:rFonts w:ascii="Times New Roman" w:hAnsi="Times New Roman" w:cs="Times New Roman"/>
                <w:sz w:val="24"/>
              </w:rPr>
            </w:pPr>
            <w:r>
              <w:rPr>
                <w:rFonts w:ascii="Times New Roman" w:hAnsi="Times New Roman" w:cs="Times New Roman"/>
                <w:sz w:val="24"/>
              </w:rPr>
              <w:t>2</w:t>
            </w:r>
          </w:p>
        </w:tc>
        <w:tc>
          <w:tcPr>
            <w:tcW w:w="1650" w:type="dxa"/>
            <w:tcBorders>
              <w:bottom w:val="single" w:color="auto" w:sz="4" w:space="0"/>
            </w:tcBorders>
            <w:vAlign w:val="center"/>
          </w:tcPr>
          <w:p>
            <w:pPr>
              <w:spacing w:after="50" w:line="360" w:lineRule="auto"/>
              <w:ind w:right="-10"/>
              <w:jc w:val="center"/>
              <w:rPr>
                <w:rFonts w:ascii="Times New Roman" w:hAnsi="Times New Roman" w:cs="Times New Roman"/>
                <w:sz w:val="24"/>
                <w:szCs w:val="28"/>
              </w:rPr>
            </w:pPr>
            <w:r>
              <w:rPr>
                <w:rFonts w:ascii="Times New Roman" w:hAnsi="Times New Roman" w:cs="Times New Roman"/>
                <w:sz w:val="24"/>
                <w:szCs w:val="18"/>
              </w:rPr>
              <w:t>不良信用记录查询</w:t>
            </w:r>
          </w:p>
        </w:tc>
        <w:tc>
          <w:tcPr>
            <w:tcW w:w="2192" w:type="dxa"/>
            <w:tcBorders>
              <w:bottom w:val="single" w:color="auto" w:sz="4" w:space="0"/>
            </w:tcBorders>
            <w:vAlign w:val="center"/>
          </w:tcPr>
          <w:p>
            <w:pPr>
              <w:spacing w:after="50" w:line="360" w:lineRule="auto"/>
              <w:ind w:right="-10"/>
              <w:jc w:val="center"/>
              <w:rPr>
                <w:rFonts w:ascii="Times New Roman" w:hAnsi="Times New Roman" w:cs="Times New Roman"/>
                <w:sz w:val="24"/>
                <w:szCs w:val="28"/>
              </w:rPr>
            </w:pPr>
            <w:r>
              <w:rPr>
                <w:rFonts w:ascii="Times New Roman" w:hAnsi="Times New Roman" w:cs="Times New Roman"/>
                <w:sz w:val="24"/>
                <w:szCs w:val="28"/>
              </w:rPr>
              <w:t>投标人不得存在投标人</w:t>
            </w:r>
            <w:r>
              <w:rPr>
                <w:rFonts w:ascii="Times New Roman" w:hAnsi="Times New Roman" w:cs="Times New Roman"/>
                <w:sz w:val="24"/>
              </w:rPr>
              <w:t>须知正文</w:t>
            </w:r>
            <w:r>
              <w:rPr>
                <w:rFonts w:ascii="Times New Roman" w:hAnsi="Times New Roman" w:cs="Times New Roman"/>
                <w:sz w:val="24"/>
                <w:szCs w:val="28"/>
              </w:rPr>
              <w:t>中的</w:t>
            </w:r>
            <w:r>
              <w:rPr>
                <w:rFonts w:ascii="Times New Roman" w:hAnsi="Times New Roman" w:cs="Times New Roman"/>
                <w:sz w:val="24"/>
                <w:szCs w:val="18"/>
              </w:rPr>
              <w:t>不良信用记录情形</w:t>
            </w:r>
          </w:p>
        </w:tc>
        <w:tc>
          <w:tcPr>
            <w:tcW w:w="4700" w:type="dxa"/>
            <w:tcBorders>
              <w:bottom w:val="single" w:color="auto" w:sz="4" w:space="0"/>
            </w:tcBorders>
            <w:vAlign w:val="center"/>
          </w:tcPr>
          <w:p>
            <w:pPr>
              <w:adjustRightInd w:val="0"/>
              <w:snapToGrid w:val="0"/>
              <w:spacing w:line="360" w:lineRule="auto"/>
              <w:ind w:right="-10"/>
              <w:jc w:val="left"/>
              <w:rPr>
                <w:rFonts w:ascii="Times New Roman" w:hAnsi="Times New Roman" w:cs="Times New Roman"/>
                <w:sz w:val="24"/>
              </w:rPr>
            </w:pPr>
            <w:r>
              <w:rPr>
                <w:rFonts w:ascii="Times New Roman" w:hAnsi="Times New Roman" w:cs="Times New Roman"/>
                <w:sz w:val="24"/>
              </w:rPr>
              <w:t>详见投标人须知正文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pPr>
              <w:adjustRightInd w:val="0"/>
              <w:snapToGrid w:val="0"/>
              <w:spacing w:line="360" w:lineRule="auto"/>
              <w:ind w:right="-10"/>
              <w:jc w:val="center"/>
              <w:rPr>
                <w:rFonts w:ascii="Times New Roman" w:hAnsi="Times New Roman" w:cs="Times New Roman"/>
                <w:sz w:val="24"/>
              </w:rPr>
            </w:pPr>
            <w:r>
              <w:rPr>
                <w:rFonts w:ascii="Times New Roman" w:hAnsi="Times New Roman" w:cs="Times New Roman"/>
                <w:sz w:val="24"/>
              </w:rPr>
              <w:t>3</w:t>
            </w:r>
          </w:p>
        </w:tc>
        <w:tc>
          <w:tcPr>
            <w:tcW w:w="1650" w:type="dxa"/>
            <w:tcBorders>
              <w:bottom w:val="single" w:color="auto" w:sz="4" w:space="0"/>
            </w:tcBorders>
            <w:vAlign w:val="center"/>
          </w:tcPr>
          <w:p>
            <w:pPr>
              <w:spacing w:after="50" w:line="360" w:lineRule="auto"/>
              <w:ind w:right="-10"/>
              <w:jc w:val="center"/>
              <w:rPr>
                <w:rFonts w:ascii="Times New Roman" w:hAnsi="Times New Roman" w:cs="Times New Roman"/>
                <w:sz w:val="24"/>
                <w:szCs w:val="18"/>
              </w:rPr>
            </w:pPr>
            <w:r>
              <w:rPr>
                <w:rFonts w:ascii="Times New Roman" w:hAnsi="Times New Roman" w:cs="Times New Roman"/>
                <w:sz w:val="24"/>
                <w:szCs w:val="28"/>
              </w:rPr>
              <w:t>投标人资质</w:t>
            </w:r>
          </w:p>
        </w:tc>
        <w:tc>
          <w:tcPr>
            <w:tcW w:w="2192" w:type="dxa"/>
            <w:tcBorders>
              <w:bottom w:val="single" w:color="auto" w:sz="4" w:space="0"/>
            </w:tcBorders>
            <w:vAlign w:val="center"/>
          </w:tcPr>
          <w:p>
            <w:pPr>
              <w:spacing w:after="50" w:line="360" w:lineRule="auto"/>
              <w:ind w:right="-10"/>
              <w:jc w:val="center"/>
              <w:rPr>
                <w:rFonts w:ascii="Times New Roman" w:hAnsi="Times New Roman" w:cs="Times New Roman"/>
                <w:sz w:val="24"/>
                <w:szCs w:val="28"/>
              </w:rPr>
            </w:pPr>
            <w:r>
              <w:rPr>
                <w:rFonts w:ascii="Times New Roman" w:hAnsi="Times New Roman" w:cs="Times New Roman"/>
                <w:sz w:val="24"/>
                <w:szCs w:val="28"/>
              </w:rPr>
              <w:t>符合投标人资格中的资质要求</w:t>
            </w:r>
          </w:p>
        </w:tc>
        <w:tc>
          <w:tcPr>
            <w:tcW w:w="4700" w:type="dxa"/>
            <w:tcBorders>
              <w:bottom w:val="single" w:color="auto" w:sz="4" w:space="0"/>
            </w:tcBorders>
            <w:vAlign w:val="center"/>
          </w:tcPr>
          <w:p>
            <w:pPr>
              <w:adjustRightInd w:val="0"/>
              <w:snapToGrid w:val="0"/>
              <w:spacing w:line="360" w:lineRule="auto"/>
              <w:ind w:right="-10"/>
              <w:jc w:val="left"/>
              <w:rPr>
                <w:rFonts w:ascii="Times New Roman" w:hAnsi="Times New Roman" w:cs="Times New Roman"/>
                <w:sz w:val="24"/>
              </w:rPr>
            </w:pPr>
            <w:r>
              <w:rPr>
                <w:rFonts w:ascii="Times New Roman" w:hAnsi="Times New Roman" w:cs="Times New Roman"/>
                <w:sz w:val="24"/>
              </w:rPr>
              <w:t>提供</w:t>
            </w:r>
            <w:r>
              <w:rPr>
                <w:rFonts w:ascii="Times New Roman" w:hAnsi="Times New Roman" w:cs="Times New Roman"/>
                <w:sz w:val="24"/>
                <w:szCs w:val="28"/>
              </w:rPr>
              <w:t>符合投标人资格中要求的</w:t>
            </w:r>
            <w:r>
              <w:rPr>
                <w:rFonts w:ascii="Times New Roman" w:hAnsi="Times New Roman" w:cs="Times New Roman"/>
                <w:sz w:val="24"/>
              </w:rPr>
              <w:t>资质证书复印件</w:t>
            </w:r>
          </w:p>
        </w:tc>
      </w:tr>
    </w:tbl>
    <w:p>
      <w:pPr>
        <w:spacing w:line="360" w:lineRule="auto"/>
        <w:rPr>
          <w:rFonts w:ascii="Times New Roman" w:hAnsi="Times New Roman" w:cs="Times New Roman"/>
          <w:sz w:val="24"/>
        </w:rPr>
      </w:pPr>
    </w:p>
    <w:p>
      <w:pPr>
        <w:spacing w:line="360" w:lineRule="auto"/>
        <w:ind w:firstLine="435"/>
        <w:rPr>
          <w:rFonts w:ascii="Times New Roman" w:hAnsi="Times New Roman" w:cs="Times New Roman"/>
          <w:sz w:val="24"/>
        </w:rPr>
      </w:pPr>
      <w:r>
        <w:rPr>
          <w:rFonts w:ascii="Times New Roman" w:hAnsi="Times New Roman" w:cs="Times New Roman"/>
          <w:b/>
          <w:bCs/>
          <w:sz w:val="24"/>
        </w:rPr>
        <w:t>资格审查指标通过标准：</w:t>
      </w:r>
      <w:r>
        <w:rPr>
          <w:rFonts w:ascii="Times New Roman" w:hAnsi="Times New Roman" w:cs="Times New Roman"/>
          <w:sz w:val="24"/>
        </w:rPr>
        <w:t>投标人必须通过资格审查表中的全部评审指标。</w:t>
      </w:r>
    </w:p>
    <w:p>
      <w:pPr>
        <w:spacing w:line="360" w:lineRule="auto"/>
        <w:ind w:firstLine="435"/>
        <w:rPr>
          <w:rFonts w:ascii="Times New Roman" w:hAnsi="Times New Roman" w:cs="Times New Roman"/>
          <w:sz w:val="24"/>
        </w:rPr>
      </w:pPr>
      <w:r>
        <w:rPr>
          <w:rFonts w:ascii="Times New Roman" w:hAnsi="Times New Roman" w:cs="Times New Roman"/>
          <w:sz w:val="24"/>
        </w:rPr>
        <w:t>2.2符合性审查</w:t>
      </w:r>
    </w:p>
    <w:p>
      <w:pPr>
        <w:spacing w:line="360" w:lineRule="auto"/>
        <w:ind w:firstLine="435"/>
        <w:rPr>
          <w:rFonts w:ascii="Times New Roman" w:hAnsi="Times New Roman" w:cs="Times New Roman"/>
          <w:sz w:val="24"/>
        </w:rPr>
      </w:pPr>
      <w:r>
        <w:rPr>
          <w:rFonts w:ascii="Times New Roman" w:hAnsi="Times New Roman" w:cs="Times New Roman"/>
          <w:sz w:val="24"/>
        </w:rPr>
        <w:t>评标委员会对通过资格审查的投标人的投标文件进行符合性审查，以确定其是否满足招标文件的实质性要求。符合性审查表如下：</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pPr>
              <w:adjustRightInd w:val="0"/>
              <w:snapToGrid w:val="0"/>
              <w:ind w:right="-10"/>
              <w:jc w:val="center"/>
              <w:rPr>
                <w:rFonts w:ascii="Times New Roman" w:hAnsi="Times New Roman" w:cs="Times New Roman"/>
                <w:b/>
                <w:bCs/>
                <w:sz w:val="24"/>
              </w:rPr>
            </w:pPr>
            <w:r>
              <w:rPr>
                <w:rFonts w:ascii="Times New Roman" w:hAnsi="Times New Roman" w:cs="Times New Roman"/>
                <w:b/>
                <w:bCs/>
                <w:sz w:val="24"/>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pPr>
              <w:adjustRightInd w:val="0"/>
              <w:snapToGrid w:val="0"/>
              <w:ind w:right="-10"/>
              <w:jc w:val="center"/>
              <w:rPr>
                <w:rFonts w:ascii="Times New Roman" w:hAnsi="Times New Roman" w:cs="Times New Roman"/>
                <w:sz w:val="24"/>
              </w:rPr>
            </w:pPr>
            <w:r>
              <w:rPr>
                <w:rFonts w:ascii="Times New Roman" w:hAnsi="Times New Roman" w:cs="Times New Roman"/>
                <w:sz w:val="24"/>
              </w:rPr>
              <w:t>序号</w:t>
            </w:r>
          </w:p>
        </w:tc>
        <w:tc>
          <w:tcPr>
            <w:tcW w:w="2117" w:type="dxa"/>
            <w:tcBorders>
              <w:bottom w:val="single" w:color="auto" w:sz="4" w:space="0"/>
            </w:tcBorders>
            <w:vAlign w:val="center"/>
          </w:tcPr>
          <w:p>
            <w:pPr>
              <w:pStyle w:val="62"/>
              <w:pBdr>
                <w:bottom w:val="none" w:color="auto" w:sz="0" w:space="0"/>
              </w:pBdr>
              <w:snapToGrid w:val="0"/>
              <w:spacing w:line="240" w:lineRule="auto"/>
              <w:ind w:right="-10"/>
              <w:textAlignment w:val="auto"/>
              <w:rPr>
                <w:rFonts w:ascii="Times New Roman" w:hAnsi="Times New Roman" w:cs="Times New Roman"/>
                <w:kern w:val="2"/>
                <w:szCs w:val="24"/>
              </w:rPr>
            </w:pPr>
            <w:r>
              <w:rPr>
                <w:rFonts w:ascii="Times New Roman" w:hAnsi="Times New Roman" w:cs="Times New Roman"/>
                <w:kern w:val="2"/>
                <w:szCs w:val="24"/>
              </w:rPr>
              <w:t>评审指标</w:t>
            </w:r>
          </w:p>
        </w:tc>
        <w:tc>
          <w:tcPr>
            <w:tcW w:w="3128" w:type="dxa"/>
            <w:tcBorders>
              <w:bottom w:val="single" w:color="auto" w:sz="4" w:space="0"/>
            </w:tcBorders>
            <w:vAlign w:val="center"/>
          </w:tcPr>
          <w:p>
            <w:pPr>
              <w:adjustRightInd w:val="0"/>
              <w:snapToGrid w:val="0"/>
              <w:ind w:right="-10"/>
              <w:jc w:val="center"/>
              <w:rPr>
                <w:rFonts w:ascii="Times New Roman" w:hAnsi="Times New Roman" w:cs="Times New Roman"/>
                <w:sz w:val="24"/>
              </w:rPr>
            </w:pPr>
            <w:r>
              <w:rPr>
                <w:rFonts w:ascii="Times New Roman" w:hAnsi="Times New Roman" w:cs="Times New Roman"/>
                <w:sz w:val="24"/>
              </w:rPr>
              <w:t>评审标准</w:t>
            </w:r>
          </w:p>
        </w:tc>
        <w:tc>
          <w:tcPr>
            <w:tcW w:w="2505" w:type="dxa"/>
            <w:tcBorders>
              <w:bottom w:val="single" w:color="auto" w:sz="4" w:space="0"/>
            </w:tcBorders>
            <w:vAlign w:val="center"/>
          </w:tcPr>
          <w:p>
            <w:pPr>
              <w:adjustRightInd w:val="0"/>
              <w:snapToGrid w:val="0"/>
              <w:ind w:right="-10"/>
              <w:jc w:val="center"/>
              <w:rPr>
                <w:rFonts w:ascii="Times New Roman" w:hAnsi="Times New Roman" w:cs="Times New Roman"/>
                <w:sz w:val="24"/>
              </w:rPr>
            </w:pPr>
            <w:r>
              <w:rPr>
                <w:rFonts w:ascii="Times New Roman" w:hAnsi="Times New Roman" w:cs="Times New Roman"/>
                <w:sz w:val="24"/>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ascii="Times New Roman" w:hAnsi="Times New Roman" w:cs="Times New Roman"/>
                <w:sz w:val="24"/>
              </w:rPr>
            </w:pPr>
            <w:r>
              <w:rPr>
                <w:rFonts w:ascii="Times New Roman" w:hAnsi="Times New Roman" w:cs="Times New Roman"/>
                <w:sz w:val="24"/>
              </w:rPr>
              <w:t>1</w:t>
            </w:r>
          </w:p>
        </w:tc>
        <w:tc>
          <w:tcPr>
            <w:tcW w:w="2117" w:type="dxa"/>
            <w:vAlign w:val="center"/>
          </w:tcPr>
          <w:p>
            <w:pPr>
              <w:spacing w:after="50"/>
              <w:ind w:right="-10"/>
              <w:jc w:val="center"/>
              <w:rPr>
                <w:rFonts w:ascii="Times New Roman" w:hAnsi="Times New Roman" w:cs="Times New Roman"/>
                <w:sz w:val="24"/>
                <w:szCs w:val="28"/>
              </w:rPr>
            </w:pPr>
            <w:r>
              <w:rPr>
                <w:rFonts w:ascii="Times New Roman" w:hAnsi="Times New Roman" w:cs="Times New Roman"/>
                <w:sz w:val="24"/>
              </w:rPr>
              <w:t>开标一览表</w:t>
            </w:r>
          </w:p>
        </w:tc>
        <w:tc>
          <w:tcPr>
            <w:tcW w:w="3128" w:type="dxa"/>
            <w:vAlign w:val="center"/>
          </w:tcPr>
          <w:p>
            <w:pPr>
              <w:spacing w:after="50"/>
              <w:ind w:right="-10"/>
              <w:jc w:val="center"/>
              <w:rPr>
                <w:rFonts w:ascii="Times New Roman" w:hAnsi="Times New Roman" w:cs="Times New Roman"/>
                <w:sz w:val="24"/>
                <w:szCs w:val="28"/>
              </w:rPr>
            </w:pPr>
            <w:r>
              <w:rPr>
                <w:rFonts w:ascii="Times New Roman" w:hAnsi="Times New Roman" w:cs="Times New Roman"/>
                <w:sz w:val="24"/>
                <w:szCs w:val="28"/>
              </w:rPr>
              <w:t>格式、填写要求符合招标文件规定并加盖投标人公章</w:t>
            </w:r>
          </w:p>
        </w:tc>
        <w:tc>
          <w:tcPr>
            <w:tcW w:w="2505" w:type="dxa"/>
            <w:vAlign w:val="center"/>
          </w:tcPr>
          <w:p>
            <w:pPr>
              <w:adjustRightInd w:val="0"/>
              <w:snapToGrid w:val="0"/>
              <w:ind w:right="-10"/>
              <w:jc w:val="center"/>
              <w:rPr>
                <w:rFonts w:ascii="Times New Roman" w:hAnsi="Times New Roman" w:cs="Times New Roman"/>
                <w:sz w:val="24"/>
              </w:rPr>
            </w:pPr>
            <w:r>
              <w:rPr>
                <w:rFonts w:ascii="Times New Roman" w:hAnsi="Times New Roman" w:cs="Times New Roman"/>
                <w:sz w:val="24"/>
              </w:rPr>
              <w:t>详见投标文件格式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ascii="Times New Roman" w:hAnsi="Times New Roman" w:cs="Times New Roman"/>
                <w:sz w:val="24"/>
              </w:rPr>
            </w:pPr>
            <w:r>
              <w:rPr>
                <w:rFonts w:ascii="Times New Roman" w:hAnsi="Times New Roman" w:cs="Times New Roman"/>
                <w:sz w:val="24"/>
              </w:rPr>
              <w:t>2</w:t>
            </w:r>
          </w:p>
        </w:tc>
        <w:tc>
          <w:tcPr>
            <w:tcW w:w="2117" w:type="dxa"/>
            <w:vAlign w:val="center"/>
          </w:tcPr>
          <w:p>
            <w:pPr>
              <w:spacing w:after="50"/>
              <w:ind w:right="-10"/>
              <w:jc w:val="center"/>
              <w:rPr>
                <w:rFonts w:ascii="Times New Roman" w:hAnsi="Times New Roman" w:cs="Times New Roman"/>
                <w:sz w:val="24"/>
                <w:szCs w:val="28"/>
              </w:rPr>
            </w:pPr>
            <w:r>
              <w:rPr>
                <w:rFonts w:ascii="Times New Roman" w:hAnsi="Times New Roman" w:cs="Times New Roman"/>
                <w:sz w:val="24"/>
                <w:szCs w:val="28"/>
              </w:rPr>
              <w:t>投标函</w:t>
            </w:r>
          </w:p>
        </w:tc>
        <w:tc>
          <w:tcPr>
            <w:tcW w:w="3128" w:type="dxa"/>
            <w:vAlign w:val="center"/>
          </w:tcPr>
          <w:p>
            <w:pPr>
              <w:spacing w:after="50"/>
              <w:ind w:right="-10"/>
              <w:jc w:val="center"/>
              <w:rPr>
                <w:rFonts w:ascii="Times New Roman" w:hAnsi="Times New Roman" w:cs="Times New Roman"/>
                <w:sz w:val="24"/>
                <w:szCs w:val="28"/>
              </w:rPr>
            </w:pPr>
            <w:r>
              <w:rPr>
                <w:rFonts w:ascii="Times New Roman" w:hAnsi="Times New Roman" w:cs="Times New Roman"/>
                <w:sz w:val="24"/>
                <w:szCs w:val="28"/>
              </w:rPr>
              <w:t>格式、填写要求符合招标文件规定并加盖投标人公章</w:t>
            </w:r>
          </w:p>
        </w:tc>
        <w:tc>
          <w:tcPr>
            <w:tcW w:w="2505" w:type="dxa"/>
            <w:vAlign w:val="center"/>
          </w:tcPr>
          <w:p>
            <w:pPr>
              <w:adjustRightInd w:val="0"/>
              <w:snapToGrid w:val="0"/>
              <w:ind w:right="-10"/>
              <w:jc w:val="center"/>
              <w:rPr>
                <w:rFonts w:ascii="Times New Roman" w:hAnsi="Times New Roman" w:cs="Times New Roman"/>
                <w:sz w:val="24"/>
              </w:rPr>
            </w:pPr>
            <w:r>
              <w:rPr>
                <w:rFonts w:ascii="Times New Roman" w:hAnsi="Times New Roman" w:cs="Times New Roman"/>
                <w:sz w:val="24"/>
              </w:rPr>
              <w:t>详见第投标文件格式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ascii="Times New Roman" w:hAnsi="Times New Roman" w:cs="Times New Roman"/>
                <w:sz w:val="24"/>
              </w:rPr>
            </w:pPr>
            <w:r>
              <w:rPr>
                <w:rFonts w:ascii="Times New Roman" w:hAnsi="Times New Roman" w:cs="Times New Roman"/>
                <w:sz w:val="24"/>
              </w:rPr>
              <w:t>3</w:t>
            </w:r>
          </w:p>
        </w:tc>
        <w:tc>
          <w:tcPr>
            <w:tcW w:w="2117" w:type="dxa"/>
            <w:vAlign w:val="center"/>
          </w:tcPr>
          <w:p>
            <w:pPr>
              <w:spacing w:after="50"/>
              <w:ind w:right="-10"/>
              <w:jc w:val="center"/>
              <w:rPr>
                <w:rFonts w:ascii="Times New Roman" w:hAnsi="Times New Roman" w:cs="Times New Roman"/>
                <w:sz w:val="24"/>
                <w:szCs w:val="28"/>
              </w:rPr>
            </w:pPr>
            <w:r>
              <w:rPr>
                <w:rFonts w:ascii="Times New Roman" w:hAnsi="Times New Roman" w:cs="Times New Roman"/>
                <w:sz w:val="24"/>
                <w:szCs w:val="28"/>
              </w:rPr>
              <w:t>授权书</w:t>
            </w:r>
          </w:p>
        </w:tc>
        <w:tc>
          <w:tcPr>
            <w:tcW w:w="3128" w:type="dxa"/>
            <w:vAlign w:val="center"/>
          </w:tcPr>
          <w:p>
            <w:pPr>
              <w:spacing w:after="50"/>
              <w:ind w:right="-10"/>
              <w:jc w:val="center"/>
              <w:rPr>
                <w:rFonts w:ascii="Times New Roman" w:hAnsi="Times New Roman" w:cs="Times New Roman"/>
                <w:sz w:val="24"/>
                <w:szCs w:val="28"/>
              </w:rPr>
            </w:pPr>
            <w:r>
              <w:rPr>
                <w:rFonts w:ascii="Times New Roman" w:hAnsi="Times New Roman" w:cs="Times New Roman"/>
                <w:sz w:val="24"/>
                <w:szCs w:val="28"/>
              </w:rPr>
              <w:t>格式、填写要求符合招标文件规定并加盖投标人公章</w:t>
            </w:r>
          </w:p>
        </w:tc>
        <w:tc>
          <w:tcPr>
            <w:tcW w:w="2505" w:type="dxa"/>
            <w:vAlign w:val="center"/>
          </w:tcPr>
          <w:p>
            <w:pPr>
              <w:adjustRightInd w:val="0"/>
              <w:snapToGrid w:val="0"/>
              <w:ind w:right="-10"/>
              <w:jc w:val="center"/>
              <w:rPr>
                <w:rFonts w:ascii="Times New Roman" w:hAnsi="Times New Roman" w:cs="Times New Roman"/>
                <w:sz w:val="24"/>
              </w:rPr>
            </w:pPr>
            <w:r>
              <w:rPr>
                <w:rFonts w:ascii="Times New Roman" w:hAnsi="Times New Roman" w:cs="Times New Roman"/>
                <w:sz w:val="24"/>
              </w:rPr>
              <w:t>法定代表人参加投标的无需此件，提供身份证明即可。详见投标文件格式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ascii="Times New Roman" w:hAnsi="Times New Roman" w:cs="Times New Roman"/>
                <w:sz w:val="24"/>
              </w:rPr>
            </w:pPr>
            <w:r>
              <w:rPr>
                <w:rFonts w:ascii="Times New Roman" w:hAnsi="Times New Roman" w:cs="Times New Roman"/>
                <w:sz w:val="24"/>
              </w:rPr>
              <w:t>4</w:t>
            </w:r>
          </w:p>
        </w:tc>
        <w:tc>
          <w:tcPr>
            <w:tcW w:w="2117" w:type="dxa"/>
            <w:vAlign w:val="center"/>
          </w:tcPr>
          <w:p>
            <w:pPr>
              <w:spacing w:after="50"/>
              <w:ind w:right="-10"/>
              <w:jc w:val="center"/>
              <w:rPr>
                <w:rFonts w:ascii="Times New Roman" w:hAnsi="Times New Roman" w:cs="Times New Roman"/>
                <w:sz w:val="24"/>
                <w:szCs w:val="28"/>
              </w:rPr>
            </w:pPr>
            <w:r>
              <w:rPr>
                <w:rFonts w:ascii="Times New Roman" w:hAnsi="Times New Roman" w:cs="Times New Roman"/>
                <w:sz w:val="24"/>
                <w:szCs w:val="28"/>
              </w:rPr>
              <w:t>投标报价</w:t>
            </w:r>
          </w:p>
        </w:tc>
        <w:tc>
          <w:tcPr>
            <w:tcW w:w="3128" w:type="dxa"/>
            <w:vAlign w:val="center"/>
          </w:tcPr>
          <w:p>
            <w:pPr>
              <w:spacing w:after="50"/>
              <w:ind w:right="-10"/>
              <w:jc w:val="center"/>
              <w:rPr>
                <w:rFonts w:ascii="Times New Roman" w:hAnsi="Times New Roman" w:cs="Times New Roman"/>
                <w:sz w:val="24"/>
                <w:szCs w:val="28"/>
              </w:rPr>
            </w:pPr>
            <w:r>
              <w:rPr>
                <w:rFonts w:ascii="Times New Roman" w:hAnsi="Times New Roman" w:cs="Times New Roman"/>
                <w:sz w:val="24"/>
                <w:szCs w:val="28"/>
              </w:rPr>
              <w:t>符合</w:t>
            </w:r>
            <w:r>
              <w:rPr>
                <w:rFonts w:ascii="Times New Roman" w:hAnsi="Times New Roman" w:cs="Times New Roman"/>
                <w:sz w:val="24"/>
              </w:rPr>
              <w:t>招标文件投标人须知正文要求</w:t>
            </w:r>
          </w:p>
        </w:tc>
        <w:tc>
          <w:tcPr>
            <w:tcW w:w="2505" w:type="dxa"/>
            <w:vAlign w:val="center"/>
          </w:tcPr>
          <w:p>
            <w:pPr>
              <w:adjustRightInd w:val="0"/>
              <w:snapToGrid w:val="0"/>
              <w:ind w:right="-10"/>
              <w:jc w:val="center"/>
              <w:rPr>
                <w:rFonts w:ascii="Times New Roman" w:hAnsi="Times New Roman" w:cs="Times New Roman"/>
                <w:sz w:val="24"/>
              </w:rPr>
            </w:pPr>
            <w:r>
              <w:rPr>
                <w:rFonts w:ascii="Times New Roman" w:hAnsi="Times New Roman" w:cs="Times New Roman"/>
                <w:sz w:val="24"/>
              </w:rPr>
              <w:t>详见投标文件格式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ascii="Times New Roman" w:hAnsi="Times New Roman" w:cs="Times New Roman"/>
                <w:sz w:val="24"/>
              </w:rPr>
            </w:pPr>
            <w:r>
              <w:rPr>
                <w:rFonts w:ascii="Times New Roman" w:hAnsi="Times New Roman" w:cs="Times New Roman"/>
                <w:sz w:val="24"/>
              </w:rPr>
              <w:t>5</w:t>
            </w:r>
          </w:p>
        </w:tc>
        <w:tc>
          <w:tcPr>
            <w:tcW w:w="2117" w:type="dxa"/>
            <w:vAlign w:val="center"/>
          </w:tcPr>
          <w:p>
            <w:pPr>
              <w:spacing w:after="50"/>
              <w:ind w:right="-10"/>
              <w:jc w:val="center"/>
              <w:rPr>
                <w:rFonts w:ascii="Times New Roman" w:hAnsi="Times New Roman" w:cs="Times New Roman"/>
                <w:sz w:val="24"/>
                <w:szCs w:val="28"/>
              </w:rPr>
            </w:pPr>
            <w:r>
              <w:rPr>
                <w:rFonts w:ascii="Times New Roman" w:hAnsi="Times New Roman" w:cs="Times New Roman"/>
                <w:sz w:val="24"/>
                <w:szCs w:val="28"/>
              </w:rPr>
              <w:t>商务响应情况</w:t>
            </w:r>
          </w:p>
        </w:tc>
        <w:tc>
          <w:tcPr>
            <w:tcW w:w="3128" w:type="dxa"/>
            <w:vAlign w:val="center"/>
          </w:tcPr>
          <w:p>
            <w:pPr>
              <w:spacing w:after="50"/>
              <w:ind w:right="-10"/>
              <w:jc w:val="center"/>
              <w:rPr>
                <w:rFonts w:ascii="Times New Roman" w:hAnsi="Times New Roman" w:cs="Times New Roman"/>
                <w:sz w:val="24"/>
                <w:szCs w:val="28"/>
              </w:rPr>
            </w:pPr>
            <w:r>
              <w:rPr>
                <w:rFonts w:ascii="Times New Roman" w:hAnsi="Times New Roman" w:cs="Times New Roman"/>
                <w:sz w:val="24"/>
                <w:szCs w:val="28"/>
              </w:rPr>
              <w:t>付款响应，服务期限响应</w:t>
            </w:r>
          </w:p>
        </w:tc>
        <w:tc>
          <w:tcPr>
            <w:tcW w:w="2505" w:type="dxa"/>
            <w:vAlign w:val="center"/>
          </w:tcPr>
          <w:p>
            <w:pPr>
              <w:adjustRightInd w:val="0"/>
              <w:snapToGrid w:val="0"/>
              <w:ind w:right="-10"/>
              <w:jc w:val="center"/>
              <w:rPr>
                <w:rFonts w:ascii="Times New Roman" w:hAnsi="Times New Roman" w:cs="Times New Roman"/>
                <w:sz w:val="24"/>
              </w:rPr>
            </w:pPr>
            <w:r>
              <w:rPr>
                <w:rFonts w:ascii="Times New Roman" w:hAnsi="Times New Roman" w:cs="Times New Roman"/>
                <w:sz w:val="24"/>
              </w:rPr>
              <w:t>详见投标文件格式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ascii="Times New Roman" w:hAnsi="Times New Roman" w:cs="Times New Roman"/>
                <w:sz w:val="24"/>
              </w:rPr>
            </w:pPr>
            <w:r>
              <w:rPr>
                <w:rFonts w:ascii="Times New Roman" w:hAnsi="Times New Roman" w:cs="Times New Roman"/>
                <w:sz w:val="24"/>
              </w:rPr>
              <w:t>6</w:t>
            </w:r>
          </w:p>
        </w:tc>
        <w:tc>
          <w:tcPr>
            <w:tcW w:w="2117" w:type="dxa"/>
            <w:vAlign w:val="center"/>
          </w:tcPr>
          <w:p>
            <w:pPr>
              <w:spacing w:after="50"/>
              <w:ind w:right="-10"/>
              <w:jc w:val="center"/>
              <w:rPr>
                <w:rFonts w:ascii="Times New Roman" w:hAnsi="Times New Roman" w:cs="Times New Roman"/>
                <w:sz w:val="24"/>
                <w:szCs w:val="28"/>
              </w:rPr>
            </w:pPr>
            <w:r>
              <w:rPr>
                <w:rFonts w:ascii="Times New Roman" w:hAnsi="Times New Roman" w:cs="Times New Roman"/>
                <w:sz w:val="24"/>
                <w:szCs w:val="28"/>
              </w:rPr>
              <w:t>投标文件规范性</w:t>
            </w:r>
          </w:p>
        </w:tc>
        <w:tc>
          <w:tcPr>
            <w:tcW w:w="3128" w:type="dxa"/>
            <w:vAlign w:val="center"/>
          </w:tcPr>
          <w:p>
            <w:pPr>
              <w:spacing w:after="50"/>
              <w:ind w:right="-10"/>
              <w:jc w:val="center"/>
              <w:rPr>
                <w:rFonts w:ascii="Times New Roman" w:hAnsi="Times New Roman" w:cs="Times New Roman"/>
                <w:sz w:val="24"/>
                <w:szCs w:val="28"/>
              </w:rPr>
            </w:pPr>
            <w:r>
              <w:rPr>
                <w:rFonts w:ascii="Times New Roman" w:hAnsi="Times New Roman" w:cs="Times New Roman"/>
                <w:sz w:val="24"/>
                <w:szCs w:val="28"/>
              </w:rPr>
              <w:t>投标文件数量、签署、盖章符合招标文件要求；无严重的编排混乱、内容不全或字迹模糊辨认不清情况。</w:t>
            </w:r>
          </w:p>
        </w:tc>
        <w:tc>
          <w:tcPr>
            <w:tcW w:w="2505" w:type="dxa"/>
            <w:vAlign w:val="center"/>
          </w:tcPr>
          <w:p>
            <w:pPr>
              <w:adjustRightInd w:val="0"/>
              <w:snapToGrid w:val="0"/>
              <w:ind w:right="-1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ascii="Times New Roman" w:hAnsi="Times New Roman" w:cs="Times New Roman"/>
                <w:sz w:val="24"/>
              </w:rPr>
            </w:pPr>
            <w:r>
              <w:rPr>
                <w:rFonts w:ascii="Times New Roman" w:hAnsi="Times New Roman" w:cs="Times New Roman"/>
                <w:sz w:val="24"/>
              </w:rPr>
              <w:t>7</w:t>
            </w:r>
          </w:p>
        </w:tc>
        <w:tc>
          <w:tcPr>
            <w:tcW w:w="2117" w:type="dxa"/>
            <w:vAlign w:val="center"/>
          </w:tcPr>
          <w:p>
            <w:pPr>
              <w:spacing w:after="50"/>
              <w:ind w:right="-10"/>
              <w:jc w:val="center"/>
              <w:rPr>
                <w:rFonts w:ascii="Times New Roman" w:hAnsi="Times New Roman" w:cs="Times New Roman"/>
                <w:sz w:val="24"/>
                <w:szCs w:val="28"/>
              </w:rPr>
            </w:pPr>
            <w:r>
              <w:rPr>
                <w:rFonts w:ascii="Times New Roman" w:hAnsi="Times New Roman" w:cs="Times New Roman"/>
                <w:sz w:val="24"/>
                <w:szCs w:val="28"/>
              </w:rPr>
              <w:t>其他实质性要求</w:t>
            </w:r>
          </w:p>
        </w:tc>
        <w:tc>
          <w:tcPr>
            <w:tcW w:w="3128" w:type="dxa"/>
            <w:vAlign w:val="center"/>
          </w:tcPr>
          <w:p>
            <w:pPr>
              <w:spacing w:after="50"/>
              <w:ind w:right="-10"/>
              <w:jc w:val="center"/>
              <w:rPr>
                <w:rFonts w:ascii="Times New Roman" w:hAnsi="Times New Roman" w:cs="Times New Roman"/>
                <w:sz w:val="24"/>
                <w:szCs w:val="28"/>
              </w:rPr>
            </w:pPr>
            <w:r>
              <w:rPr>
                <w:rFonts w:ascii="Times New Roman" w:hAnsi="Times New Roman" w:cs="Times New Roman"/>
                <w:sz w:val="24"/>
                <w:szCs w:val="28"/>
              </w:rPr>
              <w:t>符合招标文件列明的其他实质性要求。</w:t>
            </w:r>
          </w:p>
        </w:tc>
        <w:tc>
          <w:tcPr>
            <w:tcW w:w="2505" w:type="dxa"/>
            <w:vAlign w:val="center"/>
          </w:tcPr>
          <w:p>
            <w:pPr>
              <w:adjustRightInd w:val="0"/>
              <w:snapToGrid w:val="0"/>
              <w:ind w:right="-10"/>
              <w:jc w:val="center"/>
              <w:rPr>
                <w:rFonts w:ascii="Times New Roman" w:hAnsi="Times New Roman" w:cs="Times New Roman"/>
                <w:b/>
                <w:sz w:val="24"/>
              </w:rPr>
            </w:pPr>
          </w:p>
        </w:tc>
      </w:tr>
    </w:tbl>
    <w:p>
      <w:pPr>
        <w:spacing w:line="360" w:lineRule="auto"/>
        <w:ind w:firstLine="435"/>
        <w:rPr>
          <w:rFonts w:ascii="Times New Roman" w:hAnsi="Times New Roman" w:cs="Times New Roman"/>
          <w:sz w:val="24"/>
        </w:rPr>
      </w:pPr>
      <w:r>
        <w:rPr>
          <w:rFonts w:ascii="Times New Roman" w:hAnsi="Times New Roman" w:cs="Times New Roman"/>
          <w:b/>
          <w:bCs/>
          <w:sz w:val="24"/>
        </w:rPr>
        <w:t>符合性审查指标通过标准：</w:t>
      </w:r>
      <w:r>
        <w:rPr>
          <w:rFonts w:ascii="Times New Roman" w:hAnsi="Times New Roman" w:cs="Times New Roman"/>
          <w:sz w:val="24"/>
        </w:rPr>
        <w:t>投标人必须通过符合性审查表中的全部评审指标。</w:t>
      </w:r>
    </w:p>
    <w:p>
      <w:pPr>
        <w:spacing w:line="360" w:lineRule="auto"/>
        <w:ind w:firstLine="435"/>
        <w:rPr>
          <w:rFonts w:ascii="Times New Roman" w:hAnsi="Times New Roman" w:cs="Times New Roman"/>
          <w:sz w:val="24"/>
        </w:rPr>
      </w:pPr>
      <w:r>
        <w:rPr>
          <w:rFonts w:ascii="Times New Roman" w:hAnsi="Times New Roman" w:cs="Times New Roman"/>
          <w:sz w:val="24"/>
        </w:rPr>
        <w:t>2.3综合评分</w:t>
      </w:r>
    </w:p>
    <w:p>
      <w:pPr>
        <w:adjustRightInd w:val="0"/>
        <w:spacing w:line="360" w:lineRule="auto"/>
        <w:ind w:firstLine="480" w:firstLineChars="200"/>
        <w:jc w:val="left"/>
        <w:outlineLvl w:val="1"/>
        <w:rPr>
          <w:rFonts w:ascii="Times New Roman" w:hAnsi="Times New Roman" w:cs="Times New Roman"/>
          <w:sz w:val="24"/>
        </w:rPr>
      </w:pPr>
      <w:r>
        <w:rPr>
          <w:rFonts w:ascii="Times New Roman" w:hAnsi="Times New Roman" w:cs="Times New Roman"/>
          <w:sz w:val="24"/>
        </w:rPr>
        <w:t>综合评分法，是指以俗称</w:t>
      </w:r>
      <w:r>
        <w:rPr>
          <w:rFonts w:hint="eastAsia" w:ascii="Times New Roman" w:hAnsi="Times New Roman" w:cs="Times New Roman"/>
          <w:sz w:val="24"/>
        </w:rPr>
        <w:t>“</w:t>
      </w:r>
      <w:r>
        <w:rPr>
          <w:rFonts w:ascii="Times New Roman" w:hAnsi="Times New Roman" w:cs="Times New Roman"/>
          <w:sz w:val="24"/>
        </w:rPr>
        <w:t>打分法</w:t>
      </w:r>
      <w:r>
        <w:rPr>
          <w:rFonts w:hint="eastAsia" w:ascii="Times New Roman" w:hAnsi="Times New Roman" w:cs="Times New Roman"/>
          <w:sz w:val="24"/>
        </w:rPr>
        <w:t>”</w:t>
      </w:r>
      <w:r>
        <w:rPr>
          <w:rFonts w:ascii="Times New Roman" w:hAnsi="Times New Roman" w:cs="Times New Roman"/>
          <w:sz w:val="24"/>
        </w:rPr>
        <w:t>把涉及的投标人各种资格资质、技术、商务以及服务的条款，都折算成一定的分数值，总分为100分。评标时，对投标人的每一项指标进行符合性审查、核对并给出分数值，最后，汇总比较，取分数值最高者为</w:t>
      </w:r>
      <w:r>
        <w:fldChar w:fldCharType="begin"/>
      </w:r>
      <w:r>
        <w:instrText xml:space="preserve"> HYPERLINK "https://baike.so.com/doc/963733-1018681.html" \t "https://baike.so.com/doc/_blank" </w:instrText>
      </w:r>
      <w:r>
        <w:fldChar w:fldCharType="separate"/>
      </w:r>
      <w:r>
        <w:rPr>
          <w:rFonts w:ascii="Times New Roman" w:hAnsi="Times New Roman" w:cs="Times New Roman"/>
          <w:sz w:val="24"/>
        </w:rPr>
        <w:t>中标人</w:t>
      </w:r>
      <w:r>
        <w:rPr>
          <w:rFonts w:ascii="Times New Roman" w:hAnsi="Times New Roman" w:cs="Times New Roman"/>
          <w:sz w:val="24"/>
        </w:rPr>
        <w:fldChar w:fldCharType="end"/>
      </w:r>
      <w:r>
        <w:rPr>
          <w:rFonts w:ascii="Times New Roman" w:hAnsi="Times New Roman" w:cs="Times New Roman"/>
          <w:sz w:val="24"/>
        </w:rPr>
        <w:t>。</w:t>
      </w:r>
    </w:p>
    <w:p>
      <w:pPr>
        <w:adjustRightInd w:val="0"/>
        <w:spacing w:line="360" w:lineRule="auto"/>
        <w:ind w:firstLine="482" w:firstLineChars="200"/>
        <w:jc w:val="left"/>
        <w:outlineLvl w:val="1"/>
        <w:rPr>
          <w:rFonts w:ascii="Times New Roman" w:hAnsi="Times New Roman" w:cs="Times New Roman"/>
          <w:highlight w:val="yellow"/>
        </w:rPr>
      </w:pPr>
      <w:r>
        <w:rPr>
          <w:rFonts w:ascii="Times New Roman" w:hAnsi="Times New Roman" w:cs="Times New Roman"/>
          <w:b/>
          <w:bCs/>
          <w:sz w:val="24"/>
          <w:highlight w:val="yellow"/>
        </w:rPr>
        <w:t>本项目综合评分满分为100分。具体评分细则如下：</w:t>
      </w:r>
    </w:p>
    <w:tbl>
      <w:tblPr>
        <w:tblStyle w:val="4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
        <w:gridCol w:w="698"/>
        <w:gridCol w:w="597"/>
        <w:gridCol w:w="6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企业年金受托管理项目评分表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彩虹粗仿宋" w:hAnsi="彩虹粗仿宋" w:eastAsia="彩虹粗仿宋" w:cs="彩虹粗仿宋"/>
                <w:b/>
                <w:bCs/>
                <w:i w:val="0"/>
                <w:iCs w:val="0"/>
                <w:color w:val="000000"/>
                <w:sz w:val="22"/>
                <w:szCs w:val="22"/>
                <w:u w:val="none"/>
              </w:rPr>
            </w:pPr>
            <w:r>
              <w:rPr>
                <w:rFonts w:hint="default" w:ascii="彩虹粗仿宋" w:hAnsi="彩虹粗仿宋" w:eastAsia="彩虹粗仿宋" w:cs="彩虹粗仿宋"/>
                <w:b/>
                <w:bCs/>
                <w:i w:val="0"/>
                <w:iCs w:val="0"/>
                <w:color w:val="000000"/>
                <w:kern w:val="0"/>
                <w:sz w:val="22"/>
                <w:szCs w:val="22"/>
                <w:u w:val="none"/>
                <w:lang w:val="en-US" w:eastAsia="zh-CN" w:bidi="ar"/>
              </w:rPr>
              <w:t>评分项目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彩虹粗仿宋" w:hAnsi="彩虹粗仿宋" w:eastAsia="彩虹粗仿宋" w:cs="彩虹粗仿宋"/>
                <w:b/>
                <w:bCs/>
                <w:i w:val="0"/>
                <w:iCs w:val="0"/>
                <w:color w:val="000000"/>
                <w:sz w:val="22"/>
                <w:szCs w:val="22"/>
                <w:u w:val="none"/>
              </w:rPr>
            </w:pPr>
            <w:r>
              <w:rPr>
                <w:rFonts w:hint="default" w:ascii="彩虹粗仿宋" w:hAnsi="彩虹粗仿宋" w:eastAsia="彩虹粗仿宋" w:cs="彩虹粗仿宋"/>
                <w:b/>
                <w:bCs/>
                <w:i w:val="0"/>
                <w:iCs w:val="0"/>
                <w:color w:val="000000"/>
                <w:kern w:val="0"/>
                <w:sz w:val="22"/>
                <w:szCs w:val="22"/>
                <w:u w:val="none"/>
                <w:lang w:val="en-US" w:eastAsia="zh-CN" w:bidi="ar"/>
              </w:rPr>
              <w:t>评分子项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彩虹粗仿宋" w:hAnsi="彩虹粗仿宋" w:eastAsia="彩虹粗仿宋" w:cs="彩虹粗仿宋"/>
                <w:b/>
                <w:bCs/>
                <w:i w:val="0"/>
                <w:iCs w:val="0"/>
                <w:color w:val="000000"/>
                <w:sz w:val="22"/>
                <w:szCs w:val="22"/>
                <w:u w:val="none"/>
              </w:rPr>
            </w:pPr>
            <w:r>
              <w:rPr>
                <w:rFonts w:hint="default" w:ascii="彩虹粗仿宋" w:hAnsi="彩虹粗仿宋" w:eastAsia="彩虹粗仿宋" w:cs="彩虹粗仿宋"/>
                <w:b/>
                <w:bCs/>
                <w:i w:val="0"/>
                <w:iCs w:val="0"/>
                <w:color w:val="000000"/>
                <w:kern w:val="0"/>
                <w:sz w:val="22"/>
                <w:szCs w:val="22"/>
                <w:u w:val="none"/>
                <w:lang w:val="en-US" w:eastAsia="zh-CN" w:bidi="ar"/>
              </w:rPr>
              <w:t>满分分值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彩虹粗仿宋" w:hAnsi="彩虹粗仿宋" w:eastAsia="彩虹粗仿宋" w:cs="彩虹粗仿宋"/>
                <w:b/>
                <w:bCs/>
                <w:i w:val="0"/>
                <w:iCs w:val="0"/>
                <w:color w:val="000000"/>
                <w:sz w:val="22"/>
                <w:szCs w:val="22"/>
                <w:u w:val="none"/>
              </w:rPr>
            </w:pPr>
            <w:r>
              <w:rPr>
                <w:rFonts w:hint="default" w:ascii="彩虹粗仿宋" w:hAnsi="彩虹粗仿宋" w:eastAsia="彩虹粗仿宋" w:cs="彩虹粗仿宋"/>
                <w:b/>
                <w:bCs/>
                <w:i w:val="0"/>
                <w:iCs w:val="0"/>
                <w:color w:val="000000"/>
                <w:kern w:val="0"/>
                <w:sz w:val="22"/>
                <w:szCs w:val="22"/>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彩虹粗仿宋" w:hAnsi="彩虹粗仿宋" w:eastAsia="彩虹粗仿宋" w:cs="彩虹粗仿宋"/>
                <w:i w:val="0"/>
                <w:iCs w:val="0"/>
                <w:color w:val="000000"/>
                <w:sz w:val="22"/>
                <w:szCs w:val="22"/>
                <w:u w:val="none"/>
              </w:rPr>
            </w:pPr>
            <w:r>
              <w:rPr>
                <w:rFonts w:hint="default" w:ascii="彩虹粗仿宋" w:hAnsi="彩虹粗仿宋" w:eastAsia="彩虹粗仿宋" w:cs="彩虹粗仿宋"/>
                <w:i w:val="0"/>
                <w:iCs w:val="0"/>
                <w:color w:val="000000"/>
                <w:kern w:val="0"/>
                <w:sz w:val="22"/>
                <w:szCs w:val="22"/>
                <w:u w:val="none"/>
                <w:lang w:val="en-US" w:eastAsia="zh-CN" w:bidi="ar"/>
              </w:rPr>
              <w:t>公司综合能力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彩虹粗仿宋" w:hAnsi="彩虹粗仿宋" w:eastAsia="彩虹粗仿宋" w:cs="彩虹粗仿宋"/>
                <w:i w:val="0"/>
                <w:iCs w:val="0"/>
                <w:color w:val="000000"/>
                <w:sz w:val="22"/>
                <w:szCs w:val="22"/>
                <w:u w:val="none"/>
              </w:rPr>
            </w:pPr>
            <w:r>
              <w:rPr>
                <w:rFonts w:hint="default" w:ascii="彩虹粗仿宋" w:hAnsi="彩虹粗仿宋" w:eastAsia="彩虹粗仿宋" w:cs="彩虹粗仿宋"/>
                <w:i w:val="0"/>
                <w:iCs w:val="0"/>
                <w:color w:val="000000"/>
                <w:kern w:val="0"/>
                <w:sz w:val="22"/>
                <w:szCs w:val="22"/>
                <w:u w:val="none"/>
                <w:lang w:val="en-US" w:eastAsia="zh-CN" w:bidi="ar"/>
              </w:rPr>
              <w:t>业务专注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彩虹粗仿宋" w:hAnsi="彩虹粗仿宋" w:eastAsia="彩虹粗仿宋" w:cs="彩虹粗仿宋"/>
                <w:i w:val="0"/>
                <w:iCs w:val="0"/>
                <w:color w:val="000000"/>
                <w:sz w:val="22"/>
                <w:szCs w:val="22"/>
                <w:u w:val="none"/>
              </w:rPr>
            </w:pPr>
            <w:r>
              <w:rPr>
                <w:rFonts w:hint="default" w:ascii="彩虹粗仿宋" w:hAnsi="彩虹粗仿宋" w:eastAsia="彩虹粗仿宋" w:cs="彩虹粗仿宋"/>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彩虹粗仿宋" w:hAnsi="彩虹粗仿宋" w:eastAsia="彩虹粗仿宋" w:cs="彩虹粗仿宋"/>
                <w:i w:val="0"/>
                <w:iCs w:val="0"/>
                <w:color w:val="000000"/>
                <w:sz w:val="22"/>
                <w:szCs w:val="22"/>
                <w:u w:val="none"/>
              </w:rPr>
            </w:pPr>
            <w:r>
              <w:rPr>
                <w:rFonts w:hint="default" w:ascii="彩虹粗仿宋" w:hAnsi="彩虹粗仿宋" w:eastAsia="彩虹粗仿宋" w:cs="彩虹粗仿宋"/>
                <w:i w:val="0"/>
                <w:iCs w:val="0"/>
                <w:color w:val="000000"/>
                <w:kern w:val="0"/>
                <w:sz w:val="22"/>
                <w:szCs w:val="22"/>
                <w:u w:val="none"/>
                <w:lang w:val="en-US" w:eastAsia="zh-CN" w:bidi="ar"/>
              </w:rPr>
              <w:t>根据投标人年金业务收入权重进行评审：</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1.2023年投标人年金业务收入占公司当年主营业务收入60%（含）以上的，得5分；</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2.2023年投标人年金业务收入占公司当年主营业务收入30%（含）以上的，得4分；</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3.2023年投标人年金业务收入占公司当年主营业务收入10%以下的，得3分</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注：响应文件中提供投标人2023年度经会计师事务所出具的审计报告利润表扫描件（若有合并报表以合并报表数据为准），加盖投标人公章。未提供或提供不符合要求的不得分。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彩虹粗仿宋" w:hAnsi="彩虹粗仿宋" w:eastAsia="彩虹粗仿宋" w:cs="彩虹粗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彩虹粗仿宋" w:hAnsi="彩虹粗仿宋" w:eastAsia="彩虹粗仿宋" w:cs="彩虹粗仿宋"/>
                <w:i w:val="0"/>
                <w:iCs w:val="0"/>
                <w:color w:val="000000"/>
                <w:sz w:val="22"/>
                <w:szCs w:val="22"/>
                <w:u w:val="none"/>
              </w:rPr>
            </w:pPr>
            <w:r>
              <w:rPr>
                <w:rFonts w:hint="default" w:ascii="彩虹粗仿宋" w:hAnsi="彩虹粗仿宋" w:eastAsia="彩虹粗仿宋" w:cs="彩虹粗仿宋"/>
                <w:i w:val="0"/>
                <w:iCs w:val="0"/>
                <w:color w:val="000000"/>
                <w:kern w:val="0"/>
                <w:sz w:val="22"/>
                <w:szCs w:val="22"/>
                <w:u w:val="none"/>
                <w:lang w:val="en-US" w:eastAsia="zh-CN" w:bidi="ar"/>
              </w:rPr>
              <w:t>盈利能力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彩虹粗仿宋" w:hAnsi="彩虹粗仿宋" w:eastAsia="彩虹粗仿宋" w:cs="彩虹粗仿宋"/>
                <w:i w:val="0"/>
                <w:iCs w:val="0"/>
                <w:color w:val="000000"/>
                <w:sz w:val="22"/>
                <w:szCs w:val="22"/>
                <w:u w:val="none"/>
              </w:rPr>
            </w:pPr>
            <w:r>
              <w:rPr>
                <w:rFonts w:hint="default" w:ascii="彩虹粗仿宋" w:hAnsi="彩虹粗仿宋" w:eastAsia="彩虹粗仿宋" w:cs="彩虹粗仿宋"/>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彩虹粗仿宋" w:hAnsi="彩虹粗仿宋" w:eastAsia="彩虹粗仿宋" w:cs="彩虹粗仿宋"/>
                <w:i w:val="0"/>
                <w:iCs w:val="0"/>
                <w:color w:val="000000"/>
                <w:sz w:val="22"/>
                <w:szCs w:val="22"/>
                <w:u w:val="none"/>
              </w:rPr>
            </w:pPr>
            <w:r>
              <w:rPr>
                <w:rFonts w:hint="default" w:ascii="彩虹粗仿宋" w:hAnsi="彩虹粗仿宋" w:eastAsia="彩虹粗仿宋" w:cs="彩虹粗仿宋"/>
                <w:i w:val="0"/>
                <w:iCs w:val="0"/>
                <w:color w:val="000000"/>
                <w:kern w:val="0"/>
                <w:sz w:val="22"/>
                <w:szCs w:val="22"/>
                <w:u w:val="none"/>
                <w:lang w:val="en-US" w:eastAsia="zh-CN" w:bidi="ar"/>
              </w:rPr>
              <w:t>根据投标人自2019年1月1日起至2023年12月31日止的盈利状况进行评审：</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1.连续5年盈利的，得5分；</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2.存在任意4年实现盈利的，得4分；</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3.存在任意3年实现盈利的，得3分；</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4.存在任意2年实现盈利的，得2分；</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5.存在任意1年实现盈利的，得1分。</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注:响应文件中需提供投标人2019至2023年度经会计师事务所出具的审计报告利润表扫描件（若有合并报表以合并报表数据为准），加盖投标人公章，未提供或提供不符合要求的不得分。盈利是指利润表中净利润为正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彩虹粗仿宋" w:hAnsi="彩虹粗仿宋" w:eastAsia="彩虹粗仿宋" w:cs="彩虹粗仿宋"/>
                <w:i w:val="0"/>
                <w:iCs w:val="0"/>
                <w:color w:val="000000"/>
                <w:sz w:val="22"/>
                <w:szCs w:val="22"/>
                <w:u w:val="none"/>
              </w:rPr>
            </w:pPr>
            <w:r>
              <w:rPr>
                <w:rFonts w:hint="default" w:ascii="彩虹粗仿宋" w:hAnsi="彩虹粗仿宋" w:eastAsia="彩虹粗仿宋" w:cs="彩虹粗仿宋"/>
                <w:i w:val="0"/>
                <w:iCs w:val="0"/>
                <w:color w:val="000000"/>
                <w:kern w:val="0"/>
                <w:sz w:val="22"/>
                <w:szCs w:val="22"/>
                <w:u w:val="none"/>
                <w:lang w:val="en-US" w:eastAsia="zh-CN" w:bidi="ar"/>
              </w:rPr>
              <w:t>受托综合实力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彩虹粗仿宋" w:hAnsi="彩虹粗仿宋" w:eastAsia="彩虹粗仿宋" w:cs="彩虹粗仿宋"/>
                <w:i w:val="0"/>
                <w:iCs w:val="0"/>
                <w:color w:val="000000"/>
                <w:sz w:val="22"/>
                <w:szCs w:val="22"/>
                <w:u w:val="none"/>
              </w:rPr>
            </w:pPr>
            <w:r>
              <w:rPr>
                <w:rFonts w:hint="default" w:ascii="彩虹粗仿宋" w:hAnsi="彩虹粗仿宋" w:eastAsia="彩虹粗仿宋" w:cs="彩虹粗仿宋"/>
                <w:i w:val="0"/>
                <w:iCs w:val="0"/>
                <w:color w:val="000000"/>
                <w:kern w:val="0"/>
                <w:sz w:val="22"/>
                <w:szCs w:val="22"/>
                <w:u w:val="none"/>
                <w:lang w:val="en-US" w:eastAsia="zh-CN" w:bidi="ar"/>
              </w:rPr>
              <w:t>受托规模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彩虹粗仿宋" w:hAnsi="彩虹粗仿宋" w:eastAsia="彩虹粗仿宋" w:cs="彩虹粗仿宋"/>
                <w:i w:val="0"/>
                <w:iCs w:val="0"/>
                <w:color w:val="000000"/>
                <w:sz w:val="22"/>
                <w:szCs w:val="22"/>
                <w:u w:val="none"/>
              </w:rPr>
            </w:pPr>
            <w:r>
              <w:rPr>
                <w:rFonts w:hint="default" w:ascii="彩虹粗仿宋" w:hAnsi="彩虹粗仿宋" w:eastAsia="彩虹粗仿宋" w:cs="彩虹粗仿宋"/>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彩虹粗仿宋" w:hAnsi="彩虹粗仿宋" w:eastAsia="彩虹粗仿宋" w:cs="彩虹粗仿宋"/>
                <w:i w:val="0"/>
                <w:iCs w:val="0"/>
                <w:color w:val="000000"/>
                <w:sz w:val="22"/>
                <w:szCs w:val="22"/>
                <w:u w:val="none"/>
              </w:rPr>
            </w:pPr>
            <w:r>
              <w:rPr>
                <w:rFonts w:hint="default" w:ascii="彩虹粗仿宋" w:hAnsi="彩虹粗仿宋" w:eastAsia="彩虹粗仿宋" w:cs="彩虹粗仿宋"/>
                <w:i w:val="0"/>
                <w:iCs w:val="0"/>
                <w:color w:val="000000"/>
                <w:kern w:val="0"/>
                <w:sz w:val="22"/>
                <w:szCs w:val="22"/>
                <w:u w:val="none"/>
                <w:lang w:val="en-US" w:eastAsia="zh-CN" w:bidi="ar"/>
              </w:rPr>
              <w:t>根据投标人2023年度企业年金受托管理规模进行评审：</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1.企业年金受托资产金额大于1000亿的，得5分；</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2.企业年金受托资产金额大于500亿且小于1000亿（含）的，得3分；</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3.企业年金受托资产金额小于500亿（含）的，得1分。</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注：响应文件中需提供国家人社部《2023年度全国企业年金基金业务数据摘要》中“表1.2023年企业年金基金法人受托管理情况”截图，并标注投标人对应的受托管理资产金额，加盖投标人公章，未提供或提供不符合要求的不得分。未提供或提供不符合要求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彩虹粗仿宋" w:hAnsi="彩虹粗仿宋" w:eastAsia="彩虹粗仿宋" w:cs="彩虹粗仿宋"/>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彩虹粗仿宋" w:hAnsi="彩虹粗仿宋" w:eastAsia="彩虹粗仿宋" w:cs="彩虹粗仿宋"/>
                <w:i w:val="0"/>
                <w:iCs w:val="0"/>
                <w:color w:val="000000"/>
                <w:sz w:val="22"/>
                <w:szCs w:val="22"/>
                <w:u w:val="none"/>
              </w:rPr>
            </w:pPr>
            <w:r>
              <w:rPr>
                <w:rFonts w:hint="default" w:ascii="彩虹粗仿宋" w:hAnsi="彩虹粗仿宋" w:eastAsia="彩虹粗仿宋" w:cs="彩虹粗仿宋"/>
                <w:i w:val="0"/>
                <w:iCs w:val="0"/>
                <w:color w:val="000000"/>
                <w:kern w:val="0"/>
                <w:sz w:val="22"/>
                <w:szCs w:val="22"/>
                <w:u w:val="none"/>
                <w:lang w:val="en-US" w:eastAsia="zh-CN" w:bidi="ar"/>
              </w:rPr>
              <w:t>投资业绩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彩虹粗仿宋" w:hAnsi="彩虹粗仿宋" w:eastAsia="彩虹粗仿宋" w:cs="彩虹粗仿宋"/>
                <w:i w:val="0"/>
                <w:iCs w:val="0"/>
                <w:color w:val="000000"/>
                <w:sz w:val="22"/>
                <w:szCs w:val="22"/>
                <w:u w:val="none"/>
              </w:rPr>
            </w:pPr>
            <w:r>
              <w:rPr>
                <w:rFonts w:hint="default" w:ascii="彩虹粗仿宋" w:hAnsi="彩虹粗仿宋" w:eastAsia="彩虹粗仿宋" w:cs="彩虹粗仿宋"/>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彩虹粗仿宋" w:hAnsi="彩虹粗仿宋" w:eastAsia="彩虹粗仿宋" w:cs="彩虹粗仿宋"/>
                <w:i w:val="0"/>
                <w:iCs w:val="0"/>
                <w:color w:val="000000"/>
                <w:sz w:val="22"/>
                <w:szCs w:val="22"/>
                <w:u w:val="none"/>
              </w:rPr>
            </w:pPr>
            <w:r>
              <w:rPr>
                <w:rFonts w:hint="default" w:ascii="彩虹粗仿宋" w:hAnsi="彩虹粗仿宋" w:eastAsia="彩虹粗仿宋" w:cs="彩虹粗仿宋"/>
                <w:i w:val="0"/>
                <w:iCs w:val="0"/>
                <w:color w:val="000000"/>
                <w:kern w:val="0"/>
                <w:sz w:val="22"/>
                <w:szCs w:val="22"/>
                <w:u w:val="none"/>
                <w:lang w:val="en-US" w:eastAsia="zh-CN" w:bidi="ar"/>
              </w:rPr>
              <w:t>根据投标人受托管理的集合计划固定收益类组合业绩进行评审：</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投标人提供近5年度（2019-2023）受托管理的集合计划固定收益类组合收益率及算数平均收益率，按照从高到低的排名，最高得15分，依次递减2分，最低得0分。</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注：1.响应文件中需提供各年度投标人官网公布的《企业年金集合计划管理情况(XX年4季度)》中“季度集合计划分组合类型收益情况表”--“合计”栏--“固定收益类”收益率截图，未提供或提供不符合要求的不得分。计算方法：平均收益率=历年收益率之和/5，计算结果保留小数点后两位；</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2.若集合计划成立运作时间在2019年以后的，以实际年份计算平均收益率；</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3.提供的各项材料需加盖投标人公章。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彩虹粗仿宋" w:hAnsi="彩虹粗仿宋" w:eastAsia="彩虹粗仿宋" w:cs="彩虹粗仿宋"/>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彩虹粗仿宋" w:hAnsi="彩虹粗仿宋" w:eastAsia="彩虹粗仿宋" w:cs="彩虹粗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彩虹粗仿宋" w:hAnsi="彩虹粗仿宋" w:eastAsia="彩虹粗仿宋" w:cs="彩虹粗仿宋"/>
                <w:i w:val="0"/>
                <w:iCs w:val="0"/>
                <w:color w:val="000000"/>
                <w:sz w:val="22"/>
                <w:szCs w:val="22"/>
                <w:u w:val="none"/>
              </w:rPr>
            </w:pPr>
            <w:r>
              <w:rPr>
                <w:rFonts w:hint="default" w:ascii="彩虹粗仿宋" w:hAnsi="彩虹粗仿宋" w:eastAsia="彩虹粗仿宋" w:cs="彩虹粗仿宋"/>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彩虹粗仿宋" w:hAnsi="彩虹粗仿宋" w:eastAsia="彩虹粗仿宋" w:cs="彩虹粗仿宋"/>
                <w:i w:val="0"/>
                <w:iCs w:val="0"/>
                <w:color w:val="000000"/>
                <w:sz w:val="22"/>
                <w:szCs w:val="22"/>
                <w:u w:val="none"/>
              </w:rPr>
            </w:pPr>
            <w:r>
              <w:rPr>
                <w:rFonts w:hint="default" w:ascii="彩虹粗仿宋" w:hAnsi="彩虹粗仿宋" w:eastAsia="彩虹粗仿宋" w:cs="彩虹粗仿宋"/>
                <w:i w:val="0"/>
                <w:iCs w:val="0"/>
                <w:color w:val="000000"/>
                <w:kern w:val="0"/>
                <w:sz w:val="22"/>
                <w:szCs w:val="22"/>
                <w:u w:val="none"/>
                <w:lang w:val="en-US" w:eastAsia="zh-CN" w:bidi="ar"/>
              </w:rPr>
              <w:t>根据投标人推荐的集合计划业绩进行评审：</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1.近5年(2019-2023年)推荐的集合计划固收类组合平均收益率大于4%（含）的，得10分；</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2.近5年(2019-2023年)推荐的集合计划固收类组合平均收益率大于3%（含）的，得6分；</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3.近5年(2019-2023年)推荐的集合计划固收类组合平均收益率大于2%（含）的，得2分；</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4.近5年(2019-2023年)推荐的集合计划固收类组合平均收益率小于2%的，得0分；</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注：响应文件中需提供国家人社部《2019-2023年度全国企业年金基金业务数据摘要》中“6.集合计划管理情况表”截图，并标注投标人对应的受托管理资产金额，加盖投标人公章，未提供或提供不符合要求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彩虹粗仿宋" w:hAnsi="彩虹粗仿宋" w:eastAsia="彩虹粗仿宋" w:cs="彩虹粗仿宋"/>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彩虹粗仿宋" w:hAnsi="彩虹粗仿宋" w:eastAsia="彩虹粗仿宋" w:cs="彩虹粗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彩虹粗仿宋" w:hAnsi="彩虹粗仿宋" w:eastAsia="彩虹粗仿宋" w:cs="彩虹粗仿宋"/>
                <w:i w:val="0"/>
                <w:iCs w:val="0"/>
                <w:color w:val="000000"/>
                <w:sz w:val="22"/>
                <w:szCs w:val="22"/>
                <w:u w:val="none"/>
              </w:rPr>
            </w:pPr>
            <w:r>
              <w:rPr>
                <w:rFonts w:hint="default" w:ascii="彩虹粗仿宋" w:hAnsi="彩虹粗仿宋" w:eastAsia="彩虹粗仿宋" w:cs="彩虹粗仿宋"/>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彩虹粗仿宋" w:hAnsi="彩虹粗仿宋" w:eastAsia="彩虹粗仿宋" w:cs="彩虹粗仿宋"/>
                <w:i w:val="0"/>
                <w:iCs w:val="0"/>
                <w:color w:val="000000"/>
                <w:sz w:val="22"/>
                <w:szCs w:val="22"/>
                <w:u w:val="none"/>
              </w:rPr>
            </w:pPr>
            <w:r>
              <w:rPr>
                <w:rFonts w:hint="default" w:ascii="彩虹粗仿宋" w:hAnsi="彩虹粗仿宋" w:eastAsia="彩虹粗仿宋" w:cs="彩虹粗仿宋"/>
                <w:i w:val="0"/>
                <w:iCs w:val="0"/>
                <w:color w:val="000000"/>
                <w:kern w:val="0"/>
                <w:sz w:val="22"/>
                <w:szCs w:val="22"/>
                <w:u w:val="none"/>
                <w:lang w:val="en-US" w:eastAsia="zh-CN" w:bidi="ar"/>
              </w:rPr>
              <w:t>根据投标人固收业绩超过市场均值情况进行评审：</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投标人提供近5年度（2019-2023）受托管理的集合计划固定收益类组合当年度平均收益率超越市场基准次数，按照从高到低的排名，最高得15分，依次递减3分，最低得0分。</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注：1.响应文件中需提供各年度投标人官网公布的《企业年金集合计划管理情况(XX年4季度)》中“季度集合计划分组合类型收益情况表”--“合计”栏--“固定收益类”收益率截图。同时提供近5年度（2019-2023）《全国企业年金基金业务数据摘要》“全国企业年金基金投资收益率情况表--集合计划--固定收益类收益率”截图，未提供或提供不符合要求的不得分；</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 xml:space="preserve">2.若集合计划成立运作时间在2019年以后的，以实际年份计算次数。 </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3.提供的各项材料需加盖投标人公章。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彩虹粗仿宋" w:hAnsi="彩虹粗仿宋" w:eastAsia="彩虹粗仿宋" w:cs="彩虹粗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彩虹粗仿宋" w:hAnsi="彩虹粗仿宋" w:eastAsia="彩虹粗仿宋" w:cs="彩虹粗仿宋"/>
                <w:i w:val="0"/>
                <w:iCs w:val="0"/>
                <w:color w:val="000000"/>
                <w:sz w:val="22"/>
                <w:szCs w:val="22"/>
                <w:u w:val="none"/>
              </w:rPr>
            </w:pPr>
            <w:r>
              <w:rPr>
                <w:rFonts w:hint="default" w:ascii="彩虹粗仿宋" w:hAnsi="彩虹粗仿宋" w:eastAsia="彩虹粗仿宋" w:cs="彩虹粗仿宋"/>
                <w:i w:val="0"/>
                <w:iCs w:val="0"/>
                <w:color w:val="000000"/>
                <w:kern w:val="0"/>
                <w:sz w:val="22"/>
                <w:szCs w:val="22"/>
                <w:u w:val="none"/>
                <w:lang w:val="en-US" w:eastAsia="zh-CN" w:bidi="ar"/>
              </w:rPr>
              <w:t>属地服务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彩虹粗仿宋" w:hAnsi="彩虹粗仿宋" w:eastAsia="彩虹粗仿宋" w:cs="彩虹粗仿宋"/>
                <w:i w:val="0"/>
                <w:iCs w:val="0"/>
                <w:color w:val="000000"/>
                <w:sz w:val="22"/>
                <w:szCs w:val="22"/>
                <w:u w:val="none"/>
              </w:rPr>
            </w:pPr>
            <w:r>
              <w:rPr>
                <w:rFonts w:hint="default" w:ascii="彩虹粗仿宋" w:hAnsi="彩虹粗仿宋" w:eastAsia="彩虹粗仿宋" w:cs="彩虹粗仿宋"/>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彩虹粗仿宋" w:hAnsi="彩虹粗仿宋" w:eastAsia="彩虹粗仿宋" w:cs="彩虹粗仿宋"/>
                <w:i w:val="0"/>
                <w:iCs w:val="0"/>
                <w:color w:val="000000"/>
                <w:sz w:val="22"/>
                <w:szCs w:val="22"/>
                <w:u w:val="none"/>
              </w:rPr>
            </w:pPr>
            <w:r>
              <w:rPr>
                <w:rFonts w:hint="default" w:ascii="彩虹粗仿宋" w:hAnsi="彩虹粗仿宋" w:eastAsia="彩虹粗仿宋" w:cs="彩虹粗仿宋"/>
                <w:i w:val="0"/>
                <w:iCs w:val="0"/>
                <w:color w:val="000000"/>
                <w:kern w:val="0"/>
                <w:sz w:val="22"/>
                <w:szCs w:val="22"/>
                <w:u w:val="none"/>
                <w:lang w:val="en-US" w:eastAsia="zh-CN" w:bidi="ar"/>
              </w:rPr>
              <w:t>依据投标人的机构设置、配备服务团队的优劣性进行评审：</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1.在安徽省设置有省级分公司或省级分行或省级直属中心，且为招标人配备专属的属地服务团队的，得5分；</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2.在安徽省设置有省级分公司或省级分行或省级直属中心，但未为招标人配备专属的属地服务团队的，得3分；</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3.在安徽省未设置省级分公司或者省级分行或者省级直属中心的，得1分。</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注：响应文件中需提供省级分公司或省级分行的营业执照副本扫描件；如分公司或分行为合肥分公司或合肥分行，但实际承担安徽省级职责的，除提供营业执照副本扫描件外，需单独提供总公司出具的证明材料，格式自拟；如为直属中心的，需提供直属中心成立批文（发文时间不晚于2024年3月31日）。提供的各项材料需加盖投标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彩虹粗仿宋" w:hAnsi="彩虹粗仿宋" w:eastAsia="彩虹粗仿宋" w:cs="彩虹粗仿宋"/>
                <w:i w:val="0"/>
                <w:iCs w:val="0"/>
                <w:color w:val="000000"/>
                <w:sz w:val="22"/>
                <w:szCs w:val="22"/>
                <w:u w:val="none"/>
              </w:rPr>
            </w:pPr>
            <w:r>
              <w:rPr>
                <w:rFonts w:hint="default" w:ascii="彩虹粗仿宋" w:hAnsi="彩虹粗仿宋" w:eastAsia="彩虹粗仿宋" w:cs="彩虹粗仿宋"/>
                <w:i w:val="0"/>
                <w:iCs w:val="0"/>
                <w:color w:val="000000"/>
                <w:kern w:val="0"/>
                <w:sz w:val="22"/>
                <w:szCs w:val="22"/>
                <w:u w:val="none"/>
                <w:lang w:val="en-US" w:eastAsia="zh-CN" w:bidi="ar"/>
              </w:rPr>
              <w:t>风险控制能力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彩虹粗仿宋" w:hAnsi="彩虹粗仿宋" w:eastAsia="彩虹粗仿宋" w:cs="彩虹粗仿宋"/>
                <w:i w:val="0"/>
                <w:iCs w:val="0"/>
                <w:color w:val="000000"/>
                <w:sz w:val="22"/>
                <w:szCs w:val="22"/>
                <w:u w:val="none"/>
              </w:rPr>
            </w:pPr>
            <w:r>
              <w:rPr>
                <w:rFonts w:hint="default" w:ascii="彩虹粗仿宋" w:hAnsi="彩虹粗仿宋" w:eastAsia="彩虹粗仿宋" w:cs="彩虹粗仿宋"/>
                <w:i w:val="0"/>
                <w:iCs w:val="0"/>
                <w:color w:val="000000"/>
                <w:kern w:val="0"/>
                <w:sz w:val="22"/>
                <w:szCs w:val="22"/>
                <w:u w:val="none"/>
                <w:lang w:val="en-US" w:eastAsia="zh-CN" w:bidi="ar"/>
              </w:rPr>
              <w:t>夏普比率和波动率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彩虹粗仿宋" w:hAnsi="彩虹粗仿宋" w:eastAsia="彩虹粗仿宋" w:cs="彩虹粗仿宋"/>
                <w:i w:val="0"/>
                <w:iCs w:val="0"/>
                <w:color w:val="000000"/>
                <w:sz w:val="22"/>
                <w:szCs w:val="22"/>
                <w:u w:val="none"/>
              </w:rPr>
            </w:pPr>
            <w:r>
              <w:rPr>
                <w:rFonts w:hint="default" w:ascii="彩虹粗仿宋" w:hAnsi="彩虹粗仿宋" w:eastAsia="彩虹粗仿宋" w:cs="彩虹粗仿宋"/>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彩虹粗仿宋" w:hAnsi="彩虹粗仿宋" w:eastAsia="彩虹粗仿宋" w:cs="彩虹粗仿宋"/>
                <w:i w:val="0"/>
                <w:iCs w:val="0"/>
                <w:color w:val="000000"/>
                <w:sz w:val="22"/>
                <w:szCs w:val="22"/>
                <w:u w:val="none"/>
              </w:rPr>
            </w:pPr>
            <w:r>
              <w:rPr>
                <w:rFonts w:hint="default" w:ascii="彩虹粗仿宋" w:hAnsi="彩虹粗仿宋" w:eastAsia="彩虹粗仿宋" w:cs="彩虹粗仿宋"/>
                <w:i w:val="0"/>
                <w:iCs w:val="0"/>
                <w:color w:val="000000"/>
                <w:kern w:val="0"/>
                <w:sz w:val="22"/>
                <w:szCs w:val="22"/>
                <w:u w:val="none"/>
                <w:lang w:val="en-US" w:eastAsia="zh-CN" w:bidi="ar"/>
              </w:rPr>
              <w:t>根据投标人夏普比率和波动率进行评审：</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1.评审小组根据全国企业年金市场各受托机构2021年-2023年企业年金集合计划产品固定收益类组合季度收益率的夏普比率和波动率排名确定有效投标人得分①和得分②：</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（1）得分①：全国企业年金市场各受托机构夏普比率最高的得5分,每降低1名扣0.5分，扣完为止，以此确定投标人得分；</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（2）得分②：全国企业年金市场各受托机构波动率最低的得5分，每提高1名扣0.5分，扣完为止，以此确定投标人得分。</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2.评审小组根据全国企业年金市场各受托机构2021年-2023年企业年金集合计划产品含权益类组合季度收益率的夏普比率和波动率排名确定有效投标人得分③和得分④：</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（1）得分③：全国企业年金市场各受托机构夏普比率最高的得5分,每降低1名扣0.5分，扣完为止，以此确定投标人得分；</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（2）得分④：全国企业年金市场各受托机构波动率最低的得5分，每提高1名扣0.5分，扣完为止，以此确定投标人得分。</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3.投标人该项得分=得分①+得分②+得分③+得分④。</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注：</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1.响应文件中需提供投标人官网公布的《企业年金集合计划管理情况(XX年X季度)》中“季度集合计划分组合类型收益情况表”-“合计”栏-“固定收益类”和“含权益类”收益率截图（加盖投标人公章）、计算后的固定收益类组合季度收益率的夏普比率和波动率、含权益类组合季度收益率的夏普比率和波动率；未提供或提供不符合要求的对应评分项不得分。</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2.计算步骤：</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（1）夏普比率=(平均投资收益率-平均无风险利率)/标准差，保留小数点后四位，第五位四舍五入；</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（2）波动率=标准差；</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（3）固定收益类加权收益率的平均投资收益率=“各季度集合计划固定收益类加权收益率”的算术平均值，百分数保留小数点后两位，第三位四舍五入；</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（4）含权益类加权收益率的平均投资收益率=“各季度集合计划含权益类加权收益率”的算术平均值，百分数保留小数点后两位，第三位四舍五入；</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5）“各季度集合计划固定收益类加权收益率、含权益类组合加权收益率”为投标人在其官网公布的《企业年金集合计划管理情况(XX年X季度)》中“季度集合计划分组合类型收益情况表”-“合计”栏-“固定收益类”和“含权益类”收益率数据计算所得。</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①一季度收益率=一季度本年以来加权平均收益率；②二季度收益率=二季度本年以来加权平均收益率-一季度本年以来加权平均收益率；③三季度收益率=三季度本年以来加权平均收益率-</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二季度本年以来加权平均收益率；④四季度收益率=四季度本年以来加权平均收益率-三季度本年以来加权平均收益率。</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（6）平均无风险利率=季度化的一年定期存款基准利率（1.5%/4）=0.375%；</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（7）标准差=对应各季度集合计划固定收益类加权收益率或集合计划含权益类组合加权收益率的标准差，采用Excel的STDEVP公式计算。</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（8）百分数保留小数点后两位，第三位四舍五入。</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注：如有受托机构个别年度未设立相应产品导致无法计算夏普系数或波动率的，则该年度夏普系数或波动率得分取其他投标人中最低分。截至2023年12月31日如有受托机构尚未设立集合计划产品的，不纳入到“风险控制项目”的任何计算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彩虹粗仿宋" w:hAnsi="彩虹粗仿宋" w:eastAsia="彩虹粗仿宋" w:cs="彩虹粗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彩虹粗仿宋" w:hAnsi="彩虹粗仿宋" w:eastAsia="彩虹粗仿宋" w:cs="彩虹粗仿宋"/>
                <w:i w:val="0"/>
                <w:iCs w:val="0"/>
                <w:color w:val="000000"/>
                <w:sz w:val="22"/>
                <w:szCs w:val="22"/>
                <w:u w:val="none"/>
              </w:rPr>
            </w:pPr>
            <w:r>
              <w:rPr>
                <w:rFonts w:hint="default" w:ascii="彩虹粗仿宋" w:hAnsi="彩虹粗仿宋" w:eastAsia="彩虹粗仿宋" w:cs="彩虹粗仿宋"/>
                <w:i w:val="0"/>
                <w:iCs w:val="0"/>
                <w:color w:val="000000"/>
                <w:kern w:val="0"/>
                <w:sz w:val="22"/>
                <w:szCs w:val="22"/>
                <w:u w:val="none"/>
                <w:lang w:val="en-US" w:eastAsia="zh-CN" w:bidi="ar"/>
              </w:rPr>
              <w:t>风控体系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彩虹粗仿宋" w:hAnsi="彩虹粗仿宋" w:eastAsia="彩虹粗仿宋" w:cs="彩虹粗仿宋"/>
                <w:i w:val="0"/>
                <w:iCs w:val="0"/>
                <w:color w:val="000000"/>
                <w:sz w:val="22"/>
                <w:szCs w:val="22"/>
                <w:u w:val="none"/>
              </w:rPr>
            </w:pPr>
            <w:r>
              <w:rPr>
                <w:rFonts w:hint="default" w:ascii="彩虹粗仿宋" w:hAnsi="彩虹粗仿宋" w:eastAsia="彩虹粗仿宋" w:cs="彩虹粗仿宋"/>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彩虹粗仿宋" w:hAnsi="彩虹粗仿宋" w:eastAsia="彩虹粗仿宋" w:cs="彩虹粗仿宋"/>
                <w:i w:val="0"/>
                <w:iCs w:val="0"/>
                <w:color w:val="000000"/>
                <w:sz w:val="22"/>
                <w:szCs w:val="22"/>
                <w:u w:val="none"/>
              </w:rPr>
            </w:pPr>
            <w:r>
              <w:rPr>
                <w:rFonts w:hint="default" w:ascii="彩虹粗仿宋" w:hAnsi="彩虹粗仿宋" w:eastAsia="彩虹粗仿宋" w:cs="彩虹粗仿宋"/>
                <w:i w:val="0"/>
                <w:iCs w:val="0"/>
                <w:color w:val="000000"/>
                <w:kern w:val="0"/>
                <w:sz w:val="22"/>
                <w:szCs w:val="22"/>
                <w:u w:val="none"/>
                <w:lang w:val="en-US" w:eastAsia="zh-CN" w:bidi="ar"/>
              </w:rPr>
              <w:t>根据投标人企业年金管理风险控制体系的完善性进行评审：</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包括内部控制制度、内控流程、危机事件处理机制、建立纠错和追偿机制等。优良的，得4&lt;F≤5分；一般的，得3≤F≤4分；未提供或提供不符合要求的不得分。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彩虹粗仿宋" w:hAnsi="彩虹粗仿宋" w:eastAsia="彩虹粗仿宋" w:cs="彩虹粗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彩虹粗仿宋" w:hAnsi="彩虹粗仿宋" w:eastAsia="彩虹粗仿宋" w:cs="彩虹粗仿宋"/>
                <w:i w:val="0"/>
                <w:iCs w:val="0"/>
                <w:color w:val="000000"/>
                <w:sz w:val="22"/>
                <w:szCs w:val="22"/>
                <w:u w:val="none"/>
              </w:rPr>
            </w:pPr>
            <w:r>
              <w:rPr>
                <w:rFonts w:hint="default" w:ascii="彩虹粗仿宋" w:hAnsi="彩虹粗仿宋" w:eastAsia="彩虹粗仿宋" w:cs="彩虹粗仿宋"/>
                <w:i w:val="0"/>
                <w:iCs w:val="0"/>
                <w:color w:val="000000"/>
                <w:kern w:val="0"/>
                <w:sz w:val="22"/>
                <w:szCs w:val="22"/>
                <w:u w:val="none"/>
                <w:lang w:val="en-US" w:eastAsia="zh-CN" w:bidi="ar"/>
              </w:rPr>
              <w:t>合规经营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彩虹粗仿宋" w:hAnsi="彩虹粗仿宋" w:eastAsia="彩虹粗仿宋" w:cs="彩虹粗仿宋"/>
                <w:i w:val="0"/>
                <w:iCs w:val="0"/>
                <w:color w:val="000000"/>
                <w:sz w:val="22"/>
                <w:szCs w:val="22"/>
                <w:u w:val="none"/>
              </w:rPr>
            </w:pPr>
            <w:r>
              <w:rPr>
                <w:rFonts w:hint="default" w:ascii="彩虹粗仿宋" w:hAnsi="彩虹粗仿宋" w:eastAsia="彩虹粗仿宋" w:cs="彩虹粗仿宋"/>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彩虹粗仿宋" w:hAnsi="彩虹粗仿宋" w:eastAsia="彩虹粗仿宋" w:cs="彩虹粗仿宋"/>
                <w:i w:val="0"/>
                <w:iCs w:val="0"/>
                <w:color w:val="000000"/>
                <w:sz w:val="22"/>
                <w:szCs w:val="22"/>
                <w:u w:val="none"/>
              </w:rPr>
            </w:pPr>
            <w:r>
              <w:rPr>
                <w:rFonts w:hint="default" w:ascii="彩虹粗仿宋" w:hAnsi="彩虹粗仿宋" w:eastAsia="彩虹粗仿宋" w:cs="彩虹粗仿宋"/>
                <w:i w:val="0"/>
                <w:iCs w:val="0"/>
                <w:color w:val="000000"/>
                <w:kern w:val="0"/>
                <w:sz w:val="22"/>
                <w:szCs w:val="22"/>
                <w:u w:val="none"/>
                <w:lang w:val="en-US" w:eastAsia="zh-CN" w:bidi="ar"/>
              </w:rPr>
              <w:t>根据投标人合规经营情况进行评审：</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自2021年5月以来（以行政主管部门通告文件公布时间为准），投标人在企业年金管理业务中，因下列任一情形受到行政主管部门处罚的次数：</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1.取消或暂停受托资格；</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2.取消或暂停投管资格；</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3.取消或暂停账管资格；</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4.取消或暂停托管资格；</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5.限制开展新增业务的。</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未受到处罚的，得5分；受到1次处罚的，得3分；受到2次处罚的，得1分；其他情况不得分。</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注：响应文件中需提供承诺函（格式自拟），未提供或提供不符合要求的不得分。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彩虹粗仿宋" w:hAnsi="彩虹粗仿宋" w:eastAsia="彩虹粗仿宋" w:cs="彩虹粗仿宋"/>
                <w:i w:val="0"/>
                <w:iCs w:val="0"/>
                <w:color w:val="000000"/>
                <w:sz w:val="22"/>
                <w:szCs w:val="22"/>
                <w:u w:val="none"/>
              </w:rPr>
            </w:pPr>
            <w:r>
              <w:rPr>
                <w:rFonts w:hint="default" w:ascii="彩虹粗仿宋" w:hAnsi="彩虹粗仿宋" w:eastAsia="彩虹粗仿宋" w:cs="彩虹粗仿宋"/>
                <w:i w:val="0"/>
                <w:iCs w:val="0"/>
                <w:color w:val="000000"/>
                <w:kern w:val="0"/>
                <w:sz w:val="22"/>
                <w:szCs w:val="22"/>
                <w:u w:val="none"/>
                <w:lang w:val="en-US" w:eastAsia="zh-CN" w:bidi="ar"/>
              </w:rPr>
              <w:t>管理费报价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彩虹粗仿宋" w:hAnsi="彩虹粗仿宋" w:eastAsia="彩虹粗仿宋" w:cs="彩虹粗仿宋"/>
                <w:i w:val="0"/>
                <w:iCs w:val="0"/>
                <w:color w:val="000000"/>
                <w:sz w:val="22"/>
                <w:szCs w:val="22"/>
                <w:u w:val="none"/>
              </w:rPr>
            </w:pPr>
            <w:r>
              <w:rPr>
                <w:rFonts w:hint="default" w:ascii="彩虹粗仿宋" w:hAnsi="彩虹粗仿宋" w:eastAsia="彩虹粗仿宋" w:cs="彩虹粗仿宋"/>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彩虹粗仿宋" w:hAnsi="彩虹粗仿宋" w:eastAsia="彩虹粗仿宋" w:cs="彩虹粗仿宋"/>
                <w:i w:val="0"/>
                <w:iCs w:val="0"/>
                <w:color w:val="000000"/>
                <w:sz w:val="22"/>
                <w:szCs w:val="22"/>
                <w:u w:val="none"/>
              </w:rPr>
            </w:pPr>
            <w:r>
              <w:rPr>
                <w:rFonts w:hint="default" w:ascii="彩虹粗仿宋" w:hAnsi="彩虹粗仿宋" w:eastAsia="彩虹粗仿宋" w:cs="彩虹粗仿宋"/>
                <w:i w:val="0"/>
                <w:iCs w:val="0"/>
                <w:color w:val="000000"/>
                <w:kern w:val="0"/>
                <w:sz w:val="22"/>
                <w:szCs w:val="22"/>
                <w:u w:val="none"/>
                <w:lang w:val="en-US" w:eastAsia="zh-CN" w:bidi="ar"/>
              </w:rPr>
              <w:t>根据投标人企业年金管理费率进行评审：</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投标人需提供综合费率（受托费+投资管理费+托管费）报价，其中综合费率0.300%为满分10分，根据每家报价综合费率作为分母，0.300%作为分子，并乘10分，得出每家分数。（建议保留三位小数，如果超出三位小数，评审时，将小数点第四位四舍五入到第三位）</w:t>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br w:type="textWrapping"/>
            </w:r>
            <w:r>
              <w:rPr>
                <w:rFonts w:hint="default" w:ascii="彩虹粗仿宋" w:hAnsi="彩虹粗仿宋" w:eastAsia="彩虹粗仿宋" w:cs="彩虹粗仿宋"/>
                <w:i w:val="0"/>
                <w:iCs w:val="0"/>
                <w:color w:val="000000"/>
                <w:kern w:val="0"/>
                <w:sz w:val="22"/>
                <w:szCs w:val="22"/>
                <w:u w:val="none"/>
                <w:lang w:val="en-US" w:eastAsia="zh-CN" w:bidi="ar"/>
              </w:rPr>
              <w:t>注：响应文件中需填写报价函标准格式，加盖投标人公章。</w:t>
            </w:r>
          </w:p>
        </w:tc>
      </w:tr>
    </w:tbl>
    <w:p>
      <w:pPr>
        <w:adjustRightInd w:val="0"/>
        <w:spacing w:line="360" w:lineRule="auto"/>
        <w:ind w:firstLine="480" w:firstLineChars="200"/>
        <w:jc w:val="left"/>
        <w:outlineLvl w:val="1"/>
        <w:rPr>
          <w:rFonts w:ascii="Times New Roman" w:hAnsi="Times New Roman" w:cs="Times New Roman"/>
          <w:sz w:val="24"/>
          <w:highlight w:val="yellow"/>
        </w:rPr>
      </w:pPr>
    </w:p>
    <w:p>
      <w:pPr>
        <w:jc w:val="center"/>
        <w:rPr>
          <w:rFonts w:ascii="Times New Roman" w:hAnsi="Times New Roman" w:cs="Times New Roman"/>
          <w:b/>
          <w:sz w:val="28"/>
          <w:highlight w:val="yellow"/>
        </w:rPr>
      </w:pPr>
      <w:bookmarkStart w:id="30" w:name="_Toc66363490"/>
    </w:p>
    <w:p>
      <w:pPr>
        <w:pStyle w:val="40"/>
        <w:rPr>
          <w:highlight w:val="yellow"/>
        </w:rPr>
      </w:pPr>
    </w:p>
    <w:p>
      <w:pPr>
        <w:pStyle w:val="30"/>
        <w:ind w:left="420" w:hanging="420"/>
        <w:rPr>
          <w:highlight w:val="yellow"/>
        </w:rPr>
      </w:pPr>
    </w:p>
    <w:p>
      <w:pPr>
        <w:jc w:val="both"/>
        <w:rPr>
          <w:rFonts w:ascii="Times New Roman" w:hAnsi="Times New Roman" w:cs="Times New Roman"/>
          <w:b/>
          <w:sz w:val="28"/>
        </w:rPr>
      </w:pPr>
    </w:p>
    <w:p>
      <w:pPr>
        <w:rPr>
          <w:rFonts w:hint="eastAsia" w:ascii="黑体" w:hAnsi="宋体" w:eastAsia="黑体"/>
          <w:b/>
          <w:sz w:val="28"/>
          <w:szCs w:val="28"/>
        </w:rPr>
      </w:pPr>
      <w:r>
        <w:rPr>
          <w:rFonts w:ascii="Times New Roman" w:hAnsi="Times New Roman" w:cs="Times New Roman"/>
          <w:b/>
          <w:sz w:val="28"/>
        </w:rPr>
        <w:t>第</w:t>
      </w:r>
      <w:r>
        <w:rPr>
          <w:rFonts w:hint="eastAsia" w:ascii="Times New Roman" w:hAnsi="Times New Roman" w:cs="Times New Roman"/>
          <w:b/>
          <w:sz w:val="28"/>
        </w:rPr>
        <w:t>五</w:t>
      </w:r>
      <w:r>
        <w:rPr>
          <w:rFonts w:ascii="Times New Roman" w:hAnsi="Times New Roman" w:cs="Times New Roman"/>
          <w:b/>
          <w:sz w:val="28"/>
        </w:rPr>
        <w:t>章  合同条款及格式</w:t>
      </w:r>
      <w:bookmarkEnd w:id="30"/>
    </w:p>
    <w:p>
      <w:pPr>
        <w:spacing w:line="360" w:lineRule="auto"/>
        <w:jc w:val="center"/>
        <w:rPr>
          <w:rFonts w:hint="eastAsia" w:ascii="彩虹粗仿宋" w:hAnsi="彩虹粗仿宋" w:eastAsia="彩虹粗仿宋" w:cs="彩虹粗仿宋"/>
          <w:sz w:val="32"/>
          <w:szCs w:val="32"/>
        </w:rPr>
      </w:pPr>
      <w:r>
        <w:rPr>
          <w:rFonts w:hint="eastAsia" w:ascii="彩虹粗仿宋" w:hAnsi="彩虹粗仿宋" w:eastAsia="彩虹粗仿宋" w:cs="彩虹粗仿宋"/>
          <w:sz w:val="32"/>
          <w:szCs w:val="32"/>
        </w:rPr>
        <w:t>企业年金集合计划受托管理合同</w:t>
      </w:r>
    </w:p>
    <w:p>
      <w:pPr>
        <w:spacing w:line="360" w:lineRule="auto"/>
        <w:jc w:val="center"/>
        <w:rPr>
          <w:rFonts w:hint="eastAsia" w:ascii="彩虹粗仿宋" w:hAnsi="彩虹粗仿宋" w:eastAsia="彩虹粗仿宋" w:cs="彩虹粗仿宋"/>
          <w:sz w:val="32"/>
          <w:szCs w:val="32"/>
        </w:rPr>
      </w:pPr>
      <w:r>
        <w:rPr>
          <w:rFonts w:hint="eastAsia" w:ascii="彩虹粗仿宋" w:hAnsi="彩虹粗仿宋" w:eastAsia="彩虹粗仿宋" w:cs="彩虹粗仿宋"/>
          <w:sz w:val="32"/>
          <w:szCs w:val="32"/>
        </w:rPr>
        <w:t>（含账户管理条款、投资管理条款）</w:t>
      </w:r>
    </w:p>
    <w:p>
      <w:pPr>
        <w:jc w:val="center"/>
        <w:rPr>
          <w:rFonts w:hint="eastAsia" w:ascii="黑体" w:hAnsi="宋体" w:eastAsia="黑体"/>
          <w:b/>
          <w:sz w:val="28"/>
          <w:szCs w:val="28"/>
        </w:rPr>
      </w:pPr>
    </w:p>
    <w:p>
      <w:pPr>
        <w:jc w:val="center"/>
        <w:rPr>
          <w:rFonts w:hint="eastAsia" w:ascii="宋体" w:hAnsi="宋体"/>
          <w:sz w:val="28"/>
          <w:szCs w:val="28"/>
        </w:rPr>
      </w:pPr>
    </w:p>
    <w:p>
      <w:pPr>
        <w:jc w:val="center"/>
        <w:rPr>
          <w:rFonts w:hint="eastAsia" w:ascii="宋体" w:hAnsi="宋体"/>
          <w:sz w:val="28"/>
          <w:szCs w:val="28"/>
        </w:rPr>
      </w:pPr>
    </w:p>
    <w:p>
      <w:pPr>
        <w:rPr>
          <w:rFonts w:hint="eastAsia" w:ascii="宋体" w:hAnsi="宋体"/>
          <w:sz w:val="28"/>
          <w:szCs w:val="28"/>
        </w:rPr>
      </w:pPr>
    </w:p>
    <w:p>
      <w:pPr>
        <w:jc w:val="center"/>
        <w:rPr>
          <w:rFonts w:hint="eastAsia" w:ascii="宋体" w:hAnsi="宋体"/>
          <w:sz w:val="28"/>
          <w:szCs w:val="28"/>
        </w:rPr>
      </w:pPr>
    </w:p>
    <w:p>
      <w:pPr>
        <w:spacing w:line="360" w:lineRule="auto"/>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合同编号：</w:t>
      </w:r>
    </w:p>
    <w:p>
      <w:pPr>
        <w:spacing w:line="360" w:lineRule="auto"/>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委 托 人：</w:t>
      </w:r>
    </w:p>
    <w:p>
      <w:pPr>
        <w:spacing w:line="360" w:lineRule="auto"/>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受 托 人：</w:t>
      </w:r>
    </w:p>
    <w:p>
      <w:pPr>
        <w:spacing w:line="360" w:lineRule="auto"/>
        <w:rPr>
          <w:rFonts w:hint="default"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rPr>
        <w:t>签署时间：</w:t>
      </w:r>
      <w:r>
        <w:rPr>
          <w:rFonts w:hint="eastAsia" w:ascii="彩虹粗仿宋" w:hAnsi="彩虹粗仿宋" w:eastAsia="彩虹粗仿宋" w:cs="彩虹粗仿宋"/>
          <w:sz w:val="28"/>
          <w:szCs w:val="28"/>
          <w:lang w:val="en-US" w:eastAsia="zh-CN"/>
        </w:rPr>
        <w:t xml:space="preserve">     年  月  日</w:t>
      </w:r>
    </w:p>
    <w:p>
      <w:pPr>
        <w:spacing w:line="360" w:lineRule="auto"/>
        <w:rPr>
          <w:rFonts w:hint="eastAsia" w:ascii="仿宋_GB2312" w:hAnsi="宋体" w:eastAsia="仿宋_GB2312"/>
          <w:sz w:val="28"/>
          <w:szCs w:val="28"/>
        </w:rPr>
      </w:pPr>
    </w:p>
    <w:p>
      <w:pPr>
        <w:spacing w:line="360" w:lineRule="auto"/>
        <w:rPr>
          <w:rFonts w:hint="eastAsia" w:ascii="彩虹粗仿宋" w:hAnsi="彩虹粗仿宋" w:eastAsia="彩虹粗仿宋" w:cs="彩虹粗仿宋"/>
          <w:sz w:val="28"/>
          <w:szCs w:val="28"/>
        </w:rPr>
      </w:pPr>
      <w:r>
        <w:rPr>
          <w:rFonts w:ascii="仿宋_GB2312" w:hAnsi="宋体" w:eastAsia="仿宋_GB2312"/>
          <w:sz w:val="28"/>
          <w:szCs w:val="28"/>
        </w:rPr>
        <w:br w:type="page"/>
      </w:r>
      <w:r>
        <w:rPr>
          <w:rFonts w:hint="eastAsia" w:ascii="彩虹粗仿宋" w:hAnsi="彩虹粗仿宋" w:eastAsia="彩虹粗仿宋" w:cs="彩虹粗仿宋"/>
          <w:sz w:val="28"/>
          <w:szCs w:val="28"/>
        </w:rPr>
        <w:t>甲　　方：</w:t>
      </w:r>
    </w:p>
    <w:p>
      <w:pPr>
        <w:spacing w:line="360" w:lineRule="auto"/>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联系地址：</w:t>
      </w:r>
    </w:p>
    <w:p>
      <w:pPr>
        <w:spacing w:line="360" w:lineRule="auto"/>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邮政编码：</w:t>
      </w:r>
    </w:p>
    <w:p>
      <w:pPr>
        <w:spacing w:line="360" w:lineRule="auto"/>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电　　话：</w:t>
      </w:r>
    </w:p>
    <w:p>
      <w:pPr>
        <w:spacing w:line="360" w:lineRule="auto"/>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传　　真：</w:t>
      </w:r>
    </w:p>
    <w:p>
      <w:pPr>
        <w:spacing w:line="360" w:lineRule="auto"/>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法定代表人：</w:t>
      </w:r>
    </w:p>
    <w:p>
      <w:pPr>
        <w:spacing w:line="360" w:lineRule="auto"/>
        <w:rPr>
          <w:rFonts w:hint="eastAsia" w:ascii="彩虹粗仿宋" w:hAnsi="彩虹粗仿宋" w:eastAsia="彩虹粗仿宋" w:cs="彩虹粗仿宋"/>
          <w:sz w:val="28"/>
          <w:szCs w:val="28"/>
        </w:rPr>
      </w:pPr>
    </w:p>
    <w:p>
      <w:pPr>
        <w:spacing w:line="360" w:lineRule="auto"/>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乙    方：</w:t>
      </w:r>
    </w:p>
    <w:p>
      <w:pPr>
        <w:spacing w:line="360" w:lineRule="auto"/>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联系地址：</w:t>
      </w:r>
    </w:p>
    <w:p>
      <w:pPr>
        <w:spacing w:line="360" w:lineRule="auto"/>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邮政编码：</w:t>
      </w:r>
    </w:p>
    <w:p>
      <w:pPr>
        <w:spacing w:line="360" w:lineRule="auto"/>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电    话：</w:t>
      </w:r>
    </w:p>
    <w:p>
      <w:pPr>
        <w:spacing w:line="360" w:lineRule="auto"/>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传    真：</w:t>
      </w:r>
    </w:p>
    <w:p>
      <w:pPr>
        <w:spacing w:line="360" w:lineRule="auto"/>
        <w:rPr>
          <w:rFonts w:hint="eastAsia" w:ascii="彩虹粗仿宋" w:hAnsi="宋体" w:eastAsia="彩虹粗仿宋" w:cs="宋体"/>
          <w:sz w:val="28"/>
          <w:szCs w:val="28"/>
        </w:rPr>
      </w:pPr>
      <w:r>
        <w:rPr>
          <w:rFonts w:hint="eastAsia" w:ascii="彩虹粗仿宋" w:hAnsi="彩虹粗仿宋" w:eastAsia="彩虹粗仿宋" w:cs="彩虹粗仿宋"/>
          <w:sz w:val="28"/>
          <w:szCs w:val="28"/>
        </w:rPr>
        <w:t>法定代表人：</w:t>
      </w:r>
    </w:p>
    <w:p>
      <w:pPr>
        <w:spacing w:line="360" w:lineRule="auto"/>
        <w:jc w:val="center"/>
        <w:rPr>
          <w:rFonts w:hint="eastAsia" w:ascii="彩虹黑体" w:hAnsi="彩虹粗仿宋" w:eastAsia="彩虹黑体" w:cs="彩虹粗仿宋"/>
          <w:b/>
          <w:sz w:val="32"/>
          <w:szCs w:val="32"/>
        </w:rPr>
      </w:pPr>
      <w:r>
        <w:rPr>
          <w:sz w:val="28"/>
          <w:szCs w:val="28"/>
        </w:rPr>
        <w:br w:type="page"/>
      </w:r>
      <w:r>
        <w:rPr>
          <w:rFonts w:hint="eastAsia" w:ascii="彩虹黑体" w:hAnsi="彩虹粗仿宋" w:eastAsia="彩虹黑体" w:cs="彩虹粗仿宋"/>
          <w:b/>
          <w:sz w:val="32"/>
          <w:szCs w:val="32"/>
        </w:rPr>
        <w:t>目    录</w:t>
      </w:r>
    </w:p>
    <w:p>
      <w:pPr>
        <w:pStyle w:val="28"/>
        <w:tabs>
          <w:tab w:val="right" w:leader="dot" w:pos="8302"/>
        </w:tabs>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fldChar w:fldCharType="begin"/>
      </w:r>
      <w:r>
        <w:rPr>
          <w:rFonts w:hint="eastAsia" w:ascii="彩虹粗仿宋" w:hAnsi="彩虹粗仿宋" w:eastAsia="彩虹粗仿宋" w:cs="彩虹粗仿宋"/>
          <w:sz w:val="28"/>
          <w:szCs w:val="28"/>
        </w:rPr>
        <w:instrText xml:space="preserve"> TOC \o "1-3" \h \z \u </w:instrText>
      </w:r>
      <w:r>
        <w:rPr>
          <w:rFonts w:hint="eastAsia" w:ascii="彩虹粗仿宋" w:hAnsi="彩虹粗仿宋" w:eastAsia="彩虹粗仿宋" w:cs="彩虹粗仿宋"/>
          <w:sz w:val="28"/>
          <w:szCs w:val="28"/>
        </w:rPr>
        <w:fldChar w:fldCharType="separate"/>
      </w:r>
      <w:r>
        <w:rPr>
          <w:rStyle w:val="53"/>
          <w:rFonts w:hint="eastAsia" w:ascii="彩虹粗仿宋" w:hAnsi="彩虹粗仿宋" w:eastAsia="彩虹粗仿宋" w:cs="彩虹粗仿宋"/>
          <w:color w:val="auto"/>
          <w:sz w:val="28"/>
          <w:szCs w:val="28"/>
        </w:rPr>
        <w:fldChar w:fldCharType="begin"/>
      </w:r>
      <w:r>
        <w:rPr>
          <w:rStyle w:val="53"/>
          <w:rFonts w:hint="eastAsia" w:ascii="彩虹粗仿宋" w:hAnsi="彩虹粗仿宋" w:eastAsia="彩虹粗仿宋" w:cs="彩虹粗仿宋"/>
          <w:color w:val="auto"/>
          <w:sz w:val="28"/>
          <w:szCs w:val="28"/>
        </w:rPr>
        <w:instrText xml:space="preserve"> </w:instrText>
      </w:r>
      <w:r>
        <w:rPr>
          <w:rFonts w:hint="eastAsia" w:ascii="彩虹粗仿宋" w:hAnsi="彩虹粗仿宋" w:eastAsia="彩虹粗仿宋" w:cs="彩虹粗仿宋"/>
          <w:sz w:val="28"/>
          <w:szCs w:val="28"/>
        </w:rPr>
        <w:instrText xml:space="preserve">HYPERLINK \l "_Toc14782063"</w:instrText>
      </w:r>
      <w:r>
        <w:rPr>
          <w:rStyle w:val="53"/>
          <w:rFonts w:hint="eastAsia" w:ascii="彩虹粗仿宋" w:hAnsi="彩虹粗仿宋" w:eastAsia="彩虹粗仿宋" w:cs="彩虹粗仿宋"/>
          <w:color w:val="auto"/>
          <w:sz w:val="28"/>
          <w:szCs w:val="28"/>
        </w:rPr>
        <w:instrText xml:space="preserve"> </w:instrText>
      </w:r>
      <w:r>
        <w:rPr>
          <w:rStyle w:val="53"/>
          <w:rFonts w:hint="eastAsia" w:ascii="彩虹粗仿宋" w:hAnsi="彩虹粗仿宋" w:eastAsia="彩虹粗仿宋" w:cs="彩虹粗仿宋"/>
          <w:color w:val="auto"/>
          <w:sz w:val="28"/>
          <w:szCs w:val="28"/>
        </w:rPr>
        <w:fldChar w:fldCharType="separate"/>
      </w:r>
      <w:r>
        <w:rPr>
          <w:rStyle w:val="53"/>
          <w:rFonts w:hint="eastAsia" w:ascii="彩虹粗仿宋" w:hAnsi="彩虹粗仿宋" w:eastAsia="彩虹粗仿宋" w:cs="彩虹粗仿宋"/>
          <w:color w:val="auto"/>
          <w:sz w:val="28"/>
          <w:szCs w:val="28"/>
        </w:rPr>
        <w:t>前  言</w:t>
      </w:r>
      <w:r>
        <w:rPr>
          <w:rFonts w:hint="eastAsia" w:ascii="彩虹粗仿宋" w:hAnsi="彩虹粗仿宋" w:eastAsia="彩虹粗仿宋" w:cs="彩虹粗仿宋"/>
          <w:sz w:val="28"/>
          <w:szCs w:val="28"/>
        </w:rPr>
        <w:tab/>
      </w:r>
      <w:r>
        <w:rPr>
          <w:rFonts w:hint="eastAsia" w:ascii="彩虹粗仿宋" w:hAnsi="彩虹粗仿宋" w:eastAsia="彩虹粗仿宋" w:cs="彩虹粗仿宋"/>
          <w:sz w:val="28"/>
          <w:szCs w:val="28"/>
        </w:rPr>
        <w:fldChar w:fldCharType="begin"/>
      </w:r>
      <w:r>
        <w:rPr>
          <w:rFonts w:hint="eastAsia" w:ascii="彩虹粗仿宋" w:hAnsi="彩虹粗仿宋" w:eastAsia="彩虹粗仿宋" w:cs="彩虹粗仿宋"/>
          <w:sz w:val="28"/>
          <w:szCs w:val="28"/>
        </w:rPr>
        <w:instrText xml:space="preserve"> PAGEREF _Toc14782063 \h </w:instrText>
      </w:r>
      <w:r>
        <w:rPr>
          <w:rFonts w:hint="eastAsia" w:ascii="彩虹粗仿宋" w:hAnsi="彩虹粗仿宋" w:eastAsia="彩虹粗仿宋" w:cs="彩虹粗仿宋"/>
          <w:sz w:val="28"/>
          <w:szCs w:val="28"/>
        </w:rPr>
        <w:fldChar w:fldCharType="separate"/>
      </w:r>
      <w:r>
        <w:rPr>
          <w:rFonts w:ascii="彩虹粗仿宋" w:hAnsi="彩虹粗仿宋" w:eastAsia="彩虹粗仿宋" w:cs="彩虹粗仿宋"/>
          <w:sz w:val="28"/>
          <w:szCs w:val="28"/>
        </w:rPr>
        <w:t>1</w:t>
      </w:r>
      <w:r>
        <w:rPr>
          <w:rFonts w:hint="eastAsia" w:ascii="彩虹粗仿宋" w:hAnsi="彩虹粗仿宋" w:eastAsia="彩虹粗仿宋" w:cs="彩虹粗仿宋"/>
          <w:sz w:val="28"/>
          <w:szCs w:val="28"/>
        </w:rPr>
        <w:fldChar w:fldCharType="end"/>
      </w:r>
      <w:r>
        <w:rPr>
          <w:rStyle w:val="53"/>
          <w:rFonts w:hint="eastAsia" w:ascii="彩虹粗仿宋" w:hAnsi="彩虹粗仿宋" w:eastAsia="彩虹粗仿宋" w:cs="彩虹粗仿宋"/>
          <w:color w:val="auto"/>
          <w:sz w:val="28"/>
          <w:szCs w:val="28"/>
        </w:rPr>
        <w:fldChar w:fldCharType="end"/>
      </w:r>
    </w:p>
    <w:p>
      <w:pPr>
        <w:pStyle w:val="28"/>
        <w:tabs>
          <w:tab w:val="right" w:leader="dot" w:pos="8302"/>
        </w:tabs>
        <w:rPr>
          <w:rFonts w:hint="eastAsia" w:ascii="彩虹粗仿宋" w:hAnsi="彩虹粗仿宋" w:eastAsia="彩虹粗仿宋" w:cs="彩虹粗仿宋"/>
          <w:sz w:val="28"/>
          <w:szCs w:val="28"/>
        </w:rPr>
      </w:pPr>
      <w:r>
        <w:rPr>
          <w:rStyle w:val="53"/>
          <w:rFonts w:hint="eastAsia" w:ascii="彩虹粗仿宋" w:hAnsi="彩虹粗仿宋" w:eastAsia="彩虹粗仿宋" w:cs="彩虹粗仿宋"/>
          <w:color w:val="auto"/>
          <w:sz w:val="28"/>
          <w:szCs w:val="28"/>
        </w:rPr>
        <w:fldChar w:fldCharType="begin"/>
      </w:r>
      <w:r>
        <w:rPr>
          <w:rStyle w:val="53"/>
          <w:rFonts w:hint="eastAsia" w:ascii="彩虹粗仿宋" w:hAnsi="彩虹粗仿宋" w:eastAsia="彩虹粗仿宋" w:cs="彩虹粗仿宋"/>
          <w:color w:val="auto"/>
          <w:sz w:val="28"/>
          <w:szCs w:val="28"/>
        </w:rPr>
        <w:instrText xml:space="preserve"> </w:instrText>
      </w:r>
      <w:r>
        <w:rPr>
          <w:rFonts w:hint="eastAsia" w:ascii="彩虹粗仿宋" w:hAnsi="彩虹粗仿宋" w:eastAsia="彩虹粗仿宋" w:cs="彩虹粗仿宋"/>
          <w:sz w:val="28"/>
          <w:szCs w:val="28"/>
        </w:rPr>
        <w:instrText xml:space="preserve">HYPERLINK \l "_Toc14782064"</w:instrText>
      </w:r>
      <w:r>
        <w:rPr>
          <w:rStyle w:val="53"/>
          <w:rFonts w:hint="eastAsia" w:ascii="彩虹粗仿宋" w:hAnsi="彩虹粗仿宋" w:eastAsia="彩虹粗仿宋" w:cs="彩虹粗仿宋"/>
          <w:color w:val="auto"/>
          <w:sz w:val="28"/>
          <w:szCs w:val="28"/>
        </w:rPr>
        <w:instrText xml:space="preserve"> </w:instrText>
      </w:r>
      <w:r>
        <w:rPr>
          <w:rStyle w:val="53"/>
          <w:rFonts w:hint="eastAsia" w:ascii="彩虹粗仿宋" w:hAnsi="彩虹粗仿宋" w:eastAsia="彩虹粗仿宋" w:cs="彩虹粗仿宋"/>
          <w:color w:val="auto"/>
          <w:sz w:val="28"/>
          <w:szCs w:val="28"/>
        </w:rPr>
        <w:fldChar w:fldCharType="separate"/>
      </w:r>
      <w:r>
        <w:rPr>
          <w:rStyle w:val="53"/>
          <w:rFonts w:hint="eastAsia" w:ascii="彩虹粗仿宋" w:hAnsi="彩虹粗仿宋" w:eastAsia="彩虹粗仿宋" w:cs="彩虹粗仿宋"/>
          <w:color w:val="auto"/>
          <w:sz w:val="28"/>
          <w:szCs w:val="28"/>
        </w:rPr>
        <w:t>第一章　定义</w:t>
      </w:r>
      <w:r>
        <w:rPr>
          <w:rFonts w:hint="eastAsia" w:ascii="彩虹粗仿宋" w:hAnsi="彩虹粗仿宋" w:eastAsia="彩虹粗仿宋" w:cs="彩虹粗仿宋"/>
          <w:sz w:val="28"/>
          <w:szCs w:val="28"/>
        </w:rPr>
        <w:tab/>
      </w:r>
      <w:r>
        <w:rPr>
          <w:rFonts w:hint="eastAsia" w:ascii="彩虹粗仿宋" w:hAnsi="彩虹粗仿宋" w:eastAsia="彩虹粗仿宋" w:cs="彩虹粗仿宋"/>
          <w:sz w:val="28"/>
          <w:szCs w:val="28"/>
        </w:rPr>
        <w:fldChar w:fldCharType="begin"/>
      </w:r>
      <w:r>
        <w:rPr>
          <w:rFonts w:hint="eastAsia" w:ascii="彩虹粗仿宋" w:hAnsi="彩虹粗仿宋" w:eastAsia="彩虹粗仿宋" w:cs="彩虹粗仿宋"/>
          <w:sz w:val="28"/>
          <w:szCs w:val="28"/>
        </w:rPr>
        <w:instrText xml:space="preserve"> PAGEREF _Toc14782064 \h </w:instrText>
      </w:r>
      <w:r>
        <w:rPr>
          <w:rFonts w:hint="eastAsia" w:ascii="彩虹粗仿宋" w:hAnsi="彩虹粗仿宋" w:eastAsia="彩虹粗仿宋" w:cs="彩虹粗仿宋"/>
          <w:sz w:val="28"/>
          <w:szCs w:val="28"/>
        </w:rPr>
        <w:fldChar w:fldCharType="separate"/>
      </w:r>
      <w:r>
        <w:rPr>
          <w:rFonts w:ascii="彩虹粗仿宋" w:hAnsi="彩虹粗仿宋" w:eastAsia="彩虹粗仿宋" w:cs="彩虹粗仿宋"/>
          <w:sz w:val="28"/>
          <w:szCs w:val="28"/>
        </w:rPr>
        <w:t>1</w:t>
      </w:r>
      <w:r>
        <w:rPr>
          <w:rFonts w:hint="eastAsia" w:ascii="彩虹粗仿宋" w:hAnsi="彩虹粗仿宋" w:eastAsia="彩虹粗仿宋" w:cs="彩虹粗仿宋"/>
          <w:sz w:val="28"/>
          <w:szCs w:val="28"/>
        </w:rPr>
        <w:fldChar w:fldCharType="end"/>
      </w:r>
      <w:r>
        <w:rPr>
          <w:rStyle w:val="53"/>
          <w:rFonts w:hint="eastAsia" w:ascii="彩虹粗仿宋" w:hAnsi="彩虹粗仿宋" w:eastAsia="彩虹粗仿宋" w:cs="彩虹粗仿宋"/>
          <w:color w:val="auto"/>
          <w:sz w:val="28"/>
          <w:szCs w:val="28"/>
        </w:rPr>
        <w:fldChar w:fldCharType="end"/>
      </w:r>
    </w:p>
    <w:p>
      <w:pPr>
        <w:pStyle w:val="28"/>
        <w:tabs>
          <w:tab w:val="right" w:leader="dot" w:pos="8302"/>
        </w:tabs>
        <w:rPr>
          <w:rFonts w:hint="eastAsia" w:ascii="彩虹粗仿宋" w:hAnsi="彩虹粗仿宋" w:eastAsia="彩虹粗仿宋" w:cs="彩虹粗仿宋"/>
          <w:sz w:val="28"/>
          <w:szCs w:val="28"/>
        </w:rPr>
      </w:pPr>
      <w:r>
        <w:rPr>
          <w:rStyle w:val="53"/>
          <w:rFonts w:hint="eastAsia" w:ascii="彩虹粗仿宋" w:hAnsi="彩虹粗仿宋" w:eastAsia="彩虹粗仿宋" w:cs="彩虹粗仿宋"/>
          <w:color w:val="auto"/>
          <w:sz w:val="28"/>
          <w:szCs w:val="28"/>
        </w:rPr>
        <w:fldChar w:fldCharType="begin"/>
      </w:r>
      <w:r>
        <w:rPr>
          <w:rStyle w:val="53"/>
          <w:rFonts w:hint="eastAsia" w:ascii="彩虹粗仿宋" w:hAnsi="彩虹粗仿宋" w:eastAsia="彩虹粗仿宋" w:cs="彩虹粗仿宋"/>
          <w:color w:val="auto"/>
          <w:sz w:val="28"/>
          <w:szCs w:val="28"/>
        </w:rPr>
        <w:instrText xml:space="preserve"> </w:instrText>
      </w:r>
      <w:r>
        <w:rPr>
          <w:rFonts w:hint="eastAsia" w:ascii="彩虹粗仿宋" w:hAnsi="彩虹粗仿宋" w:eastAsia="彩虹粗仿宋" w:cs="彩虹粗仿宋"/>
          <w:sz w:val="28"/>
          <w:szCs w:val="28"/>
        </w:rPr>
        <w:instrText xml:space="preserve">HYPERLINK \l "_Toc14782065"</w:instrText>
      </w:r>
      <w:r>
        <w:rPr>
          <w:rStyle w:val="53"/>
          <w:rFonts w:hint="eastAsia" w:ascii="彩虹粗仿宋" w:hAnsi="彩虹粗仿宋" w:eastAsia="彩虹粗仿宋" w:cs="彩虹粗仿宋"/>
          <w:color w:val="auto"/>
          <w:sz w:val="28"/>
          <w:szCs w:val="28"/>
        </w:rPr>
        <w:instrText xml:space="preserve"> </w:instrText>
      </w:r>
      <w:r>
        <w:rPr>
          <w:rStyle w:val="53"/>
          <w:rFonts w:hint="eastAsia" w:ascii="彩虹粗仿宋" w:hAnsi="彩虹粗仿宋" w:eastAsia="彩虹粗仿宋" w:cs="彩虹粗仿宋"/>
          <w:color w:val="auto"/>
          <w:sz w:val="28"/>
          <w:szCs w:val="28"/>
        </w:rPr>
        <w:fldChar w:fldCharType="separate"/>
      </w:r>
      <w:r>
        <w:rPr>
          <w:rStyle w:val="53"/>
          <w:rFonts w:hint="eastAsia" w:ascii="彩虹粗仿宋" w:hAnsi="彩虹粗仿宋" w:eastAsia="彩虹粗仿宋" w:cs="彩虹粗仿宋"/>
          <w:color w:val="auto"/>
          <w:sz w:val="28"/>
          <w:szCs w:val="28"/>
        </w:rPr>
        <w:t>第二章  声明与承诺</w:t>
      </w:r>
      <w:r>
        <w:rPr>
          <w:rFonts w:hint="eastAsia" w:ascii="彩虹粗仿宋" w:hAnsi="彩虹粗仿宋" w:eastAsia="彩虹粗仿宋" w:cs="彩虹粗仿宋"/>
          <w:sz w:val="28"/>
          <w:szCs w:val="28"/>
        </w:rPr>
        <w:tab/>
      </w:r>
      <w:r>
        <w:rPr>
          <w:rFonts w:hint="eastAsia" w:ascii="彩虹粗仿宋" w:hAnsi="彩虹粗仿宋" w:eastAsia="彩虹粗仿宋" w:cs="彩虹粗仿宋"/>
          <w:sz w:val="28"/>
          <w:szCs w:val="28"/>
        </w:rPr>
        <w:fldChar w:fldCharType="begin"/>
      </w:r>
      <w:r>
        <w:rPr>
          <w:rFonts w:hint="eastAsia" w:ascii="彩虹粗仿宋" w:hAnsi="彩虹粗仿宋" w:eastAsia="彩虹粗仿宋" w:cs="彩虹粗仿宋"/>
          <w:sz w:val="28"/>
          <w:szCs w:val="28"/>
        </w:rPr>
        <w:instrText xml:space="preserve"> PAGEREF _Toc14782065 \h </w:instrText>
      </w:r>
      <w:r>
        <w:rPr>
          <w:rFonts w:hint="eastAsia" w:ascii="彩虹粗仿宋" w:hAnsi="彩虹粗仿宋" w:eastAsia="彩虹粗仿宋" w:cs="彩虹粗仿宋"/>
          <w:sz w:val="28"/>
          <w:szCs w:val="28"/>
        </w:rPr>
        <w:fldChar w:fldCharType="separate"/>
      </w:r>
      <w:r>
        <w:rPr>
          <w:rFonts w:ascii="彩虹粗仿宋" w:hAnsi="彩虹粗仿宋" w:eastAsia="彩虹粗仿宋" w:cs="彩虹粗仿宋"/>
          <w:sz w:val="28"/>
          <w:szCs w:val="28"/>
        </w:rPr>
        <w:t>6</w:t>
      </w:r>
      <w:r>
        <w:rPr>
          <w:rFonts w:hint="eastAsia" w:ascii="彩虹粗仿宋" w:hAnsi="彩虹粗仿宋" w:eastAsia="彩虹粗仿宋" w:cs="彩虹粗仿宋"/>
          <w:sz w:val="28"/>
          <w:szCs w:val="28"/>
        </w:rPr>
        <w:fldChar w:fldCharType="end"/>
      </w:r>
      <w:r>
        <w:rPr>
          <w:rStyle w:val="53"/>
          <w:rFonts w:hint="eastAsia" w:ascii="彩虹粗仿宋" w:hAnsi="彩虹粗仿宋" w:eastAsia="彩虹粗仿宋" w:cs="彩虹粗仿宋"/>
          <w:color w:val="auto"/>
          <w:sz w:val="28"/>
          <w:szCs w:val="28"/>
        </w:rPr>
        <w:fldChar w:fldCharType="end"/>
      </w:r>
    </w:p>
    <w:p>
      <w:pPr>
        <w:pStyle w:val="28"/>
        <w:tabs>
          <w:tab w:val="right" w:leader="dot" w:pos="8302"/>
        </w:tabs>
        <w:rPr>
          <w:rFonts w:hint="eastAsia" w:ascii="彩虹粗仿宋" w:hAnsi="彩虹粗仿宋" w:eastAsia="彩虹粗仿宋" w:cs="彩虹粗仿宋"/>
          <w:sz w:val="28"/>
          <w:szCs w:val="28"/>
        </w:rPr>
      </w:pPr>
      <w:r>
        <w:rPr>
          <w:rStyle w:val="53"/>
          <w:rFonts w:hint="eastAsia" w:ascii="彩虹粗仿宋" w:hAnsi="彩虹粗仿宋" w:eastAsia="彩虹粗仿宋" w:cs="彩虹粗仿宋"/>
          <w:color w:val="auto"/>
          <w:sz w:val="28"/>
          <w:szCs w:val="28"/>
        </w:rPr>
        <w:fldChar w:fldCharType="begin"/>
      </w:r>
      <w:r>
        <w:rPr>
          <w:rStyle w:val="53"/>
          <w:rFonts w:hint="eastAsia" w:ascii="彩虹粗仿宋" w:hAnsi="彩虹粗仿宋" w:eastAsia="彩虹粗仿宋" w:cs="彩虹粗仿宋"/>
          <w:color w:val="auto"/>
          <w:sz w:val="28"/>
          <w:szCs w:val="28"/>
        </w:rPr>
        <w:instrText xml:space="preserve"> </w:instrText>
      </w:r>
      <w:r>
        <w:rPr>
          <w:rFonts w:hint="eastAsia" w:ascii="彩虹粗仿宋" w:hAnsi="彩虹粗仿宋" w:eastAsia="彩虹粗仿宋" w:cs="彩虹粗仿宋"/>
          <w:sz w:val="28"/>
          <w:szCs w:val="28"/>
        </w:rPr>
        <w:instrText xml:space="preserve">HYPERLINK \l "_Toc14782066"</w:instrText>
      </w:r>
      <w:r>
        <w:rPr>
          <w:rStyle w:val="53"/>
          <w:rFonts w:hint="eastAsia" w:ascii="彩虹粗仿宋" w:hAnsi="彩虹粗仿宋" w:eastAsia="彩虹粗仿宋" w:cs="彩虹粗仿宋"/>
          <w:color w:val="auto"/>
          <w:sz w:val="28"/>
          <w:szCs w:val="28"/>
        </w:rPr>
        <w:instrText xml:space="preserve"> </w:instrText>
      </w:r>
      <w:r>
        <w:rPr>
          <w:rStyle w:val="53"/>
          <w:rFonts w:hint="eastAsia" w:ascii="彩虹粗仿宋" w:hAnsi="彩虹粗仿宋" w:eastAsia="彩虹粗仿宋" w:cs="彩虹粗仿宋"/>
          <w:color w:val="auto"/>
          <w:sz w:val="28"/>
          <w:szCs w:val="28"/>
        </w:rPr>
        <w:fldChar w:fldCharType="separate"/>
      </w:r>
      <w:r>
        <w:rPr>
          <w:rStyle w:val="53"/>
          <w:rFonts w:hint="eastAsia" w:ascii="彩虹粗仿宋" w:hAnsi="彩虹粗仿宋" w:eastAsia="彩虹粗仿宋" w:cs="彩虹粗仿宋"/>
          <w:color w:val="auto"/>
          <w:sz w:val="28"/>
          <w:szCs w:val="28"/>
        </w:rPr>
        <w:t>第三章  受托的设立</w:t>
      </w:r>
      <w:r>
        <w:rPr>
          <w:rFonts w:hint="eastAsia" w:ascii="彩虹粗仿宋" w:hAnsi="彩虹粗仿宋" w:eastAsia="彩虹粗仿宋" w:cs="彩虹粗仿宋"/>
          <w:sz w:val="28"/>
          <w:szCs w:val="28"/>
        </w:rPr>
        <w:tab/>
      </w:r>
      <w:r>
        <w:rPr>
          <w:rFonts w:hint="eastAsia" w:ascii="彩虹粗仿宋" w:hAnsi="彩虹粗仿宋" w:eastAsia="彩虹粗仿宋" w:cs="彩虹粗仿宋"/>
          <w:sz w:val="28"/>
          <w:szCs w:val="28"/>
        </w:rPr>
        <w:fldChar w:fldCharType="begin"/>
      </w:r>
      <w:r>
        <w:rPr>
          <w:rFonts w:hint="eastAsia" w:ascii="彩虹粗仿宋" w:hAnsi="彩虹粗仿宋" w:eastAsia="彩虹粗仿宋" w:cs="彩虹粗仿宋"/>
          <w:sz w:val="28"/>
          <w:szCs w:val="28"/>
        </w:rPr>
        <w:instrText xml:space="preserve"> PAGEREF _Toc14782066 \h </w:instrText>
      </w:r>
      <w:r>
        <w:rPr>
          <w:rFonts w:hint="eastAsia" w:ascii="彩虹粗仿宋" w:hAnsi="彩虹粗仿宋" w:eastAsia="彩虹粗仿宋" w:cs="彩虹粗仿宋"/>
          <w:sz w:val="28"/>
          <w:szCs w:val="28"/>
        </w:rPr>
        <w:fldChar w:fldCharType="separate"/>
      </w:r>
      <w:r>
        <w:rPr>
          <w:rFonts w:ascii="彩虹粗仿宋" w:hAnsi="彩虹粗仿宋" w:eastAsia="彩虹粗仿宋" w:cs="彩虹粗仿宋"/>
          <w:sz w:val="28"/>
          <w:szCs w:val="28"/>
        </w:rPr>
        <w:t>8</w:t>
      </w:r>
      <w:r>
        <w:rPr>
          <w:rFonts w:hint="eastAsia" w:ascii="彩虹粗仿宋" w:hAnsi="彩虹粗仿宋" w:eastAsia="彩虹粗仿宋" w:cs="彩虹粗仿宋"/>
          <w:sz w:val="28"/>
          <w:szCs w:val="28"/>
        </w:rPr>
        <w:fldChar w:fldCharType="end"/>
      </w:r>
      <w:r>
        <w:rPr>
          <w:rStyle w:val="53"/>
          <w:rFonts w:hint="eastAsia" w:ascii="彩虹粗仿宋" w:hAnsi="彩虹粗仿宋" w:eastAsia="彩虹粗仿宋" w:cs="彩虹粗仿宋"/>
          <w:color w:val="auto"/>
          <w:sz w:val="28"/>
          <w:szCs w:val="28"/>
        </w:rPr>
        <w:fldChar w:fldCharType="end"/>
      </w:r>
    </w:p>
    <w:p>
      <w:pPr>
        <w:pStyle w:val="28"/>
        <w:tabs>
          <w:tab w:val="right" w:leader="dot" w:pos="8302"/>
        </w:tabs>
        <w:rPr>
          <w:rFonts w:hint="eastAsia" w:ascii="彩虹粗仿宋" w:hAnsi="彩虹粗仿宋" w:eastAsia="彩虹粗仿宋" w:cs="彩虹粗仿宋"/>
          <w:sz w:val="28"/>
          <w:szCs w:val="28"/>
        </w:rPr>
      </w:pPr>
      <w:r>
        <w:rPr>
          <w:rStyle w:val="53"/>
          <w:rFonts w:hint="eastAsia" w:ascii="彩虹粗仿宋" w:hAnsi="彩虹粗仿宋" w:eastAsia="彩虹粗仿宋" w:cs="彩虹粗仿宋"/>
          <w:color w:val="auto"/>
          <w:sz w:val="28"/>
          <w:szCs w:val="28"/>
        </w:rPr>
        <w:fldChar w:fldCharType="begin"/>
      </w:r>
      <w:r>
        <w:rPr>
          <w:rStyle w:val="53"/>
          <w:rFonts w:hint="eastAsia" w:ascii="彩虹粗仿宋" w:hAnsi="彩虹粗仿宋" w:eastAsia="彩虹粗仿宋" w:cs="彩虹粗仿宋"/>
          <w:color w:val="auto"/>
          <w:sz w:val="28"/>
          <w:szCs w:val="28"/>
        </w:rPr>
        <w:instrText xml:space="preserve"> </w:instrText>
      </w:r>
      <w:r>
        <w:rPr>
          <w:rFonts w:hint="eastAsia" w:ascii="彩虹粗仿宋" w:hAnsi="彩虹粗仿宋" w:eastAsia="彩虹粗仿宋" w:cs="彩虹粗仿宋"/>
          <w:sz w:val="28"/>
          <w:szCs w:val="28"/>
        </w:rPr>
        <w:instrText xml:space="preserve">HYPERLINK \l "_Toc14782067"</w:instrText>
      </w:r>
      <w:r>
        <w:rPr>
          <w:rStyle w:val="53"/>
          <w:rFonts w:hint="eastAsia" w:ascii="彩虹粗仿宋" w:hAnsi="彩虹粗仿宋" w:eastAsia="彩虹粗仿宋" w:cs="彩虹粗仿宋"/>
          <w:color w:val="auto"/>
          <w:sz w:val="28"/>
          <w:szCs w:val="28"/>
        </w:rPr>
        <w:instrText xml:space="preserve"> </w:instrText>
      </w:r>
      <w:r>
        <w:rPr>
          <w:rStyle w:val="53"/>
          <w:rFonts w:hint="eastAsia" w:ascii="彩虹粗仿宋" w:hAnsi="彩虹粗仿宋" w:eastAsia="彩虹粗仿宋" w:cs="彩虹粗仿宋"/>
          <w:color w:val="auto"/>
          <w:sz w:val="28"/>
          <w:szCs w:val="28"/>
        </w:rPr>
        <w:fldChar w:fldCharType="separate"/>
      </w:r>
      <w:r>
        <w:rPr>
          <w:rStyle w:val="53"/>
          <w:rFonts w:hint="eastAsia" w:ascii="彩虹粗仿宋" w:hAnsi="彩虹粗仿宋" w:eastAsia="彩虹粗仿宋" w:cs="彩虹粗仿宋"/>
          <w:color w:val="auto"/>
          <w:sz w:val="28"/>
          <w:szCs w:val="28"/>
        </w:rPr>
        <w:t>第四章  受托当事人的权利与义务</w:t>
      </w:r>
      <w:r>
        <w:rPr>
          <w:rFonts w:hint="eastAsia" w:ascii="彩虹粗仿宋" w:hAnsi="彩虹粗仿宋" w:eastAsia="彩虹粗仿宋" w:cs="彩虹粗仿宋"/>
          <w:sz w:val="28"/>
          <w:szCs w:val="28"/>
        </w:rPr>
        <w:tab/>
      </w:r>
      <w:r>
        <w:rPr>
          <w:rFonts w:hint="eastAsia" w:ascii="彩虹粗仿宋" w:hAnsi="彩虹粗仿宋" w:eastAsia="彩虹粗仿宋" w:cs="彩虹粗仿宋"/>
          <w:sz w:val="28"/>
          <w:szCs w:val="28"/>
        </w:rPr>
        <w:fldChar w:fldCharType="begin"/>
      </w:r>
      <w:r>
        <w:rPr>
          <w:rFonts w:hint="eastAsia" w:ascii="彩虹粗仿宋" w:hAnsi="彩虹粗仿宋" w:eastAsia="彩虹粗仿宋" w:cs="彩虹粗仿宋"/>
          <w:sz w:val="28"/>
          <w:szCs w:val="28"/>
        </w:rPr>
        <w:instrText xml:space="preserve"> PAGEREF _Toc14782067 \h </w:instrText>
      </w:r>
      <w:r>
        <w:rPr>
          <w:rFonts w:hint="eastAsia" w:ascii="彩虹粗仿宋" w:hAnsi="彩虹粗仿宋" w:eastAsia="彩虹粗仿宋" w:cs="彩虹粗仿宋"/>
          <w:sz w:val="28"/>
          <w:szCs w:val="28"/>
        </w:rPr>
        <w:fldChar w:fldCharType="separate"/>
      </w:r>
      <w:r>
        <w:rPr>
          <w:rFonts w:ascii="彩虹粗仿宋" w:hAnsi="彩虹粗仿宋" w:eastAsia="彩虹粗仿宋" w:cs="彩虹粗仿宋"/>
          <w:sz w:val="28"/>
          <w:szCs w:val="28"/>
        </w:rPr>
        <w:t>9</w:t>
      </w:r>
      <w:r>
        <w:rPr>
          <w:rFonts w:hint="eastAsia" w:ascii="彩虹粗仿宋" w:hAnsi="彩虹粗仿宋" w:eastAsia="彩虹粗仿宋" w:cs="彩虹粗仿宋"/>
          <w:sz w:val="28"/>
          <w:szCs w:val="28"/>
        </w:rPr>
        <w:fldChar w:fldCharType="end"/>
      </w:r>
      <w:r>
        <w:rPr>
          <w:rStyle w:val="53"/>
          <w:rFonts w:hint="eastAsia" w:ascii="彩虹粗仿宋" w:hAnsi="彩虹粗仿宋" w:eastAsia="彩虹粗仿宋" w:cs="彩虹粗仿宋"/>
          <w:color w:val="auto"/>
          <w:sz w:val="28"/>
          <w:szCs w:val="28"/>
        </w:rPr>
        <w:fldChar w:fldCharType="end"/>
      </w:r>
    </w:p>
    <w:p>
      <w:pPr>
        <w:pStyle w:val="28"/>
        <w:tabs>
          <w:tab w:val="right" w:leader="dot" w:pos="8302"/>
        </w:tabs>
        <w:rPr>
          <w:rFonts w:hint="eastAsia" w:ascii="彩虹粗仿宋" w:hAnsi="彩虹粗仿宋" w:eastAsia="彩虹粗仿宋" w:cs="彩虹粗仿宋"/>
          <w:sz w:val="28"/>
          <w:szCs w:val="28"/>
        </w:rPr>
      </w:pPr>
      <w:r>
        <w:rPr>
          <w:rStyle w:val="53"/>
          <w:rFonts w:hint="eastAsia" w:ascii="彩虹粗仿宋" w:hAnsi="彩虹粗仿宋" w:eastAsia="彩虹粗仿宋" w:cs="彩虹粗仿宋"/>
          <w:color w:val="auto"/>
          <w:sz w:val="28"/>
          <w:szCs w:val="28"/>
        </w:rPr>
        <w:fldChar w:fldCharType="begin"/>
      </w:r>
      <w:r>
        <w:rPr>
          <w:rStyle w:val="53"/>
          <w:rFonts w:hint="eastAsia" w:ascii="彩虹粗仿宋" w:hAnsi="彩虹粗仿宋" w:eastAsia="彩虹粗仿宋" w:cs="彩虹粗仿宋"/>
          <w:color w:val="auto"/>
          <w:sz w:val="28"/>
          <w:szCs w:val="28"/>
        </w:rPr>
        <w:instrText xml:space="preserve"> </w:instrText>
      </w:r>
      <w:r>
        <w:rPr>
          <w:rFonts w:hint="eastAsia" w:ascii="彩虹粗仿宋" w:hAnsi="彩虹粗仿宋" w:eastAsia="彩虹粗仿宋" w:cs="彩虹粗仿宋"/>
          <w:sz w:val="28"/>
          <w:szCs w:val="28"/>
        </w:rPr>
        <w:instrText xml:space="preserve">HYPERLINK \l "_Toc14782068"</w:instrText>
      </w:r>
      <w:r>
        <w:rPr>
          <w:rStyle w:val="53"/>
          <w:rFonts w:hint="eastAsia" w:ascii="彩虹粗仿宋" w:hAnsi="彩虹粗仿宋" w:eastAsia="彩虹粗仿宋" w:cs="彩虹粗仿宋"/>
          <w:color w:val="auto"/>
          <w:sz w:val="28"/>
          <w:szCs w:val="28"/>
        </w:rPr>
        <w:instrText xml:space="preserve"> </w:instrText>
      </w:r>
      <w:r>
        <w:rPr>
          <w:rStyle w:val="53"/>
          <w:rFonts w:hint="eastAsia" w:ascii="彩虹粗仿宋" w:hAnsi="彩虹粗仿宋" w:eastAsia="彩虹粗仿宋" w:cs="彩虹粗仿宋"/>
          <w:color w:val="auto"/>
          <w:sz w:val="28"/>
          <w:szCs w:val="28"/>
        </w:rPr>
        <w:fldChar w:fldCharType="separate"/>
      </w:r>
      <w:r>
        <w:rPr>
          <w:rStyle w:val="53"/>
          <w:rFonts w:hint="eastAsia" w:ascii="彩虹粗仿宋" w:hAnsi="彩虹粗仿宋" w:eastAsia="彩虹粗仿宋" w:cs="彩虹粗仿宋"/>
          <w:color w:val="auto"/>
          <w:sz w:val="28"/>
          <w:szCs w:val="28"/>
        </w:rPr>
        <w:t>第五章　企业年金基金的管理</w:t>
      </w:r>
      <w:r>
        <w:rPr>
          <w:rFonts w:hint="eastAsia" w:ascii="彩虹粗仿宋" w:hAnsi="彩虹粗仿宋" w:eastAsia="彩虹粗仿宋" w:cs="彩虹粗仿宋"/>
          <w:sz w:val="28"/>
          <w:szCs w:val="28"/>
        </w:rPr>
        <w:tab/>
      </w:r>
      <w:r>
        <w:rPr>
          <w:rFonts w:hint="eastAsia" w:ascii="彩虹粗仿宋" w:hAnsi="彩虹粗仿宋" w:eastAsia="彩虹粗仿宋" w:cs="彩虹粗仿宋"/>
          <w:sz w:val="28"/>
          <w:szCs w:val="28"/>
        </w:rPr>
        <w:fldChar w:fldCharType="begin"/>
      </w:r>
      <w:r>
        <w:rPr>
          <w:rFonts w:hint="eastAsia" w:ascii="彩虹粗仿宋" w:hAnsi="彩虹粗仿宋" w:eastAsia="彩虹粗仿宋" w:cs="彩虹粗仿宋"/>
          <w:sz w:val="28"/>
          <w:szCs w:val="28"/>
        </w:rPr>
        <w:instrText xml:space="preserve"> PAGEREF _Toc14782068 \h </w:instrText>
      </w:r>
      <w:r>
        <w:rPr>
          <w:rFonts w:hint="eastAsia" w:ascii="彩虹粗仿宋" w:hAnsi="彩虹粗仿宋" w:eastAsia="彩虹粗仿宋" w:cs="彩虹粗仿宋"/>
          <w:sz w:val="28"/>
          <w:szCs w:val="28"/>
        </w:rPr>
        <w:fldChar w:fldCharType="separate"/>
      </w:r>
      <w:r>
        <w:rPr>
          <w:rFonts w:ascii="彩虹粗仿宋" w:hAnsi="彩虹粗仿宋" w:eastAsia="彩虹粗仿宋" w:cs="彩虹粗仿宋"/>
          <w:sz w:val="28"/>
          <w:szCs w:val="28"/>
        </w:rPr>
        <w:t>14</w:t>
      </w:r>
      <w:r>
        <w:rPr>
          <w:rFonts w:hint="eastAsia" w:ascii="彩虹粗仿宋" w:hAnsi="彩虹粗仿宋" w:eastAsia="彩虹粗仿宋" w:cs="彩虹粗仿宋"/>
          <w:sz w:val="28"/>
          <w:szCs w:val="28"/>
        </w:rPr>
        <w:fldChar w:fldCharType="end"/>
      </w:r>
      <w:r>
        <w:rPr>
          <w:rStyle w:val="53"/>
          <w:rFonts w:hint="eastAsia" w:ascii="彩虹粗仿宋" w:hAnsi="彩虹粗仿宋" w:eastAsia="彩虹粗仿宋" w:cs="彩虹粗仿宋"/>
          <w:color w:val="auto"/>
          <w:sz w:val="28"/>
          <w:szCs w:val="28"/>
        </w:rPr>
        <w:fldChar w:fldCharType="end"/>
      </w:r>
    </w:p>
    <w:p>
      <w:pPr>
        <w:pStyle w:val="28"/>
        <w:tabs>
          <w:tab w:val="right" w:leader="dot" w:pos="8302"/>
        </w:tabs>
        <w:rPr>
          <w:rFonts w:hint="eastAsia" w:ascii="彩虹粗仿宋" w:hAnsi="彩虹粗仿宋" w:eastAsia="彩虹粗仿宋" w:cs="彩虹粗仿宋"/>
          <w:sz w:val="28"/>
          <w:szCs w:val="28"/>
        </w:rPr>
      </w:pPr>
      <w:r>
        <w:rPr>
          <w:rStyle w:val="53"/>
          <w:rFonts w:hint="eastAsia" w:ascii="彩虹粗仿宋" w:hAnsi="彩虹粗仿宋" w:eastAsia="彩虹粗仿宋" w:cs="彩虹粗仿宋"/>
          <w:color w:val="auto"/>
          <w:sz w:val="28"/>
          <w:szCs w:val="28"/>
        </w:rPr>
        <w:fldChar w:fldCharType="begin"/>
      </w:r>
      <w:r>
        <w:rPr>
          <w:rStyle w:val="53"/>
          <w:rFonts w:hint="eastAsia" w:ascii="彩虹粗仿宋" w:hAnsi="彩虹粗仿宋" w:eastAsia="彩虹粗仿宋" w:cs="彩虹粗仿宋"/>
          <w:color w:val="auto"/>
          <w:sz w:val="28"/>
          <w:szCs w:val="28"/>
        </w:rPr>
        <w:instrText xml:space="preserve"> </w:instrText>
      </w:r>
      <w:r>
        <w:rPr>
          <w:rFonts w:hint="eastAsia" w:ascii="彩虹粗仿宋" w:hAnsi="彩虹粗仿宋" w:eastAsia="彩虹粗仿宋" w:cs="彩虹粗仿宋"/>
          <w:sz w:val="28"/>
          <w:szCs w:val="28"/>
        </w:rPr>
        <w:instrText xml:space="preserve">HYPERLINK \l "_Toc14782069"</w:instrText>
      </w:r>
      <w:r>
        <w:rPr>
          <w:rStyle w:val="53"/>
          <w:rFonts w:hint="eastAsia" w:ascii="彩虹粗仿宋" w:hAnsi="彩虹粗仿宋" w:eastAsia="彩虹粗仿宋" w:cs="彩虹粗仿宋"/>
          <w:color w:val="auto"/>
          <w:sz w:val="28"/>
          <w:szCs w:val="28"/>
        </w:rPr>
        <w:instrText xml:space="preserve"> </w:instrText>
      </w:r>
      <w:r>
        <w:rPr>
          <w:rStyle w:val="53"/>
          <w:rFonts w:hint="eastAsia" w:ascii="彩虹粗仿宋" w:hAnsi="彩虹粗仿宋" w:eastAsia="彩虹粗仿宋" w:cs="彩虹粗仿宋"/>
          <w:color w:val="auto"/>
          <w:sz w:val="28"/>
          <w:szCs w:val="28"/>
        </w:rPr>
        <w:fldChar w:fldCharType="separate"/>
      </w:r>
      <w:r>
        <w:rPr>
          <w:rStyle w:val="53"/>
          <w:rFonts w:hint="eastAsia" w:ascii="彩虹粗仿宋" w:hAnsi="彩虹粗仿宋" w:eastAsia="彩虹粗仿宋" w:cs="彩虹粗仿宋"/>
          <w:color w:val="auto"/>
          <w:sz w:val="28"/>
          <w:szCs w:val="28"/>
        </w:rPr>
        <w:t>第六章  企业年金的缴费、领取、转移与保留</w:t>
      </w:r>
      <w:r>
        <w:rPr>
          <w:rFonts w:hint="eastAsia" w:ascii="彩虹粗仿宋" w:hAnsi="彩虹粗仿宋" w:eastAsia="彩虹粗仿宋" w:cs="彩虹粗仿宋"/>
          <w:sz w:val="28"/>
          <w:szCs w:val="28"/>
        </w:rPr>
        <w:tab/>
      </w:r>
      <w:r>
        <w:rPr>
          <w:rFonts w:hint="eastAsia" w:ascii="彩虹粗仿宋" w:hAnsi="彩虹粗仿宋" w:eastAsia="彩虹粗仿宋" w:cs="彩虹粗仿宋"/>
          <w:sz w:val="28"/>
          <w:szCs w:val="28"/>
        </w:rPr>
        <w:fldChar w:fldCharType="begin"/>
      </w:r>
      <w:r>
        <w:rPr>
          <w:rFonts w:hint="eastAsia" w:ascii="彩虹粗仿宋" w:hAnsi="彩虹粗仿宋" w:eastAsia="彩虹粗仿宋" w:cs="彩虹粗仿宋"/>
          <w:sz w:val="28"/>
          <w:szCs w:val="28"/>
        </w:rPr>
        <w:instrText xml:space="preserve"> PAGEREF _Toc14782069 \h </w:instrText>
      </w:r>
      <w:r>
        <w:rPr>
          <w:rFonts w:hint="eastAsia" w:ascii="彩虹粗仿宋" w:hAnsi="彩虹粗仿宋" w:eastAsia="彩虹粗仿宋" w:cs="彩虹粗仿宋"/>
          <w:sz w:val="28"/>
          <w:szCs w:val="28"/>
        </w:rPr>
        <w:fldChar w:fldCharType="separate"/>
      </w:r>
      <w:r>
        <w:rPr>
          <w:rFonts w:ascii="彩虹粗仿宋" w:hAnsi="彩虹粗仿宋" w:eastAsia="彩虹粗仿宋" w:cs="彩虹粗仿宋"/>
          <w:sz w:val="28"/>
          <w:szCs w:val="28"/>
        </w:rPr>
        <w:t>17</w:t>
      </w:r>
      <w:r>
        <w:rPr>
          <w:rFonts w:hint="eastAsia" w:ascii="彩虹粗仿宋" w:hAnsi="彩虹粗仿宋" w:eastAsia="彩虹粗仿宋" w:cs="彩虹粗仿宋"/>
          <w:sz w:val="28"/>
          <w:szCs w:val="28"/>
        </w:rPr>
        <w:fldChar w:fldCharType="end"/>
      </w:r>
      <w:r>
        <w:rPr>
          <w:rStyle w:val="53"/>
          <w:rFonts w:hint="eastAsia" w:ascii="彩虹粗仿宋" w:hAnsi="彩虹粗仿宋" w:eastAsia="彩虹粗仿宋" w:cs="彩虹粗仿宋"/>
          <w:color w:val="auto"/>
          <w:sz w:val="28"/>
          <w:szCs w:val="28"/>
        </w:rPr>
        <w:fldChar w:fldCharType="end"/>
      </w:r>
    </w:p>
    <w:p>
      <w:pPr>
        <w:pStyle w:val="28"/>
        <w:tabs>
          <w:tab w:val="right" w:leader="dot" w:pos="8302"/>
        </w:tabs>
        <w:rPr>
          <w:rFonts w:hint="eastAsia" w:ascii="彩虹粗仿宋" w:hAnsi="彩虹粗仿宋" w:eastAsia="彩虹粗仿宋" w:cs="彩虹粗仿宋"/>
          <w:sz w:val="28"/>
          <w:szCs w:val="28"/>
        </w:rPr>
      </w:pPr>
      <w:r>
        <w:rPr>
          <w:rStyle w:val="53"/>
          <w:rFonts w:hint="eastAsia" w:ascii="彩虹粗仿宋" w:hAnsi="彩虹粗仿宋" w:eastAsia="彩虹粗仿宋" w:cs="彩虹粗仿宋"/>
          <w:color w:val="auto"/>
          <w:sz w:val="28"/>
          <w:szCs w:val="28"/>
        </w:rPr>
        <w:fldChar w:fldCharType="begin"/>
      </w:r>
      <w:r>
        <w:rPr>
          <w:rStyle w:val="53"/>
          <w:rFonts w:hint="eastAsia" w:ascii="彩虹粗仿宋" w:hAnsi="彩虹粗仿宋" w:eastAsia="彩虹粗仿宋" w:cs="彩虹粗仿宋"/>
          <w:color w:val="auto"/>
          <w:sz w:val="28"/>
          <w:szCs w:val="28"/>
        </w:rPr>
        <w:instrText xml:space="preserve"> </w:instrText>
      </w:r>
      <w:r>
        <w:rPr>
          <w:rFonts w:hint="eastAsia" w:ascii="彩虹粗仿宋" w:hAnsi="彩虹粗仿宋" w:eastAsia="彩虹粗仿宋" w:cs="彩虹粗仿宋"/>
          <w:sz w:val="28"/>
          <w:szCs w:val="28"/>
        </w:rPr>
        <w:instrText xml:space="preserve">HYPERLINK \l "_Toc14782070"</w:instrText>
      </w:r>
      <w:r>
        <w:rPr>
          <w:rStyle w:val="53"/>
          <w:rFonts w:hint="eastAsia" w:ascii="彩虹粗仿宋" w:hAnsi="彩虹粗仿宋" w:eastAsia="彩虹粗仿宋" w:cs="彩虹粗仿宋"/>
          <w:color w:val="auto"/>
          <w:sz w:val="28"/>
          <w:szCs w:val="28"/>
        </w:rPr>
        <w:instrText xml:space="preserve"> </w:instrText>
      </w:r>
      <w:r>
        <w:rPr>
          <w:rStyle w:val="53"/>
          <w:rFonts w:hint="eastAsia" w:ascii="彩虹粗仿宋" w:hAnsi="彩虹粗仿宋" w:eastAsia="彩虹粗仿宋" w:cs="彩虹粗仿宋"/>
          <w:color w:val="auto"/>
          <w:sz w:val="28"/>
          <w:szCs w:val="28"/>
        </w:rPr>
        <w:fldChar w:fldCharType="separate"/>
      </w:r>
      <w:r>
        <w:rPr>
          <w:rStyle w:val="53"/>
          <w:rFonts w:hint="eastAsia" w:ascii="彩虹粗仿宋" w:hAnsi="彩虹粗仿宋" w:eastAsia="彩虹粗仿宋" w:cs="彩虹粗仿宋"/>
          <w:color w:val="auto"/>
          <w:sz w:val="28"/>
          <w:szCs w:val="28"/>
        </w:rPr>
        <w:t>第七章  投资政策</w:t>
      </w:r>
      <w:r>
        <w:rPr>
          <w:rFonts w:hint="eastAsia" w:ascii="彩虹粗仿宋" w:hAnsi="彩虹粗仿宋" w:eastAsia="彩虹粗仿宋" w:cs="彩虹粗仿宋"/>
          <w:sz w:val="28"/>
          <w:szCs w:val="28"/>
        </w:rPr>
        <w:tab/>
      </w:r>
      <w:r>
        <w:rPr>
          <w:rFonts w:hint="eastAsia" w:ascii="彩虹粗仿宋" w:hAnsi="彩虹粗仿宋" w:eastAsia="彩虹粗仿宋" w:cs="彩虹粗仿宋"/>
          <w:sz w:val="28"/>
          <w:szCs w:val="28"/>
        </w:rPr>
        <w:fldChar w:fldCharType="begin"/>
      </w:r>
      <w:r>
        <w:rPr>
          <w:rFonts w:hint="eastAsia" w:ascii="彩虹粗仿宋" w:hAnsi="彩虹粗仿宋" w:eastAsia="彩虹粗仿宋" w:cs="彩虹粗仿宋"/>
          <w:sz w:val="28"/>
          <w:szCs w:val="28"/>
        </w:rPr>
        <w:instrText xml:space="preserve"> PAGEREF _Toc14782070 \h </w:instrText>
      </w:r>
      <w:r>
        <w:rPr>
          <w:rFonts w:hint="eastAsia" w:ascii="彩虹粗仿宋" w:hAnsi="彩虹粗仿宋" w:eastAsia="彩虹粗仿宋" w:cs="彩虹粗仿宋"/>
          <w:sz w:val="28"/>
          <w:szCs w:val="28"/>
        </w:rPr>
        <w:fldChar w:fldCharType="separate"/>
      </w:r>
      <w:r>
        <w:rPr>
          <w:rFonts w:ascii="彩虹粗仿宋" w:hAnsi="彩虹粗仿宋" w:eastAsia="彩虹粗仿宋" w:cs="彩虹粗仿宋"/>
          <w:sz w:val="28"/>
          <w:szCs w:val="28"/>
        </w:rPr>
        <w:t>19</w:t>
      </w:r>
      <w:r>
        <w:rPr>
          <w:rFonts w:hint="eastAsia" w:ascii="彩虹粗仿宋" w:hAnsi="彩虹粗仿宋" w:eastAsia="彩虹粗仿宋" w:cs="彩虹粗仿宋"/>
          <w:sz w:val="28"/>
          <w:szCs w:val="28"/>
        </w:rPr>
        <w:fldChar w:fldCharType="end"/>
      </w:r>
      <w:r>
        <w:rPr>
          <w:rStyle w:val="53"/>
          <w:rFonts w:hint="eastAsia" w:ascii="彩虹粗仿宋" w:hAnsi="彩虹粗仿宋" w:eastAsia="彩虹粗仿宋" w:cs="彩虹粗仿宋"/>
          <w:color w:val="auto"/>
          <w:sz w:val="28"/>
          <w:szCs w:val="28"/>
        </w:rPr>
        <w:fldChar w:fldCharType="end"/>
      </w:r>
    </w:p>
    <w:p>
      <w:pPr>
        <w:pStyle w:val="28"/>
        <w:tabs>
          <w:tab w:val="right" w:leader="dot" w:pos="8302"/>
        </w:tabs>
        <w:rPr>
          <w:rFonts w:hint="eastAsia" w:ascii="彩虹粗仿宋" w:hAnsi="彩虹粗仿宋" w:eastAsia="彩虹粗仿宋" w:cs="彩虹粗仿宋"/>
          <w:sz w:val="28"/>
          <w:szCs w:val="28"/>
        </w:rPr>
      </w:pPr>
      <w:r>
        <w:rPr>
          <w:rStyle w:val="53"/>
          <w:rFonts w:hint="eastAsia" w:ascii="彩虹粗仿宋" w:hAnsi="彩虹粗仿宋" w:eastAsia="彩虹粗仿宋" w:cs="彩虹粗仿宋"/>
          <w:color w:val="auto"/>
          <w:sz w:val="28"/>
          <w:szCs w:val="28"/>
        </w:rPr>
        <w:fldChar w:fldCharType="begin"/>
      </w:r>
      <w:r>
        <w:rPr>
          <w:rStyle w:val="53"/>
          <w:rFonts w:hint="eastAsia" w:ascii="彩虹粗仿宋" w:hAnsi="彩虹粗仿宋" w:eastAsia="彩虹粗仿宋" w:cs="彩虹粗仿宋"/>
          <w:color w:val="auto"/>
          <w:sz w:val="28"/>
          <w:szCs w:val="28"/>
        </w:rPr>
        <w:instrText xml:space="preserve"> </w:instrText>
      </w:r>
      <w:r>
        <w:rPr>
          <w:rFonts w:hint="eastAsia" w:ascii="彩虹粗仿宋" w:hAnsi="彩虹粗仿宋" w:eastAsia="彩虹粗仿宋" w:cs="彩虹粗仿宋"/>
          <w:sz w:val="28"/>
          <w:szCs w:val="28"/>
        </w:rPr>
        <w:instrText xml:space="preserve">HYPERLINK \l "_Toc14782071"</w:instrText>
      </w:r>
      <w:r>
        <w:rPr>
          <w:rStyle w:val="53"/>
          <w:rFonts w:hint="eastAsia" w:ascii="彩虹粗仿宋" w:hAnsi="彩虹粗仿宋" w:eastAsia="彩虹粗仿宋" w:cs="彩虹粗仿宋"/>
          <w:color w:val="auto"/>
          <w:sz w:val="28"/>
          <w:szCs w:val="28"/>
        </w:rPr>
        <w:instrText xml:space="preserve"> </w:instrText>
      </w:r>
      <w:r>
        <w:rPr>
          <w:rStyle w:val="53"/>
          <w:rFonts w:hint="eastAsia" w:ascii="彩虹粗仿宋" w:hAnsi="彩虹粗仿宋" w:eastAsia="彩虹粗仿宋" w:cs="彩虹粗仿宋"/>
          <w:color w:val="auto"/>
          <w:sz w:val="28"/>
          <w:szCs w:val="28"/>
        </w:rPr>
        <w:fldChar w:fldCharType="separate"/>
      </w:r>
      <w:r>
        <w:rPr>
          <w:rStyle w:val="53"/>
          <w:rFonts w:hint="eastAsia" w:ascii="彩虹粗仿宋" w:hAnsi="彩虹粗仿宋" w:eastAsia="彩虹粗仿宋" w:cs="彩虹粗仿宋"/>
          <w:color w:val="auto"/>
          <w:sz w:val="28"/>
          <w:szCs w:val="28"/>
        </w:rPr>
        <w:t>第八章  企业年金基金财产的核算</w:t>
      </w:r>
      <w:r>
        <w:rPr>
          <w:rFonts w:hint="eastAsia" w:ascii="彩虹粗仿宋" w:hAnsi="彩虹粗仿宋" w:eastAsia="彩虹粗仿宋" w:cs="彩虹粗仿宋"/>
          <w:sz w:val="28"/>
          <w:szCs w:val="28"/>
        </w:rPr>
        <w:tab/>
      </w:r>
      <w:r>
        <w:rPr>
          <w:rFonts w:hint="eastAsia" w:ascii="彩虹粗仿宋" w:hAnsi="彩虹粗仿宋" w:eastAsia="彩虹粗仿宋" w:cs="彩虹粗仿宋"/>
          <w:sz w:val="28"/>
          <w:szCs w:val="28"/>
        </w:rPr>
        <w:fldChar w:fldCharType="begin"/>
      </w:r>
      <w:r>
        <w:rPr>
          <w:rFonts w:hint="eastAsia" w:ascii="彩虹粗仿宋" w:hAnsi="彩虹粗仿宋" w:eastAsia="彩虹粗仿宋" w:cs="彩虹粗仿宋"/>
          <w:sz w:val="28"/>
          <w:szCs w:val="28"/>
        </w:rPr>
        <w:instrText xml:space="preserve"> PAGEREF _Toc14782071 \h </w:instrText>
      </w:r>
      <w:r>
        <w:rPr>
          <w:rFonts w:hint="eastAsia" w:ascii="彩虹粗仿宋" w:hAnsi="彩虹粗仿宋" w:eastAsia="彩虹粗仿宋" w:cs="彩虹粗仿宋"/>
          <w:sz w:val="28"/>
          <w:szCs w:val="28"/>
        </w:rPr>
        <w:fldChar w:fldCharType="separate"/>
      </w:r>
      <w:r>
        <w:rPr>
          <w:rFonts w:ascii="彩虹粗仿宋" w:hAnsi="彩虹粗仿宋" w:eastAsia="彩虹粗仿宋" w:cs="彩虹粗仿宋"/>
          <w:sz w:val="28"/>
          <w:szCs w:val="28"/>
        </w:rPr>
        <w:t>20</w:t>
      </w:r>
      <w:r>
        <w:rPr>
          <w:rFonts w:hint="eastAsia" w:ascii="彩虹粗仿宋" w:hAnsi="彩虹粗仿宋" w:eastAsia="彩虹粗仿宋" w:cs="彩虹粗仿宋"/>
          <w:sz w:val="28"/>
          <w:szCs w:val="28"/>
        </w:rPr>
        <w:fldChar w:fldCharType="end"/>
      </w:r>
      <w:r>
        <w:rPr>
          <w:rStyle w:val="53"/>
          <w:rFonts w:hint="eastAsia" w:ascii="彩虹粗仿宋" w:hAnsi="彩虹粗仿宋" w:eastAsia="彩虹粗仿宋" w:cs="彩虹粗仿宋"/>
          <w:color w:val="auto"/>
          <w:sz w:val="28"/>
          <w:szCs w:val="28"/>
        </w:rPr>
        <w:fldChar w:fldCharType="end"/>
      </w:r>
    </w:p>
    <w:p>
      <w:pPr>
        <w:pStyle w:val="28"/>
        <w:tabs>
          <w:tab w:val="right" w:leader="dot" w:pos="8302"/>
        </w:tabs>
        <w:rPr>
          <w:rFonts w:hint="eastAsia" w:ascii="彩虹粗仿宋" w:hAnsi="彩虹粗仿宋" w:eastAsia="彩虹粗仿宋" w:cs="彩虹粗仿宋"/>
          <w:sz w:val="28"/>
          <w:szCs w:val="28"/>
        </w:rPr>
      </w:pPr>
      <w:r>
        <w:rPr>
          <w:rStyle w:val="53"/>
          <w:rFonts w:hint="eastAsia" w:ascii="彩虹粗仿宋" w:hAnsi="彩虹粗仿宋" w:eastAsia="彩虹粗仿宋" w:cs="彩虹粗仿宋"/>
          <w:color w:val="auto"/>
          <w:sz w:val="28"/>
          <w:szCs w:val="28"/>
        </w:rPr>
        <w:fldChar w:fldCharType="begin"/>
      </w:r>
      <w:r>
        <w:rPr>
          <w:rStyle w:val="53"/>
          <w:rFonts w:hint="eastAsia" w:ascii="彩虹粗仿宋" w:hAnsi="彩虹粗仿宋" w:eastAsia="彩虹粗仿宋" w:cs="彩虹粗仿宋"/>
          <w:color w:val="auto"/>
          <w:sz w:val="28"/>
          <w:szCs w:val="28"/>
        </w:rPr>
        <w:instrText xml:space="preserve"> </w:instrText>
      </w:r>
      <w:r>
        <w:rPr>
          <w:rFonts w:hint="eastAsia" w:ascii="彩虹粗仿宋" w:hAnsi="彩虹粗仿宋" w:eastAsia="彩虹粗仿宋" w:cs="彩虹粗仿宋"/>
          <w:sz w:val="28"/>
          <w:szCs w:val="28"/>
        </w:rPr>
        <w:instrText xml:space="preserve">HYPERLINK \l "_Toc14782072"</w:instrText>
      </w:r>
      <w:r>
        <w:rPr>
          <w:rStyle w:val="53"/>
          <w:rFonts w:hint="eastAsia" w:ascii="彩虹粗仿宋" w:hAnsi="彩虹粗仿宋" w:eastAsia="彩虹粗仿宋" w:cs="彩虹粗仿宋"/>
          <w:color w:val="auto"/>
          <w:sz w:val="28"/>
          <w:szCs w:val="28"/>
        </w:rPr>
        <w:instrText xml:space="preserve"> </w:instrText>
      </w:r>
      <w:r>
        <w:rPr>
          <w:rStyle w:val="53"/>
          <w:rFonts w:hint="eastAsia" w:ascii="彩虹粗仿宋" w:hAnsi="彩虹粗仿宋" w:eastAsia="彩虹粗仿宋" w:cs="彩虹粗仿宋"/>
          <w:color w:val="auto"/>
          <w:sz w:val="28"/>
          <w:szCs w:val="28"/>
        </w:rPr>
        <w:fldChar w:fldCharType="separate"/>
      </w:r>
      <w:r>
        <w:rPr>
          <w:rStyle w:val="53"/>
          <w:rFonts w:hint="eastAsia" w:ascii="彩虹粗仿宋" w:hAnsi="彩虹粗仿宋" w:eastAsia="彩虹粗仿宋" w:cs="彩虹粗仿宋"/>
          <w:color w:val="auto"/>
          <w:sz w:val="28"/>
          <w:szCs w:val="28"/>
        </w:rPr>
        <w:t>第九章  企业年金基金的费用</w:t>
      </w:r>
      <w:r>
        <w:rPr>
          <w:rFonts w:hint="eastAsia" w:ascii="彩虹粗仿宋" w:hAnsi="彩虹粗仿宋" w:eastAsia="彩虹粗仿宋" w:cs="彩虹粗仿宋"/>
          <w:sz w:val="28"/>
          <w:szCs w:val="28"/>
        </w:rPr>
        <w:tab/>
      </w:r>
      <w:r>
        <w:rPr>
          <w:rFonts w:hint="eastAsia" w:ascii="彩虹粗仿宋" w:hAnsi="彩虹粗仿宋" w:eastAsia="彩虹粗仿宋" w:cs="彩虹粗仿宋"/>
          <w:sz w:val="28"/>
          <w:szCs w:val="28"/>
        </w:rPr>
        <w:fldChar w:fldCharType="begin"/>
      </w:r>
      <w:r>
        <w:rPr>
          <w:rFonts w:hint="eastAsia" w:ascii="彩虹粗仿宋" w:hAnsi="彩虹粗仿宋" w:eastAsia="彩虹粗仿宋" w:cs="彩虹粗仿宋"/>
          <w:sz w:val="28"/>
          <w:szCs w:val="28"/>
        </w:rPr>
        <w:instrText xml:space="preserve"> PAGEREF _Toc14782072 \h </w:instrText>
      </w:r>
      <w:r>
        <w:rPr>
          <w:rFonts w:hint="eastAsia" w:ascii="彩虹粗仿宋" w:hAnsi="彩虹粗仿宋" w:eastAsia="彩虹粗仿宋" w:cs="彩虹粗仿宋"/>
          <w:sz w:val="28"/>
          <w:szCs w:val="28"/>
        </w:rPr>
        <w:fldChar w:fldCharType="separate"/>
      </w:r>
      <w:r>
        <w:rPr>
          <w:rFonts w:ascii="彩虹粗仿宋" w:hAnsi="彩虹粗仿宋" w:eastAsia="彩虹粗仿宋" w:cs="彩虹粗仿宋"/>
          <w:sz w:val="28"/>
          <w:szCs w:val="28"/>
        </w:rPr>
        <w:t>22</w:t>
      </w:r>
      <w:r>
        <w:rPr>
          <w:rFonts w:hint="eastAsia" w:ascii="彩虹粗仿宋" w:hAnsi="彩虹粗仿宋" w:eastAsia="彩虹粗仿宋" w:cs="彩虹粗仿宋"/>
          <w:sz w:val="28"/>
          <w:szCs w:val="28"/>
        </w:rPr>
        <w:fldChar w:fldCharType="end"/>
      </w:r>
      <w:r>
        <w:rPr>
          <w:rStyle w:val="53"/>
          <w:rFonts w:hint="eastAsia" w:ascii="彩虹粗仿宋" w:hAnsi="彩虹粗仿宋" w:eastAsia="彩虹粗仿宋" w:cs="彩虹粗仿宋"/>
          <w:color w:val="auto"/>
          <w:sz w:val="28"/>
          <w:szCs w:val="28"/>
        </w:rPr>
        <w:fldChar w:fldCharType="end"/>
      </w:r>
    </w:p>
    <w:p>
      <w:pPr>
        <w:pStyle w:val="28"/>
        <w:tabs>
          <w:tab w:val="right" w:leader="dot" w:pos="8302"/>
        </w:tabs>
        <w:rPr>
          <w:rFonts w:hint="eastAsia" w:ascii="彩虹粗仿宋" w:hAnsi="彩虹粗仿宋" w:eastAsia="彩虹粗仿宋" w:cs="彩虹粗仿宋"/>
          <w:sz w:val="28"/>
          <w:szCs w:val="28"/>
        </w:rPr>
      </w:pPr>
      <w:r>
        <w:rPr>
          <w:rStyle w:val="53"/>
          <w:rFonts w:hint="eastAsia" w:ascii="彩虹粗仿宋" w:hAnsi="彩虹粗仿宋" w:eastAsia="彩虹粗仿宋" w:cs="彩虹粗仿宋"/>
          <w:color w:val="auto"/>
          <w:sz w:val="28"/>
          <w:szCs w:val="28"/>
        </w:rPr>
        <w:fldChar w:fldCharType="begin"/>
      </w:r>
      <w:r>
        <w:rPr>
          <w:rStyle w:val="53"/>
          <w:rFonts w:hint="eastAsia" w:ascii="彩虹粗仿宋" w:hAnsi="彩虹粗仿宋" w:eastAsia="彩虹粗仿宋" w:cs="彩虹粗仿宋"/>
          <w:color w:val="auto"/>
          <w:sz w:val="28"/>
          <w:szCs w:val="28"/>
        </w:rPr>
        <w:instrText xml:space="preserve"> </w:instrText>
      </w:r>
      <w:r>
        <w:rPr>
          <w:rFonts w:hint="eastAsia" w:ascii="彩虹粗仿宋" w:hAnsi="彩虹粗仿宋" w:eastAsia="彩虹粗仿宋" w:cs="彩虹粗仿宋"/>
          <w:sz w:val="28"/>
          <w:szCs w:val="28"/>
        </w:rPr>
        <w:instrText xml:space="preserve">HYPERLINK \l "_Toc14782073"</w:instrText>
      </w:r>
      <w:r>
        <w:rPr>
          <w:rStyle w:val="53"/>
          <w:rFonts w:hint="eastAsia" w:ascii="彩虹粗仿宋" w:hAnsi="彩虹粗仿宋" w:eastAsia="彩虹粗仿宋" w:cs="彩虹粗仿宋"/>
          <w:color w:val="auto"/>
          <w:sz w:val="28"/>
          <w:szCs w:val="28"/>
        </w:rPr>
        <w:instrText xml:space="preserve"> </w:instrText>
      </w:r>
      <w:r>
        <w:rPr>
          <w:rStyle w:val="53"/>
          <w:rFonts w:hint="eastAsia" w:ascii="彩虹粗仿宋" w:hAnsi="彩虹粗仿宋" w:eastAsia="彩虹粗仿宋" w:cs="彩虹粗仿宋"/>
          <w:color w:val="auto"/>
          <w:sz w:val="28"/>
          <w:szCs w:val="28"/>
        </w:rPr>
        <w:fldChar w:fldCharType="separate"/>
      </w:r>
      <w:r>
        <w:rPr>
          <w:rStyle w:val="53"/>
          <w:rFonts w:hint="eastAsia" w:ascii="彩虹粗仿宋" w:hAnsi="彩虹粗仿宋" w:eastAsia="彩虹粗仿宋" w:cs="彩虹粗仿宋"/>
          <w:color w:val="auto"/>
          <w:sz w:val="28"/>
          <w:szCs w:val="28"/>
        </w:rPr>
        <w:t>第十章  企业年金基金的审计与清算</w:t>
      </w:r>
      <w:r>
        <w:rPr>
          <w:rFonts w:hint="eastAsia" w:ascii="彩虹粗仿宋" w:hAnsi="彩虹粗仿宋" w:eastAsia="彩虹粗仿宋" w:cs="彩虹粗仿宋"/>
          <w:sz w:val="28"/>
          <w:szCs w:val="28"/>
        </w:rPr>
        <w:tab/>
      </w:r>
      <w:r>
        <w:rPr>
          <w:rFonts w:hint="eastAsia" w:ascii="彩虹粗仿宋" w:hAnsi="彩虹粗仿宋" w:eastAsia="彩虹粗仿宋" w:cs="彩虹粗仿宋"/>
          <w:sz w:val="28"/>
          <w:szCs w:val="28"/>
        </w:rPr>
        <w:fldChar w:fldCharType="begin"/>
      </w:r>
      <w:r>
        <w:rPr>
          <w:rFonts w:hint="eastAsia" w:ascii="彩虹粗仿宋" w:hAnsi="彩虹粗仿宋" w:eastAsia="彩虹粗仿宋" w:cs="彩虹粗仿宋"/>
          <w:sz w:val="28"/>
          <w:szCs w:val="28"/>
        </w:rPr>
        <w:instrText xml:space="preserve"> PAGEREF _Toc14782073 \h </w:instrText>
      </w:r>
      <w:r>
        <w:rPr>
          <w:rFonts w:hint="eastAsia" w:ascii="彩虹粗仿宋" w:hAnsi="彩虹粗仿宋" w:eastAsia="彩虹粗仿宋" w:cs="彩虹粗仿宋"/>
          <w:sz w:val="28"/>
          <w:szCs w:val="28"/>
        </w:rPr>
        <w:fldChar w:fldCharType="separate"/>
      </w:r>
      <w:r>
        <w:rPr>
          <w:rFonts w:ascii="彩虹粗仿宋" w:hAnsi="彩虹粗仿宋" w:eastAsia="彩虹粗仿宋" w:cs="彩虹粗仿宋"/>
          <w:sz w:val="28"/>
          <w:szCs w:val="28"/>
        </w:rPr>
        <w:t>25</w:t>
      </w:r>
      <w:r>
        <w:rPr>
          <w:rFonts w:hint="eastAsia" w:ascii="彩虹粗仿宋" w:hAnsi="彩虹粗仿宋" w:eastAsia="彩虹粗仿宋" w:cs="彩虹粗仿宋"/>
          <w:sz w:val="28"/>
          <w:szCs w:val="28"/>
        </w:rPr>
        <w:fldChar w:fldCharType="end"/>
      </w:r>
      <w:r>
        <w:rPr>
          <w:rStyle w:val="53"/>
          <w:rFonts w:hint="eastAsia" w:ascii="彩虹粗仿宋" w:hAnsi="彩虹粗仿宋" w:eastAsia="彩虹粗仿宋" w:cs="彩虹粗仿宋"/>
          <w:color w:val="auto"/>
          <w:sz w:val="28"/>
          <w:szCs w:val="28"/>
        </w:rPr>
        <w:fldChar w:fldCharType="end"/>
      </w:r>
    </w:p>
    <w:p>
      <w:pPr>
        <w:pStyle w:val="28"/>
        <w:tabs>
          <w:tab w:val="right" w:leader="dot" w:pos="8302"/>
        </w:tabs>
        <w:rPr>
          <w:rFonts w:hint="eastAsia" w:ascii="彩虹粗仿宋" w:hAnsi="彩虹粗仿宋" w:eastAsia="彩虹粗仿宋" w:cs="彩虹粗仿宋"/>
          <w:sz w:val="28"/>
          <w:szCs w:val="28"/>
        </w:rPr>
      </w:pPr>
      <w:r>
        <w:rPr>
          <w:rStyle w:val="53"/>
          <w:rFonts w:hint="eastAsia" w:ascii="彩虹粗仿宋" w:hAnsi="彩虹粗仿宋" w:eastAsia="彩虹粗仿宋" w:cs="彩虹粗仿宋"/>
          <w:color w:val="auto"/>
          <w:sz w:val="28"/>
          <w:szCs w:val="28"/>
        </w:rPr>
        <w:fldChar w:fldCharType="begin"/>
      </w:r>
      <w:r>
        <w:rPr>
          <w:rStyle w:val="53"/>
          <w:rFonts w:hint="eastAsia" w:ascii="彩虹粗仿宋" w:hAnsi="彩虹粗仿宋" w:eastAsia="彩虹粗仿宋" w:cs="彩虹粗仿宋"/>
          <w:color w:val="auto"/>
          <w:sz w:val="28"/>
          <w:szCs w:val="28"/>
        </w:rPr>
        <w:instrText xml:space="preserve"> </w:instrText>
      </w:r>
      <w:r>
        <w:rPr>
          <w:rFonts w:hint="eastAsia" w:ascii="彩虹粗仿宋" w:hAnsi="彩虹粗仿宋" w:eastAsia="彩虹粗仿宋" w:cs="彩虹粗仿宋"/>
          <w:sz w:val="28"/>
          <w:szCs w:val="28"/>
        </w:rPr>
        <w:instrText xml:space="preserve">HYPERLINK \l "_Toc14782074"</w:instrText>
      </w:r>
      <w:r>
        <w:rPr>
          <w:rStyle w:val="53"/>
          <w:rFonts w:hint="eastAsia" w:ascii="彩虹粗仿宋" w:hAnsi="彩虹粗仿宋" w:eastAsia="彩虹粗仿宋" w:cs="彩虹粗仿宋"/>
          <w:color w:val="auto"/>
          <w:sz w:val="28"/>
          <w:szCs w:val="28"/>
        </w:rPr>
        <w:instrText xml:space="preserve"> </w:instrText>
      </w:r>
      <w:r>
        <w:rPr>
          <w:rStyle w:val="53"/>
          <w:rFonts w:hint="eastAsia" w:ascii="彩虹粗仿宋" w:hAnsi="彩虹粗仿宋" w:eastAsia="彩虹粗仿宋" w:cs="彩虹粗仿宋"/>
          <w:color w:val="auto"/>
          <w:sz w:val="28"/>
          <w:szCs w:val="28"/>
        </w:rPr>
        <w:fldChar w:fldCharType="separate"/>
      </w:r>
      <w:r>
        <w:rPr>
          <w:rStyle w:val="53"/>
          <w:rFonts w:hint="eastAsia" w:ascii="彩虹粗仿宋" w:hAnsi="彩虹粗仿宋" w:eastAsia="彩虹粗仿宋" w:cs="彩虹粗仿宋"/>
          <w:color w:val="auto"/>
          <w:sz w:val="28"/>
          <w:szCs w:val="28"/>
        </w:rPr>
        <w:t>第十一章  企业年金基金的信息报告与披露</w:t>
      </w:r>
      <w:r>
        <w:rPr>
          <w:rFonts w:hint="eastAsia" w:ascii="彩虹粗仿宋" w:hAnsi="彩虹粗仿宋" w:eastAsia="彩虹粗仿宋" w:cs="彩虹粗仿宋"/>
          <w:sz w:val="28"/>
          <w:szCs w:val="28"/>
        </w:rPr>
        <w:tab/>
      </w:r>
      <w:r>
        <w:rPr>
          <w:rFonts w:hint="eastAsia" w:ascii="彩虹粗仿宋" w:hAnsi="彩虹粗仿宋" w:eastAsia="彩虹粗仿宋" w:cs="彩虹粗仿宋"/>
          <w:sz w:val="28"/>
          <w:szCs w:val="28"/>
        </w:rPr>
        <w:fldChar w:fldCharType="begin"/>
      </w:r>
      <w:r>
        <w:rPr>
          <w:rFonts w:hint="eastAsia" w:ascii="彩虹粗仿宋" w:hAnsi="彩虹粗仿宋" w:eastAsia="彩虹粗仿宋" w:cs="彩虹粗仿宋"/>
          <w:sz w:val="28"/>
          <w:szCs w:val="28"/>
        </w:rPr>
        <w:instrText xml:space="preserve"> PAGEREF _Toc14782074 \h </w:instrText>
      </w:r>
      <w:r>
        <w:rPr>
          <w:rFonts w:hint="eastAsia" w:ascii="彩虹粗仿宋" w:hAnsi="彩虹粗仿宋" w:eastAsia="彩虹粗仿宋" w:cs="彩虹粗仿宋"/>
          <w:sz w:val="28"/>
          <w:szCs w:val="28"/>
        </w:rPr>
        <w:fldChar w:fldCharType="separate"/>
      </w:r>
      <w:r>
        <w:rPr>
          <w:rFonts w:ascii="彩虹粗仿宋" w:hAnsi="彩虹粗仿宋" w:eastAsia="彩虹粗仿宋" w:cs="彩虹粗仿宋"/>
          <w:sz w:val="28"/>
          <w:szCs w:val="28"/>
        </w:rPr>
        <w:t>26</w:t>
      </w:r>
      <w:r>
        <w:rPr>
          <w:rFonts w:hint="eastAsia" w:ascii="彩虹粗仿宋" w:hAnsi="彩虹粗仿宋" w:eastAsia="彩虹粗仿宋" w:cs="彩虹粗仿宋"/>
          <w:sz w:val="28"/>
          <w:szCs w:val="28"/>
        </w:rPr>
        <w:fldChar w:fldCharType="end"/>
      </w:r>
      <w:r>
        <w:rPr>
          <w:rStyle w:val="53"/>
          <w:rFonts w:hint="eastAsia" w:ascii="彩虹粗仿宋" w:hAnsi="彩虹粗仿宋" w:eastAsia="彩虹粗仿宋" w:cs="彩虹粗仿宋"/>
          <w:color w:val="auto"/>
          <w:sz w:val="28"/>
          <w:szCs w:val="28"/>
        </w:rPr>
        <w:fldChar w:fldCharType="end"/>
      </w:r>
    </w:p>
    <w:p>
      <w:pPr>
        <w:pStyle w:val="28"/>
        <w:tabs>
          <w:tab w:val="right" w:leader="dot" w:pos="8302"/>
        </w:tabs>
        <w:rPr>
          <w:rFonts w:hint="eastAsia" w:ascii="彩虹粗仿宋" w:hAnsi="彩虹粗仿宋" w:eastAsia="彩虹粗仿宋" w:cs="彩虹粗仿宋"/>
          <w:sz w:val="28"/>
          <w:szCs w:val="28"/>
        </w:rPr>
      </w:pPr>
      <w:r>
        <w:rPr>
          <w:rStyle w:val="53"/>
          <w:rFonts w:hint="eastAsia" w:ascii="彩虹粗仿宋" w:hAnsi="彩虹粗仿宋" w:eastAsia="彩虹粗仿宋" w:cs="彩虹粗仿宋"/>
          <w:color w:val="auto"/>
          <w:sz w:val="28"/>
          <w:szCs w:val="28"/>
        </w:rPr>
        <w:fldChar w:fldCharType="begin"/>
      </w:r>
      <w:r>
        <w:rPr>
          <w:rStyle w:val="53"/>
          <w:rFonts w:hint="eastAsia" w:ascii="彩虹粗仿宋" w:hAnsi="彩虹粗仿宋" w:eastAsia="彩虹粗仿宋" w:cs="彩虹粗仿宋"/>
          <w:color w:val="auto"/>
          <w:sz w:val="28"/>
          <w:szCs w:val="28"/>
        </w:rPr>
        <w:instrText xml:space="preserve"> </w:instrText>
      </w:r>
      <w:r>
        <w:rPr>
          <w:rFonts w:hint="eastAsia" w:ascii="彩虹粗仿宋" w:hAnsi="彩虹粗仿宋" w:eastAsia="彩虹粗仿宋" w:cs="彩虹粗仿宋"/>
          <w:sz w:val="28"/>
          <w:szCs w:val="28"/>
        </w:rPr>
        <w:instrText xml:space="preserve">HYPERLINK \l "_Toc14782075"</w:instrText>
      </w:r>
      <w:r>
        <w:rPr>
          <w:rStyle w:val="53"/>
          <w:rFonts w:hint="eastAsia" w:ascii="彩虹粗仿宋" w:hAnsi="彩虹粗仿宋" w:eastAsia="彩虹粗仿宋" w:cs="彩虹粗仿宋"/>
          <w:color w:val="auto"/>
          <w:sz w:val="28"/>
          <w:szCs w:val="28"/>
        </w:rPr>
        <w:instrText xml:space="preserve"> </w:instrText>
      </w:r>
      <w:r>
        <w:rPr>
          <w:rStyle w:val="53"/>
          <w:rFonts w:hint="eastAsia" w:ascii="彩虹粗仿宋" w:hAnsi="彩虹粗仿宋" w:eastAsia="彩虹粗仿宋" w:cs="彩虹粗仿宋"/>
          <w:color w:val="auto"/>
          <w:sz w:val="28"/>
          <w:szCs w:val="28"/>
        </w:rPr>
        <w:fldChar w:fldCharType="separate"/>
      </w:r>
      <w:r>
        <w:rPr>
          <w:rStyle w:val="53"/>
          <w:rFonts w:hint="eastAsia" w:ascii="彩虹粗仿宋" w:hAnsi="彩虹粗仿宋" w:eastAsia="彩虹粗仿宋" w:cs="彩虹粗仿宋"/>
          <w:color w:val="auto"/>
          <w:sz w:val="28"/>
          <w:szCs w:val="28"/>
        </w:rPr>
        <w:t>第十二章  禁止行为</w:t>
      </w:r>
      <w:r>
        <w:rPr>
          <w:rFonts w:hint="eastAsia" w:ascii="彩虹粗仿宋" w:hAnsi="彩虹粗仿宋" w:eastAsia="彩虹粗仿宋" w:cs="彩虹粗仿宋"/>
          <w:sz w:val="28"/>
          <w:szCs w:val="28"/>
        </w:rPr>
        <w:tab/>
      </w:r>
      <w:r>
        <w:rPr>
          <w:rFonts w:hint="eastAsia" w:ascii="彩虹粗仿宋" w:hAnsi="彩虹粗仿宋" w:eastAsia="彩虹粗仿宋" w:cs="彩虹粗仿宋"/>
          <w:sz w:val="28"/>
          <w:szCs w:val="28"/>
        </w:rPr>
        <w:fldChar w:fldCharType="begin"/>
      </w:r>
      <w:r>
        <w:rPr>
          <w:rFonts w:hint="eastAsia" w:ascii="彩虹粗仿宋" w:hAnsi="彩虹粗仿宋" w:eastAsia="彩虹粗仿宋" w:cs="彩虹粗仿宋"/>
          <w:sz w:val="28"/>
          <w:szCs w:val="28"/>
        </w:rPr>
        <w:instrText xml:space="preserve"> PAGEREF _Toc14782075 \h </w:instrText>
      </w:r>
      <w:r>
        <w:rPr>
          <w:rFonts w:hint="eastAsia" w:ascii="彩虹粗仿宋" w:hAnsi="彩虹粗仿宋" w:eastAsia="彩虹粗仿宋" w:cs="彩虹粗仿宋"/>
          <w:sz w:val="28"/>
          <w:szCs w:val="28"/>
        </w:rPr>
        <w:fldChar w:fldCharType="separate"/>
      </w:r>
      <w:r>
        <w:rPr>
          <w:rFonts w:ascii="彩虹粗仿宋" w:hAnsi="彩虹粗仿宋" w:eastAsia="彩虹粗仿宋" w:cs="彩虹粗仿宋"/>
          <w:sz w:val="28"/>
          <w:szCs w:val="28"/>
        </w:rPr>
        <w:t>27</w:t>
      </w:r>
      <w:r>
        <w:rPr>
          <w:rFonts w:hint="eastAsia" w:ascii="彩虹粗仿宋" w:hAnsi="彩虹粗仿宋" w:eastAsia="彩虹粗仿宋" w:cs="彩虹粗仿宋"/>
          <w:sz w:val="28"/>
          <w:szCs w:val="28"/>
        </w:rPr>
        <w:fldChar w:fldCharType="end"/>
      </w:r>
      <w:r>
        <w:rPr>
          <w:rStyle w:val="53"/>
          <w:rFonts w:hint="eastAsia" w:ascii="彩虹粗仿宋" w:hAnsi="彩虹粗仿宋" w:eastAsia="彩虹粗仿宋" w:cs="彩虹粗仿宋"/>
          <w:color w:val="auto"/>
          <w:sz w:val="28"/>
          <w:szCs w:val="28"/>
        </w:rPr>
        <w:fldChar w:fldCharType="end"/>
      </w:r>
    </w:p>
    <w:p>
      <w:pPr>
        <w:pStyle w:val="28"/>
        <w:tabs>
          <w:tab w:val="right" w:leader="dot" w:pos="8302"/>
        </w:tabs>
        <w:rPr>
          <w:rFonts w:hint="eastAsia" w:ascii="彩虹粗仿宋" w:hAnsi="彩虹粗仿宋" w:eastAsia="彩虹粗仿宋" w:cs="彩虹粗仿宋"/>
          <w:sz w:val="28"/>
          <w:szCs w:val="28"/>
        </w:rPr>
      </w:pPr>
      <w:r>
        <w:rPr>
          <w:rStyle w:val="53"/>
          <w:rFonts w:hint="eastAsia" w:ascii="彩虹粗仿宋" w:hAnsi="彩虹粗仿宋" w:eastAsia="彩虹粗仿宋" w:cs="彩虹粗仿宋"/>
          <w:color w:val="auto"/>
          <w:sz w:val="28"/>
          <w:szCs w:val="28"/>
        </w:rPr>
        <w:fldChar w:fldCharType="begin"/>
      </w:r>
      <w:r>
        <w:rPr>
          <w:rStyle w:val="53"/>
          <w:rFonts w:hint="eastAsia" w:ascii="彩虹粗仿宋" w:hAnsi="彩虹粗仿宋" w:eastAsia="彩虹粗仿宋" w:cs="彩虹粗仿宋"/>
          <w:color w:val="auto"/>
          <w:sz w:val="28"/>
          <w:szCs w:val="28"/>
        </w:rPr>
        <w:instrText xml:space="preserve"> </w:instrText>
      </w:r>
      <w:r>
        <w:rPr>
          <w:rFonts w:hint="eastAsia" w:ascii="彩虹粗仿宋" w:hAnsi="彩虹粗仿宋" w:eastAsia="彩虹粗仿宋" w:cs="彩虹粗仿宋"/>
          <w:sz w:val="28"/>
          <w:szCs w:val="28"/>
        </w:rPr>
        <w:instrText xml:space="preserve">HYPERLINK \l "_Toc14782076"</w:instrText>
      </w:r>
      <w:r>
        <w:rPr>
          <w:rStyle w:val="53"/>
          <w:rFonts w:hint="eastAsia" w:ascii="彩虹粗仿宋" w:hAnsi="彩虹粗仿宋" w:eastAsia="彩虹粗仿宋" w:cs="彩虹粗仿宋"/>
          <w:color w:val="auto"/>
          <w:sz w:val="28"/>
          <w:szCs w:val="28"/>
        </w:rPr>
        <w:instrText xml:space="preserve"> </w:instrText>
      </w:r>
      <w:r>
        <w:rPr>
          <w:rStyle w:val="53"/>
          <w:rFonts w:hint="eastAsia" w:ascii="彩虹粗仿宋" w:hAnsi="彩虹粗仿宋" w:eastAsia="彩虹粗仿宋" w:cs="彩虹粗仿宋"/>
          <w:color w:val="auto"/>
          <w:sz w:val="28"/>
          <w:szCs w:val="28"/>
        </w:rPr>
        <w:fldChar w:fldCharType="separate"/>
      </w:r>
      <w:r>
        <w:rPr>
          <w:rStyle w:val="53"/>
          <w:rFonts w:hint="eastAsia" w:ascii="彩虹粗仿宋" w:hAnsi="彩虹粗仿宋" w:eastAsia="彩虹粗仿宋" w:cs="彩虹粗仿宋"/>
          <w:color w:val="auto"/>
          <w:sz w:val="28"/>
          <w:szCs w:val="28"/>
        </w:rPr>
        <w:t>第十三章  违约责任与免责条款</w:t>
      </w:r>
      <w:r>
        <w:rPr>
          <w:rFonts w:hint="eastAsia" w:ascii="彩虹粗仿宋" w:hAnsi="彩虹粗仿宋" w:eastAsia="彩虹粗仿宋" w:cs="彩虹粗仿宋"/>
          <w:sz w:val="28"/>
          <w:szCs w:val="28"/>
        </w:rPr>
        <w:tab/>
      </w:r>
      <w:r>
        <w:rPr>
          <w:rFonts w:hint="eastAsia" w:ascii="彩虹粗仿宋" w:hAnsi="彩虹粗仿宋" w:eastAsia="彩虹粗仿宋" w:cs="彩虹粗仿宋"/>
          <w:sz w:val="28"/>
          <w:szCs w:val="28"/>
        </w:rPr>
        <w:fldChar w:fldCharType="begin"/>
      </w:r>
      <w:r>
        <w:rPr>
          <w:rFonts w:hint="eastAsia" w:ascii="彩虹粗仿宋" w:hAnsi="彩虹粗仿宋" w:eastAsia="彩虹粗仿宋" w:cs="彩虹粗仿宋"/>
          <w:sz w:val="28"/>
          <w:szCs w:val="28"/>
        </w:rPr>
        <w:instrText xml:space="preserve"> PAGEREF _Toc14782076 \h </w:instrText>
      </w:r>
      <w:r>
        <w:rPr>
          <w:rFonts w:hint="eastAsia" w:ascii="彩虹粗仿宋" w:hAnsi="彩虹粗仿宋" w:eastAsia="彩虹粗仿宋" w:cs="彩虹粗仿宋"/>
          <w:sz w:val="28"/>
          <w:szCs w:val="28"/>
        </w:rPr>
        <w:fldChar w:fldCharType="separate"/>
      </w:r>
      <w:r>
        <w:rPr>
          <w:rFonts w:ascii="彩虹粗仿宋" w:hAnsi="彩虹粗仿宋" w:eastAsia="彩虹粗仿宋" w:cs="彩虹粗仿宋"/>
          <w:sz w:val="28"/>
          <w:szCs w:val="28"/>
        </w:rPr>
        <w:t>28</w:t>
      </w:r>
      <w:r>
        <w:rPr>
          <w:rFonts w:hint="eastAsia" w:ascii="彩虹粗仿宋" w:hAnsi="彩虹粗仿宋" w:eastAsia="彩虹粗仿宋" w:cs="彩虹粗仿宋"/>
          <w:sz w:val="28"/>
          <w:szCs w:val="28"/>
        </w:rPr>
        <w:fldChar w:fldCharType="end"/>
      </w:r>
      <w:r>
        <w:rPr>
          <w:rStyle w:val="53"/>
          <w:rFonts w:hint="eastAsia" w:ascii="彩虹粗仿宋" w:hAnsi="彩虹粗仿宋" w:eastAsia="彩虹粗仿宋" w:cs="彩虹粗仿宋"/>
          <w:color w:val="auto"/>
          <w:sz w:val="28"/>
          <w:szCs w:val="28"/>
        </w:rPr>
        <w:fldChar w:fldCharType="end"/>
      </w:r>
    </w:p>
    <w:p>
      <w:pPr>
        <w:pStyle w:val="28"/>
        <w:tabs>
          <w:tab w:val="right" w:leader="dot" w:pos="8302"/>
        </w:tabs>
        <w:rPr>
          <w:rFonts w:hint="eastAsia" w:ascii="彩虹粗仿宋" w:hAnsi="彩虹粗仿宋" w:eastAsia="彩虹粗仿宋" w:cs="彩虹粗仿宋"/>
          <w:sz w:val="28"/>
          <w:szCs w:val="28"/>
        </w:rPr>
      </w:pPr>
      <w:r>
        <w:rPr>
          <w:rStyle w:val="53"/>
          <w:rFonts w:hint="eastAsia" w:ascii="彩虹粗仿宋" w:hAnsi="彩虹粗仿宋" w:eastAsia="彩虹粗仿宋" w:cs="彩虹粗仿宋"/>
          <w:color w:val="auto"/>
          <w:sz w:val="28"/>
          <w:szCs w:val="28"/>
        </w:rPr>
        <w:fldChar w:fldCharType="begin"/>
      </w:r>
      <w:r>
        <w:rPr>
          <w:rStyle w:val="53"/>
          <w:rFonts w:hint="eastAsia" w:ascii="彩虹粗仿宋" w:hAnsi="彩虹粗仿宋" w:eastAsia="彩虹粗仿宋" w:cs="彩虹粗仿宋"/>
          <w:color w:val="auto"/>
          <w:sz w:val="28"/>
          <w:szCs w:val="28"/>
        </w:rPr>
        <w:instrText xml:space="preserve"> </w:instrText>
      </w:r>
      <w:r>
        <w:rPr>
          <w:rFonts w:hint="eastAsia" w:ascii="彩虹粗仿宋" w:hAnsi="彩虹粗仿宋" w:eastAsia="彩虹粗仿宋" w:cs="彩虹粗仿宋"/>
          <w:sz w:val="28"/>
          <w:szCs w:val="28"/>
        </w:rPr>
        <w:instrText xml:space="preserve">HYPERLINK \l "_Toc14782077"</w:instrText>
      </w:r>
      <w:r>
        <w:rPr>
          <w:rStyle w:val="53"/>
          <w:rFonts w:hint="eastAsia" w:ascii="彩虹粗仿宋" w:hAnsi="彩虹粗仿宋" w:eastAsia="彩虹粗仿宋" w:cs="彩虹粗仿宋"/>
          <w:color w:val="auto"/>
          <w:sz w:val="28"/>
          <w:szCs w:val="28"/>
        </w:rPr>
        <w:instrText xml:space="preserve"> </w:instrText>
      </w:r>
      <w:r>
        <w:rPr>
          <w:rStyle w:val="53"/>
          <w:rFonts w:hint="eastAsia" w:ascii="彩虹粗仿宋" w:hAnsi="彩虹粗仿宋" w:eastAsia="彩虹粗仿宋" w:cs="彩虹粗仿宋"/>
          <w:color w:val="auto"/>
          <w:sz w:val="28"/>
          <w:szCs w:val="28"/>
        </w:rPr>
        <w:fldChar w:fldCharType="separate"/>
      </w:r>
      <w:r>
        <w:rPr>
          <w:rStyle w:val="53"/>
          <w:rFonts w:hint="eastAsia" w:ascii="彩虹粗仿宋" w:hAnsi="彩虹粗仿宋" w:eastAsia="彩虹粗仿宋" w:cs="彩虹粗仿宋"/>
          <w:color w:val="auto"/>
          <w:sz w:val="28"/>
          <w:szCs w:val="28"/>
        </w:rPr>
        <w:t>第十四章  争议的处理</w:t>
      </w:r>
      <w:r>
        <w:rPr>
          <w:rFonts w:hint="eastAsia" w:ascii="彩虹粗仿宋" w:hAnsi="彩虹粗仿宋" w:eastAsia="彩虹粗仿宋" w:cs="彩虹粗仿宋"/>
          <w:sz w:val="28"/>
          <w:szCs w:val="28"/>
        </w:rPr>
        <w:tab/>
      </w:r>
      <w:r>
        <w:rPr>
          <w:rFonts w:hint="eastAsia" w:ascii="彩虹粗仿宋" w:hAnsi="彩虹粗仿宋" w:eastAsia="彩虹粗仿宋" w:cs="彩虹粗仿宋"/>
          <w:sz w:val="28"/>
          <w:szCs w:val="28"/>
        </w:rPr>
        <w:fldChar w:fldCharType="begin"/>
      </w:r>
      <w:r>
        <w:rPr>
          <w:rFonts w:hint="eastAsia" w:ascii="彩虹粗仿宋" w:hAnsi="彩虹粗仿宋" w:eastAsia="彩虹粗仿宋" w:cs="彩虹粗仿宋"/>
          <w:sz w:val="28"/>
          <w:szCs w:val="28"/>
        </w:rPr>
        <w:instrText xml:space="preserve"> PAGEREF _Toc14782077 \h </w:instrText>
      </w:r>
      <w:r>
        <w:rPr>
          <w:rFonts w:hint="eastAsia" w:ascii="彩虹粗仿宋" w:hAnsi="彩虹粗仿宋" w:eastAsia="彩虹粗仿宋" w:cs="彩虹粗仿宋"/>
          <w:sz w:val="28"/>
          <w:szCs w:val="28"/>
        </w:rPr>
        <w:fldChar w:fldCharType="separate"/>
      </w:r>
      <w:r>
        <w:rPr>
          <w:rFonts w:ascii="彩虹粗仿宋" w:hAnsi="彩虹粗仿宋" w:eastAsia="彩虹粗仿宋" w:cs="彩虹粗仿宋"/>
          <w:sz w:val="28"/>
          <w:szCs w:val="28"/>
        </w:rPr>
        <w:t>29</w:t>
      </w:r>
      <w:r>
        <w:rPr>
          <w:rFonts w:hint="eastAsia" w:ascii="彩虹粗仿宋" w:hAnsi="彩虹粗仿宋" w:eastAsia="彩虹粗仿宋" w:cs="彩虹粗仿宋"/>
          <w:sz w:val="28"/>
          <w:szCs w:val="28"/>
        </w:rPr>
        <w:fldChar w:fldCharType="end"/>
      </w:r>
      <w:r>
        <w:rPr>
          <w:rStyle w:val="53"/>
          <w:rFonts w:hint="eastAsia" w:ascii="彩虹粗仿宋" w:hAnsi="彩虹粗仿宋" w:eastAsia="彩虹粗仿宋" w:cs="彩虹粗仿宋"/>
          <w:color w:val="auto"/>
          <w:sz w:val="28"/>
          <w:szCs w:val="28"/>
        </w:rPr>
        <w:fldChar w:fldCharType="end"/>
      </w:r>
    </w:p>
    <w:p>
      <w:pPr>
        <w:pStyle w:val="28"/>
        <w:tabs>
          <w:tab w:val="right" w:leader="dot" w:pos="8302"/>
        </w:tabs>
        <w:rPr>
          <w:rFonts w:hint="eastAsia" w:ascii="彩虹粗仿宋" w:hAnsi="彩虹粗仿宋" w:eastAsia="彩虹粗仿宋" w:cs="彩虹粗仿宋"/>
          <w:sz w:val="28"/>
          <w:szCs w:val="28"/>
        </w:rPr>
      </w:pPr>
      <w:r>
        <w:rPr>
          <w:rStyle w:val="53"/>
          <w:rFonts w:hint="eastAsia" w:ascii="彩虹粗仿宋" w:hAnsi="彩虹粗仿宋" w:eastAsia="彩虹粗仿宋" w:cs="彩虹粗仿宋"/>
          <w:color w:val="auto"/>
          <w:sz w:val="28"/>
          <w:szCs w:val="28"/>
        </w:rPr>
        <w:fldChar w:fldCharType="begin"/>
      </w:r>
      <w:r>
        <w:rPr>
          <w:rStyle w:val="53"/>
          <w:rFonts w:hint="eastAsia" w:ascii="彩虹粗仿宋" w:hAnsi="彩虹粗仿宋" w:eastAsia="彩虹粗仿宋" w:cs="彩虹粗仿宋"/>
          <w:color w:val="auto"/>
          <w:sz w:val="28"/>
          <w:szCs w:val="28"/>
        </w:rPr>
        <w:instrText xml:space="preserve"> </w:instrText>
      </w:r>
      <w:r>
        <w:rPr>
          <w:rFonts w:hint="eastAsia" w:ascii="彩虹粗仿宋" w:hAnsi="彩虹粗仿宋" w:eastAsia="彩虹粗仿宋" w:cs="彩虹粗仿宋"/>
          <w:sz w:val="28"/>
          <w:szCs w:val="28"/>
        </w:rPr>
        <w:instrText xml:space="preserve">HYPERLINK \l "_Toc14782078"</w:instrText>
      </w:r>
      <w:r>
        <w:rPr>
          <w:rStyle w:val="53"/>
          <w:rFonts w:hint="eastAsia" w:ascii="彩虹粗仿宋" w:hAnsi="彩虹粗仿宋" w:eastAsia="彩虹粗仿宋" w:cs="彩虹粗仿宋"/>
          <w:color w:val="auto"/>
          <w:sz w:val="28"/>
          <w:szCs w:val="28"/>
        </w:rPr>
        <w:instrText xml:space="preserve"> </w:instrText>
      </w:r>
      <w:r>
        <w:rPr>
          <w:rStyle w:val="53"/>
          <w:rFonts w:hint="eastAsia" w:ascii="彩虹粗仿宋" w:hAnsi="彩虹粗仿宋" w:eastAsia="彩虹粗仿宋" w:cs="彩虹粗仿宋"/>
          <w:color w:val="auto"/>
          <w:sz w:val="28"/>
          <w:szCs w:val="28"/>
        </w:rPr>
        <w:fldChar w:fldCharType="separate"/>
      </w:r>
      <w:r>
        <w:rPr>
          <w:rStyle w:val="53"/>
          <w:rFonts w:hint="eastAsia" w:ascii="彩虹粗仿宋" w:hAnsi="彩虹粗仿宋" w:eastAsia="彩虹粗仿宋" w:cs="彩虹粗仿宋"/>
          <w:color w:val="auto"/>
          <w:sz w:val="28"/>
          <w:szCs w:val="28"/>
        </w:rPr>
        <w:t>第十五章  本合同的生效、期限与终止</w:t>
      </w:r>
      <w:r>
        <w:rPr>
          <w:rFonts w:hint="eastAsia" w:ascii="彩虹粗仿宋" w:hAnsi="彩虹粗仿宋" w:eastAsia="彩虹粗仿宋" w:cs="彩虹粗仿宋"/>
          <w:sz w:val="28"/>
          <w:szCs w:val="28"/>
        </w:rPr>
        <w:tab/>
      </w:r>
      <w:r>
        <w:rPr>
          <w:rFonts w:hint="eastAsia" w:ascii="彩虹粗仿宋" w:hAnsi="彩虹粗仿宋" w:eastAsia="彩虹粗仿宋" w:cs="彩虹粗仿宋"/>
          <w:sz w:val="28"/>
          <w:szCs w:val="28"/>
        </w:rPr>
        <w:fldChar w:fldCharType="begin"/>
      </w:r>
      <w:r>
        <w:rPr>
          <w:rFonts w:hint="eastAsia" w:ascii="彩虹粗仿宋" w:hAnsi="彩虹粗仿宋" w:eastAsia="彩虹粗仿宋" w:cs="彩虹粗仿宋"/>
          <w:sz w:val="28"/>
          <w:szCs w:val="28"/>
        </w:rPr>
        <w:instrText xml:space="preserve"> PAGEREF _Toc14782078 \h </w:instrText>
      </w:r>
      <w:r>
        <w:rPr>
          <w:rFonts w:hint="eastAsia" w:ascii="彩虹粗仿宋" w:hAnsi="彩虹粗仿宋" w:eastAsia="彩虹粗仿宋" w:cs="彩虹粗仿宋"/>
          <w:sz w:val="28"/>
          <w:szCs w:val="28"/>
        </w:rPr>
        <w:fldChar w:fldCharType="separate"/>
      </w:r>
      <w:r>
        <w:rPr>
          <w:rFonts w:ascii="彩虹粗仿宋" w:hAnsi="彩虹粗仿宋" w:eastAsia="彩虹粗仿宋" w:cs="彩虹粗仿宋"/>
          <w:sz w:val="28"/>
          <w:szCs w:val="28"/>
        </w:rPr>
        <w:t>30</w:t>
      </w:r>
      <w:r>
        <w:rPr>
          <w:rFonts w:hint="eastAsia" w:ascii="彩虹粗仿宋" w:hAnsi="彩虹粗仿宋" w:eastAsia="彩虹粗仿宋" w:cs="彩虹粗仿宋"/>
          <w:sz w:val="28"/>
          <w:szCs w:val="28"/>
        </w:rPr>
        <w:fldChar w:fldCharType="end"/>
      </w:r>
      <w:r>
        <w:rPr>
          <w:rStyle w:val="53"/>
          <w:rFonts w:hint="eastAsia" w:ascii="彩虹粗仿宋" w:hAnsi="彩虹粗仿宋" w:eastAsia="彩虹粗仿宋" w:cs="彩虹粗仿宋"/>
          <w:color w:val="auto"/>
          <w:sz w:val="28"/>
          <w:szCs w:val="28"/>
        </w:rPr>
        <w:fldChar w:fldCharType="end"/>
      </w:r>
    </w:p>
    <w:p>
      <w:pPr>
        <w:pStyle w:val="28"/>
        <w:tabs>
          <w:tab w:val="right" w:leader="dot" w:pos="8302"/>
        </w:tabs>
        <w:rPr>
          <w:rFonts w:hint="eastAsia" w:ascii="彩虹粗仿宋" w:hAnsi="彩虹粗仿宋" w:eastAsia="彩虹粗仿宋" w:cs="彩虹粗仿宋"/>
          <w:sz w:val="28"/>
          <w:szCs w:val="28"/>
        </w:rPr>
      </w:pPr>
      <w:r>
        <w:rPr>
          <w:rStyle w:val="53"/>
          <w:rFonts w:hint="eastAsia" w:ascii="彩虹粗仿宋" w:hAnsi="彩虹粗仿宋" w:eastAsia="彩虹粗仿宋" w:cs="彩虹粗仿宋"/>
          <w:color w:val="auto"/>
          <w:sz w:val="28"/>
          <w:szCs w:val="28"/>
        </w:rPr>
        <w:fldChar w:fldCharType="begin"/>
      </w:r>
      <w:r>
        <w:rPr>
          <w:rStyle w:val="53"/>
          <w:rFonts w:hint="eastAsia" w:ascii="彩虹粗仿宋" w:hAnsi="彩虹粗仿宋" w:eastAsia="彩虹粗仿宋" w:cs="彩虹粗仿宋"/>
          <w:color w:val="auto"/>
          <w:sz w:val="28"/>
          <w:szCs w:val="28"/>
        </w:rPr>
        <w:instrText xml:space="preserve"> </w:instrText>
      </w:r>
      <w:r>
        <w:rPr>
          <w:rFonts w:hint="eastAsia" w:ascii="彩虹粗仿宋" w:hAnsi="彩虹粗仿宋" w:eastAsia="彩虹粗仿宋" w:cs="彩虹粗仿宋"/>
          <w:sz w:val="28"/>
          <w:szCs w:val="28"/>
        </w:rPr>
        <w:instrText xml:space="preserve">HYPERLINK \l "_Toc14782079"</w:instrText>
      </w:r>
      <w:r>
        <w:rPr>
          <w:rStyle w:val="53"/>
          <w:rFonts w:hint="eastAsia" w:ascii="彩虹粗仿宋" w:hAnsi="彩虹粗仿宋" w:eastAsia="彩虹粗仿宋" w:cs="彩虹粗仿宋"/>
          <w:color w:val="auto"/>
          <w:sz w:val="28"/>
          <w:szCs w:val="28"/>
        </w:rPr>
        <w:instrText xml:space="preserve"> </w:instrText>
      </w:r>
      <w:r>
        <w:rPr>
          <w:rStyle w:val="53"/>
          <w:rFonts w:hint="eastAsia" w:ascii="彩虹粗仿宋" w:hAnsi="彩虹粗仿宋" w:eastAsia="彩虹粗仿宋" w:cs="彩虹粗仿宋"/>
          <w:color w:val="auto"/>
          <w:sz w:val="28"/>
          <w:szCs w:val="28"/>
        </w:rPr>
        <w:fldChar w:fldCharType="separate"/>
      </w:r>
      <w:r>
        <w:rPr>
          <w:rStyle w:val="53"/>
          <w:rFonts w:hint="eastAsia" w:ascii="彩虹粗仿宋" w:hAnsi="彩虹粗仿宋" w:eastAsia="彩虹粗仿宋" w:cs="彩虹粗仿宋"/>
          <w:color w:val="auto"/>
          <w:sz w:val="28"/>
          <w:szCs w:val="28"/>
        </w:rPr>
        <w:t>第十六章  计划的变更与终止</w:t>
      </w:r>
      <w:r>
        <w:rPr>
          <w:rFonts w:hint="eastAsia" w:ascii="彩虹粗仿宋" w:hAnsi="彩虹粗仿宋" w:eastAsia="彩虹粗仿宋" w:cs="彩虹粗仿宋"/>
          <w:sz w:val="28"/>
          <w:szCs w:val="28"/>
        </w:rPr>
        <w:tab/>
      </w:r>
      <w:r>
        <w:rPr>
          <w:rFonts w:hint="eastAsia" w:ascii="彩虹粗仿宋" w:hAnsi="彩虹粗仿宋" w:eastAsia="彩虹粗仿宋" w:cs="彩虹粗仿宋"/>
          <w:sz w:val="28"/>
          <w:szCs w:val="28"/>
        </w:rPr>
        <w:fldChar w:fldCharType="begin"/>
      </w:r>
      <w:r>
        <w:rPr>
          <w:rFonts w:hint="eastAsia" w:ascii="彩虹粗仿宋" w:hAnsi="彩虹粗仿宋" w:eastAsia="彩虹粗仿宋" w:cs="彩虹粗仿宋"/>
          <w:sz w:val="28"/>
          <w:szCs w:val="28"/>
        </w:rPr>
        <w:instrText xml:space="preserve"> PAGEREF _Toc14782079 \h </w:instrText>
      </w:r>
      <w:r>
        <w:rPr>
          <w:rFonts w:hint="eastAsia" w:ascii="彩虹粗仿宋" w:hAnsi="彩虹粗仿宋" w:eastAsia="彩虹粗仿宋" w:cs="彩虹粗仿宋"/>
          <w:sz w:val="28"/>
          <w:szCs w:val="28"/>
        </w:rPr>
        <w:fldChar w:fldCharType="separate"/>
      </w:r>
      <w:r>
        <w:rPr>
          <w:rFonts w:ascii="彩虹粗仿宋" w:hAnsi="彩虹粗仿宋" w:eastAsia="彩虹粗仿宋" w:cs="彩虹粗仿宋"/>
          <w:sz w:val="28"/>
          <w:szCs w:val="28"/>
        </w:rPr>
        <w:t>32</w:t>
      </w:r>
      <w:r>
        <w:rPr>
          <w:rFonts w:hint="eastAsia" w:ascii="彩虹粗仿宋" w:hAnsi="彩虹粗仿宋" w:eastAsia="彩虹粗仿宋" w:cs="彩虹粗仿宋"/>
          <w:sz w:val="28"/>
          <w:szCs w:val="28"/>
        </w:rPr>
        <w:fldChar w:fldCharType="end"/>
      </w:r>
      <w:r>
        <w:rPr>
          <w:rStyle w:val="53"/>
          <w:rFonts w:hint="eastAsia" w:ascii="彩虹粗仿宋" w:hAnsi="彩虹粗仿宋" w:eastAsia="彩虹粗仿宋" w:cs="彩虹粗仿宋"/>
          <w:color w:val="auto"/>
          <w:sz w:val="28"/>
          <w:szCs w:val="28"/>
        </w:rPr>
        <w:fldChar w:fldCharType="end"/>
      </w:r>
    </w:p>
    <w:p>
      <w:pPr>
        <w:pStyle w:val="28"/>
        <w:tabs>
          <w:tab w:val="right" w:leader="dot" w:pos="8302"/>
        </w:tabs>
        <w:rPr>
          <w:rFonts w:hint="eastAsia" w:ascii="彩虹粗仿宋" w:hAnsi="彩虹粗仿宋" w:eastAsia="彩虹粗仿宋" w:cs="彩虹粗仿宋"/>
          <w:sz w:val="28"/>
          <w:szCs w:val="28"/>
        </w:rPr>
      </w:pPr>
      <w:r>
        <w:rPr>
          <w:rStyle w:val="53"/>
          <w:rFonts w:hint="eastAsia" w:ascii="彩虹粗仿宋" w:hAnsi="彩虹粗仿宋" w:eastAsia="彩虹粗仿宋" w:cs="彩虹粗仿宋"/>
          <w:color w:val="auto"/>
          <w:sz w:val="28"/>
          <w:szCs w:val="28"/>
        </w:rPr>
        <w:fldChar w:fldCharType="begin"/>
      </w:r>
      <w:r>
        <w:rPr>
          <w:rStyle w:val="53"/>
          <w:rFonts w:hint="eastAsia" w:ascii="彩虹粗仿宋" w:hAnsi="彩虹粗仿宋" w:eastAsia="彩虹粗仿宋" w:cs="彩虹粗仿宋"/>
          <w:color w:val="auto"/>
          <w:sz w:val="28"/>
          <w:szCs w:val="28"/>
        </w:rPr>
        <w:instrText xml:space="preserve"> </w:instrText>
      </w:r>
      <w:r>
        <w:rPr>
          <w:rFonts w:hint="eastAsia" w:ascii="彩虹粗仿宋" w:hAnsi="彩虹粗仿宋" w:eastAsia="彩虹粗仿宋" w:cs="彩虹粗仿宋"/>
          <w:sz w:val="28"/>
          <w:szCs w:val="28"/>
        </w:rPr>
        <w:instrText xml:space="preserve">HYPERLINK \l "_Toc14782080"</w:instrText>
      </w:r>
      <w:r>
        <w:rPr>
          <w:rStyle w:val="53"/>
          <w:rFonts w:hint="eastAsia" w:ascii="彩虹粗仿宋" w:hAnsi="彩虹粗仿宋" w:eastAsia="彩虹粗仿宋" w:cs="彩虹粗仿宋"/>
          <w:color w:val="auto"/>
          <w:sz w:val="28"/>
          <w:szCs w:val="28"/>
        </w:rPr>
        <w:instrText xml:space="preserve"> </w:instrText>
      </w:r>
      <w:r>
        <w:rPr>
          <w:rStyle w:val="53"/>
          <w:rFonts w:hint="eastAsia" w:ascii="彩虹粗仿宋" w:hAnsi="彩虹粗仿宋" w:eastAsia="彩虹粗仿宋" w:cs="彩虹粗仿宋"/>
          <w:color w:val="auto"/>
          <w:sz w:val="28"/>
          <w:szCs w:val="28"/>
        </w:rPr>
        <w:fldChar w:fldCharType="separate"/>
      </w:r>
      <w:r>
        <w:rPr>
          <w:rStyle w:val="53"/>
          <w:rFonts w:hint="eastAsia" w:ascii="彩虹粗仿宋" w:hAnsi="彩虹粗仿宋" w:eastAsia="彩虹粗仿宋" w:cs="彩虹粗仿宋"/>
          <w:color w:val="auto"/>
          <w:sz w:val="28"/>
          <w:szCs w:val="28"/>
        </w:rPr>
        <w:t>第十七章  保密条款</w:t>
      </w:r>
      <w:r>
        <w:rPr>
          <w:rFonts w:hint="eastAsia" w:ascii="彩虹粗仿宋" w:hAnsi="彩虹粗仿宋" w:eastAsia="彩虹粗仿宋" w:cs="彩虹粗仿宋"/>
          <w:sz w:val="28"/>
          <w:szCs w:val="28"/>
        </w:rPr>
        <w:tab/>
      </w:r>
      <w:r>
        <w:rPr>
          <w:rFonts w:hint="eastAsia" w:ascii="彩虹粗仿宋" w:hAnsi="彩虹粗仿宋" w:eastAsia="彩虹粗仿宋" w:cs="彩虹粗仿宋"/>
          <w:sz w:val="28"/>
          <w:szCs w:val="28"/>
        </w:rPr>
        <w:fldChar w:fldCharType="begin"/>
      </w:r>
      <w:r>
        <w:rPr>
          <w:rFonts w:hint="eastAsia" w:ascii="彩虹粗仿宋" w:hAnsi="彩虹粗仿宋" w:eastAsia="彩虹粗仿宋" w:cs="彩虹粗仿宋"/>
          <w:sz w:val="28"/>
          <w:szCs w:val="28"/>
        </w:rPr>
        <w:instrText xml:space="preserve"> PAGEREF _Toc14782080 \h </w:instrText>
      </w:r>
      <w:r>
        <w:rPr>
          <w:rFonts w:hint="eastAsia" w:ascii="彩虹粗仿宋" w:hAnsi="彩虹粗仿宋" w:eastAsia="彩虹粗仿宋" w:cs="彩虹粗仿宋"/>
          <w:sz w:val="28"/>
          <w:szCs w:val="28"/>
        </w:rPr>
        <w:fldChar w:fldCharType="separate"/>
      </w:r>
      <w:r>
        <w:rPr>
          <w:rFonts w:ascii="彩虹粗仿宋" w:hAnsi="彩虹粗仿宋" w:eastAsia="彩虹粗仿宋" w:cs="彩虹粗仿宋"/>
          <w:sz w:val="28"/>
          <w:szCs w:val="28"/>
        </w:rPr>
        <w:t>33</w:t>
      </w:r>
      <w:r>
        <w:rPr>
          <w:rFonts w:hint="eastAsia" w:ascii="彩虹粗仿宋" w:hAnsi="彩虹粗仿宋" w:eastAsia="彩虹粗仿宋" w:cs="彩虹粗仿宋"/>
          <w:sz w:val="28"/>
          <w:szCs w:val="28"/>
        </w:rPr>
        <w:fldChar w:fldCharType="end"/>
      </w:r>
      <w:r>
        <w:rPr>
          <w:rStyle w:val="53"/>
          <w:rFonts w:hint="eastAsia" w:ascii="彩虹粗仿宋" w:hAnsi="彩虹粗仿宋" w:eastAsia="彩虹粗仿宋" w:cs="彩虹粗仿宋"/>
          <w:color w:val="auto"/>
          <w:sz w:val="28"/>
          <w:szCs w:val="28"/>
        </w:rPr>
        <w:fldChar w:fldCharType="end"/>
      </w:r>
    </w:p>
    <w:p>
      <w:pPr>
        <w:pStyle w:val="28"/>
        <w:tabs>
          <w:tab w:val="right" w:leader="dot" w:pos="8302"/>
        </w:tabs>
        <w:rPr>
          <w:rFonts w:hint="eastAsia" w:ascii="彩虹粗仿宋" w:hAnsi="彩虹粗仿宋" w:eastAsia="彩虹粗仿宋" w:cs="彩虹粗仿宋"/>
          <w:sz w:val="28"/>
          <w:szCs w:val="28"/>
        </w:rPr>
      </w:pPr>
      <w:r>
        <w:rPr>
          <w:rStyle w:val="53"/>
          <w:rFonts w:hint="eastAsia" w:ascii="彩虹粗仿宋" w:hAnsi="彩虹粗仿宋" w:eastAsia="彩虹粗仿宋" w:cs="彩虹粗仿宋"/>
          <w:color w:val="auto"/>
          <w:sz w:val="28"/>
          <w:szCs w:val="28"/>
        </w:rPr>
        <w:fldChar w:fldCharType="begin"/>
      </w:r>
      <w:r>
        <w:rPr>
          <w:rStyle w:val="53"/>
          <w:rFonts w:hint="eastAsia" w:ascii="彩虹粗仿宋" w:hAnsi="彩虹粗仿宋" w:eastAsia="彩虹粗仿宋" w:cs="彩虹粗仿宋"/>
          <w:color w:val="auto"/>
          <w:sz w:val="28"/>
          <w:szCs w:val="28"/>
        </w:rPr>
        <w:instrText xml:space="preserve"> </w:instrText>
      </w:r>
      <w:r>
        <w:rPr>
          <w:rFonts w:hint="eastAsia" w:ascii="彩虹粗仿宋" w:hAnsi="彩虹粗仿宋" w:eastAsia="彩虹粗仿宋" w:cs="彩虹粗仿宋"/>
          <w:sz w:val="28"/>
          <w:szCs w:val="28"/>
        </w:rPr>
        <w:instrText xml:space="preserve">HYPERLINK \l "_Toc14782081"</w:instrText>
      </w:r>
      <w:r>
        <w:rPr>
          <w:rStyle w:val="53"/>
          <w:rFonts w:hint="eastAsia" w:ascii="彩虹粗仿宋" w:hAnsi="彩虹粗仿宋" w:eastAsia="彩虹粗仿宋" w:cs="彩虹粗仿宋"/>
          <w:color w:val="auto"/>
          <w:sz w:val="28"/>
          <w:szCs w:val="28"/>
        </w:rPr>
        <w:instrText xml:space="preserve"> </w:instrText>
      </w:r>
      <w:r>
        <w:rPr>
          <w:rStyle w:val="53"/>
          <w:rFonts w:hint="eastAsia" w:ascii="彩虹粗仿宋" w:hAnsi="彩虹粗仿宋" w:eastAsia="彩虹粗仿宋" w:cs="彩虹粗仿宋"/>
          <w:color w:val="auto"/>
          <w:sz w:val="28"/>
          <w:szCs w:val="28"/>
        </w:rPr>
        <w:fldChar w:fldCharType="separate"/>
      </w:r>
      <w:r>
        <w:rPr>
          <w:rStyle w:val="53"/>
          <w:rFonts w:hint="eastAsia" w:ascii="彩虹粗仿宋" w:hAnsi="彩虹粗仿宋" w:eastAsia="彩虹粗仿宋" w:cs="彩虹粗仿宋"/>
          <w:color w:val="auto"/>
          <w:sz w:val="28"/>
          <w:szCs w:val="28"/>
        </w:rPr>
        <w:t>第十八章  通知及送达</w:t>
      </w:r>
      <w:r>
        <w:rPr>
          <w:rFonts w:hint="eastAsia" w:ascii="彩虹粗仿宋" w:hAnsi="彩虹粗仿宋" w:eastAsia="彩虹粗仿宋" w:cs="彩虹粗仿宋"/>
          <w:sz w:val="28"/>
          <w:szCs w:val="28"/>
        </w:rPr>
        <w:tab/>
      </w:r>
      <w:r>
        <w:rPr>
          <w:rFonts w:hint="eastAsia" w:ascii="彩虹粗仿宋" w:hAnsi="彩虹粗仿宋" w:eastAsia="彩虹粗仿宋" w:cs="彩虹粗仿宋"/>
          <w:sz w:val="28"/>
          <w:szCs w:val="28"/>
        </w:rPr>
        <w:fldChar w:fldCharType="begin"/>
      </w:r>
      <w:r>
        <w:rPr>
          <w:rFonts w:hint="eastAsia" w:ascii="彩虹粗仿宋" w:hAnsi="彩虹粗仿宋" w:eastAsia="彩虹粗仿宋" w:cs="彩虹粗仿宋"/>
          <w:sz w:val="28"/>
          <w:szCs w:val="28"/>
        </w:rPr>
        <w:instrText xml:space="preserve"> PAGEREF _Toc14782081 \h </w:instrText>
      </w:r>
      <w:r>
        <w:rPr>
          <w:rFonts w:hint="eastAsia" w:ascii="彩虹粗仿宋" w:hAnsi="彩虹粗仿宋" w:eastAsia="彩虹粗仿宋" w:cs="彩虹粗仿宋"/>
          <w:sz w:val="28"/>
          <w:szCs w:val="28"/>
        </w:rPr>
        <w:fldChar w:fldCharType="separate"/>
      </w:r>
      <w:r>
        <w:rPr>
          <w:rFonts w:ascii="彩虹粗仿宋" w:hAnsi="彩虹粗仿宋" w:eastAsia="彩虹粗仿宋" w:cs="彩虹粗仿宋"/>
          <w:sz w:val="28"/>
          <w:szCs w:val="28"/>
        </w:rPr>
        <w:t>33</w:t>
      </w:r>
      <w:r>
        <w:rPr>
          <w:rFonts w:hint="eastAsia" w:ascii="彩虹粗仿宋" w:hAnsi="彩虹粗仿宋" w:eastAsia="彩虹粗仿宋" w:cs="彩虹粗仿宋"/>
          <w:sz w:val="28"/>
          <w:szCs w:val="28"/>
        </w:rPr>
        <w:fldChar w:fldCharType="end"/>
      </w:r>
      <w:r>
        <w:rPr>
          <w:rStyle w:val="53"/>
          <w:rFonts w:hint="eastAsia" w:ascii="彩虹粗仿宋" w:hAnsi="彩虹粗仿宋" w:eastAsia="彩虹粗仿宋" w:cs="彩虹粗仿宋"/>
          <w:color w:val="auto"/>
          <w:sz w:val="28"/>
          <w:szCs w:val="28"/>
        </w:rPr>
        <w:fldChar w:fldCharType="end"/>
      </w:r>
    </w:p>
    <w:p>
      <w:pPr>
        <w:pStyle w:val="28"/>
        <w:tabs>
          <w:tab w:val="right" w:leader="dot" w:pos="8302"/>
        </w:tabs>
        <w:rPr>
          <w:rFonts w:hint="eastAsia" w:ascii="彩虹粗仿宋" w:hAnsi="彩虹粗仿宋" w:eastAsia="彩虹粗仿宋" w:cs="彩虹粗仿宋"/>
          <w:sz w:val="28"/>
          <w:szCs w:val="28"/>
        </w:rPr>
      </w:pPr>
      <w:r>
        <w:rPr>
          <w:rStyle w:val="53"/>
          <w:rFonts w:hint="eastAsia" w:ascii="彩虹粗仿宋" w:hAnsi="彩虹粗仿宋" w:eastAsia="彩虹粗仿宋" w:cs="彩虹粗仿宋"/>
          <w:color w:val="auto"/>
          <w:sz w:val="28"/>
          <w:szCs w:val="28"/>
        </w:rPr>
        <w:fldChar w:fldCharType="begin"/>
      </w:r>
      <w:r>
        <w:rPr>
          <w:rStyle w:val="53"/>
          <w:rFonts w:hint="eastAsia" w:ascii="彩虹粗仿宋" w:hAnsi="彩虹粗仿宋" w:eastAsia="彩虹粗仿宋" w:cs="彩虹粗仿宋"/>
          <w:color w:val="auto"/>
          <w:sz w:val="28"/>
          <w:szCs w:val="28"/>
        </w:rPr>
        <w:instrText xml:space="preserve"> </w:instrText>
      </w:r>
      <w:r>
        <w:rPr>
          <w:rFonts w:hint="eastAsia" w:ascii="彩虹粗仿宋" w:hAnsi="彩虹粗仿宋" w:eastAsia="彩虹粗仿宋" w:cs="彩虹粗仿宋"/>
          <w:sz w:val="28"/>
          <w:szCs w:val="28"/>
        </w:rPr>
        <w:instrText xml:space="preserve">HYPERLINK \l "_Toc14782082"</w:instrText>
      </w:r>
      <w:r>
        <w:rPr>
          <w:rStyle w:val="53"/>
          <w:rFonts w:hint="eastAsia" w:ascii="彩虹粗仿宋" w:hAnsi="彩虹粗仿宋" w:eastAsia="彩虹粗仿宋" w:cs="彩虹粗仿宋"/>
          <w:color w:val="auto"/>
          <w:sz w:val="28"/>
          <w:szCs w:val="28"/>
        </w:rPr>
        <w:instrText xml:space="preserve"> </w:instrText>
      </w:r>
      <w:r>
        <w:rPr>
          <w:rStyle w:val="53"/>
          <w:rFonts w:hint="eastAsia" w:ascii="彩虹粗仿宋" w:hAnsi="彩虹粗仿宋" w:eastAsia="彩虹粗仿宋" w:cs="彩虹粗仿宋"/>
          <w:color w:val="auto"/>
          <w:sz w:val="28"/>
          <w:szCs w:val="28"/>
        </w:rPr>
        <w:fldChar w:fldCharType="separate"/>
      </w:r>
      <w:r>
        <w:rPr>
          <w:rStyle w:val="53"/>
          <w:rFonts w:hint="eastAsia" w:ascii="彩虹粗仿宋" w:hAnsi="彩虹粗仿宋" w:eastAsia="彩虹粗仿宋" w:cs="彩虹粗仿宋"/>
          <w:color w:val="auto"/>
          <w:sz w:val="28"/>
          <w:szCs w:val="28"/>
        </w:rPr>
        <w:t>第十九章  风险提示</w:t>
      </w:r>
      <w:r>
        <w:rPr>
          <w:rFonts w:hint="eastAsia" w:ascii="彩虹粗仿宋" w:hAnsi="彩虹粗仿宋" w:eastAsia="彩虹粗仿宋" w:cs="彩虹粗仿宋"/>
          <w:sz w:val="28"/>
          <w:szCs w:val="28"/>
        </w:rPr>
        <w:tab/>
      </w:r>
      <w:r>
        <w:rPr>
          <w:rFonts w:hint="eastAsia" w:ascii="彩虹粗仿宋" w:hAnsi="彩虹粗仿宋" w:eastAsia="彩虹粗仿宋" w:cs="彩虹粗仿宋"/>
          <w:sz w:val="28"/>
          <w:szCs w:val="28"/>
        </w:rPr>
        <w:fldChar w:fldCharType="begin"/>
      </w:r>
      <w:r>
        <w:rPr>
          <w:rFonts w:hint="eastAsia" w:ascii="彩虹粗仿宋" w:hAnsi="彩虹粗仿宋" w:eastAsia="彩虹粗仿宋" w:cs="彩虹粗仿宋"/>
          <w:sz w:val="28"/>
          <w:szCs w:val="28"/>
        </w:rPr>
        <w:instrText xml:space="preserve"> PAGEREF _Toc14782082 \h </w:instrText>
      </w:r>
      <w:r>
        <w:rPr>
          <w:rFonts w:hint="eastAsia" w:ascii="彩虹粗仿宋" w:hAnsi="彩虹粗仿宋" w:eastAsia="彩虹粗仿宋" w:cs="彩虹粗仿宋"/>
          <w:sz w:val="28"/>
          <w:szCs w:val="28"/>
        </w:rPr>
        <w:fldChar w:fldCharType="separate"/>
      </w:r>
      <w:r>
        <w:rPr>
          <w:rFonts w:ascii="彩虹粗仿宋" w:hAnsi="彩虹粗仿宋" w:eastAsia="彩虹粗仿宋" w:cs="彩虹粗仿宋"/>
          <w:sz w:val="28"/>
          <w:szCs w:val="28"/>
        </w:rPr>
        <w:t>34</w:t>
      </w:r>
      <w:r>
        <w:rPr>
          <w:rFonts w:hint="eastAsia" w:ascii="彩虹粗仿宋" w:hAnsi="彩虹粗仿宋" w:eastAsia="彩虹粗仿宋" w:cs="彩虹粗仿宋"/>
          <w:sz w:val="28"/>
          <w:szCs w:val="28"/>
        </w:rPr>
        <w:fldChar w:fldCharType="end"/>
      </w:r>
      <w:r>
        <w:rPr>
          <w:rStyle w:val="53"/>
          <w:rFonts w:hint="eastAsia" w:ascii="彩虹粗仿宋" w:hAnsi="彩虹粗仿宋" w:eastAsia="彩虹粗仿宋" w:cs="彩虹粗仿宋"/>
          <w:color w:val="auto"/>
          <w:sz w:val="28"/>
          <w:szCs w:val="28"/>
        </w:rPr>
        <w:fldChar w:fldCharType="end"/>
      </w:r>
    </w:p>
    <w:p>
      <w:pPr>
        <w:pStyle w:val="28"/>
        <w:tabs>
          <w:tab w:val="right" w:leader="dot" w:pos="8302"/>
        </w:tabs>
        <w:rPr>
          <w:rFonts w:hint="eastAsia" w:ascii="彩虹粗仿宋" w:hAnsi="彩虹粗仿宋" w:eastAsia="彩虹粗仿宋" w:cs="彩虹粗仿宋"/>
          <w:sz w:val="28"/>
          <w:szCs w:val="28"/>
        </w:rPr>
      </w:pPr>
      <w:r>
        <w:rPr>
          <w:rStyle w:val="53"/>
          <w:rFonts w:hint="eastAsia" w:ascii="彩虹粗仿宋" w:hAnsi="彩虹粗仿宋" w:eastAsia="彩虹粗仿宋" w:cs="彩虹粗仿宋"/>
          <w:color w:val="auto"/>
          <w:sz w:val="28"/>
          <w:szCs w:val="28"/>
        </w:rPr>
        <w:fldChar w:fldCharType="begin"/>
      </w:r>
      <w:r>
        <w:rPr>
          <w:rStyle w:val="53"/>
          <w:rFonts w:hint="eastAsia" w:ascii="彩虹粗仿宋" w:hAnsi="彩虹粗仿宋" w:eastAsia="彩虹粗仿宋" w:cs="彩虹粗仿宋"/>
          <w:color w:val="auto"/>
          <w:sz w:val="28"/>
          <w:szCs w:val="28"/>
        </w:rPr>
        <w:instrText xml:space="preserve"> </w:instrText>
      </w:r>
      <w:r>
        <w:rPr>
          <w:rFonts w:hint="eastAsia" w:ascii="彩虹粗仿宋" w:hAnsi="彩虹粗仿宋" w:eastAsia="彩虹粗仿宋" w:cs="彩虹粗仿宋"/>
          <w:sz w:val="28"/>
          <w:szCs w:val="28"/>
        </w:rPr>
        <w:instrText xml:space="preserve">HYPERLINK \l "_Toc14782083"</w:instrText>
      </w:r>
      <w:r>
        <w:rPr>
          <w:rStyle w:val="53"/>
          <w:rFonts w:hint="eastAsia" w:ascii="彩虹粗仿宋" w:hAnsi="彩虹粗仿宋" w:eastAsia="彩虹粗仿宋" w:cs="彩虹粗仿宋"/>
          <w:color w:val="auto"/>
          <w:sz w:val="28"/>
          <w:szCs w:val="28"/>
        </w:rPr>
        <w:instrText xml:space="preserve"> </w:instrText>
      </w:r>
      <w:r>
        <w:rPr>
          <w:rStyle w:val="53"/>
          <w:rFonts w:hint="eastAsia" w:ascii="彩虹粗仿宋" w:hAnsi="彩虹粗仿宋" w:eastAsia="彩虹粗仿宋" w:cs="彩虹粗仿宋"/>
          <w:color w:val="auto"/>
          <w:sz w:val="28"/>
          <w:szCs w:val="28"/>
        </w:rPr>
        <w:fldChar w:fldCharType="separate"/>
      </w:r>
      <w:r>
        <w:rPr>
          <w:rStyle w:val="53"/>
          <w:rFonts w:hint="eastAsia" w:ascii="彩虹粗仿宋" w:hAnsi="彩虹粗仿宋" w:eastAsia="彩虹粗仿宋" w:cs="彩虹粗仿宋"/>
          <w:color w:val="auto"/>
          <w:sz w:val="28"/>
          <w:szCs w:val="28"/>
        </w:rPr>
        <w:t>第二十章  其他事项</w:t>
      </w:r>
      <w:r>
        <w:rPr>
          <w:rFonts w:hint="eastAsia" w:ascii="彩虹粗仿宋" w:hAnsi="彩虹粗仿宋" w:eastAsia="彩虹粗仿宋" w:cs="彩虹粗仿宋"/>
          <w:sz w:val="28"/>
          <w:szCs w:val="28"/>
        </w:rPr>
        <w:tab/>
      </w:r>
      <w:r>
        <w:rPr>
          <w:rFonts w:hint="eastAsia" w:ascii="彩虹粗仿宋" w:hAnsi="彩虹粗仿宋" w:eastAsia="彩虹粗仿宋" w:cs="彩虹粗仿宋"/>
          <w:sz w:val="28"/>
          <w:szCs w:val="28"/>
        </w:rPr>
        <w:fldChar w:fldCharType="begin"/>
      </w:r>
      <w:r>
        <w:rPr>
          <w:rFonts w:hint="eastAsia" w:ascii="彩虹粗仿宋" w:hAnsi="彩虹粗仿宋" w:eastAsia="彩虹粗仿宋" w:cs="彩虹粗仿宋"/>
          <w:sz w:val="28"/>
          <w:szCs w:val="28"/>
        </w:rPr>
        <w:instrText xml:space="preserve"> PAGEREF _Toc14782083 \h </w:instrText>
      </w:r>
      <w:r>
        <w:rPr>
          <w:rFonts w:hint="eastAsia" w:ascii="彩虹粗仿宋" w:hAnsi="彩虹粗仿宋" w:eastAsia="彩虹粗仿宋" w:cs="彩虹粗仿宋"/>
          <w:sz w:val="28"/>
          <w:szCs w:val="28"/>
        </w:rPr>
        <w:fldChar w:fldCharType="separate"/>
      </w:r>
      <w:r>
        <w:rPr>
          <w:rFonts w:ascii="彩虹粗仿宋" w:hAnsi="彩虹粗仿宋" w:eastAsia="彩虹粗仿宋" w:cs="彩虹粗仿宋"/>
          <w:sz w:val="28"/>
          <w:szCs w:val="28"/>
        </w:rPr>
        <w:t>34</w:t>
      </w:r>
      <w:r>
        <w:rPr>
          <w:rFonts w:hint="eastAsia" w:ascii="彩虹粗仿宋" w:hAnsi="彩虹粗仿宋" w:eastAsia="彩虹粗仿宋" w:cs="彩虹粗仿宋"/>
          <w:sz w:val="28"/>
          <w:szCs w:val="28"/>
        </w:rPr>
        <w:fldChar w:fldCharType="end"/>
      </w:r>
      <w:r>
        <w:rPr>
          <w:rStyle w:val="53"/>
          <w:rFonts w:hint="eastAsia" w:ascii="彩虹粗仿宋" w:hAnsi="彩虹粗仿宋" w:eastAsia="彩虹粗仿宋" w:cs="彩虹粗仿宋"/>
          <w:color w:val="auto"/>
          <w:sz w:val="28"/>
          <w:szCs w:val="28"/>
        </w:rPr>
        <w:fldChar w:fldCharType="end"/>
      </w:r>
    </w:p>
    <w:p>
      <w:pPr>
        <w:pStyle w:val="28"/>
        <w:tabs>
          <w:tab w:val="right" w:leader="dot" w:pos="8302"/>
        </w:tabs>
        <w:ind w:firstLine="560"/>
        <w:sectPr>
          <w:footerReference r:id="rId8" w:type="first"/>
          <w:footerReference r:id="rId6" w:type="default"/>
          <w:footerReference r:id="rId7" w:type="even"/>
          <w:pgSz w:w="11906" w:h="16838"/>
          <w:pgMar w:top="1440" w:right="1797" w:bottom="1440" w:left="1797" w:header="851" w:footer="992" w:gutter="0"/>
          <w:pgNumType w:start="1"/>
          <w:cols w:space="720" w:num="1"/>
          <w:titlePg/>
          <w:docGrid w:type="lines" w:linePitch="312" w:charSpace="0"/>
        </w:sectPr>
      </w:pPr>
      <w:bookmarkStart w:id="31" w:name="_Hlt14781803"/>
      <w:bookmarkEnd w:id="31"/>
      <w:bookmarkStart w:id="32" w:name="_Hlt14781804"/>
      <w:bookmarkEnd w:id="32"/>
      <w:r>
        <w:rPr>
          <w:rFonts w:hint="eastAsia" w:ascii="彩虹粗仿宋" w:hAnsi="彩虹粗仿宋" w:eastAsia="彩虹粗仿宋" w:cs="彩虹粗仿宋"/>
          <w:sz w:val="28"/>
          <w:szCs w:val="28"/>
        </w:rPr>
        <w:fldChar w:fldCharType="end"/>
      </w:r>
      <w:bookmarkStart w:id="33" w:name="_Toc178058115"/>
      <w:bookmarkStart w:id="34" w:name="_Toc196484062"/>
      <w:bookmarkStart w:id="35" w:name="_Toc196398438"/>
    </w:p>
    <w:p>
      <w:pPr>
        <w:pStyle w:val="2"/>
        <w:jc w:val="center"/>
        <w:rPr>
          <w:rFonts w:hint="eastAsia" w:ascii="彩虹黑体" w:hAnsi="彩虹粗仿宋" w:eastAsia="彩虹黑体" w:cs="彩虹粗仿宋"/>
          <w:b w:val="0"/>
          <w:sz w:val="28"/>
          <w:szCs w:val="28"/>
        </w:rPr>
      </w:pPr>
      <w:bookmarkStart w:id="36" w:name="_Toc14782063"/>
      <w:bookmarkStart w:id="37" w:name="_Toc311040980"/>
      <w:r>
        <w:rPr>
          <w:rFonts w:hint="eastAsia" w:ascii="彩虹黑体" w:hAnsi="彩虹粗仿宋" w:eastAsia="彩虹黑体" w:cs="彩虹粗仿宋"/>
          <w:b w:val="0"/>
          <w:sz w:val="28"/>
          <w:szCs w:val="28"/>
        </w:rPr>
        <w:t>前  言</w:t>
      </w:r>
      <w:bookmarkEnd w:id="36"/>
      <w:bookmarkEnd w:id="37"/>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为规范企业年金基金的运作，维护甲乙双方及受益人的合法权益，明确甲乙双方的权利义务，依据《中华人民共和国信托法》、《中华人民共和国民法典》、《企业年金办法》（人力资源和社会保障部令第36号）、《企业年金基金管理办法》（人力资源和社会保障部令第11号）、</w:t>
      </w:r>
      <w:r>
        <w:rPr>
          <w:rFonts w:hint="eastAsia" w:ascii="彩虹粗仿宋" w:eastAsia="彩虹粗仿宋"/>
          <w:sz w:val="28"/>
          <w:szCs w:val="28"/>
        </w:rPr>
        <w:t>《关于企业年金、职业年金个人所得税有关问题的通知》（财税[2013]103号）、《人力资源社会保障部关于调整年金基金投资范围的通知》（人社部发[2020]95号）、《人力资源社会保障部办公厅关于印发调整年金基金投资范围有关问题政策释义的通知》（人社厅发[2020]112号）</w:t>
      </w:r>
      <w:r>
        <w:rPr>
          <w:rFonts w:hint="eastAsia" w:ascii="彩虹粗仿宋" w:hAnsi="彩虹粗仿宋" w:eastAsia="彩虹粗仿宋" w:cs="彩虹粗仿宋"/>
          <w:sz w:val="28"/>
          <w:szCs w:val="28"/>
        </w:rPr>
        <w:t>等法律法规规定及甲方企业年金方案，甲方委托乙方担任企业年金基金财产的受托人，并同意乙方兼任本计划的账户管理人和投资管理人。在平等自愿和诚实信用的基础上，甲乙双方签订《企业年金集合计划受托管理合同》（以下简称“本合同”）。</w:t>
      </w:r>
    </w:p>
    <w:p>
      <w:pPr>
        <w:pStyle w:val="2"/>
        <w:jc w:val="center"/>
        <w:rPr>
          <w:rFonts w:hint="eastAsia" w:ascii="彩虹黑体" w:hAnsi="彩虹粗仿宋" w:eastAsia="彩虹黑体" w:cs="彩虹粗仿宋"/>
          <w:b w:val="0"/>
          <w:sz w:val="28"/>
          <w:szCs w:val="28"/>
        </w:rPr>
      </w:pPr>
      <w:bookmarkStart w:id="38" w:name="_Toc14782064"/>
      <w:bookmarkStart w:id="39" w:name="_Toc311040981"/>
      <w:r>
        <w:rPr>
          <w:rFonts w:hint="eastAsia" w:ascii="彩虹黑体" w:hAnsi="彩虹粗仿宋" w:eastAsia="彩虹黑体" w:cs="彩虹粗仿宋"/>
          <w:b w:val="0"/>
          <w:sz w:val="28"/>
          <w:szCs w:val="28"/>
        </w:rPr>
        <w:t>第一章　定义</w:t>
      </w:r>
      <w:bookmarkEnd w:id="38"/>
      <w:bookmarkEnd w:id="39"/>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在本合同中，除上下文另有解释外，下列词语应当具有如下含义：</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1.1  企业年金：指甲方及其职工在依法参加基本养老保险的基础上，自主建立的补充养老保险制度。</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1.2  企业年金方案：指由甲方发起、甲方职工参与、经过甲方和甲方职工的集体协商，并经人力资源社会保障行政部门审核备案的具有法律效力的文件，内容包括</w:t>
      </w:r>
      <w:r>
        <w:rPr>
          <w:rFonts w:hint="eastAsia" w:ascii="彩虹粗仿宋" w:hAnsi="彩虹粗仿宋" w:eastAsia="彩虹粗仿宋" w:cs="彩虹粗仿宋"/>
          <w:kern w:val="0"/>
          <w:sz w:val="28"/>
          <w:szCs w:val="28"/>
          <w:shd w:val="clear" w:color="auto" w:fill="FFFFFF"/>
        </w:rPr>
        <w:t>参加人员，资金筹集与分配的比例和办法，账户管理，权益归属，基金管理，待遇计发和支付方式，方案的变更和终止，组织管理和监督方式</w:t>
      </w:r>
      <w:r>
        <w:rPr>
          <w:rFonts w:hint="eastAsia" w:ascii="彩虹粗仿宋" w:hAnsi="彩虹粗仿宋" w:eastAsia="彩虹粗仿宋" w:cs="彩虹粗仿宋"/>
          <w:sz w:val="28"/>
          <w:szCs w:val="28"/>
        </w:rPr>
        <w:t>及双方约定的其他事项等。</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1.3  企业年金计划：由企业年金方案和企业年金基金管理合同等法律文件组成。</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1.4  企业年金集合计划：指同一受托人将多个委托人交付的企业年金基金，集中进行受托管理的企业年金计划。</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1.5  本计划：指由乙方发起设立的，经人力资源和社会保障部备案的。</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1.6  企业年金基金财产：指参加本计划的企业及其职工根据企业年金方案归集的资金及其投资运营收益形成的企业补充养老保险基金。</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1.7  委托投资资产：指企业年金基金财产中已委托给投资管理人的资产。</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1.8  委托人：指建立企业年金计划的甲方及其职工。本合同中甲方代表委托人行使委托人的权利义务。</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1.9  受益人：指按照企业年金方案规定，参加企业年金计划的甲方职工及其他享有企业年金计划受益权的自然人。</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1.10  受托人：指受托管理企业年金基金的符合国家规定的养老金管理公司等法人受托机构，本合同中特指乙方。</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1.11  账户管理人：指接受受托人委托管理企业年金基金账户的符合国家规定的专业机构。</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1.12  托管人：指接受受托人委托保管企业年金基金财产的符合国家规定的商业银行。</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1.13  投资管理人：指接受受托人委托投资管理企业年金基金财产的符合国家规定的专业机构。</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1.14  账户管理合同：指乙方与账户管理人签订的《企业年金集合计划账户管理合同》（若乙方兼任账户管理人，则指《企业年金集合计划》账户管理条款）及其附件，以及乙方和账户管理人对该合同（或条款）及附件做出的任何有效变更及补充。</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1.15  托管合同：指乙方与托管人签订的《企业年金集合计划托管合同》及其附件，以及乙方和托管人对该合同及附件做出的任何有效变更及补充。</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1.16  投资管理合同：指乙方与投资管理人签订的《企业年金集合计划投资管理合同》（若乙方兼任投资管理人，包含《企业年金集合计划》投资管理条款）及其附件，以及乙方和投资管理人对该合同（或条款）及附件做出的任何有效变更及补充。</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1.17  受托财产托管账户：指托管人开立的、专门用于归集企业年金缴费、向投资资产托管账户划拨资金、向受益人支付企业年金待遇、依据法律法规规定支付企业年金管理费用或转移企业年金基金财产的专用存款账户。</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1.18  投资资产托管账户：指托管人开立的、专门用于所托管的企业年金基金因投资运作而发生的资金清算交收的专用存款账户。</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1.19  企业账户：指用于记录企业基本信息及企业年金计划权益信息的账户。企业基本信息至少应当包括企业编码、企业名称、组织机构代码、通讯地址、联系人姓名及电话；企业年金计划权益信息至少应当包括缴费、支付、投资收益、权益余额、未归属权益等信息。</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1.20  个人账户：指用于记录职工个人基本信息、企业缴费信息、个人缴费信息、投资收益、已归属权益等信息的账户。</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1.21  保留账户：指职工因变动工作、升学、参军、失业等法律法规规定的原因离职或者企业年金计划终止且没有加入其他受托人管理的企业年金</w:t>
      </w:r>
      <w:r>
        <w:rPr>
          <w:rFonts w:hint="eastAsia" w:ascii="彩虹粗仿宋" w:eastAsia="彩虹粗仿宋"/>
          <w:sz w:val="28"/>
          <w:szCs w:val="28"/>
        </w:rPr>
        <w:t>或职业年金</w:t>
      </w:r>
      <w:r>
        <w:rPr>
          <w:rFonts w:hint="eastAsia" w:ascii="彩虹粗仿宋" w:hAnsi="彩虹粗仿宋" w:eastAsia="彩虹粗仿宋" w:cs="彩虹粗仿宋"/>
          <w:sz w:val="28"/>
          <w:szCs w:val="28"/>
        </w:rPr>
        <w:t>计划时，用于记录职工个人基本信息、投资收益、权益余额等信息的账户。</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1.22  退休账户：指职工退休选择分期领取企业年金待遇时，用于记录职工个人基本信息、企业年金待遇支付、投资收益、权益余额等信息的账户。</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1.23  已归属权益：指甲方职工符合企业年金方案规定的归属条件时，确定该职工企业年金个人账户中企业缴费及其投资运营收益中应当取得的权益。</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1.24  未归属权益：指甲方职工离开甲方时，按照企业年金方案规定的归属条件，职工个人账户中未能归属于职工的企业缴费及其投资运营收益。</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1.25  个人账户权益：指企业年金个人账户中个人缴费及其投资运营收益以及受益人享有的已归属权益。</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1.26  企业年金待遇：指按照相关法律法规和企业年金方案应当支付给受益人的个人账户权益。</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1.27  投资组合：指为分散风险而将企业年金基金分成的若干投资单元。</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1.28  交易日：指上海证券交易所、深圳证券交易所等交易所正常的营业日。</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1.29  审计费用：指对本计划进行审计所发生的费用。</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1.30  交易费用：指因证券买卖所产生的印花税、手续费、过户费、证管费、交易单元佣金及账户维护费等费用。</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1.31  资金划拨费用：指因受托财产托管账户与投资资产托管账户之间的资金划拨、投资资产托管账户与证券市场、银行间债券市场、开放式基金等登记清算机构的资金账户之间的资金划拨、企业年金待遇领取的资金划拨以及支付有关费用等产生的汇划费用以及由此产生的银行票据购买等费用。</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1.32  开户费用：指托管人为本计划及投资组合开设资金类和投资交易类等账户时所发生的费用。</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1.33  清算费用：指本计划终止时对企业年金基金财产进行清算时发生的费用。</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1.34  超缴：指委托人实际缴费金额大于缴费收账通知的应收缴费金额。</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1.35  短缴：指委托人实际缴费金额小于缴费收账通知的应收缴费金额。</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1.36  管理职责终止日：指本计划的受托人、账户管理人、托管人或投资管理人职责终止，新旧管理人业务移交手续办理完毕之日，具体日期由受托人与新旧管理人协商确定。</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1.37  转移定价日：指为了确定管理人变更时移交企业年金基金的财产规模，由涉及变更的各管理人共同协商确定的一个定价日，以该定价日的财产规模作为移交财产规模的依据。</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1.38  法律法规: 本合同所称法律法规指国家现行有效并公布实施的法律、行政法规、司法解释、部门规章及规范性文件等。</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1.39  不可抗力：指甲乙双方不能预见、不能避免且不能克服的客观情况，包括但不限于自然灾害、社会政治动乱和战争、以及证券交易所、中国证券登记结算有限责任公司、中央国债登记结算有限责任公司、银行间市场清算所股份有限公司等证券交易和结算机构的交易系统故障。</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1.40  损失：本合同、附件以及后续签订的补充协议中所指的损失均指直接损失。</w:t>
      </w:r>
    </w:p>
    <w:p>
      <w:pPr>
        <w:pStyle w:val="2"/>
        <w:jc w:val="center"/>
        <w:rPr>
          <w:rFonts w:hint="eastAsia" w:ascii="彩虹黑体" w:hAnsi="彩虹粗仿宋" w:eastAsia="彩虹黑体" w:cs="彩虹粗仿宋"/>
          <w:b w:val="0"/>
          <w:sz w:val="28"/>
          <w:szCs w:val="28"/>
        </w:rPr>
      </w:pPr>
      <w:bookmarkStart w:id="40" w:name="_Toc14782065"/>
      <w:bookmarkStart w:id="41" w:name="_Toc311040982"/>
      <w:r>
        <w:rPr>
          <w:rFonts w:hint="eastAsia" w:ascii="彩虹黑体" w:hAnsi="彩虹粗仿宋" w:eastAsia="彩虹黑体" w:cs="彩虹粗仿宋"/>
          <w:b w:val="0"/>
          <w:sz w:val="28"/>
          <w:szCs w:val="28"/>
        </w:rPr>
        <w:t>第二章  声明与承诺</w:t>
      </w:r>
      <w:bookmarkEnd w:id="40"/>
      <w:bookmarkEnd w:id="41"/>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2.1  甲方声明与承诺。</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2.1.1  甲方声明已通过职工大会(或者职工代表大会)讨论确定，取得职工的合法授权，代表委托人签署本合同，并可代为处理与受益人相关的事项，但法律法规规定、本合同约定及根据行为性质只能由受益人自己处理的事项除外。</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2.1.2  甲方声明已了解国家关于企业年金的法律法规规定及本合同约定，充分认识到企业年金基金财产运作过程中可能存在的风险，自愿按照法律法规规定及本合同约定将其合法拥有的按照其企业年金方案所归集的企业年金基金财产委托给乙方管理运用、处分。</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2.1.3  甲方声明甲方依据本企业的企业年金计划设立的相关文件和资料，签署本合同并履行本合同约定的义务，行使本合同项下的权利，不违反甲方章程和适用于甲方的任何生效判决、裁定、授权及协议，不会为其他任何第三方所质疑，并为合同有效执行负有责任。</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2.1.4  甲方承诺企业年金基金财产来源及用途符合法律法规规定，并保证企业年金基金财产没有用于任何担保和抵押，亦无其他任何限制性条件妨碍乙方对企业年金基金财产进行受托管理。</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2.1.5  甲方承诺提供给乙方的所有信息资料均合法、真实、准确、完整，没有任何虚假陈述、重大遗漏和误导。</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2.2  乙方声明与承诺。</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2.2.1  乙方声明本公司为根据法律法规合法设立并有效存续、依法取得企业年金基金受托管理业务资格、受托管理企业年金基金财产的法人受托机构。</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2.2.2  乙方声明签署本合同、履行其在本合同项下的义务、行使其在本合同项下的权利，不违反乙方章程和适用于乙方的任何生效判决、裁定、授权及协议。</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2.2.3  乙方声明市场存在风险，不保证企业年金基金财产管理过程中本金不受损失，亦不保证一定盈利。</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2.2.4  乙方承诺严格遵守法律法规规定、企业年金管理机构行业自律公约和本合同约定，恪尽职守，按照诚实、信用、谨慎、勤勉的原则，履行受托管理职责，为受益人最大利益管理和处分企业年金基金财产。</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2.2.5  乙方承诺提供给甲方的所有信息资料均合法、真实、准确、完整，没有任何虚假陈述、重大遗漏和误导。</w:t>
      </w:r>
    </w:p>
    <w:bookmarkEnd w:id="33"/>
    <w:bookmarkEnd w:id="34"/>
    <w:bookmarkEnd w:id="35"/>
    <w:p>
      <w:pPr>
        <w:pStyle w:val="2"/>
        <w:jc w:val="center"/>
        <w:rPr>
          <w:rFonts w:hint="eastAsia" w:ascii="彩虹黑体" w:hAnsi="彩虹粗仿宋" w:eastAsia="彩虹黑体" w:cs="彩虹粗仿宋"/>
          <w:b w:val="0"/>
          <w:sz w:val="28"/>
          <w:szCs w:val="28"/>
        </w:rPr>
      </w:pPr>
      <w:bookmarkStart w:id="42" w:name="_Toc196484064"/>
      <w:bookmarkStart w:id="43" w:name="_Toc14782066"/>
      <w:bookmarkStart w:id="44" w:name="_Toc311040983"/>
      <w:r>
        <w:rPr>
          <w:rFonts w:hint="eastAsia" w:ascii="彩虹黑体" w:hAnsi="彩虹粗仿宋" w:eastAsia="彩虹黑体" w:cs="彩虹粗仿宋"/>
          <w:b w:val="0"/>
          <w:sz w:val="28"/>
          <w:szCs w:val="28"/>
        </w:rPr>
        <w:t>第三章  受托的设立</w:t>
      </w:r>
      <w:bookmarkEnd w:id="42"/>
      <w:bookmarkEnd w:id="43"/>
      <w:bookmarkEnd w:id="44"/>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3.1  设立的条件。</w:t>
      </w: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甲方企业年金方案已经过人力资源社会保障行政部门备案，方案备案文号（或复函文件名）为</w:t>
      </w:r>
      <w:r>
        <w:rPr>
          <w:rFonts w:hint="eastAsia" w:ascii="彩虹粗仿宋" w:hAnsi="彩虹粗仿宋" w:eastAsia="彩虹粗仿宋" w:cs="彩虹粗仿宋"/>
          <w:sz w:val="28"/>
          <w:szCs w:val="28"/>
          <w:u w:val="single"/>
        </w:rPr>
        <w:t xml:space="preserve">   </w:t>
      </w:r>
      <w:r>
        <w:rPr>
          <w:rFonts w:hint="eastAsia" w:ascii="彩虹粗仿宋" w:hAnsi="彩虹粗仿宋" w:eastAsia="彩虹粗仿宋" w:cs="彩虹粗仿宋"/>
          <w:sz w:val="28"/>
          <w:szCs w:val="28"/>
          <w:u w:val="single"/>
          <w:lang w:val="en-US" w:eastAsia="zh-CN"/>
        </w:rPr>
        <w:t xml:space="preserve">               </w:t>
      </w:r>
      <w:r>
        <w:rPr>
          <w:rFonts w:hint="eastAsia" w:ascii="彩虹粗仿宋" w:hAnsi="彩虹粗仿宋" w:eastAsia="彩虹粗仿宋" w:cs="彩虹粗仿宋"/>
          <w:sz w:val="28"/>
          <w:szCs w:val="28"/>
          <w:u w:val="single"/>
        </w:rPr>
        <w:t xml:space="preserve">                </w:t>
      </w:r>
      <w:r>
        <w:rPr>
          <w:rFonts w:hint="eastAsia" w:ascii="彩虹粗仿宋" w:hAnsi="彩虹粗仿宋" w:eastAsia="彩虹粗仿宋" w:cs="彩虹粗仿宋"/>
          <w:sz w:val="28"/>
          <w:szCs w:val="28"/>
        </w:rPr>
        <w:t>。</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3.2  设立的目的。</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保障企业年金基金财产的独立性，争取实现企业年金基金保值增值，提高受益人退休后的收入水平。</w:t>
      </w:r>
    </w:p>
    <w:p>
      <w:pPr>
        <w:tabs>
          <w:tab w:val="left" w:pos="2700"/>
        </w:tabs>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3.3  受托财产。</w:t>
      </w:r>
    </w:p>
    <w:p>
      <w:pPr>
        <w:tabs>
          <w:tab w:val="left" w:pos="2700"/>
        </w:tabs>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甲方委托乙方按本合同约定进行受托管理的企业年金基金财产。</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3.4  受托的成立。</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本合同生效之日起，受托成立。</w:t>
      </w:r>
    </w:p>
    <w:p>
      <w:pPr>
        <w:pStyle w:val="2"/>
        <w:jc w:val="center"/>
        <w:rPr>
          <w:rFonts w:hint="eastAsia" w:ascii="彩虹黑体" w:hAnsi="彩虹粗仿宋" w:eastAsia="彩虹黑体" w:cs="彩虹粗仿宋"/>
          <w:b w:val="0"/>
          <w:sz w:val="28"/>
          <w:szCs w:val="28"/>
        </w:rPr>
      </w:pPr>
      <w:bookmarkStart w:id="45" w:name="_Toc14782067"/>
      <w:bookmarkStart w:id="46" w:name="_Toc311040984"/>
      <w:r>
        <w:rPr>
          <w:rFonts w:hint="eastAsia" w:ascii="彩虹黑体" w:hAnsi="彩虹粗仿宋" w:eastAsia="彩虹黑体" w:cs="彩虹粗仿宋"/>
          <w:b w:val="0"/>
          <w:sz w:val="28"/>
          <w:szCs w:val="28"/>
        </w:rPr>
        <w:t>第四章  受托当事人的权利与义务</w:t>
      </w:r>
      <w:bookmarkEnd w:id="45"/>
      <w:bookmarkEnd w:id="46"/>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4.1  受托当事人。</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受托当事人为甲方、乙方和受益人。</w:t>
      </w:r>
    </w:p>
    <w:p>
      <w:pPr>
        <w:spacing w:line="360" w:lineRule="auto"/>
        <w:ind w:firstLine="560" w:firstLineChars="200"/>
        <w:rPr>
          <w:rFonts w:hint="eastAsia" w:ascii="彩虹粗仿宋" w:hAnsi="彩虹粗仿宋" w:eastAsia="彩虹粗仿宋" w:cs="彩虹粗仿宋"/>
          <w:sz w:val="28"/>
          <w:szCs w:val="28"/>
        </w:rPr>
      </w:pPr>
      <w:bookmarkStart w:id="47" w:name="_Toc200853037"/>
      <w:bookmarkStart w:id="48" w:name="_Toc200433424"/>
      <w:bookmarkStart w:id="49" w:name="_Toc200433616"/>
      <w:bookmarkStart w:id="50" w:name="_Toc196484069"/>
      <w:r>
        <w:rPr>
          <w:rFonts w:hint="eastAsia" w:ascii="彩虹粗仿宋" w:hAnsi="彩虹粗仿宋" w:eastAsia="彩虹粗仿宋" w:cs="彩虹粗仿宋"/>
          <w:sz w:val="28"/>
          <w:szCs w:val="28"/>
        </w:rPr>
        <w:t>4.2  甲方的权利与义务</w:t>
      </w:r>
      <w:bookmarkEnd w:id="47"/>
      <w:bookmarkEnd w:id="48"/>
      <w:bookmarkEnd w:id="49"/>
      <w:bookmarkEnd w:id="50"/>
      <w:r>
        <w:rPr>
          <w:rFonts w:hint="eastAsia" w:ascii="彩虹粗仿宋" w:hAnsi="彩虹粗仿宋" w:eastAsia="彩虹粗仿宋" w:cs="彩虹粗仿宋"/>
          <w:sz w:val="28"/>
          <w:szCs w:val="28"/>
        </w:rPr>
        <w:t>。</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4.2.1  甲方的权利。</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4.2.1.1  有权按本计划规定申请加入或退出本计划。</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4.2.1.2  监督乙方的受托管理行为。</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4.2.1.3  向乙方了解企业年金基金财产管理、处分及收支情况，并有权要求乙方做出说明。</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4.2.1.4  依据法律法规规定，查阅、抄录或者复制与企业年金基金财产有关的财务资料以及与企业年金基金管理有关的其他资料。</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4.2.1.5  有权在乙方协助下选择或转换企业年金基金投资组合。</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4.2.1.6  按本合同约定终止本合同。</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4.2.1.7  向乙方查阅本计划的委托管理合同。</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4.2.1.8  行使法律法规规定及本合同约定的其他权利。</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4.2.2  甲方的义务。</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4.2.2.1  遵守法律法规规定及本合同约定，不损害国家、社会公众和受益人的合法权益，如法律法规调整，应当及时与乙方协商，相应调整本合同相关内容。</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4.2.2.2  按企业年金方案规定缴费，并于企业年金基金缴费归集到受托财产托管账户后配合乙方在45日内将缴费划入投资资产托管账户。</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4.2.2.3  及时足额支付账户管理费；同意乙方按本合同约定从企业年金基金财产中列支受托管理费、托管费、投资管理费和其他有关费用。</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4.2.2.4  及时向乙方提供企业年金方案建立和运作所必需的相关资料和信息，包括企业基本信息、职工个人基本信息、缴费信息、支付年金待遇的相关证明等，并承担本合同和企业年金方案约定的管理流程中确认数据等各项职责。其中，企业基本信息应当包括企业编码、企业名称、组织机构代码、通讯地址、联系人姓名及电话等信息，个人基本信息应当包括企业年金计划编码、姓名、性别、出生日期、公民身份证号码或其他有效身份证件号码、通信地址、联系电话、参加工作日期、参加计划日期等信息。</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4.2.2.5  向受益人披露企业年金基金管理相关信息，包括但不限于：本合同内容、受益人个人账户状态变更情况、本计划的定期报告、临时报告、审计报告及清算报告等。</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4.2.2.6  如变更企业年金方案，变更内容涉及受托管理职责的，应当提前与乙方协商。甲方应当及时向人力资源社会保障行政部门报备变更后的企业年金方案，并及时书面告知乙方。</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4.2.2.7  如甲方终止本企业的企业年金计划，应当向乙方提出申请将受益人的个人账户权益转至保留账户管理。</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4.2.2.8  甲方无正当理由不得干预乙方行使法律法规赋予的受托人职责、不得干预乙方选择其他企业年金基金管理机构。如因甲方无故干预，导致企业年金基金财产受到损失的，该损失由甲方承担。</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4.2.2.9  完整保存与本合同有关的凭证、合同及协议等资料，自合同终止之日起至少15年。</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4.2.2.10  履行法律法规规定及本合同约定的其他义务。</w:t>
      </w:r>
    </w:p>
    <w:p>
      <w:pPr>
        <w:spacing w:line="360" w:lineRule="auto"/>
        <w:ind w:firstLine="560" w:firstLineChars="200"/>
        <w:rPr>
          <w:rFonts w:hint="eastAsia" w:ascii="彩虹粗仿宋" w:hAnsi="彩虹粗仿宋" w:eastAsia="彩虹粗仿宋" w:cs="彩虹粗仿宋"/>
          <w:sz w:val="28"/>
          <w:szCs w:val="28"/>
        </w:rPr>
      </w:pPr>
      <w:bookmarkStart w:id="51" w:name="_Toc200433617"/>
      <w:bookmarkStart w:id="52" w:name="_Toc200433425"/>
      <w:bookmarkStart w:id="53" w:name="_Toc200853038"/>
      <w:bookmarkStart w:id="54" w:name="_Toc196484070"/>
      <w:r>
        <w:rPr>
          <w:rFonts w:hint="eastAsia" w:ascii="彩虹粗仿宋" w:hAnsi="彩虹粗仿宋" w:eastAsia="彩虹粗仿宋" w:cs="彩虹粗仿宋"/>
          <w:sz w:val="28"/>
          <w:szCs w:val="28"/>
        </w:rPr>
        <w:t>4.3  乙方的权利与义务</w:t>
      </w:r>
      <w:bookmarkEnd w:id="51"/>
      <w:bookmarkEnd w:id="52"/>
      <w:bookmarkEnd w:id="53"/>
      <w:bookmarkEnd w:id="54"/>
      <w:r>
        <w:rPr>
          <w:rFonts w:hint="eastAsia" w:ascii="彩虹粗仿宋" w:hAnsi="彩虹粗仿宋" w:eastAsia="彩虹粗仿宋" w:cs="彩虹粗仿宋"/>
          <w:sz w:val="28"/>
          <w:szCs w:val="28"/>
        </w:rPr>
        <w:t>。</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4.3.1  乙方的权利。</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4.3.1.1  自本合同生效之日起，有权依据法律法规规定及本合同约定，管理运用、处分企业年金基金财产。</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4.3.1.2  依据本合同约定及时从甲方获得与本企业的企业年金计划管理有关的业务资料及信息。</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4.3.1.3  选择、监督、更换账户管理人、托管人和投资管理人。</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4.3.1.4  依据本合同约定从受托财产中收取受托管理费；要求甲方按照账户管理合同约定及时、足额支付账户管理费；依据托管合同、投资管理合同约定从企业年金基金财产中列支托管费和投资管理费。</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4.3.1.5  甲方依法解散、被依法撤销、被依法宣告破产或者被依法接管无法继续履行本合同时，甲方未及时办理受益人的个人账户权益转至保留账户相关手续的，乙方有权将受益人的个人账户权益转至乙方发起设立的企业年金集合计划下的保留账户管理。</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4.3.1.6  当甲方的指令同有关法律法规相抵触时，乙方有权拒绝执行。</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4.3.1.7  行使法律法规规定及本合同约定的其他权利。</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4.3.2  乙方的义务。</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4.3.2.1  遵守法律法规规定及本合同约定，不损害国家、社会公众和受益人的合法权益，如法律法规调整，应当及时与甲方协商，相应调整本合同相关内容。</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4.3.2.2  遵守本合同约定，本着受益人长期利益最大化原则履行受托职责。</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4.3.2.3  建立健全内部风险控制、监察与稽核、财务管理及人事管理等制度，设置相应部门，并配备足够专业人员，严格控制企业年金基金运作风险。</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4.3.2.4  除依照法律法规规定及本合同约定取得报酬外，不得利用企业年金基金财产谋取不正当利益。</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4.3.2.5  将企业年金基金财产与乙方的固有财产及乙方管理的其他财产分别管理、分别记账。</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4.3.2.6  管理、处分企业年金基金财产所产生的债权债务，不得与乙方的固有财产及乙方管理的其他财产所产生的债权债务相抵销。</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4.3.2.7  监督账户管理人、托管人以及投资管理人的行为，如发现账户管理人、托管人以及投资管理人违反本合同及法律法规，应当采取必要措施保护甲方及受益人的利益，并及时向甲方及人力资源社会保障行政部门报告。</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4.3.2.8  按照法律法规规定，接受和配合人力资源社会保障行政部门的监管，积极履行相关备案和报告的义务。</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4.3.2.9  按照法律法规规定，聘请会计师事务所对本计划进行审计。 本计划终止时，组织清算组对企业年金基金财产进行清算。</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4.3.2.10  甲方转移出本计划的，乙方应当与甲方新委托的受托人及时妥善进行交接工作，乙方完成与新的受托人交接工作之前，应当继续履行受托人职责和义务，并按本合同约定收取相关费用。</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4.3.2.11  完整保存与本合同有关的企业年金基金管理记录，包括各类纸质和电子文件，保存期限为在本合同终止后至少15年，并要求其他管理人完整保存相关资料。</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4.3.2.12  履行法律法规规定及本合同约定的其他义务。</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4.4  受益人权利和义务。</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4.4.1  受益人权利。</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4.4.1.1  按照企业年金方案约定的个人账户权益归属规则享有归属权益。</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4.4.1.2  根据法律法规规定及本合同约定，了解、查询企业年金基金个人账户基本情况。</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4.4.1.3  根据法律法规规定及本合同约定，申请领取企业年金待遇。</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 xml:space="preserve">4.4.1.4  </w:t>
      </w:r>
      <w:r>
        <w:rPr>
          <w:rFonts w:hint="eastAsia" w:ascii="彩虹粗仿宋" w:eastAsia="彩虹粗仿宋"/>
          <w:sz w:val="28"/>
          <w:szCs w:val="28"/>
        </w:rPr>
        <w:t>受益人离职的，如新工作单位已经建立企业年金计划或职业年金计划的，个人账户权益转至新的企业年金计划或职业年金计划；如新工作单位尚未建立企业年金计划、职业年金计划的，个人账户权益可在原企业年金计划下建立保留账户暂时管理，或转至乙方发起设立的企业年金集合计划下的保留账户进行暂时管理。</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 xml:space="preserve">4.4.1.5  </w:t>
      </w:r>
      <w:r>
        <w:rPr>
          <w:rFonts w:hint="eastAsia" w:ascii="彩虹粗仿宋" w:eastAsia="彩虹粗仿宋"/>
          <w:sz w:val="28"/>
          <w:szCs w:val="28"/>
        </w:rPr>
        <w:t>如受益人身故，由其指定的身故受益人或其法定继承人继承个人账户余额，法定继承人的认定以有权机关出具的司法文书为准。对法定继承人未经认定但要求支付企业年金待遇的，乙方有权拒绝执行。</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4.4.1.6  行使法律法规规定及本合同约定的其他权利。</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4.4.2  受益人义务。</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4.4.2.1  按企业年金方案规定和本合同约定进行缴费。</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4.4.2.2  不得转让企业年金基金受益权，不得将企业年金基金受益权用于偿还债务或担保。</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4.4.2.3  提供企业年金基金管理运作所需的相关资料和信息。</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4.4.2.4  按照本合同约定承担保留账户和退休账户的账户管理费。</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 xml:space="preserve">4.4.2.5  </w:t>
      </w:r>
      <w:r>
        <w:rPr>
          <w:rFonts w:hint="eastAsia" w:ascii="彩虹粗仿宋" w:eastAsia="彩虹粗仿宋"/>
          <w:sz w:val="28"/>
          <w:szCs w:val="28"/>
        </w:rPr>
        <w:t>当受益人离职且新工作单位没有建立企业年金计划或职业年金计划，甲方要求受益人的个人账户权益转移至乙方发起设立的企业年金集合计划下的保留账户暂时管理的，受益人应当同意并履行相关手续。</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4.4.2.6  履行法律法规规定及本合同约定的其他义务。</w:t>
      </w:r>
    </w:p>
    <w:p>
      <w:pPr>
        <w:pStyle w:val="2"/>
        <w:jc w:val="center"/>
        <w:rPr>
          <w:rFonts w:hint="eastAsia" w:ascii="彩虹黑体" w:hAnsi="彩虹粗仿宋" w:eastAsia="彩虹黑体" w:cs="彩虹粗仿宋"/>
          <w:b w:val="0"/>
          <w:bCs w:val="0"/>
          <w:sz w:val="28"/>
          <w:szCs w:val="28"/>
        </w:rPr>
      </w:pPr>
      <w:bookmarkStart w:id="55" w:name="_Toc14782068"/>
      <w:bookmarkStart w:id="56" w:name="_Toc196484073"/>
      <w:bookmarkStart w:id="57" w:name="_Toc311040985"/>
      <w:r>
        <w:rPr>
          <w:rFonts w:hint="eastAsia" w:ascii="彩虹黑体" w:hAnsi="彩虹粗仿宋" w:eastAsia="彩虹黑体" w:cs="彩虹粗仿宋"/>
          <w:b w:val="0"/>
          <w:bCs w:val="0"/>
          <w:sz w:val="28"/>
          <w:szCs w:val="28"/>
        </w:rPr>
        <w:t>第五章　企业年金基金的管理</w:t>
      </w:r>
      <w:bookmarkEnd w:id="55"/>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5.1  受托人的管理职责。</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5.1.1  按照法律法规规定及本合同约定监督企业年金基金管理，督促账户管理人、托管人及投资管理人诚实、信用、勤勉、尽责地履行企业年金基金管理职责。</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5.1.2  制定企业年金基金资产配置策略，遵循高度安全、稳健收益原则，采取分散风险和专业化管理的方式，实现企业年金保值增值。</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5.1.3  与托管人、投资管理人共同协商确定投资监督事项表，督促托管人按照投资监督事项表监督投资管理人的运作。</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5.1.4  依据企业年金方案和本合同的约定审核企业缴费、职工缴费和企业年金待遇支付，及时收取企业和职工缴费，及时、足额向受益人支付企业年金待遇。</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5.1.5  要求账户管理人向委托人和受益人提供企业年金基金查询服务。</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 xml:space="preserve">5.1.6  </w:t>
      </w:r>
      <w:r>
        <w:rPr>
          <w:rFonts w:hint="eastAsia" w:ascii="彩虹粗仿宋" w:hAnsi="彩虹粗仿宋" w:eastAsia="彩虹粗仿宋" w:cs="彩虹粗仿宋"/>
          <w:bCs/>
          <w:sz w:val="28"/>
          <w:szCs w:val="28"/>
        </w:rPr>
        <w:t>本计划在任何时候投资管理人不得少于三家，每家投资管理人至少管理一个投资组合，乙方应配合甲方完成投资组合的选择、转换和退出工作。</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5.1.7  发生重大事项时，及时向委托人和有关监管部门报告。</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5.1.8  受托人选择的账户管理人、托管人及投资管理人未诚实、信用、勤勉、尽责地履行企业年金基金管理职责，由此给企业年金基金财产造成损失的，由账户管理人、托管人及投资管理人负责赔偿相关损失，受托人依法承担相关法律责任。</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5.1.9  按照法律法规规定及本合同约定，及时向委托人和有关监管部门提供企业年金基金管理报告，并提供相关查询内容，对报告内容的真实性、完整性、准确性负责。</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5.1.10  本计划按投资组合计算投资收益率。受托人应向委托人充分披露投资管理人的情况和投资组合的特点，委托人可自行选择投资组合和确定缴费资金的分配比例，受托人需向委托人提供每年投资组合之间的转换服务。如果委托人不进行选择的，受托人应本着公平、公正的原则，将委托人的初始缴费资金按比例分配到计划内组合，并及时告知委托人。后续缴费资金均按此比例进行分配，直至受托人或者委托人提出新的投资分配办法。受托人应对投资管理人进行定期考核，根据考核结果适当调整缴费分配比例或更换投资管理人。</w:t>
      </w:r>
    </w:p>
    <w:p>
      <w:pPr>
        <w:spacing w:line="360" w:lineRule="auto"/>
        <w:ind w:left="559" w:leftChars="266"/>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5.1.11  承担法律法规规定及本合同约定的其他职责。</w:t>
      </w:r>
      <w:r>
        <w:rPr>
          <w:rFonts w:hint="eastAsia" w:ascii="彩虹粗仿宋" w:hAnsi="彩虹粗仿宋" w:eastAsia="彩虹粗仿宋" w:cs="彩虹粗仿宋"/>
          <w:sz w:val="28"/>
          <w:szCs w:val="28"/>
        </w:rPr>
        <w:cr/>
      </w:r>
      <w:r>
        <w:rPr>
          <w:rFonts w:hint="eastAsia" w:ascii="彩虹粗仿宋" w:hAnsi="彩虹粗仿宋" w:eastAsia="彩虹粗仿宋" w:cs="彩虹粗仿宋"/>
          <w:sz w:val="28"/>
          <w:szCs w:val="28"/>
        </w:rPr>
        <w:t>5.2  账户管理人的管理职责</w:t>
      </w:r>
      <w:bookmarkEnd w:id="56"/>
      <w:bookmarkEnd w:id="57"/>
      <w:r>
        <w:rPr>
          <w:rFonts w:hint="eastAsia" w:ascii="彩虹粗仿宋" w:hAnsi="彩虹粗仿宋" w:eastAsia="彩虹粗仿宋" w:cs="彩虹粗仿宋"/>
          <w:sz w:val="28"/>
          <w:szCs w:val="28"/>
        </w:rPr>
        <w:t>。</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乙方兼任本计划的账户管理人，承担的账户管理职责详见本合同的账户管理条款。</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5.3  托管人的管理职责。</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乙方委托中国建设银行股份有限公司担任本计划托管人，并签订书面的托管合同，托管职责详见托管合同。</w:t>
      </w:r>
    </w:p>
    <w:p>
      <w:pPr>
        <w:spacing w:line="360" w:lineRule="auto"/>
        <w:ind w:firstLine="560" w:firstLineChars="200"/>
        <w:rPr>
          <w:rFonts w:hint="eastAsia" w:ascii="彩虹粗仿宋" w:hAnsi="彩虹粗仿宋" w:eastAsia="彩虹粗仿宋" w:cs="彩虹粗仿宋"/>
          <w:sz w:val="28"/>
          <w:szCs w:val="28"/>
        </w:rPr>
      </w:pPr>
      <w:bookmarkStart w:id="58" w:name="_Toc311040990"/>
      <w:bookmarkStart w:id="59" w:name="_Toc196484079"/>
      <w:r>
        <w:rPr>
          <w:rFonts w:hint="eastAsia" w:ascii="彩虹粗仿宋" w:hAnsi="彩虹粗仿宋" w:eastAsia="彩虹粗仿宋" w:cs="彩虹粗仿宋"/>
          <w:sz w:val="28"/>
          <w:szCs w:val="28"/>
        </w:rPr>
        <w:t>5.4  投资管理人的管理职责。</w:t>
      </w:r>
    </w:p>
    <w:bookmarkEnd w:id="58"/>
    <w:bookmarkEnd w:id="59"/>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5.4.1  乙方兼任本计划投资管理人，并委托至少两名具备企业年金基金投资管理人资格的专业机构共同担任本计划的投资管理人，分别与其签订书面的投资管理合同。</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5.4.2  乙方承担的投资管理职责详见本合同的投资管理条款，乙方以外的投资管理人承担的投资管理职责详见投资管理合同。</w:t>
      </w:r>
    </w:p>
    <w:p>
      <w:pPr>
        <w:pStyle w:val="2"/>
        <w:jc w:val="center"/>
        <w:rPr>
          <w:rFonts w:hint="eastAsia" w:ascii="彩虹黑体" w:hAnsi="彩虹粗仿宋" w:eastAsia="彩虹黑体" w:cs="彩虹粗仿宋"/>
          <w:b w:val="0"/>
          <w:sz w:val="28"/>
          <w:szCs w:val="28"/>
        </w:rPr>
      </w:pPr>
      <w:bookmarkStart w:id="60" w:name="_Toc14782069"/>
      <w:bookmarkStart w:id="61" w:name="_Toc311040991"/>
      <w:r>
        <w:rPr>
          <w:rFonts w:hint="eastAsia" w:ascii="彩虹黑体" w:hAnsi="彩虹粗仿宋" w:eastAsia="彩虹黑体" w:cs="彩虹粗仿宋"/>
          <w:b w:val="0"/>
          <w:sz w:val="28"/>
          <w:szCs w:val="28"/>
        </w:rPr>
        <w:t>第六章  企业年金的缴费、领取、转移与保留</w:t>
      </w:r>
      <w:bookmarkEnd w:id="60"/>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6.1  企业年金的缴费。</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6.1.1  委托人应当按法律法规和企业年金方案规定的缴费来源、缴费比例、缴费方式进行缴费。</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6.1.2  委托人应当向受托人提供缴费信息，经受托人确认后提交账户管理人。</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6.1.3  受托人或账户管理人将账户管理人依据缴费信息生成的缴费账单和缴费明细提交委托人确认。</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6.1.4  缴费账单和缴费明细经委托人确认后，由受托人向托管人下达缴费收账通知。</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6.1.5  委托人根据缴费账单，将企业年金缴费汇入受托财产托管账户。</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6.1.6  托管人按缴费收账通知核对实收缴费金额，核对一致后，通知受托人和账户管理人，由受托人向委托人书面确认为企业年金基金财产。若出现超缴或短缴，受托人及时通知委托人做相应处理。</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6.2  企业年金待遇的领取。</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6.2.1  当受益人符合下列条件之一的，可以领取企业年金待遇：</w:t>
      </w:r>
    </w:p>
    <w:p>
      <w:pPr>
        <w:spacing w:line="360" w:lineRule="auto"/>
        <w:ind w:firstLine="560" w:firstLineChars="200"/>
        <w:rPr>
          <w:rFonts w:hint="eastAsia" w:ascii="彩虹粗仿宋" w:eastAsia="彩虹粗仿宋"/>
          <w:sz w:val="28"/>
          <w:szCs w:val="28"/>
        </w:rPr>
      </w:pPr>
      <w:r>
        <w:rPr>
          <w:rFonts w:hint="eastAsia" w:ascii="彩虹粗仿宋" w:eastAsia="彩虹粗仿宋"/>
          <w:sz w:val="28"/>
          <w:szCs w:val="28"/>
        </w:rPr>
        <w:t>6.2.1.1  职工在达到国家规定的退休年龄或者完全丧失劳动能力时，可以从本人企业年金个人账户中按月、分次或者一次性领取企业年金，也可以将本人企业年金个人账户资金全部或者部分购买商业养老保险产品，依据保险合同领取待遇并享受相应的继承权；</w:t>
      </w:r>
    </w:p>
    <w:p>
      <w:pPr>
        <w:spacing w:line="360" w:lineRule="auto"/>
        <w:ind w:firstLine="560" w:firstLineChars="200"/>
        <w:rPr>
          <w:rFonts w:hint="eastAsia" w:ascii="彩虹粗仿宋" w:eastAsia="彩虹粗仿宋"/>
          <w:sz w:val="28"/>
          <w:szCs w:val="28"/>
        </w:rPr>
      </w:pPr>
      <w:r>
        <w:rPr>
          <w:rFonts w:hint="eastAsia" w:ascii="彩虹粗仿宋" w:eastAsia="彩虹粗仿宋"/>
          <w:sz w:val="28"/>
          <w:szCs w:val="28"/>
        </w:rPr>
        <w:t>6.2.1.2  出国（境）定居人员的企业年金个人账户资金，可以根据本人要求一次性支付给本人；</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eastAsia="彩虹粗仿宋"/>
          <w:sz w:val="28"/>
          <w:szCs w:val="28"/>
        </w:rPr>
        <w:t>6.2.1.3  职工或者退休人员死亡后，其企业年金个人账户余额可以继承;</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6.2.1.4  未达到上述企业年金领取条件之一的，不得从企业年金个人账户中提前提取资金。</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6.2.2  企业年金待遇领取的程序。</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6.2.2.1  受益人向委托人提出领取企业年金待遇的申请。</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6.2.2.2  委托人审核同意受益人的领取申请后，向受托人提交领取企业年金待遇申请。</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6.2.2.3  受托人审核同意委托人的领取申请后，通知账户管理人。</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6.2.2.4  账户管理人计算个人账户权益，生成个人账户权益支付表，发送受托人和委托人确认。</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6.2.2.5  委托人对个人账户权益支付表进行确认后，通知受托人，受托人向托管人下达待遇支付指令，由托管人向受益人支付企业年金待遇。</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6.3  个人账户权益的转移。</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受益人离职的，如新工作单位已经建立企业年金或职业年金的，委托人应当向受托人提出申请将受益人个人账户权益转至新的企业年金或职业年金。</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6.4  个人账户权益的保留。</w:t>
      </w:r>
    </w:p>
    <w:p>
      <w:pPr>
        <w:spacing w:line="360" w:lineRule="auto"/>
        <w:ind w:firstLine="560" w:firstLineChars="200"/>
        <w:rPr>
          <w:rFonts w:hint="eastAsia" w:ascii="彩虹粗仿宋" w:eastAsia="彩虹粗仿宋"/>
          <w:sz w:val="28"/>
          <w:szCs w:val="28"/>
        </w:rPr>
      </w:pPr>
      <w:r>
        <w:rPr>
          <w:rFonts w:hint="eastAsia" w:ascii="彩虹粗仿宋" w:eastAsia="彩虹粗仿宋"/>
          <w:sz w:val="28"/>
          <w:szCs w:val="28"/>
        </w:rPr>
        <w:t>6.4.1  受益人离职的，</w:t>
      </w:r>
      <w:r>
        <w:rPr>
          <w:rFonts w:hint="eastAsia" w:ascii="彩虹粗仿宋" w:eastAsia="彩虹粗仿宋"/>
          <w:i w:val="0"/>
          <w:iCs w:val="0"/>
          <w:sz w:val="28"/>
          <w:szCs w:val="28"/>
        </w:rPr>
        <w:t>如新工作单位尚未建立企业年金或者职业年金计划的，委托人应当按下列</w:t>
      </w:r>
      <w:r>
        <w:rPr>
          <w:rFonts w:hint="eastAsia" w:ascii="彩虹粗仿宋" w:eastAsia="彩虹粗仿宋"/>
          <w:i w:val="0"/>
          <w:iCs w:val="0"/>
          <w:sz w:val="28"/>
          <w:szCs w:val="28"/>
          <w:u w:val="single"/>
        </w:rPr>
        <w:t xml:space="preserve">  6.4.1.2   </w:t>
      </w:r>
      <w:r>
        <w:rPr>
          <w:rFonts w:hint="eastAsia" w:ascii="彩虹粗仿宋" w:eastAsia="彩虹粗仿宋"/>
          <w:i w:val="0"/>
          <w:iCs w:val="0"/>
          <w:sz w:val="28"/>
          <w:szCs w:val="28"/>
        </w:rPr>
        <w:t>方式</w:t>
      </w:r>
      <w:r>
        <w:rPr>
          <w:rFonts w:hint="eastAsia" w:ascii="彩虹粗仿宋" w:eastAsia="彩虹粗仿宋"/>
          <w:sz w:val="28"/>
          <w:szCs w:val="28"/>
        </w:rPr>
        <w:t>可将受益人个人账户权益转至保留账户管理。</w:t>
      </w:r>
    </w:p>
    <w:p>
      <w:pPr>
        <w:pStyle w:val="197"/>
        <w:spacing w:line="360" w:lineRule="auto"/>
        <w:ind w:firstLine="618" w:firstLineChars="221"/>
        <w:rPr>
          <w:rFonts w:hint="eastAsia" w:ascii="彩虹粗仿宋" w:hAnsi="宋体" w:eastAsia="彩虹粗仿宋"/>
          <w:sz w:val="28"/>
          <w:szCs w:val="28"/>
        </w:rPr>
      </w:pPr>
      <w:r>
        <w:rPr>
          <w:rFonts w:hint="eastAsia" w:ascii="彩虹粗仿宋" w:hAnsi="宋体" w:eastAsia="彩虹粗仿宋"/>
          <w:sz w:val="28"/>
          <w:szCs w:val="28"/>
        </w:rPr>
        <w:t xml:space="preserve">6.4.1.1  </w:t>
      </w:r>
      <w:r>
        <w:rPr>
          <w:rFonts w:hint="eastAsia" w:ascii="彩虹粗仿宋" w:eastAsia="彩虹粗仿宋"/>
          <w:sz w:val="28"/>
          <w:szCs w:val="28"/>
        </w:rPr>
        <w:t>委托人向受托人提出申请将受益人个人账户权益在企业年金计划下建立保留账户暂时管理；</w:t>
      </w:r>
    </w:p>
    <w:p>
      <w:pPr>
        <w:pStyle w:val="197"/>
        <w:spacing w:line="360" w:lineRule="auto"/>
        <w:ind w:firstLine="618" w:firstLineChars="221"/>
        <w:rPr>
          <w:rFonts w:hint="eastAsia" w:ascii="彩虹粗仿宋" w:eastAsia="彩虹粗仿宋"/>
          <w:sz w:val="28"/>
          <w:szCs w:val="28"/>
        </w:rPr>
      </w:pPr>
      <w:r>
        <w:rPr>
          <w:rFonts w:hint="eastAsia" w:ascii="彩虹粗仿宋" w:hAnsi="宋体" w:eastAsia="彩虹粗仿宋"/>
          <w:sz w:val="28"/>
          <w:szCs w:val="28"/>
        </w:rPr>
        <w:t>6.4.1.</w:t>
      </w:r>
      <w:r>
        <w:rPr>
          <w:rFonts w:hint="eastAsia" w:ascii="彩虹粗仿宋" w:eastAsia="彩虹粗仿宋"/>
          <w:sz w:val="28"/>
          <w:szCs w:val="28"/>
        </w:rPr>
        <w:t>2  委托人向受托人提出申请将受益人个人账户权益转至受托人发起的企业年金集合计划下的保留账户暂时统一管理。</w:t>
      </w:r>
    </w:p>
    <w:p>
      <w:pPr>
        <w:spacing w:line="360" w:lineRule="auto"/>
        <w:ind w:firstLine="560" w:firstLineChars="200"/>
        <w:rPr>
          <w:rFonts w:hint="eastAsia" w:ascii="彩虹粗仿宋" w:eastAsia="彩虹粗仿宋"/>
          <w:sz w:val="28"/>
          <w:szCs w:val="28"/>
        </w:rPr>
      </w:pPr>
      <w:r>
        <w:rPr>
          <w:rFonts w:hint="eastAsia" w:ascii="彩虹粗仿宋" w:eastAsia="彩虹粗仿宋"/>
          <w:sz w:val="28"/>
          <w:szCs w:val="28"/>
        </w:rPr>
        <w:t>6.4.2  企业年金计划终止时，受益人个人账户权益转入受托人发起的企业年金集合计划下的保留账户暂时统一管理。</w:t>
      </w:r>
    </w:p>
    <w:p>
      <w:pPr>
        <w:pStyle w:val="2"/>
        <w:jc w:val="center"/>
        <w:rPr>
          <w:rFonts w:hint="eastAsia" w:ascii="彩虹黑体" w:hAnsi="彩虹粗仿宋" w:eastAsia="彩虹黑体" w:cs="彩虹粗仿宋"/>
          <w:b w:val="0"/>
          <w:sz w:val="28"/>
          <w:szCs w:val="28"/>
        </w:rPr>
      </w:pPr>
      <w:bookmarkStart w:id="62" w:name="_Toc14782070"/>
      <w:r>
        <w:rPr>
          <w:rFonts w:hint="eastAsia" w:ascii="彩虹黑体" w:hAnsi="彩虹粗仿宋" w:eastAsia="彩虹黑体" w:cs="彩虹粗仿宋"/>
          <w:b w:val="0"/>
          <w:sz w:val="28"/>
          <w:szCs w:val="28"/>
        </w:rPr>
        <w:t>第七章  投资政策</w:t>
      </w:r>
      <w:bookmarkEnd w:id="62"/>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7.1  受托人根据法律法规规定制定企业年金基金投资政策，投资范围与投资比例详见投资组合说明书。</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7.2  人力资源和社会保障部如对投资范围和比例限制进行调整的，</w:t>
      </w:r>
      <w:bookmarkStart w:id="63" w:name="OLE_LINK8"/>
      <w:bookmarkStart w:id="64" w:name="OLE_LINK9"/>
      <w:bookmarkStart w:id="65" w:name="OLE_LINK7"/>
      <w:r>
        <w:rPr>
          <w:rFonts w:hint="eastAsia" w:ascii="彩虹粗仿宋" w:hAnsi="彩虹粗仿宋" w:eastAsia="彩虹粗仿宋" w:cs="彩虹粗仿宋"/>
          <w:sz w:val="28"/>
          <w:szCs w:val="28"/>
        </w:rPr>
        <w:t>投资政策按</w:t>
      </w:r>
      <w:bookmarkEnd w:id="63"/>
      <w:bookmarkEnd w:id="64"/>
      <w:bookmarkEnd w:id="65"/>
      <w:r>
        <w:rPr>
          <w:rFonts w:hint="eastAsia" w:ascii="彩虹粗仿宋" w:hAnsi="彩虹粗仿宋" w:eastAsia="彩虹粗仿宋" w:cs="彩虹粗仿宋"/>
          <w:sz w:val="28"/>
          <w:szCs w:val="28"/>
        </w:rPr>
        <w:t>新规定执行。</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7.3  本计划投资组合详见投资组合说明书。</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7.3.1  甲方可依据自身的需求和风险承受能力选择投资组合并进行本企业的企业年金基金财产分配。如甲方未明确投资组合配置的，乙方有权代表甲方安排其企业年金基金财产的投资选择。</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7.3.2  甲方每公历年度可根据自身需求申请调整在各投资组合上的财产分配比例不超过两次。</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7.3.3  乙方在维护甲方及受益人权益的情况下，可设立新的投资组合。因法律法规或监管规定调整、管理人资格终止等原因，在维护甲方及受益人权益的情况下，乙方可撤消原有投资组合。</w:t>
      </w:r>
    </w:p>
    <w:bookmarkEnd w:id="61"/>
    <w:p>
      <w:pPr>
        <w:pStyle w:val="2"/>
        <w:jc w:val="center"/>
        <w:rPr>
          <w:rFonts w:hint="eastAsia" w:ascii="彩虹黑体" w:hAnsi="彩虹粗仿宋" w:eastAsia="彩虹黑体" w:cs="彩虹粗仿宋"/>
          <w:b w:val="0"/>
          <w:bCs w:val="0"/>
          <w:sz w:val="28"/>
          <w:szCs w:val="28"/>
        </w:rPr>
      </w:pPr>
      <w:bookmarkStart w:id="66" w:name="_Toc178058133"/>
      <w:bookmarkStart w:id="67" w:name="_Toc196484080"/>
      <w:bookmarkStart w:id="68" w:name="_Toc196398442"/>
      <w:bookmarkStart w:id="69" w:name="_Toc311040992"/>
      <w:bookmarkStart w:id="70" w:name="_Toc14782071"/>
      <w:r>
        <w:rPr>
          <w:rFonts w:hint="eastAsia" w:ascii="彩虹黑体" w:hAnsi="彩虹粗仿宋" w:eastAsia="彩虹黑体" w:cs="彩虹粗仿宋"/>
          <w:b w:val="0"/>
          <w:bCs w:val="0"/>
          <w:sz w:val="28"/>
          <w:szCs w:val="28"/>
        </w:rPr>
        <w:t>第八章  企业年金</w:t>
      </w:r>
      <w:bookmarkEnd w:id="66"/>
      <w:bookmarkEnd w:id="67"/>
      <w:bookmarkEnd w:id="68"/>
      <w:r>
        <w:rPr>
          <w:rFonts w:hint="eastAsia" w:ascii="彩虹黑体" w:hAnsi="彩虹粗仿宋" w:eastAsia="彩虹黑体" w:cs="彩虹粗仿宋"/>
          <w:b w:val="0"/>
          <w:bCs w:val="0"/>
          <w:sz w:val="28"/>
          <w:szCs w:val="28"/>
        </w:rPr>
        <w:t>基金财产</w:t>
      </w:r>
      <w:bookmarkEnd w:id="69"/>
      <w:r>
        <w:rPr>
          <w:rFonts w:hint="eastAsia" w:ascii="彩虹黑体" w:hAnsi="彩虹粗仿宋" w:eastAsia="彩虹黑体" w:cs="彩虹粗仿宋"/>
          <w:b w:val="0"/>
          <w:bCs w:val="0"/>
          <w:sz w:val="28"/>
          <w:szCs w:val="28"/>
        </w:rPr>
        <w:t>的核算</w:t>
      </w:r>
      <w:bookmarkEnd w:id="70"/>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8.1  企业年金基金财产。</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8.1.1  企业年金基金资产。</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指企业年金缴费及运营形成的各项资产，包括：货币资金及其应计利息、应收证券清算款、应收股利、买入返售证券交易资产、其他应收款、债券投资及其应计利息、基金投资、股票投资、其他投资、其他资产等。</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8.1.2  企业年金基金负债。</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指企业年金基金运营形成的各项负债，包括：应付证券清算款、应付受益人待遇、应付受托人管理费、应付托管人管理费、应付投资管理人管理费、应交税金、卖出回购证券款、应付利息、应付佣金和其他应付款等。</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8.1.3  企业年金基金财产净值。</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指企业年金基金资产减去负债后的余额。</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8.1.4  企业年金基金财产的收益分配。</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企业年金基金投资净收益，全部归属于企业年金基金。账户管理人采用份额计量方式进行账户管理，依据企业年金基金财产净值计算基金份额净值，按日或按周足额记入企业账户和个人账户。</w:t>
      </w:r>
    </w:p>
    <w:p>
      <w:pPr>
        <w:spacing w:line="360" w:lineRule="auto"/>
        <w:ind w:firstLine="560" w:firstLineChars="200"/>
        <w:rPr>
          <w:rFonts w:hint="eastAsia" w:ascii="彩虹粗仿宋" w:hAnsi="彩虹粗仿宋" w:eastAsia="彩虹粗仿宋" w:cs="彩虹粗仿宋"/>
          <w:sz w:val="28"/>
          <w:szCs w:val="28"/>
        </w:rPr>
      </w:pPr>
      <w:bookmarkStart w:id="71" w:name="_Toc196484082"/>
      <w:r>
        <w:rPr>
          <w:rFonts w:hint="eastAsia" w:ascii="彩虹粗仿宋" w:hAnsi="彩虹粗仿宋" w:eastAsia="彩虹粗仿宋" w:cs="彩虹粗仿宋"/>
          <w:sz w:val="28"/>
          <w:szCs w:val="28"/>
        </w:rPr>
        <w:t>8.2  企业年金基金会计。</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8.2.1  会计年度为公历每年1月1日至12月31日。</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8.2.2  企业年金基金核算以人民币为记账本位币，以人民币元为记账单位。</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8.2.3  会计制度按照《企业会计准则第10号-企业年金基金》和《企业会计准则第22号-金融工具确认和计量》及修订后的相关会计准则，并参照《证券投资基金会计核算业务指引》等规定执行。</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8.2.4  企业年金基金独立建账、独立核算。</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8.2.5  受托人委托托管人、投资管理人分别进行企业年金基金会计核算，并由托管人按照有关规定编制企业年金基金会计报表。</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8.3  企业年金基金财产估值。</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8.3.1  估值目的。</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 xml:space="preserve">客观、准确地反映企业年金基金财产的价值。 </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8.3.2  估值日。</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估值日为交易日。</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8.3.3  估值对象。</w:t>
      </w:r>
    </w:p>
    <w:p>
      <w:pPr>
        <w:spacing w:line="360" w:lineRule="auto"/>
        <w:ind w:firstLine="560" w:firstLineChars="200"/>
        <w:rPr>
          <w:rFonts w:hint="eastAsia" w:ascii="彩虹粗仿宋" w:eastAsia="彩虹粗仿宋"/>
          <w:sz w:val="28"/>
          <w:szCs w:val="28"/>
        </w:rPr>
      </w:pPr>
      <w:r>
        <w:rPr>
          <w:rFonts w:hint="eastAsia" w:ascii="彩虹粗仿宋" w:eastAsia="彩虹粗仿宋"/>
          <w:sz w:val="28"/>
          <w:szCs w:val="28"/>
        </w:rPr>
        <w:t>企业年金基金在法律法规规定的投资范围内运营取得的银行存款、国债和其他具有良好流动性的金融产品，包括银行存款，国债，中央银行票据，同业存单，政策性、开发性银行债券，以及信用等级在投资级以上的金融债、企业债、公司债、可转换债、可交换债、（超）短期融资券、中期票据、非公开定向债务融资工具、信贷资产支持证券、资产支持票据、证券交易所挂牌交易的资产支持证券，债券回购，信托产品，债权投资计划，公开募集证券投资基金，股票，股指期货，国债期货，养老金产品以及其他法律法规允许企业年金投资的金融产品。</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 xml:space="preserve">8.3.4  估值方法。 </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企业年金基金财产的估值适用《企业会计准则第10号-企业年金基金》、《企业会计准则第22号-金融工具确认和计量》、《关于发布扩大投资范围后新增投资产品估值核算指导意见（试行）的通知》（人社监司便函〔2014〕5号）及修订后的相关会计准则，并参照《证券投资基金会计核算业务指引》等规定执行。</w:t>
      </w:r>
    </w:p>
    <w:p>
      <w:pPr>
        <w:pStyle w:val="2"/>
        <w:jc w:val="center"/>
        <w:rPr>
          <w:rFonts w:hint="eastAsia" w:ascii="彩虹黑体" w:hAnsi="彩虹粗仿宋" w:eastAsia="彩虹黑体" w:cs="彩虹粗仿宋"/>
          <w:b w:val="0"/>
          <w:bCs w:val="0"/>
          <w:sz w:val="28"/>
          <w:szCs w:val="28"/>
        </w:rPr>
      </w:pPr>
      <w:bookmarkStart w:id="72" w:name="_Toc311040995"/>
      <w:bookmarkStart w:id="73" w:name="_Toc14782072"/>
      <w:r>
        <w:rPr>
          <w:rFonts w:hint="eastAsia" w:ascii="彩虹黑体" w:hAnsi="彩虹粗仿宋" w:eastAsia="彩虹黑体" w:cs="彩虹粗仿宋"/>
          <w:b w:val="0"/>
          <w:bCs w:val="0"/>
          <w:sz w:val="28"/>
          <w:szCs w:val="28"/>
        </w:rPr>
        <w:t>第九章  企业年金基金的费用</w:t>
      </w:r>
      <w:bookmarkEnd w:id="71"/>
      <w:bookmarkEnd w:id="72"/>
      <w:bookmarkEnd w:id="73"/>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9.1  企业年金基金费用包括受托管理费、托管费、账户管理费、投资管理费、交易费用、资金划拨费用、开户费用、审计费、清算费用以及法律法规规定的其他费用。</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9.2  企业年金基金费用的计提方法、计提标准和支付方式</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9.2.1  受托管理费。</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9.2.1.1  受托管理费按受托管理的企业年金基金财产净值0.08%的年费率计提。</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9.2.1.2  受托管理费计算方法：</w:t>
      </w:r>
    </w:p>
    <w:p>
      <w:pPr>
        <w:spacing w:line="360" w:lineRule="auto"/>
        <w:ind w:firstLine="1960" w:firstLineChars="7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T= E</w:t>
      </w:r>
      <w:r>
        <w:rPr>
          <w:rFonts w:hint="eastAsia" w:ascii="彩虹粗仿宋" w:hAnsi="彩虹粗仿宋" w:eastAsia="彩虹粗仿宋" w:cs="彩虹粗仿宋"/>
          <w:sz w:val="28"/>
          <w:szCs w:val="28"/>
          <w:vertAlign w:val="subscript"/>
        </w:rPr>
        <w:t>1</w:t>
      </w:r>
      <w:r>
        <w:rPr>
          <w:rFonts w:hint="eastAsia" w:ascii="彩虹粗仿宋" w:hAnsi="彩虹粗仿宋" w:eastAsia="彩虹粗仿宋" w:cs="彩虹粗仿宋"/>
          <w:sz w:val="28"/>
          <w:szCs w:val="28"/>
        </w:rPr>
        <w:t>×R/当年实际天数</w:t>
      </w:r>
    </w:p>
    <w:p>
      <w:pPr>
        <w:spacing w:line="360" w:lineRule="auto"/>
        <w:ind w:firstLine="1960" w:firstLineChars="7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T：每日应计提的受托管理费；</w:t>
      </w:r>
    </w:p>
    <w:p>
      <w:pPr>
        <w:spacing w:line="360" w:lineRule="auto"/>
        <w:ind w:firstLine="1960" w:firstLineChars="7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E</w:t>
      </w:r>
      <w:r>
        <w:rPr>
          <w:rFonts w:hint="eastAsia" w:ascii="彩虹粗仿宋" w:hAnsi="彩虹粗仿宋" w:eastAsia="彩虹粗仿宋" w:cs="彩虹粗仿宋"/>
          <w:sz w:val="28"/>
          <w:szCs w:val="28"/>
          <w:vertAlign w:val="subscript"/>
        </w:rPr>
        <w:t>1</w:t>
      </w:r>
      <w:r>
        <w:rPr>
          <w:rFonts w:hint="eastAsia" w:ascii="彩虹粗仿宋" w:hAnsi="彩虹粗仿宋" w:eastAsia="彩虹粗仿宋" w:cs="彩虹粗仿宋"/>
          <w:sz w:val="28"/>
          <w:szCs w:val="28"/>
        </w:rPr>
        <w:t>：前一日受托管理的企业年金基金财产净值（首日不计提）；</w:t>
      </w:r>
    </w:p>
    <w:p>
      <w:pPr>
        <w:spacing w:line="360" w:lineRule="auto"/>
        <w:ind w:firstLine="1960" w:firstLineChars="7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R：本合同约定的受托管理费年费率。</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9.2.1.3  受托管理费每日计提，逐日累计，按季支付。</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9.2.2  账户管理费。</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9.2.2.1  委托人在职职工的个人账户的账户管理费按照每人的个人账户每月</w:t>
      </w:r>
      <w:r>
        <w:rPr>
          <w:rFonts w:hint="eastAsia" w:ascii="彩虹粗仿宋" w:hAnsi="彩虹粗仿宋" w:eastAsia="彩虹粗仿宋" w:cs="彩虹粗仿宋"/>
          <w:sz w:val="28"/>
          <w:szCs w:val="28"/>
          <w:u w:val="single"/>
        </w:rPr>
        <w:t xml:space="preserve"> </w:t>
      </w:r>
      <w:r>
        <w:rPr>
          <w:rFonts w:hint="eastAsia" w:ascii="彩虹粗仿宋" w:hAnsi="彩虹粗仿宋" w:eastAsia="彩虹粗仿宋" w:cs="彩虹粗仿宋"/>
          <w:sz w:val="28"/>
          <w:szCs w:val="28"/>
          <w:u w:val="single"/>
          <w:lang w:val="en-US" w:eastAsia="zh-CN"/>
        </w:rPr>
        <w:t xml:space="preserve"> 壹 </w:t>
      </w:r>
      <w:r>
        <w:rPr>
          <w:rFonts w:hint="eastAsia" w:ascii="彩虹粗仿宋" w:hAnsi="彩虹粗仿宋" w:eastAsia="彩虹粗仿宋" w:cs="彩虹粗仿宋"/>
          <w:sz w:val="28"/>
          <w:szCs w:val="28"/>
          <w:u w:val="single"/>
        </w:rPr>
        <w:t xml:space="preserve"> </w:t>
      </w:r>
      <w:r>
        <w:rPr>
          <w:rFonts w:hint="eastAsia" w:ascii="彩虹粗仿宋" w:hAnsi="彩虹粗仿宋" w:eastAsia="彩虹粗仿宋" w:cs="彩虹粗仿宋"/>
          <w:sz w:val="28"/>
          <w:szCs w:val="28"/>
        </w:rPr>
        <w:t>元，由委托人支付给账户管理人。每期企业年金基金账户管理费＝∑月个人账户数×账户管理费收费标准，其中“月个人账户数”以月末个人账户户数为准。账户管理人自为委托人完成建立个人账户的当月开始计算并收取账户管理费。</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9.2.2.2  委托人退休职工的退休账户的账户管理费按照每人的个人账户每月</w:t>
      </w:r>
      <w:r>
        <w:rPr>
          <w:rFonts w:hint="eastAsia" w:ascii="彩虹粗仿宋" w:hAnsi="彩虹粗仿宋" w:eastAsia="彩虹粗仿宋" w:cs="彩虹粗仿宋"/>
          <w:sz w:val="28"/>
          <w:szCs w:val="28"/>
          <w:u w:val="single"/>
        </w:rPr>
        <w:t xml:space="preserve">  </w:t>
      </w:r>
      <w:r>
        <w:rPr>
          <w:rFonts w:hint="eastAsia" w:ascii="彩虹粗仿宋" w:hAnsi="彩虹粗仿宋" w:eastAsia="彩虹粗仿宋" w:cs="彩虹粗仿宋"/>
          <w:sz w:val="28"/>
          <w:szCs w:val="28"/>
          <w:u w:val="single"/>
          <w:lang w:val="en-US" w:eastAsia="zh-CN"/>
        </w:rPr>
        <w:t>壹</w:t>
      </w:r>
      <w:r>
        <w:rPr>
          <w:rFonts w:hint="eastAsia" w:ascii="彩虹粗仿宋" w:hAnsi="彩虹粗仿宋" w:eastAsia="彩虹粗仿宋" w:cs="彩虹粗仿宋"/>
          <w:sz w:val="28"/>
          <w:szCs w:val="28"/>
          <w:u w:val="single"/>
        </w:rPr>
        <w:t xml:space="preserve">  </w:t>
      </w:r>
      <w:r>
        <w:rPr>
          <w:rFonts w:hint="eastAsia" w:ascii="彩虹粗仿宋" w:hAnsi="彩虹粗仿宋" w:eastAsia="彩虹粗仿宋" w:cs="彩虹粗仿宋"/>
          <w:sz w:val="28"/>
          <w:szCs w:val="28"/>
        </w:rPr>
        <w:t>元，应当按下列</w:t>
      </w:r>
      <w:r>
        <w:rPr>
          <w:rFonts w:hint="eastAsia" w:ascii="彩虹粗仿宋" w:hAnsi="彩虹粗仿宋" w:eastAsia="彩虹粗仿宋" w:cs="彩虹粗仿宋"/>
          <w:sz w:val="28"/>
          <w:szCs w:val="28"/>
          <w:u w:val="single"/>
        </w:rPr>
        <w:t xml:space="preserve">  9.2.2.2.1  </w:t>
      </w:r>
      <w:r>
        <w:rPr>
          <w:rFonts w:hint="eastAsia" w:ascii="彩虹粗仿宋" w:hAnsi="彩虹粗仿宋" w:eastAsia="彩虹粗仿宋" w:cs="彩虹粗仿宋"/>
          <w:sz w:val="28"/>
          <w:szCs w:val="28"/>
        </w:rPr>
        <w:t>方式支付：</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9.2.2.2.1  由委托人支付给账户管理人。</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9.2.2.2.2  由职工本人承担，从其个人账户中扣除。</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9.2.2.3  委托人离职职工的保留账户的账户管理费按照每人的个人账户每月</w:t>
      </w:r>
      <w:r>
        <w:rPr>
          <w:rFonts w:hint="eastAsia" w:ascii="彩虹粗仿宋" w:hAnsi="彩虹粗仿宋" w:eastAsia="彩虹粗仿宋" w:cs="彩虹粗仿宋"/>
          <w:sz w:val="28"/>
          <w:szCs w:val="28"/>
          <w:u w:val="single"/>
        </w:rPr>
        <w:t xml:space="preserve">  </w:t>
      </w:r>
      <w:r>
        <w:rPr>
          <w:rFonts w:hint="eastAsia" w:ascii="彩虹粗仿宋" w:hAnsi="彩虹粗仿宋" w:eastAsia="彩虹粗仿宋" w:cs="彩虹粗仿宋"/>
          <w:sz w:val="28"/>
          <w:szCs w:val="28"/>
          <w:u w:val="single"/>
          <w:lang w:val="en-US" w:eastAsia="zh-CN"/>
        </w:rPr>
        <w:t>壹</w:t>
      </w:r>
      <w:r>
        <w:rPr>
          <w:rFonts w:hint="eastAsia" w:ascii="彩虹粗仿宋" w:hAnsi="彩虹粗仿宋" w:eastAsia="彩虹粗仿宋" w:cs="彩虹粗仿宋"/>
          <w:sz w:val="28"/>
          <w:szCs w:val="28"/>
          <w:u w:val="single"/>
        </w:rPr>
        <w:t xml:space="preserve">  </w:t>
      </w:r>
      <w:r>
        <w:rPr>
          <w:rFonts w:hint="eastAsia" w:ascii="彩虹粗仿宋" w:hAnsi="彩虹粗仿宋" w:eastAsia="彩虹粗仿宋" w:cs="彩虹粗仿宋"/>
          <w:sz w:val="28"/>
          <w:szCs w:val="28"/>
        </w:rPr>
        <w:t>元，应当按下列</w:t>
      </w:r>
      <w:r>
        <w:rPr>
          <w:rFonts w:hint="eastAsia" w:ascii="彩虹粗仿宋" w:hAnsi="彩虹粗仿宋" w:eastAsia="彩虹粗仿宋" w:cs="彩虹粗仿宋"/>
          <w:sz w:val="28"/>
          <w:szCs w:val="28"/>
          <w:u w:val="single"/>
        </w:rPr>
        <w:t xml:space="preserve">  9.2.2.3.</w:t>
      </w:r>
      <w:r>
        <w:rPr>
          <w:rFonts w:hint="eastAsia" w:ascii="彩虹粗仿宋" w:hAnsi="彩虹粗仿宋" w:eastAsia="彩虹粗仿宋" w:cs="彩虹粗仿宋"/>
          <w:sz w:val="28"/>
          <w:szCs w:val="28"/>
          <w:u w:val="single"/>
          <w:lang w:val="en-US" w:eastAsia="zh-CN"/>
        </w:rPr>
        <w:t>2</w:t>
      </w:r>
      <w:r>
        <w:rPr>
          <w:rFonts w:hint="eastAsia" w:ascii="彩虹粗仿宋" w:hAnsi="彩虹粗仿宋" w:eastAsia="彩虹粗仿宋" w:cs="彩虹粗仿宋"/>
          <w:sz w:val="28"/>
          <w:szCs w:val="28"/>
          <w:u w:val="single"/>
        </w:rPr>
        <w:t xml:space="preserve">  </w:t>
      </w:r>
      <w:r>
        <w:rPr>
          <w:rFonts w:hint="eastAsia" w:ascii="彩虹粗仿宋" w:hAnsi="彩虹粗仿宋" w:eastAsia="彩虹粗仿宋" w:cs="彩虹粗仿宋"/>
          <w:sz w:val="28"/>
          <w:szCs w:val="28"/>
        </w:rPr>
        <w:t>方式支付：</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9.2.2.3.1  由委托人支付给账户管理人。</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9.2.2.3.2  由职工本人承担，从其个人账户中扣除。</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9.2.2.4  委托人按年支付账户管理费。账户管理人将账户管理费通知单发送给委托人，委托人应当在收到账户管理费通知单后及时将账户管理费足额付至账户管理人指定的银行账户。</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9.2.2.5  委托人离职职工若转入乙方发起的企业年金集合计划下的保留账户统一管理，保留账户账户管理费标准以转入计划为准，保留账户的账户管理费从职工个人账户中扣除。</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9.2.2.6  职工本人承担的账户管理费，从其个人账户中扣除，扣除的具体方式可在操作备忘录等补充协议中约定。</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9.2.2.7  委托人违反本合同约定，逾期30日仍未足额支付账户管理费，账户管理人有权停止向委托人及受益人提供企业年金计划信息披露及信息查询服务。逾期时间自账户管理费最后支付时限届满次日起算。</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9.2.3  托管费。</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9.2.3.1  托管费按托管的企业年金基金财产净值0.056%的年费率计提。</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9.2.3.2  托管费计算方式：</w:t>
      </w:r>
    </w:p>
    <w:p>
      <w:pPr>
        <w:spacing w:line="360" w:lineRule="auto"/>
        <w:ind w:firstLine="1960" w:firstLineChars="7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C=E</w:t>
      </w:r>
      <w:r>
        <w:rPr>
          <w:rFonts w:hint="eastAsia" w:ascii="彩虹粗仿宋" w:hAnsi="彩虹粗仿宋" w:eastAsia="彩虹粗仿宋" w:cs="彩虹粗仿宋"/>
          <w:sz w:val="28"/>
          <w:szCs w:val="28"/>
          <w:vertAlign w:val="subscript"/>
        </w:rPr>
        <w:t>2</w:t>
      </w:r>
      <w:r>
        <w:rPr>
          <w:rFonts w:hint="eastAsia" w:ascii="彩虹粗仿宋" w:hAnsi="彩虹粗仿宋" w:eastAsia="彩虹粗仿宋" w:cs="彩虹粗仿宋"/>
          <w:sz w:val="28"/>
          <w:szCs w:val="28"/>
        </w:rPr>
        <w:t>×S/当年实际天数</w:t>
      </w:r>
    </w:p>
    <w:p>
      <w:pPr>
        <w:spacing w:line="360" w:lineRule="auto"/>
        <w:ind w:firstLine="1960" w:firstLineChars="7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C：每日应计提的托管费；</w:t>
      </w:r>
    </w:p>
    <w:p>
      <w:pPr>
        <w:spacing w:line="360" w:lineRule="auto"/>
        <w:ind w:firstLine="1960" w:firstLineChars="7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E</w:t>
      </w:r>
      <w:r>
        <w:rPr>
          <w:rFonts w:hint="eastAsia" w:ascii="彩虹粗仿宋" w:hAnsi="彩虹粗仿宋" w:eastAsia="彩虹粗仿宋" w:cs="彩虹粗仿宋"/>
          <w:sz w:val="28"/>
          <w:szCs w:val="28"/>
          <w:vertAlign w:val="subscript"/>
        </w:rPr>
        <w:t>2</w:t>
      </w:r>
      <w:r>
        <w:rPr>
          <w:rFonts w:hint="eastAsia" w:ascii="彩虹粗仿宋" w:hAnsi="彩虹粗仿宋" w:eastAsia="彩虹粗仿宋" w:cs="彩虹粗仿宋"/>
          <w:sz w:val="28"/>
          <w:szCs w:val="28"/>
        </w:rPr>
        <w:t>：前一日托管的企业年金基金财产净值（首日不计提）；</w:t>
      </w:r>
    </w:p>
    <w:p>
      <w:pPr>
        <w:spacing w:line="360" w:lineRule="auto"/>
        <w:ind w:firstLine="1960" w:firstLineChars="7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S：本合同约定的托管费年费率。</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9.2.3.3  托管费每日计提，逐日累计，按季支付。</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9.2.4  投资管理费。</w:t>
      </w:r>
    </w:p>
    <w:p>
      <w:pPr>
        <w:spacing w:line="360" w:lineRule="auto"/>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 xml:space="preserve">    9.2.4.1  投资管理费按投资管理的企业年金基金财产净值的投资管理费年费率计提。</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9.2.4.2  投资管理费计算方式：</w:t>
      </w:r>
    </w:p>
    <w:p>
      <w:pPr>
        <w:spacing w:line="360" w:lineRule="auto"/>
        <w:ind w:firstLine="1960" w:firstLineChars="7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I=E</w:t>
      </w:r>
      <w:r>
        <w:rPr>
          <w:rFonts w:hint="eastAsia" w:ascii="彩虹粗仿宋" w:hAnsi="彩虹粗仿宋" w:eastAsia="彩虹粗仿宋" w:cs="彩虹粗仿宋"/>
          <w:sz w:val="28"/>
          <w:szCs w:val="28"/>
          <w:vertAlign w:val="subscript"/>
        </w:rPr>
        <w:t>3</w:t>
      </w:r>
      <w:r>
        <w:rPr>
          <w:rFonts w:hint="eastAsia" w:ascii="彩虹粗仿宋" w:hAnsi="彩虹粗仿宋" w:eastAsia="彩虹粗仿宋" w:cs="彩虹粗仿宋"/>
          <w:sz w:val="28"/>
          <w:szCs w:val="28"/>
        </w:rPr>
        <w:t>×U/当年实际天数</w:t>
      </w:r>
    </w:p>
    <w:p>
      <w:pPr>
        <w:spacing w:line="360" w:lineRule="auto"/>
        <w:ind w:firstLine="1960" w:firstLineChars="7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I：每日应计提的投资管理费；</w:t>
      </w:r>
    </w:p>
    <w:p>
      <w:pPr>
        <w:spacing w:line="360" w:lineRule="auto"/>
        <w:ind w:firstLine="1960" w:firstLineChars="7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E</w:t>
      </w:r>
      <w:r>
        <w:rPr>
          <w:rFonts w:hint="eastAsia" w:ascii="彩虹粗仿宋" w:hAnsi="彩虹粗仿宋" w:eastAsia="彩虹粗仿宋" w:cs="彩虹粗仿宋"/>
          <w:sz w:val="28"/>
          <w:szCs w:val="28"/>
          <w:vertAlign w:val="subscript"/>
        </w:rPr>
        <w:t>3</w:t>
      </w:r>
      <w:r>
        <w:rPr>
          <w:rFonts w:hint="eastAsia" w:ascii="彩虹粗仿宋" w:hAnsi="彩虹粗仿宋" w:eastAsia="彩虹粗仿宋" w:cs="彩虹粗仿宋"/>
          <w:sz w:val="28"/>
          <w:szCs w:val="28"/>
        </w:rPr>
        <w:t>：前一日投资管理的企业年金基金财产净值（首日不计提）；</w:t>
      </w:r>
    </w:p>
    <w:p>
      <w:pPr>
        <w:spacing w:line="360" w:lineRule="auto"/>
        <w:ind w:firstLine="1960" w:firstLineChars="7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U：本合同约定的投资管理费年费率。</w:t>
      </w:r>
    </w:p>
    <w:p>
      <w:pPr>
        <w:spacing w:line="360" w:lineRule="auto"/>
        <w:ind w:firstLine="57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9.2.4.3  各组合投资管理费率：</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840" w:type="dxa"/>
            <w:noWrap w:val="0"/>
            <w:vAlign w:val="top"/>
          </w:tcPr>
          <w:p>
            <w:pPr>
              <w:autoSpaceDE w:val="0"/>
              <w:autoSpaceDN w:val="0"/>
              <w:adjustRightInd w:val="0"/>
              <w:spacing w:line="360" w:lineRule="auto"/>
              <w:jc w:val="center"/>
              <w:rPr>
                <w:rFonts w:hint="eastAsia" w:ascii="彩虹粗仿宋" w:hAnsi="彩虹粗仿宋" w:eastAsia="彩虹粗仿宋" w:cs="彩虹粗仿宋"/>
                <w:kern w:val="0"/>
                <w:sz w:val="24"/>
                <w:lang w:val="zh-CN"/>
              </w:rPr>
            </w:pPr>
            <w:r>
              <w:rPr>
                <w:rFonts w:hint="eastAsia" w:ascii="彩虹粗仿宋" w:hAnsi="彩虹粗仿宋" w:eastAsia="彩虹粗仿宋" w:cs="彩虹粗仿宋"/>
                <w:kern w:val="0"/>
                <w:sz w:val="24"/>
                <w:lang w:val="zh-CN"/>
              </w:rPr>
              <w:t>投资管理人</w:t>
            </w:r>
          </w:p>
        </w:tc>
        <w:tc>
          <w:tcPr>
            <w:tcW w:w="2841" w:type="dxa"/>
            <w:noWrap w:val="0"/>
            <w:vAlign w:val="top"/>
          </w:tcPr>
          <w:p>
            <w:pPr>
              <w:autoSpaceDE w:val="0"/>
              <w:autoSpaceDN w:val="0"/>
              <w:adjustRightInd w:val="0"/>
              <w:spacing w:line="360" w:lineRule="auto"/>
              <w:jc w:val="center"/>
              <w:rPr>
                <w:rFonts w:hint="eastAsia" w:ascii="彩虹粗仿宋" w:hAnsi="彩虹粗仿宋" w:eastAsia="彩虹粗仿宋" w:cs="彩虹粗仿宋"/>
                <w:kern w:val="0"/>
                <w:sz w:val="24"/>
                <w:lang w:val="zh-CN"/>
              </w:rPr>
            </w:pPr>
            <w:r>
              <w:rPr>
                <w:rFonts w:hint="eastAsia" w:ascii="彩虹粗仿宋" w:hAnsi="彩虹粗仿宋" w:eastAsia="彩虹粗仿宋" w:cs="彩虹粗仿宋"/>
                <w:kern w:val="0"/>
                <w:sz w:val="24"/>
                <w:lang w:val="zh-CN"/>
              </w:rPr>
              <w:t>投资组合名称</w:t>
            </w:r>
          </w:p>
        </w:tc>
        <w:tc>
          <w:tcPr>
            <w:tcW w:w="2841" w:type="dxa"/>
            <w:noWrap w:val="0"/>
            <w:vAlign w:val="top"/>
          </w:tcPr>
          <w:p>
            <w:pPr>
              <w:autoSpaceDE w:val="0"/>
              <w:autoSpaceDN w:val="0"/>
              <w:adjustRightInd w:val="0"/>
              <w:spacing w:line="360" w:lineRule="auto"/>
              <w:jc w:val="center"/>
              <w:rPr>
                <w:rFonts w:hint="eastAsia" w:ascii="彩虹粗仿宋" w:hAnsi="彩虹粗仿宋" w:eastAsia="彩虹粗仿宋" w:cs="彩虹粗仿宋"/>
                <w:kern w:val="0"/>
                <w:sz w:val="24"/>
                <w:lang w:val="zh-CN"/>
              </w:rPr>
            </w:pPr>
            <w:r>
              <w:rPr>
                <w:rFonts w:hint="eastAsia" w:ascii="彩虹粗仿宋" w:hAnsi="彩虹粗仿宋" w:eastAsia="彩虹粗仿宋" w:cs="彩虹粗仿宋"/>
                <w:kern w:val="0"/>
                <w:sz w:val="24"/>
                <w:lang w:val="zh-CN"/>
              </w:rPr>
              <w:t>投资组合费率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widowControl/>
              <w:jc w:val="center"/>
              <w:rPr>
                <w:rFonts w:hint="eastAsia" w:ascii="彩虹粗仿宋" w:hAnsi="彩虹粗仿宋" w:eastAsia="彩虹粗仿宋" w:cs="彩虹粗仿宋"/>
                <w:kern w:val="0"/>
                <w:sz w:val="24"/>
              </w:rPr>
            </w:pPr>
            <w:r>
              <w:rPr>
                <w:rFonts w:hint="eastAsia" w:ascii="彩虹粗仿宋" w:hAnsi="彩虹粗仿宋" w:eastAsia="彩虹粗仿宋" w:cs="彩虹粗仿宋"/>
                <w:kern w:val="0"/>
                <w:sz w:val="24"/>
              </w:rPr>
              <w:t>华夏基金</w:t>
            </w:r>
          </w:p>
        </w:tc>
        <w:tc>
          <w:tcPr>
            <w:tcW w:w="2841" w:type="dxa"/>
            <w:noWrap w:val="0"/>
            <w:vAlign w:val="center"/>
          </w:tcPr>
          <w:p>
            <w:pPr>
              <w:widowControl/>
              <w:jc w:val="center"/>
              <w:rPr>
                <w:rFonts w:hint="eastAsia" w:ascii="彩虹粗仿宋" w:hAnsi="彩虹粗仿宋" w:eastAsia="彩虹粗仿宋" w:cs="彩虹粗仿宋"/>
                <w:kern w:val="0"/>
                <w:sz w:val="24"/>
              </w:rPr>
            </w:pPr>
            <w:r>
              <w:rPr>
                <w:rFonts w:hint="eastAsia" w:ascii="彩虹粗仿宋" w:hAnsi="彩虹粗仿宋" w:eastAsia="彩虹粗仿宋" w:cs="彩虹粗仿宋"/>
                <w:kern w:val="0"/>
                <w:sz w:val="24"/>
              </w:rPr>
              <w:t>权益类投资</w:t>
            </w:r>
          </w:p>
        </w:tc>
        <w:tc>
          <w:tcPr>
            <w:tcW w:w="2841" w:type="dxa"/>
            <w:noWrap w:val="0"/>
            <w:vAlign w:val="center"/>
          </w:tcPr>
          <w:p>
            <w:pPr>
              <w:widowControl/>
              <w:jc w:val="center"/>
              <w:rPr>
                <w:rFonts w:hint="eastAsia" w:ascii="彩虹粗仿宋" w:hAnsi="彩虹粗仿宋" w:eastAsia="彩虹粗仿宋" w:cs="彩虹粗仿宋"/>
                <w:kern w:val="0"/>
                <w:sz w:val="24"/>
              </w:rPr>
            </w:pPr>
            <w:r>
              <w:rPr>
                <w:rFonts w:hint="eastAsia" w:ascii="彩虹粗仿宋" w:hAnsi="彩虹粗仿宋" w:eastAsia="彩虹粗仿宋" w:cs="彩虹粗仿宋"/>
                <w:kern w:val="0"/>
                <w:sz w:val="24"/>
              </w:rPr>
              <w:t>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pPr>
              <w:widowControl/>
              <w:jc w:val="center"/>
              <w:rPr>
                <w:rFonts w:hint="eastAsia" w:ascii="彩虹粗仿宋" w:hAnsi="彩虹粗仿宋" w:eastAsia="彩虹粗仿宋" w:cs="彩虹粗仿宋"/>
                <w:kern w:val="0"/>
                <w:sz w:val="24"/>
              </w:rPr>
            </w:pPr>
            <w:r>
              <w:rPr>
                <w:rFonts w:hint="eastAsia" w:ascii="彩虹粗仿宋" w:hAnsi="彩虹粗仿宋" w:eastAsia="彩虹粗仿宋" w:cs="彩虹粗仿宋"/>
                <w:kern w:val="0"/>
                <w:sz w:val="24"/>
              </w:rPr>
              <w:t>中信证券</w:t>
            </w:r>
          </w:p>
        </w:tc>
        <w:tc>
          <w:tcPr>
            <w:tcW w:w="2841" w:type="dxa"/>
            <w:noWrap w:val="0"/>
            <w:vAlign w:val="center"/>
          </w:tcPr>
          <w:p>
            <w:pPr>
              <w:widowControl/>
              <w:jc w:val="center"/>
              <w:rPr>
                <w:rFonts w:hint="eastAsia" w:ascii="彩虹粗仿宋" w:hAnsi="彩虹粗仿宋" w:eastAsia="彩虹粗仿宋" w:cs="彩虹粗仿宋"/>
                <w:kern w:val="0"/>
                <w:sz w:val="24"/>
              </w:rPr>
            </w:pPr>
            <w:r>
              <w:rPr>
                <w:rFonts w:hint="eastAsia" w:ascii="彩虹粗仿宋" w:hAnsi="彩虹粗仿宋" w:eastAsia="彩虹粗仿宋" w:cs="彩虹粗仿宋"/>
                <w:kern w:val="0"/>
                <w:sz w:val="24"/>
              </w:rPr>
              <w:t>非权益类投资</w:t>
            </w:r>
          </w:p>
        </w:tc>
        <w:tc>
          <w:tcPr>
            <w:tcW w:w="2841" w:type="dxa"/>
            <w:noWrap w:val="0"/>
            <w:vAlign w:val="center"/>
          </w:tcPr>
          <w:p>
            <w:pPr>
              <w:widowControl/>
              <w:jc w:val="center"/>
              <w:rPr>
                <w:rFonts w:hint="eastAsia" w:ascii="彩虹粗仿宋" w:hAnsi="彩虹粗仿宋" w:eastAsia="彩虹粗仿宋" w:cs="彩虹粗仿宋"/>
                <w:kern w:val="0"/>
                <w:sz w:val="24"/>
              </w:rPr>
            </w:pPr>
            <w:r>
              <w:rPr>
                <w:rFonts w:hint="eastAsia" w:ascii="彩虹粗仿宋" w:hAnsi="彩虹粗仿宋" w:eastAsia="彩虹粗仿宋" w:cs="彩虹粗仿宋"/>
                <w:kern w:val="0"/>
                <w:sz w:val="24"/>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pPr>
              <w:widowControl/>
              <w:jc w:val="center"/>
              <w:rPr>
                <w:rFonts w:hint="eastAsia" w:ascii="彩虹粗仿宋" w:hAnsi="彩虹粗仿宋" w:eastAsia="彩虹粗仿宋" w:cs="彩虹粗仿宋"/>
                <w:kern w:val="0"/>
                <w:sz w:val="24"/>
              </w:rPr>
            </w:pPr>
            <w:r>
              <w:rPr>
                <w:rFonts w:hint="eastAsia" w:ascii="彩虹粗仿宋" w:hAnsi="彩虹粗仿宋" w:eastAsia="彩虹粗仿宋" w:cs="彩虹粗仿宋"/>
                <w:kern w:val="0"/>
                <w:sz w:val="24"/>
              </w:rPr>
              <w:t>人民养老</w:t>
            </w:r>
          </w:p>
        </w:tc>
        <w:tc>
          <w:tcPr>
            <w:tcW w:w="2841" w:type="dxa"/>
            <w:noWrap w:val="0"/>
            <w:vAlign w:val="center"/>
          </w:tcPr>
          <w:p>
            <w:pPr>
              <w:widowControl/>
              <w:jc w:val="center"/>
              <w:rPr>
                <w:rFonts w:hint="eastAsia" w:ascii="彩虹粗仿宋" w:hAnsi="彩虹粗仿宋" w:eastAsia="彩虹粗仿宋" w:cs="彩虹粗仿宋"/>
                <w:kern w:val="0"/>
                <w:sz w:val="24"/>
              </w:rPr>
            </w:pPr>
            <w:r>
              <w:rPr>
                <w:rFonts w:hint="eastAsia" w:ascii="彩虹粗仿宋" w:hAnsi="彩虹粗仿宋" w:eastAsia="彩虹粗仿宋" w:cs="彩虹粗仿宋"/>
                <w:kern w:val="0"/>
                <w:sz w:val="24"/>
              </w:rPr>
              <w:t>非权益类投资</w:t>
            </w:r>
          </w:p>
        </w:tc>
        <w:tc>
          <w:tcPr>
            <w:tcW w:w="2841" w:type="dxa"/>
            <w:noWrap w:val="0"/>
            <w:vAlign w:val="center"/>
          </w:tcPr>
          <w:p>
            <w:pPr>
              <w:widowControl/>
              <w:jc w:val="center"/>
              <w:rPr>
                <w:rFonts w:hint="eastAsia" w:ascii="彩虹粗仿宋" w:hAnsi="彩虹粗仿宋" w:eastAsia="彩虹粗仿宋" w:cs="彩虹粗仿宋"/>
                <w:kern w:val="0"/>
                <w:sz w:val="24"/>
              </w:rPr>
            </w:pPr>
            <w:r>
              <w:rPr>
                <w:rFonts w:hint="eastAsia" w:ascii="彩虹粗仿宋" w:hAnsi="彩虹粗仿宋" w:eastAsia="彩虹粗仿宋" w:cs="彩虹粗仿宋"/>
                <w:kern w:val="0"/>
                <w:sz w:val="24"/>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pPr>
              <w:widowControl/>
              <w:jc w:val="center"/>
              <w:rPr>
                <w:rFonts w:hint="eastAsia" w:ascii="彩虹粗仿宋" w:hAnsi="彩虹粗仿宋" w:eastAsia="彩虹粗仿宋" w:cs="彩虹粗仿宋"/>
                <w:kern w:val="0"/>
                <w:sz w:val="24"/>
              </w:rPr>
            </w:pPr>
            <w:r>
              <w:rPr>
                <w:rFonts w:hint="eastAsia" w:ascii="彩虹粗仿宋" w:hAnsi="彩虹粗仿宋" w:eastAsia="彩虹粗仿宋" w:cs="彩虹粗仿宋"/>
                <w:kern w:val="0"/>
                <w:sz w:val="24"/>
              </w:rPr>
              <w:t>工银瑞信</w:t>
            </w:r>
          </w:p>
        </w:tc>
        <w:tc>
          <w:tcPr>
            <w:tcW w:w="2841" w:type="dxa"/>
            <w:noWrap w:val="0"/>
            <w:vAlign w:val="center"/>
          </w:tcPr>
          <w:p>
            <w:pPr>
              <w:widowControl/>
              <w:jc w:val="center"/>
              <w:rPr>
                <w:rFonts w:hint="eastAsia" w:ascii="彩虹粗仿宋" w:hAnsi="彩虹粗仿宋" w:eastAsia="彩虹粗仿宋" w:cs="彩虹粗仿宋"/>
                <w:kern w:val="0"/>
                <w:sz w:val="24"/>
              </w:rPr>
            </w:pPr>
            <w:r>
              <w:rPr>
                <w:rFonts w:hint="eastAsia" w:ascii="彩虹粗仿宋" w:hAnsi="彩虹粗仿宋" w:eastAsia="彩虹粗仿宋" w:cs="彩虹粗仿宋"/>
                <w:kern w:val="0"/>
                <w:sz w:val="24"/>
              </w:rPr>
              <w:t>权益类投资</w:t>
            </w:r>
          </w:p>
        </w:tc>
        <w:tc>
          <w:tcPr>
            <w:tcW w:w="2841" w:type="dxa"/>
            <w:noWrap w:val="0"/>
            <w:vAlign w:val="center"/>
          </w:tcPr>
          <w:p>
            <w:pPr>
              <w:widowControl/>
              <w:jc w:val="center"/>
              <w:rPr>
                <w:rFonts w:hint="eastAsia" w:ascii="彩虹粗仿宋" w:hAnsi="彩虹粗仿宋" w:eastAsia="彩虹粗仿宋" w:cs="彩虹粗仿宋"/>
                <w:kern w:val="0"/>
                <w:sz w:val="24"/>
              </w:rPr>
            </w:pPr>
            <w:r>
              <w:rPr>
                <w:rFonts w:hint="eastAsia" w:ascii="彩虹粗仿宋" w:hAnsi="彩虹粗仿宋" w:eastAsia="彩虹粗仿宋" w:cs="彩虹粗仿宋"/>
                <w:kern w:val="0"/>
                <w:sz w:val="24"/>
              </w:rPr>
              <w:t>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pPr>
              <w:widowControl/>
              <w:jc w:val="center"/>
              <w:rPr>
                <w:rFonts w:hint="eastAsia" w:ascii="彩虹粗仿宋" w:hAnsi="彩虹粗仿宋" w:eastAsia="彩虹粗仿宋" w:cs="彩虹粗仿宋"/>
                <w:kern w:val="0"/>
                <w:sz w:val="24"/>
              </w:rPr>
            </w:pPr>
            <w:r>
              <w:rPr>
                <w:rFonts w:hint="eastAsia" w:ascii="彩虹粗仿宋" w:hAnsi="彩虹粗仿宋" w:eastAsia="彩虹粗仿宋" w:cs="彩虹粗仿宋"/>
                <w:kern w:val="0"/>
                <w:sz w:val="24"/>
              </w:rPr>
              <w:t>国寿养老</w:t>
            </w:r>
          </w:p>
        </w:tc>
        <w:tc>
          <w:tcPr>
            <w:tcW w:w="2841" w:type="dxa"/>
            <w:noWrap w:val="0"/>
            <w:vAlign w:val="center"/>
          </w:tcPr>
          <w:p>
            <w:pPr>
              <w:widowControl/>
              <w:jc w:val="center"/>
              <w:rPr>
                <w:rFonts w:hint="eastAsia" w:ascii="彩虹粗仿宋" w:hAnsi="彩虹粗仿宋" w:eastAsia="彩虹粗仿宋" w:cs="彩虹粗仿宋"/>
                <w:kern w:val="0"/>
                <w:sz w:val="24"/>
              </w:rPr>
            </w:pPr>
            <w:r>
              <w:rPr>
                <w:rFonts w:hint="eastAsia" w:ascii="彩虹粗仿宋" w:hAnsi="彩虹粗仿宋" w:eastAsia="彩虹粗仿宋" w:cs="彩虹粗仿宋"/>
                <w:kern w:val="0"/>
                <w:sz w:val="24"/>
              </w:rPr>
              <w:t>非权益类投资</w:t>
            </w:r>
          </w:p>
        </w:tc>
        <w:tc>
          <w:tcPr>
            <w:tcW w:w="2841" w:type="dxa"/>
            <w:noWrap w:val="0"/>
            <w:vAlign w:val="center"/>
          </w:tcPr>
          <w:p>
            <w:pPr>
              <w:widowControl/>
              <w:jc w:val="center"/>
              <w:rPr>
                <w:rFonts w:hint="eastAsia" w:ascii="彩虹粗仿宋" w:hAnsi="彩虹粗仿宋" w:eastAsia="彩虹粗仿宋" w:cs="彩虹粗仿宋"/>
                <w:kern w:val="0"/>
                <w:sz w:val="24"/>
              </w:rPr>
            </w:pPr>
            <w:r>
              <w:rPr>
                <w:rFonts w:hint="eastAsia" w:ascii="彩虹粗仿宋" w:hAnsi="彩虹粗仿宋" w:eastAsia="彩虹粗仿宋" w:cs="彩虹粗仿宋"/>
                <w:kern w:val="0"/>
                <w:sz w:val="24"/>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noWrap w:val="0"/>
            <w:vAlign w:val="top"/>
          </w:tcPr>
          <w:p>
            <w:pPr>
              <w:autoSpaceDE w:val="0"/>
              <w:autoSpaceDN w:val="0"/>
              <w:adjustRightInd w:val="0"/>
              <w:spacing w:line="360" w:lineRule="auto"/>
              <w:jc w:val="center"/>
              <w:rPr>
                <w:rFonts w:hint="eastAsia" w:ascii="彩虹粗仿宋" w:hAnsi="彩虹粗仿宋" w:eastAsia="彩虹粗仿宋" w:cs="彩虹粗仿宋"/>
                <w:kern w:val="0"/>
                <w:sz w:val="24"/>
                <w:lang w:val="zh-CN"/>
              </w:rPr>
            </w:pPr>
            <w:r>
              <w:rPr>
                <w:rFonts w:hint="eastAsia" w:ascii="彩虹粗仿宋" w:hAnsi="彩虹粗仿宋" w:eastAsia="彩虹粗仿宋" w:cs="彩虹粗仿宋"/>
                <w:kern w:val="0"/>
                <w:sz w:val="24"/>
              </w:rPr>
              <w:t>建信养老</w:t>
            </w:r>
          </w:p>
        </w:tc>
        <w:tc>
          <w:tcPr>
            <w:tcW w:w="2841" w:type="dxa"/>
            <w:noWrap w:val="0"/>
            <w:vAlign w:val="center"/>
          </w:tcPr>
          <w:p>
            <w:pPr>
              <w:widowControl/>
              <w:jc w:val="center"/>
              <w:rPr>
                <w:rFonts w:hint="eastAsia" w:ascii="彩虹粗仿宋" w:hAnsi="彩虹粗仿宋" w:eastAsia="彩虹粗仿宋" w:cs="彩虹粗仿宋"/>
                <w:kern w:val="0"/>
                <w:sz w:val="24"/>
              </w:rPr>
            </w:pPr>
            <w:r>
              <w:rPr>
                <w:rFonts w:hint="eastAsia" w:ascii="彩虹粗仿宋" w:hAnsi="彩虹粗仿宋" w:eastAsia="彩虹粗仿宋" w:cs="彩虹粗仿宋"/>
                <w:kern w:val="0"/>
                <w:sz w:val="24"/>
              </w:rPr>
              <w:t>权益类投资</w:t>
            </w:r>
          </w:p>
        </w:tc>
        <w:tc>
          <w:tcPr>
            <w:tcW w:w="2841" w:type="dxa"/>
            <w:noWrap w:val="0"/>
            <w:vAlign w:val="center"/>
          </w:tcPr>
          <w:p>
            <w:pPr>
              <w:widowControl/>
              <w:jc w:val="center"/>
              <w:rPr>
                <w:rFonts w:hint="eastAsia" w:ascii="彩虹粗仿宋" w:hAnsi="彩虹粗仿宋" w:eastAsia="彩虹粗仿宋" w:cs="彩虹粗仿宋"/>
                <w:kern w:val="0"/>
                <w:sz w:val="24"/>
              </w:rPr>
            </w:pPr>
            <w:r>
              <w:rPr>
                <w:rFonts w:hint="eastAsia" w:ascii="彩虹粗仿宋" w:hAnsi="彩虹粗仿宋" w:eastAsia="彩虹粗仿宋" w:cs="彩虹粗仿宋"/>
                <w:kern w:val="0"/>
                <w:sz w:val="24"/>
              </w:rPr>
              <w:t>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noWrap w:val="0"/>
            <w:vAlign w:val="top"/>
          </w:tcPr>
          <w:p>
            <w:pPr>
              <w:autoSpaceDE w:val="0"/>
              <w:autoSpaceDN w:val="0"/>
              <w:adjustRightInd w:val="0"/>
              <w:spacing w:line="360" w:lineRule="auto"/>
              <w:jc w:val="center"/>
              <w:rPr>
                <w:rFonts w:hint="eastAsia" w:ascii="彩虹粗仿宋" w:hAnsi="彩虹粗仿宋" w:eastAsia="彩虹粗仿宋" w:cs="彩虹粗仿宋"/>
                <w:kern w:val="0"/>
                <w:sz w:val="24"/>
                <w:lang w:val="zh-CN"/>
              </w:rPr>
            </w:pPr>
          </w:p>
        </w:tc>
        <w:tc>
          <w:tcPr>
            <w:tcW w:w="2841" w:type="dxa"/>
            <w:noWrap w:val="0"/>
            <w:vAlign w:val="center"/>
          </w:tcPr>
          <w:p>
            <w:pPr>
              <w:widowControl/>
              <w:jc w:val="center"/>
              <w:rPr>
                <w:rFonts w:hint="eastAsia" w:ascii="彩虹粗仿宋" w:hAnsi="彩虹粗仿宋" w:eastAsia="彩虹粗仿宋" w:cs="彩虹粗仿宋"/>
                <w:kern w:val="0"/>
                <w:sz w:val="24"/>
              </w:rPr>
            </w:pPr>
            <w:r>
              <w:rPr>
                <w:rFonts w:hint="eastAsia" w:ascii="彩虹粗仿宋" w:hAnsi="彩虹粗仿宋" w:eastAsia="彩虹粗仿宋" w:cs="彩虹粗仿宋"/>
                <w:kern w:val="0"/>
                <w:sz w:val="24"/>
              </w:rPr>
              <w:t>非权益类投资</w:t>
            </w:r>
          </w:p>
        </w:tc>
        <w:tc>
          <w:tcPr>
            <w:tcW w:w="2841" w:type="dxa"/>
            <w:noWrap w:val="0"/>
            <w:vAlign w:val="center"/>
          </w:tcPr>
          <w:p>
            <w:pPr>
              <w:widowControl/>
              <w:jc w:val="center"/>
              <w:rPr>
                <w:rFonts w:hint="eastAsia" w:ascii="彩虹粗仿宋" w:hAnsi="彩虹粗仿宋" w:eastAsia="彩虹粗仿宋" w:cs="彩虹粗仿宋"/>
                <w:kern w:val="0"/>
                <w:sz w:val="24"/>
              </w:rPr>
            </w:pPr>
            <w:r>
              <w:rPr>
                <w:rFonts w:hint="eastAsia" w:ascii="彩虹粗仿宋" w:hAnsi="彩虹粗仿宋" w:eastAsia="彩虹粗仿宋" w:cs="彩虹粗仿宋"/>
                <w:kern w:val="0"/>
                <w:sz w:val="24"/>
              </w:rPr>
              <w:t>0.24%</w:t>
            </w:r>
          </w:p>
        </w:tc>
      </w:tr>
    </w:tbl>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9.2.4.4  投资管理费每日计提，逐日累计，按季支付。</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9.2.5  企业年金基金投资运作的会计季度（成立当季或最后一季）为非完整会计季度，以当季的实际运作天数计提并支付受托管理费、托管费或投资管理费。</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9.2.6  除委托人支付的账户管理费外，第9.1款所列各项企业年金基金费用均在企业年金基金财产中列支。</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9.2.7  本合同约定的各项管理费用不得超过《企业年金基金管理办法》规定的上限。</w:t>
      </w:r>
    </w:p>
    <w:p>
      <w:pPr>
        <w:pStyle w:val="2"/>
        <w:jc w:val="center"/>
        <w:rPr>
          <w:rFonts w:hint="eastAsia" w:ascii="彩虹黑体" w:hAnsi="彩虹粗仿宋" w:eastAsia="彩虹黑体" w:cs="彩虹粗仿宋"/>
          <w:b w:val="0"/>
          <w:bCs w:val="0"/>
          <w:sz w:val="28"/>
          <w:szCs w:val="28"/>
        </w:rPr>
      </w:pPr>
      <w:bookmarkStart w:id="74" w:name="_Toc311040996"/>
      <w:bookmarkStart w:id="75" w:name="_Toc14782073"/>
      <w:r>
        <w:rPr>
          <w:rFonts w:hint="eastAsia" w:ascii="彩虹黑体" w:hAnsi="彩虹粗仿宋" w:eastAsia="彩虹黑体" w:cs="彩虹粗仿宋"/>
          <w:b w:val="0"/>
          <w:bCs w:val="0"/>
          <w:sz w:val="28"/>
          <w:szCs w:val="28"/>
        </w:rPr>
        <w:t>第十章  企业年金基金的审计</w:t>
      </w:r>
      <w:bookmarkEnd w:id="74"/>
      <w:r>
        <w:rPr>
          <w:rFonts w:hint="eastAsia" w:ascii="彩虹黑体" w:hAnsi="彩虹粗仿宋" w:eastAsia="彩虹黑体" w:cs="彩虹粗仿宋"/>
          <w:b w:val="0"/>
          <w:bCs w:val="0"/>
          <w:sz w:val="28"/>
          <w:szCs w:val="28"/>
        </w:rPr>
        <w:t>与清算</w:t>
      </w:r>
      <w:bookmarkEnd w:id="75"/>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10.1  企业年金基金审计。</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10.1.1  发生以下情形之一的，受托人应当聘请会计师事务所对本计划进行审计：</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10.1.1.1  本计划连续运作满三个会计年度；</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10.1.1.2  受托人、账户管理人、托管人或投资管理人职责终止；</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10.1.1.3  法律法规规定的其他情形。</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10.1.2  受托人聘请与委托人、受托人、账户管理人、托管人或投资管理人非关联方的会计师事务所和注册会计师对企业年金基金进行审计，账户管理人、托管人、投资管理人应当配合会计师事务所对企业年金计划进行审计。</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10.1.3  受托人自第10.1.1款情况发生之日起50日内向委托人以及人力资源社会保障行政部门提交审计报告。</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10.2  企业年金基金清算。</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本计划终止的，受托人应当按照有关规定组织清算组对企业年金基金财产进行清算，自清算工作完成后3个月内，向人力资源社会保障行政部门及委托人提交经会计师事务所审计以及律师事务所出具法律意见书的清算报告，并向受益人公告。若本计划终止时企业年金基金财产为零，乙方无需组织清算。</w:t>
      </w:r>
    </w:p>
    <w:p>
      <w:pPr>
        <w:pStyle w:val="2"/>
        <w:jc w:val="center"/>
        <w:rPr>
          <w:rFonts w:hint="eastAsia" w:ascii="彩虹黑体" w:hAnsi="彩虹粗仿宋" w:eastAsia="彩虹黑体" w:cs="彩虹粗仿宋"/>
          <w:b w:val="0"/>
          <w:bCs w:val="0"/>
          <w:sz w:val="28"/>
          <w:szCs w:val="28"/>
        </w:rPr>
      </w:pPr>
      <w:bookmarkStart w:id="76" w:name="_Toc14782074"/>
      <w:bookmarkStart w:id="77" w:name="_Toc196484085"/>
      <w:bookmarkStart w:id="78" w:name="_Toc311040997"/>
      <w:r>
        <w:rPr>
          <w:rFonts w:hint="eastAsia" w:ascii="彩虹黑体" w:hAnsi="彩虹粗仿宋" w:eastAsia="彩虹黑体" w:cs="彩虹粗仿宋"/>
          <w:b w:val="0"/>
          <w:bCs w:val="0"/>
          <w:sz w:val="28"/>
          <w:szCs w:val="28"/>
        </w:rPr>
        <w:t>第十一章  企业年金基金的信息报告与披露</w:t>
      </w:r>
      <w:bookmarkEnd w:id="76"/>
      <w:bookmarkEnd w:id="77"/>
      <w:bookmarkEnd w:id="78"/>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11.1  定期报告。</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11.1.1  受托管理定期报告：受托人应在每季度结束后30日内向委托人提交企业年金基金管理季度报告；并应当在每年度结束后60日内向委托人提交企业年金基金管理年度报告。报告内容及格式以人力资源社会保障部规定为准。自甲方企业年金计划首笔缴费进入受托财产托管账户之日起不满3个月的，受托人可不提供企业年金基金管理季度报告和企业年金基金管理年度报告。</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11.1.2  本计划受益人年度权益报告：受托人要求账户管理人在年度结束后60日内向受益人提交企业年金权益年度报告。报告内容及格式以人力资源社会保障部规定为准。</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11.2  临时报告。</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受托人在履行本合同过程中，如遇法律法规规定的临时报告事项，应当及时向有关监管部门报告，并自知晓或者应当知晓该事件发生之日起5个工作日内向委托人报告。</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11.3  职责终止报告。</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受托人、账户管理人、托管人或投资管理人职责终止的，受托人自管理职责终止后50日内向委托人提交企业年金管理情况报告，报告应当说明职责终止原因、未尽事项及处理建议等。</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11.4  信息披露方式。</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11.4.1  信息报告与披露采取纸质文本或电子文本的方式。</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11.4.2  受托人或账户管理人应当同时向委托人及受益人提供互联网或电话查询服务。</w:t>
      </w:r>
    </w:p>
    <w:p>
      <w:pPr>
        <w:pStyle w:val="2"/>
        <w:jc w:val="center"/>
        <w:rPr>
          <w:rFonts w:hint="eastAsia" w:ascii="彩虹黑体" w:hAnsi="彩虹粗仿宋" w:eastAsia="彩虹黑体" w:cs="彩虹粗仿宋"/>
          <w:b w:val="0"/>
          <w:bCs w:val="0"/>
          <w:sz w:val="28"/>
          <w:szCs w:val="28"/>
        </w:rPr>
      </w:pPr>
      <w:bookmarkStart w:id="79" w:name="_Toc311040998"/>
      <w:bookmarkStart w:id="80" w:name="_Toc14782075"/>
      <w:r>
        <w:rPr>
          <w:rFonts w:hint="eastAsia" w:ascii="彩虹黑体" w:hAnsi="彩虹粗仿宋" w:eastAsia="彩虹黑体" w:cs="彩虹粗仿宋"/>
          <w:b w:val="0"/>
          <w:bCs w:val="0"/>
          <w:sz w:val="28"/>
          <w:szCs w:val="28"/>
        </w:rPr>
        <w:t>第十二章  禁止行为</w:t>
      </w:r>
      <w:bookmarkEnd w:id="79"/>
      <w:bookmarkEnd w:id="80"/>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本合同当事人禁止从事的行为，包括但不限于：</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12.1  甲方违反企业年金方案规定缴费；</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12.2  甲方或乙方提供虚假信息；</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12.3  甲方或乙方侵占、挪用企业年金基金财产；</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12.4  甲方或乙方利用企业年金基金财产为本公司或他人谋求不正当利益；</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12.5  乙方管理企业年金基金财产产生的债权债务与其固有财产产生的债权债务相抵销；</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12.6  乙方管理不同企业年金计划的企业年金基金财产产生的债权债务相抵销；</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12.7  乙方不公平地对待其管理的不同企业年金计划的企业年金基金财产；</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12.8  乙方将其固有财产或他人财产混同于企业年金基金财产进行投资；</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 xml:space="preserve">12.9  </w:t>
      </w:r>
      <w:bookmarkStart w:id="81" w:name="_Toc196484087"/>
      <w:r>
        <w:rPr>
          <w:rFonts w:hint="eastAsia" w:ascii="彩虹粗仿宋" w:hAnsi="彩虹粗仿宋" w:eastAsia="彩虹粗仿宋" w:cs="彩虹粗仿宋"/>
          <w:sz w:val="28"/>
          <w:szCs w:val="28"/>
        </w:rPr>
        <w:t>法律法规规定及本合同约定禁止的其他行为。</w:t>
      </w:r>
    </w:p>
    <w:p>
      <w:pPr>
        <w:pStyle w:val="2"/>
        <w:jc w:val="center"/>
        <w:rPr>
          <w:rFonts w:hint="eastAsia" w:ascii="彩虹黑体" w:hAnsi="彩虹粗仿宋" w:eastAsia="彩虹黑体" w:cs="彩虹粗仿宋"/>
          <w:b w:val="0"/>
          <w:bCs w:val="0"/>
          <w:sz w:val="28"/>
          <w:szCs w:val="28"/>
        </w:rPr>
      </w:pPr>
      <w:bookmarkStart w:id="82" w:name="_Toc14782076"/>
      <w:bookmarkStart w:id="83" w:name="_Toc311040999"/>
      <w:r>
        <w:rPr>
          <w:rFonts w:hint="eastAsia" w:ascii="彩虹黑体" w:hAnsi="彩虹粗仿宋" w:eastAsia="彩虹黑体" w:cs="彩虹粗仿宋"/>
          <w:b w:val="0"/>
          <w:bCs w:val="0"/>
          <w:sz w:val="28"/>
          <w:szCs w:val="28"/>
        </w:rPr>
        <w:t>第十三章  违约责任与免责条款</w:t>
      </w:r>
      <w:bookmarkEnd w:id="81"/>
      <w:bookmarkEnd w:id="82"/>
      <w:bookmarkEnd w:id="83"/>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13.1  甲方或乙方未履行本合同约定的义务，或一方在本合同中的声明与承诺严重失实或有重大遗漏，视为该方违约。违约方应当承担违约责任并赔偿因其违约而造成的损失。</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13.2  如甲方的企业年金基金财产来源不合法致使本合同约定的受托关系无效，以及由此引发的责任、损失、费用和债务，全部由甲方承担。</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13.3  甲方未及时支付账户管理费，导致账户管理人暂停向甲方提供本合同约定的服务，因此给企业年金基金财产和受益人造成的损失，由甲方承担。</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13.4  甲方无正当理由不得干预乙方行使法律法规赋予的受托人职责，如因甲方无故干预，导致企业年金基金财产受到损失的，乙方免除责任。</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13.5  甲方办理企业年金基金财产转移、受益人企业年金个人权益转移时，因新受托人未尽责等非乙方原因导致乙方未能及时办理移交手续的，乙方免除责任。</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13.6  受益人未行使本合同约定的权利所引发的风险或产生的损失，乙方免除责任。</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13.7  当事人一方因不可抗力不能履行本合同，根据不可抗力的影响，部分或全部免除违约责任。不能履行合同的一方应当及时通知对方，以减轻可能给企业年金基金财产及对方造成的损失，并应当在合理期限内提供不可抗力的证明。</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13.8  本合同期间，除本合同约定原因外，甲乙双方不得擅自单方提前终止本合同，否则应当赔偿由此给企业年金基金财产及对方造成的损失。</w:t>
      </w:r>
    </w:p>
    <w:p>
      <w:pPr>
        <w:pStyle w:val="2"/>
        <w:jc w:val="center"/>
        <w:rPr>
          <w:rFonts w:hint="eastAsia" w:ascii="彩虹黑体" w:hAnsi="彩虹粗仿宋" w:eastAsia="彩虹黑体" w:cs="彩虹粗仿宋"/>
          <w:b w:val="0"/>
          <w:bCs w:val="0"/>
          <w:sz w:val="28"/>
          <w:szCs w:val="28"/>
        </w:rPr>
      </w:pPr>
      <w:bookmarkStart w:id="84" w:name="_Toc311041000"/>
      <w:bookmarkStart w:id="85" w:name="_Toc14782077"/>
      <w:bookmarkStart w:id="86" w:name="_Toc196484088"/>
      <w:r>
        <w:rPr>
          <w:rFonts w:hint="eastAsia" w:ascii="彩虹黑体" w:hAnsi="彩虹粗仿宋" w:eastAsia="彩虹黑体" w:cs="彩虹粗仿宋"/>
          <w:b w:val="0"/>
          <w:bCs w:val="0"/>
          <w:sz w:val="28"/>
          <w:szCs w:val="28"/>
        </w:rPr>
        <w:t>第十四章  争议的处理</w:t>
      </w:r>
      <w:bookmarkEnd w:id="84"/>
      <w:bookmarkEnd w:id="85"/>
      <w:bookmarkEnd w:id="86"/>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14.1  本合同的签订、履行、解除、终止及解释适用中华人民共和国法律，双方当事人因履行本合同而产生争议的，应当协商解决。</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14.2  经协商未能解决的，当事人可以向有管辖权的人民法院提起诉讼。</w:t>
      </w:r>
    </w:p>
    <w:p>
      <w:pPr>
        <w:pStyle w:val="2"/>
        <w:jc w:val="center"/>
        <w:rPr>
          <w:rFonts w:hint="eastAsia" w:ascii="彩虹黑体" w:hAnsi="彩虹粗仿宋" w:eastAsia="彩虹黑体" w:cs="彩虹粗仿宋"/>
          <w:b w:val="0"/>
          <w:bCs w:val="0"/>
          <w:sz w:val="28"/>
          <w:szCs w:val="28"/>
        </w:rPr>
      </w:pPr>
      <w:bookmarkStart w:id="87" w:name="_Toc311041001"/>
      <w:bookmarkStart w:id="88" w:name="_Toc14782078"/>
      <w:r>
        <w:rPr>
          <w:rFonts w:hint="eastAsia" w:ascii="彩虹黑体" w:hAnsi="彩虹粗仿宋" w:eastAsia="彩虹黑体" w:cs="彩虹粗仿宋"/>
          <w:b w:val="0"/>
          <w:bCs w:val="0"/>
          <w:sz w:val="28"/>
          <w:szCs w:val="28"/>
        </w:rPr>
        <w:t>第十五章  本合同的生效、期限与终止</w:t>
      </w:r>
      <w:bookmarkEnd w:id="87"/>
      <w:bookmarkEnd w:id="88"/>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15.1  本合同的生效。</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本合同于甲乙双方的法定代表人（负责人）或授权代表签字（或签章）、加盖双方公章之日起生效。若甲乙双方之前签署过企业年金集合计划受托管理合同，该受托管理合同将在本合同生效后自动终止。</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15.2  本合同的期限。</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本合同期限为自本合同生效之日起</w:t>
      </w:r>
      <w:r>
        <w:rPr>
          <w:rFonts w:hint="eastAsia" w:ascii="彩虹粗仿宋" w:hAnsi="彩虹粗仿宋" w:eastAsia="彩虹粗仿宋" w:cs="彩虹粗仿宋"/>
          <w:sz w:val="28"/>
          <w:szCs w:val="28"/>
          <w:u w:val="single"/>
          <w:lang w:val="en-US" w:eastAsia="zh-CN"/>
        </w:rPr>
        <w:t xml:space="preserve">  五  </w:t>
      </w:r>
      <w:r>
        <w:rPr>
          <w:rFonts w:hint="eastAsia" w:ascii="彩虹粗仿宋" w:hAnsi="彩虹粗仿宋" w:eastAsia="彩虹粗仿宋" w:cs="彩虹粗仿宋"/>
          <w:sz w:val="28"/>
          <w:szCs w:val="28"/>
        </w:rPr>
        <w:t>年,合同届满时如遇公休日或法定节假日，则顺延至下一个工作日。</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15.3  本合同期限截止日一个月前，任何一方未提出异议的，视为双方同意顺延相同合同期限，以后依此类推，</w:t>
      </w:r>
      <w:r>
        <w:rPr>
          <w:rFonts w:hint="eastAsia" w:ascii="彩虹粗仿宋" w:hAnsi="彩虹粗仿宋" w:eastAsia="彩虹粗仿宋" w:cs="彩虹粗仿宋"/>
          <w:kern w:val="0"/>
          <w:sz w:val="28"/>
          <w:szCs w:val="28"/>
          <w:lang w:val="zh-CN"/>
        </w:rPr>
        <w:t>顺延次数不受限制。</w:t>
      </w:r>
    </w:p>
    <w:p>
      <w:pPr>
        <w:spacing w:line="360" w:lineRule="auto"/>
        <w:ind w:firstLine="560" w:firstLineChars="200"/>
        <w:rPr>
          <w:rFonts w:hint="eastAsia" w:ascii="彩虹粗仿宋" w:hAnsi="彩虹粗仿宋" w:eastAsia="彩虹粗仿宋" w:cs="彩虹粗仿宋"/>
          <w:sz w:val="28"/>
          <w:szCs w:val="28"/>
        </w:rPr>
      </w:pPr>
      <w:bookmarkStart w:id="89" w:name="_Toc196484091"/>
      <w:r>
        <w:rPr>
          <w:rFonts w:hint="eastAsia" w:ascii="彩虹粗仿宋" w:hAnsi="彩虹粗仿宋" w:eastAsia="彩虹粗仿宋" w:cs="彩虹粗仿宋"/>
          <w:sz w:val="28"/>
          <w:szCs w:val="28"/>
        </w:rPr>
        <w:t>15.4  本合同的终止。</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15.4.1  出现下列情况之一的，本合同终止：</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15.4.1.1  本合同期限届满且未顺延；</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15.4.1.2  本合同经甲方与乙方协商同意终止；</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15.4.1.3  本合同双方的合同关系被依法撤销；</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15.4.1.4  本合同双方的合同关系被依法解除；</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15.4.1.5  依据法律法规规定，本计划终止。</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15.4.2  在本合同期限内，有下列情形之一，甲方可以单方终止本合同：</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15.4.2.1  乙方违反本合同约定且致使不能实现合同目的；</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15.4.2.2  乙方利用企业年金基金财产为其谋取利益，或者为他人谋取不正当利益；</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15.4.2.3  乙方依法解散、被依法撤销、被依法宣告破产或被依法接管；</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15.4.2.4  乙方被依法取消企业年金基金受托管理业务资格；</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15.4.2.5  甲方有充分理由和证据认为更换乙方符合受益人利益；</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15.4.2.6  有关监管部门有充分理由和依据认为更换乙方符合受益人利益；</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15.4.2.7  乙方在企业年金基金运作中有严重违反法律法规规定的行为；</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15.4.2.8  法律法规规定及本合同约定的其他情形。</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15.4.3  在本合同期限内，有下列情形之一，乙方可以单方终止本合同：</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15.4.3.1  甲方因其违约行为致使不能实现合同目的；</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15.4.3.2  甲方在企业年金基金运作中有严重违反法律法规规定的行为；</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15.4.3.3  甲方依法解散、被依法撤销、被依法宣告破产或被依法接管；</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15.4.3.4  甲方无故逾期欠缴账户管理费超过三年的；</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15.4.3.5  法律法规规定及本合同约定的其他情形。</w:t>
      </w:r>
    </w:p>
    <w:p>
      <w:pPr>
        <w:spacing w:line="360" w:lineRule="auto"/>
        <w:ind w:firstLine="560" w:firstLineChars="200"/>
        <w:rPr>
          <w:rFonts w:hint="eastAsia" w:ascii="彩虹粗仿宋" w:hAnsi="彩虹粗仿宋" w:eastAsia="彩虹粗仿宋" w:cs="彩虹粗仿宋"/>
          <w:kern w:val="0"/>
          <w:sz w:val="28"/>
          <w:szCs w:val="28"/>
          <w:lang w:val="zh-CN"/>
        </w:rPr>
      </w:pPr>
      <w:r>
        <w:rPr>
          <w:rFonts w:hint="eastAsia" w:ascii="彩虹粗仿宋" w:hAnsi="彩虹粗仿宋" w:eastAsia="彩虹粗仿宋" w:cs="彩虹粗仿宋"/>
          <w:kern w:val="0"/>
          <w:sz w:val="28"/>
          <w:szCs w:val="28"/>
          <w:lang w:val="zh-CN"/>
        </w:rPr>
        <w:t xml:space="preserve">15.5  </w:t>
      </w:r>
      <w:r>
        <w:rPr>
          <w:rFonts w:hint="eastAsia" w:ascii="彩虹粗仿宋" w:hAnsi="彩虹粗仿宋" w:eastAsia="彩虹粗仿宋" w:cs="彩虹粗仿宋"/>
          <w:sz w:val="28"/>
          <w:szCs w:val="28"/>
        </w:rPr>
        <w:t>本合同期间，除15.4条约定的事项外，甲方加入本计划未满三年，甲方不得终止本合同。</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kern w:val="0"/>
          <w:sz w:val="28"/>
          <w:szCs w:val="28"/>
          <w:lang w:val="zh-CN"/>
        </w:rPr>
        <w:t>15.6  本合同的终止日期：本合同期限正常届满的，以本合同期的最后一日为终止日，</w:t>
      </w:r>
      <w:r>
        <w:rPr>
          <w:rFonts w:hint="eastAsia" w:ascii="彩虹粗仿宋" w:hAnsi="彩虹粗仿宋" w:eastAsia="彩虹粗仿宋" w:cs="彩虹粗仿宋"/>
          <w:sz w:val="28"/>
          <w:szCs w:val="28"/>
        </w:rPr>
        <w:t>若遇公休日或法定节假日，则顺延至下一个工作日</w:t>
      </w:r>
      <w:r>
        <w:rPr>
          <w:rFonts w:hint="eastAsia" w:ascii="彩虹粗仿宋" w:hAnsi="彩虹粗仿宋" w:eastAsia="彩虹粗仿宋" w:cs="彩虹粗仿宋"/>
          <w:kern w:val="0"/>
          <w:sz w:val="28"/>
          <w:szCs w:val="28"/>
          <w:lang w:val="zh-CN"/>
        </w:rPr>
        <w:t>；本合同双方协商终止的，以终止协议约定的日期为终止日；如果双方的合同关系被依法撤销或解除的，以撤销或解除通知生效之日为终止日；</w:t>
      </w:r>
      <w:r>
        <w:rPr>
          <w:rFonts w:hint="eastAsia" w:ascii="彩虹粗仿宋" w:hAnsi="彩虹粗仿宋" w:eastAsia="彩虹粗仿宋" w:cs="彩虹粗仿宋"/>
          <w:sz w:val="28"/>
          <w:szCs w:val="28"/>
        </w:rPr>
        <w:t>如甲方或乙方按本合同第15.4.2款与第15.4.3款的约定解除合同关系，以一方解除合同通知送达对方之日为终止日。</w:t>
      </w:r>
    </w:p>
    <w:p>
      <w:pPr>
        <w:pStyle w:val="2"/>
        <w:jc w:val="center"/>
        <w:rPr>
          <w:rFonts w:hint="eastAsia" w:ascii="彩虹黑体" w:hAnsi="彩虹粗仿宋" w:eastAsia="彩虹黑体" w:cs="彩虹粗仿宋"/>
          <w:b w:val="0"/>
          <w:bCs w:val="0"/>
          <w:sz w:val="28"/>
          <w:szCs w:val="28"/>
        </w:rPr>
      </w:pPr>
      <w:bookmarkStart w:id="90" w:name="_Toc14782079"/>
      <w:bookmarkStart w:id="91" w:name="_Toc311041002"/>
      <w:r>
        <w:rPr>
          <w:rFonts w:hint="eastAsia" w:ascii="彩虹黑体" w:hAnsi="彩虹粗仿宋" w:eastAsia="彩虹黑体" w:cs="彩虹粗仿宋"/>
          <w:b w:val="0"/>
          <w:bCs w:val="0"/>
          <w:sz w:val="28"/>
          <w:szCs w:val="28"/>
        </w:rPr>
        <w:t>第十六章  计划的变更与终止</w:t>
      </w:r>
      <w:bookmarkEnd w:id="90"/>
    </w:p>
    <w:p>
      <w:pPr>
        <w:spacing w:line="360" w:lineRule="auto"/>
        <w:ind w:firstLine="560" w:firstLineChars="200"/>
        <w:rPr>
          <w:rFonts w:hint="eastAsia" w:ascii="彩虹粗仿宋" w:hAnsi="彩虹粗仿宋" w:eastAsia="彩虹粗仿宋" w:cs="彩虹粗仿宋"/>
          <w:kern w:val="0"/>
          <w:sz w:val="28"/>
          <w:szCs w:val="28"/>
          <w:lang w:val="zh-CN"/>
        </w:rPr>
      </w:pPr>
      <w:r>
        <w:rPr>
          <w:rFonts w:hint="eastAsia" w:ascii="彩虹粗仿宋" w:hAnsi="彩虹粗仿宋" w:eastAsia="彩虹粗仿宋" w:cs="彩虹粗仿宋"/>
          <w:kern w:val="0"/>
          <w:sz w:val="28"/>
          <w:szCs w:val="28"/>
          <w:lang w:val="zh-CN"/>
        </w:rPr>
        <w:t>16.1  发生下列情况之一时，本计划变更：</w:t>
      </w:r>
    </w:p>
    <w:p>
      <w:pPr>
        <w:spacing w:line="360" w:lineRule="auto"/>
        <w:ind w:firstLine="560" w:firstLineChars="200"/>
        <w:rPr>
          <w:rFonts w:hint="eastAsia" w:ascii="彩虹粗仿宋" w:hAnsi="彩虹粗仿宋" w:eastAsia="彩虹粗仿宋" w:cs="彩虹粗仿宋"/>
          <w:kern w:val="0"/>
          <w:sz w:val="28"/>
          <w:szCs w:val="28"/>
          <w:lang w:val="zh-CN"/>
        </w:rPr>
      </w:pPr>
      <w:r>
        <w:rPr>
          <w:rFonts w:hint="eastAsia" w:ascii="彩虹粗仿宋" w:hAnsi="彩虹粗仿宋" w:eastAsia="彩虹粗仿宋" w:cs="彩虹粗仿宋"/>
          <w:kern w:val="0"/>
          <w:sz w:val="28"/>
          <w:szCs w:val="28"/>
          <w:lang w:val="zh-CN"/>
        </w:rPr>
        <w:t>16.1.1  本计划名称变更；</w:t>
      </w:r>
    </w:p>
    <w:p>
      <w:pPr>
        <w:spacing w:line="360" w:lineRule="auto"/>
        <w:ind w:firstLine="560" w:firstLineChars="200"/>
        <w:rPr>
          <w:rFonts w:hint="eastAsia" w:ascii="彩虹粗仿宋" w:hAnsi="彩虹粗仿宋" w:eastAsia="彩虹粗仿宋" w:cs="彩虹粗仿宋"/>
          <w:kern w:val="0"/>
          <w:sz w:val="28"/>
          <w:szCs w:val="28"/>
          <w:lang w:val="zh-CN"/>
        </w:rPr>
      </w:pPr>
      <w:r>
        <w:rPr>
          <w:rFonts w:hint="eastAsia" w:ascii="彩虹粗仿宋" w:hAnsi="彩虹粗仿宋" w:eastAsia="彩虹粗仿宋" w:cs="彩虹粗仿宋"/>
          <w:kern w:val="0"/>
          <w:sz w:val="28"/>
          <w:szCs w:val="28"/>
          <w:lang w:val="zh-CN"/>
        </w:rPr>
        <w:t>16.1.2  账户管理人、托管人或投资管理人变更；</w:t>
      </w:r>
    </w:p>
    <w:p>
      <w:pPr>
        <w:spacing w:line="360" w:lineRule="auto"/>
        <w:ind w:firstLine="560" w:firstLineChars="200"/>
        <w:rPr>
          <w:rFonts w:hint="eastAsia" w:ascii="彩虹粗仿宋" w:hAnsi="彩虹粗仿宋" w:eastAsia="彩虹粗仿宋" w:cs="彩虹粗仿宋"/>
          <w:kern w:val="0"/>
          <w:sz w:val="28"/>
          <w:szCs w:val="28"/>
          <w:lang w:val="zh-CN"/>
        </w:rPr>
      </w:pPr>
      <w:r>
        <w:rPr>
          <w:rFonts w:hint="eastAsia" w:ascii="彩虹粗仿宋" w:hAnsi="彩虹粗仿宋" w:eastAsia="彩虹粗仿宋" w:cs="彩虹粗仿宋"/>
          <w:kern w:val="0"/>
          <w:sz w:val="28"/>
          <w:szCs w:val="28"/>
          <w:lang w:val="zh-CN"/>
        </w:rPr>
        <w:t>16.1.3  本计划管理费率变更；</w:t>
      </w:r>
    </w:p>
    <w:p>
      <w:pPr>
        <w:spacing w:line="360" w:lineRule="auto"/>
        <w:ind w:firstLine="560" w:firstLineChars="200"/>
        <w:rPr>
          <w:rFonts w:hint="eastAsia" w:ascii="彩虹粗仿宋" w:hAnsi="彩虹粗仿宋" w:eastAsia="彩虹粗仿宋" w:cs="彩虹粗仿宋"/>
          <w:kern w:val="0"/>
          <w:sz w:val="28"/>
          <w:szCs w:val="28"/>
          <w:lang w:val="zh-CN"/>
        </w:rPr>
      </w:pPr>
      <w:r>
        <w:rPr>
          <w:rFonts w:hint="eastAsia" w:ascii="彩虹粗仿宋" w:hAnsi="彩虹粗仿宋" w:eastAsia="彩虹粗仿宋" w:cs="彩虹粗仿宋"/>
          <w:kern w:val="0"/>
          <w:sz w:val="28"/>
          <w:szCs w:val="28"/>
          <w:lang w:val="zh-CN"/>
        </w:rPr>
        <w:t xml:space="preserve">16.1.4  </w:t>
      </w:r>
      <w:r>
        <w:rPr>
          <w:rFonts w:hint="eastAsia" w:ascii="彩虹粗仿宋" w:hAnsi="彩虹粗仿宋" w:eastAsia="彩虹粗仿宋" w:cs="彩虹粗仿宋"/>
          <w:sz w:val="28"/>
          <w:szCs w:val="28"/>
        </w:rPr>
        <w:t>本计划</w:t>
      </w:r>
      <w:r>
        <w:rPr>
          <w:rFonts w:hint="eastAsia" w:ascii="彩虹粗仿宋" w:hAnsi="彩虹粗仿宋" w:eastAsia="彩虹粗仿宋" w:cs="彩虹粗仿宋"/>
          <w:kern w:val="0"/>
          <w:sz w:val="28"/>
          <w:szCs w:val="28"/>
          <w:lang w:val="zh-CN"/>
        </w:rPr>
        <w:t>投资组合数量增减；</w:t>
      </w:r>
    </w:p>
    <w:p>
      <w:pPr>
        <w:spacing w:line="360" w:lineRule="auto"/>
        <w:ind w:firstLine="560" w:firstLineChars="200"/>
        <w:rPr>
          <w:rFonts w:hint="eastAsia" w:ascii="彩虹粗仿宋" w:hAnsi="彩虹粗仿宋" w:eastAsia="彩虹粗仿宋" w:cs="彩虹粗仿宋"/>
          <w:kern w:val="0"/>
          <w:sz w:val="28"/>
          <w:szCs w:val="28"/>
          <w:lang w:val="zh-CN"/>
        </w:rPr>
      </w:pPr>
      <w:r>
        <w:rPr>
          <w:rFonts w:hint="eastAsia" w:ascii="彩虹粗仿宋" w:hAnsi="彩虹粗仿宋" w:eastAsia="彩虹粗仿宋" w:cs="彩虹粗仿宋"/>
          <w:kern w:val="0"/>
          <w:sz w:val="28"/>
          <w:szCs w:val="28"/>
          <w:lang w:val="zh-CN"/>
        </w:rPr>
        <w:t>16.1.5  本合同其他主要内容调整；</w:t>
      </w:r>
    </w:p>
    <w:p>
      <w:pPr>
        <w:spacing w:line="360" w:lineRule="auto"/>
        <w:ind w:firstLine="560" w:firstLineChars="200"/>
        <w:rPr>
          <w:rFonts w:hint="eastAsia" w:ascii="彩虹粗仿宋" w:hAnsi="彩虹粗仿宋" w:eastAsia="彩虹粗仿宋" w:cs="彩虹粗仿宋"/>
          <w:kern w:val="0"/>
          <w:sz w:val="28"/>
          <w:szCs w:val="28"/>
          <w:lang w:val="zh-CN"/>
        </w:rPr>
      </w:pPr>
      <w:r>
        <w:rPr>
          <w:rFonts w:hint="eastAsia" w:ascii="彩虹粗仿宋" w:hAnsi="彩虹粗仿宋" w:eastAsia="彩虹粗仿宋" w:cs="彩虹粗仿宋"/>
          <w:kern w:val="0"/>
          <w:sz w:val="28"/>
          <w:szCs w:val="28"/>
          <w:lang w:val="zh-CN"/>
        </w:rPr>
        <w:t>16.1.6  法律法规规定和合同约定的其他情形。</w:t>
      </w:r>
    </w:p>
    <w:p>
      <w:pPr>
        <w:spacing w:line="360" w:lineRule="auto"/>
        <w:ind w:firstLine="560" w:firstLineChars="200"/>
        <w:rPr>
          <w:rFonts w:hint="eastAsia" w:ascii="彩虹粗仿宋" w:hAnsi="彩虹粗仿宋" w:eastAsia="彩虹粗仿宋" w:cs="彩虹粗仿宋"/>
          <w:kern w:val="0"/>
          <w:sz w:val="28"/>
          <w:szCs w:val="28"/>
          <w:lang w:val="zh-CN"/>
        </w:rPr>
      </w:pPr>
      <w:r>
        <w:rPr>
          <w:rFonts w:hint="eastAsia" w:ascii="彩虹粗仿宋" w:hAnsi="彩虹粗仿宋" w:eastAsia="彩虹粗仿宋" w:cs="彩虹粗仿宋"/>
          <w:kern w:val="0"/>
          <w:sz w:val="28"/>
          <w:szCs w:val="28"/>
          <w:lang w:val="zh-CN"/>
        </w:rPr>
        <w:t xml:space="preserve">16.2  </w:t>
      </w:r>
      <w:r>
        <w:rPr>
          <w:rFonts w:hint="eastAsia" w:ascii="彩虹粗仿宋" w:hAnsi="彩虹粗仿宋" w:eastAsia="彩虹粗仿宋" w:cs="彩虹粗仿宋"/>
          <w:sz w:val="28"/>
          <w:szCs w:val="28"/>
        </w:rPr>
        <w:t>乙方有权利对本计划进行变更，但变更内容不得违反相关法律法规。</w:t>
      </w:r>
    </w:p>
    <w:p>
      <w:pPr>
        <w:spacing w:line="360" w:lineRule="auto"/>
        <w:ind w:firstLine="560" w:firstLineChars="200"/>
        <w:rPr>
          <w:rFonts w:hint="eastAsia" w:ascii="彩虹粗仿宋" w:hAnsi="彩虹粗仿宋" w:eastAsia="彩虹粗仿宋" w:cs="彩虹粗仿宋"/>
          <w:kern w:val="0"/>
          <w:sz w:val="28"/>
          <w:szCs w:val="28"/>
          <w:lang w:val="zh-CN"/>
        </w:rPr>
      </w:pPr>
      <w:r>
        <w:rPr>
          <w:rFonts w:hint="eastAsia" w:ascii="彩虹粗仿宋" w:hAnsi="彩虹粗仿宋" w:eastAsia="彩虹粗仿宋" w:cs="彩虹粗仿宋"/>
          <w:kern w:val="0"/>
          <w:sz w:val="28"/>
          <w:szCs w:val="28"/>
          <w:lang w:val="zh-CN"/>
        </w:rPr>
        <w:t>16.3  本计划变更的，乙方应按照监管部门要求重新履行本计划备案手续，并于变更生效后15日内以书面或者公告等方式通知甲方。需要重新签署合同的，甲乙双方签订新的合同。</w:t>
      </w:r>
    </w:p>
    <w:p>
      <w:pPr>
        <w:spacing w:line="360" w:lineRule="auto"/>
        <w:ind w:firstLine="560" w:firstLineChars="200"/>
        <w:rPr>
          <w:rFonts w:hint="eastAsia" w:ascii="彩虹粗仿宋" w:hAnsi="彩虹粗仿宋" w:eastAsia="彩虹粗仿宋" w:cs="彩虹粗仿宋"/>
          <w:kern w:val="0"/>
          <w:sz w:val="28"/>
          <w:szCs w:val="28"/>
          <w:lang w:val="zh-CN"/>
        </w:rPr>
      </w:pPr>
      <w:r>
        <w:rPr>
          <w:rFonts w:hint="eastAsia" w:ascii="彩虹粗仿宋" w:hAnsi="彩虹粗仿宋" w:eastAsia="彩虹粗仿宋" w:cs="彩虹粗仿宋"/>
          <w:kern w:val="0"/>
          <w:sz w:val="28"/>
          <w:szCs w:val="28"/>
          <w:lang w:val="zh-CN"/>
        </w:rPr>
        <w:t>16.4  发生下列情况之一的，本计划终止：</w:t>
      </w:r>
    </w:p>
    <w:p>
      <w:pPr>
        <w:spacing w:line="360" w:lineRule="auto"/>
        <w:ind w:firstLine="560" w:firstLineChars="200"/>
        <w:rPr>
          <w:rFonts w:hint="eastAsia" w:ascii="彩虹粗仿宋" w:hAnsi="彩虹粗仿宋" w:eastAsia="彩虹粗仿宋" w:cs="彩虹粗仿宋"/>
          <w:kern w:val="0"/>
          <w:sz w:val="28"/>
          <w:szCs w:val="28"/>
          <w:lang w:val="zh-CN"/>
        </w:rPr>
      </w:pPr>
      <w:r>
        <w:rPr>
          <w:rFonts w:hint="eastAsia" w:ascii="彩虹粗仿宋" w:hAnsi="彩虹粗仿宋" w:eastAsia="彩虹粗仿宋" w:cs="彩虹粗仿宋"/>
          <w:kern w:val="0"/>
          <w:sz w:val="28"/>
          <w:szCs w:val="28"/>
          <w:lang w:val="zh-CN"/>
        </w:rPr>
        <w:t>16.4.1  本计划企业年金基金财产连续6个月低于5000万元人民币；</w:t>
      </w:r>
    </w:p>
    <w:p>
      <w:pPr>
        <w:spacing w:line="360" w:lineRule="auto"/>
        <w:ind w:firstLine="560" w:firstLineChars="200"/>
        <w:rPr>
          <w:rFonts w:hint="eastAsia" w:ascii="彩虹粗仿宋" w:hAnsi="彩虹粗仿宋" w:eastAsia="彩虹粗仿宋" w:cs="彩虹粗仿宋"/>
          <w:kern w:val="0"/>
          <w:sz w:val="28"/>
          <w:szCs w:val="28"/>
          <w:lang w:val="zh-CN"/>
        </w:rPr>
      </w:pPr>
      <w:r>
        <w:rPr>
          <w:rFonts w:hint="eastAsia" w:ascii="彩虹粗仿宋" w:hAnsi="彩虹粗仿宋" w:eastAsia="彩虹粗仿宋" w:cs="彩虹粗仿宋"/>
          <w:kern w:val="0"/>
          <w:sz w:val="28"/>
          <w:szCs w:val="28"/>
          <w:lang w:val="zh-CN"/>
        </w:rPr>
        <w:t>16.4.2  加入本计划的委托人全部退出；</w:t>
      </w:r>
    </w:p>
    <w:p>
      <w:pPr>
        <w:spacing w:line="360" w:lineRule="auto"/>
        <w:ind w:firstLine="560" w:firstLineChars="200"/>
        <w:rPr>
          <w:rFonts w:hint="eastAsia" w:ascii="彩虹粗仿宋" w:hAnsi="彩虹粗仿宋" w:eastAsia="彩虹粗仿宋" w:cs="彩虹粗仿宋"/>
          <w:kern w:val="0"/>
          <w:sz w:val="28"/>
          <w:szCs w:val="28"/>
          <w:lang w:val="zh-CN"/>
        </w:rPr>
      </w:pPr>
      <w:r>
        <w:rPr>
          <w:rFonts w:hint="eastAsia" w:ascii="彩虹粗仿宋" w:hAnsi="彩虹粗仿宋" w:eastAsia="彩虹粗仿宋" w:cs="彩虹粗仿宋"/>
          <w:kern w:val="0"/>
          <w:sz w:val="28"/>
          <w:szCs w:val="28"/>
          <w:lang w:val="zh-CN"/>
        </w:rPr>
        <w:t>16.4.3  乙方与账户管理人、托管人和投资管理人协商一致决定终止；</w:t>
      </w:r>
    </w:p>
    <w:p>
      <w:pPr>
        <w:spacing w:line="360" w:lineRule="auto"/>
        <w:ind w:firstLine="560" w:firstLineChars="200"/>
        <w:rPr>
          <w:rFonts w:hint="eastAsia" w:ascii="彩虹粗仿宋" w:hAnsi="彩虹粗仿宋" w:eastAsia="彩虹粗仿宋" w:cs="彩虹粗仿宋"/>
          <w:kern w:val="0"/>
          <w:sz w:val="28"/>
          <w:szCs w:val="28"/>
          <w:lang w:val="zh-CN"/>
        </w:rPr>
      </w:pPr>
      <w:r>
        <w:rPr>
          <w:rFonts w:hint="eastAsia" w:ascii="彩虹粗仿宋" w:hAnsi="彩虹粗仿宋" w:eastAsia="彩虹粗仿宋" w:cs="彩虹粗仿宋"/>
          <w:kern w:val="0"/>
          <w:sz w:val="28"/>
          <w:szCs w:val="28"/>
          <w:lang w:val="zh-CN"/>
        </w:rPr>
        <w:t xml:space="preserve">16.4.4  监管部门按规定决定撤销； </w:t>
      </w:r>
    </w:p>
    <w:p>
      <w:pPr>
        <w:spacing w:line="360" w:lineRule="auto"/>
        <w:ind w:firstLine="560" w:firstLineChars="200"/>
        <w:rPr>
          <w:rFonts w:hint="eastAsia" w:ascii="彩虹粗仿宋" w:hAnsi="彩虹粗仿宋" w:eastAsia="彩虹粗仿宋" w:cs="彩虹粗仿宋"/>
          <w:kern w:val="0"/>
          <w:sz w:val="28"/>
          <w:szCs w:val="28"/>
          <w:lang w:val="zh-CN"/>
        </w:rPr>
      </w:pPr>
      <w:r>
        <w:rPr>
          <w:rFonts w:hint="eastAsia" w:ascii="彩虹粗仿宋" w:hAnsi="彩虹粗仿宋" w:eastAsia="彩虹粗仿宋" w:cs="彩虹粗仿宋"/>
          <w:kern w:val="0"/>
          <w:sz w:val="28"/>
          <w:szCs w:val="28"/>
          <w:lang w:val="zh-CN"/>
        </w:rPr>
        <w:t>16.4.5  法律法规规定和合同约定的其他情形。</w:t>
      </w:r>
    </w:p>
    <w:p>
      <w:pPr>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kern w:val="0"/>
          <w:sz w:val="28"/>
          <w:szCs w:val="28"/>
          <w:lang w:val="zh-CN"/>
        </w:rPr>
        <w:t>16.5  本计划终止且清算工作完成后，甲方应及时选择加入其他集合计划或者建立单一计划。乙方、账户管理人、托管人和投资管理人应当继续履行各项管理职责，妥善完成本计划企业年金基金移交的相关工作。</w:t>
      </w:r>
    </w:p>
    <w:p>
      <w:pPr>
        <w:pStyle w:val="2"/>
        <w:jc w:val="center"/>
        <w:rPr>
          <w:rFonts w:hint="eastAsia" w:ascii="彩虹黑体" w:hAnsi="彩虹粗仿宋" w:eastAsia="彩虹黑体" w:cs="彩虹粗仿宋"/>
          <w:b w:val="0"/>
          <w:bCs w:val="0"/>
          <w:sz w:val="28"/>
          <w:szCs w:val="28"/>
        </w:rPr>
      </w:pPr>
      <w:bookmarkStart w:id="92" w:name="_Toc14782080"/>
      <w:r>
        <w:rPr>
          <w:rFonts w:hint="eastAsia" w:ascii="彩虹黑体" w:hAnsi="彩虹粗仿宋" w:eastAsia="彩虹黑体" w:cs="彩虹粗仿宋"/>
          <w:b w:val="0"/>
          <w:bCs w:val="0"/>
          <w:sz w:val="28"/>
          <w:szCs w:val="28"/>
        </w:rPr>
        <w:t>第十七章  保密条款</w:t>
      </w:r>
      <w:bookmarkEnd w:id="89"/>
      <w:bookmarkEnd w:id="91"/>
      <w:bookmarkEnd w:id="92"/>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17.1  甲方与乙方于本受托设立和管理中所知悉的对方商业秘密以及其他未公开的信息，未经许可，任何一方当事人不得自己使用或向第三方透露和使用，但根据法律法规规定或监管部门要求应当进行披露的除外。</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17.2  任何一方违反保密义务的约定，应当赔偿由此给另一方造成的损失。</w:t>
      </w:r>
    </w:p>
    <w:p>
      <w:pPr>
        <w:pStyle w:val="2"/>
        <w:jc w:val="center"/>
        <w:rPr>
          <w:rFonts w:hint="eastAsia" w:ascii="彩虹黑体" w:hAnsi="彩虹粗仿宋" w:eastAsia="彩虹黑体" w:cs="彩虹粗仿宋"/>
          <w:b w:val="0"/>
          <w:bCs w:val="0"/>
          <w:sz w:val="28"/>
          <w:szCs w:val="28"/>
        </w:rPr>
      </w:pPr>
      <w:bookmarkStart w:id="93" w:name="_Toc311041003"/>
      <w:bookmarkStart w:id="94" w:name="_Toc196484092"/>
      <w:bookmarkStart w:id="95" w:name="_Toc14782081"/>
      <w:r>
        <w:rPr>
          <w:rFonts w:hint="eastAsia" w:ascii="彩虹黑体" w:hAnsi="彩虹粗仿宋" w:eastAsia="彩虹黑体" w:cs="彩虹粗仿宋"/>
          <w:b w:val="0"/>
          <w:bCs w:val="0"/>
          <w:sz w:val="28"/>
          <w:szCs w:val="28"/>
        </w:rPr>
        <w:t>第十八章  通知及送达</w:t>
      </w:r>
      <w:bookmarkEnd w:id="93"/>
      <w:bookmarkEnd w:id="94"/>
      <w:bookmarkEnd w:id="95"/>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18.1  甲方与乙方可采取专人送达、挂号邮递、传真或电子邮件等有效方式就受托管理业务相关事项通知对方。</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18.2  通知在下列日期视为送达被通知方：</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18.2.1  专人送达：被通知方签收单中所显示的日期；</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 xml:space="preserve">18.2.2  挂号信或EMS邮递：被送达方的签收日和发出通知方持有的国内挂号函件或EMS收据所示日后的第7日两者中的较早日期； </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18.2.3  传真：对方确认收到后的第1个工作日；</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18.2.4  电子邮件：数据电文进入对方特定系统的首次时间；</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18.3  一方通讯地址或联络方式发生变化，应当自发生变化之日起3个工作日内以书面形式通知另一方。</w:t>
      </w:r>
    </w:p>
    <w:p>
      <w:pPr>
        <w:pStyle w:val="2"/>
        <w:jc w:val="center"/>
        <w:rPr>
          <w:rFonts w:hint="eastAsia" w:ascii="彩虹黑体" w:hAnsi="彩虹粗仿宋" w:eastAsia="彩虹黑体" w:cs="彩虹粗仿宋"/>
          <w:b w:val="0"/>
          <w:sz w:val="28"/>
          <w:szCs w:val="28"/>
        </w:rPr>
      </w:pPr>
      <w:bookmarkStart w:id="96" w:name="_Toc14782082"/>
      <w:bookmarkStart w:id="97" w:name="_Toc311041004"/>
      <w:r>
        <w:rPr>
          <w:rFonts w:hint="eastAsia" w:ascii="彩虹黑体" w:hAnsi="彩虹粗仿宋" w:eastAsia="彩虹黑体" w:cs="彩虹粗仿宋"/>
          <w:b w:val="0"/>
          <w:sz w:val="28"/>
          <w:szCs w:val="28"/>
        </w:rPr>
        <w:t>第十九章  风险提示</w:t>
      </w:r>
      <w:bookmarkEnd w:id="96"/>
      <w:bookmarkEnd w:id="97"/>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19.1  本计划经人力资源社会保障行政部门审核备案，并不表明其对企业年金基金的价值和收益做出实质性判断或保证，也不表明企业年金基金投资没有风险。</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19.2  甲乙双方已共同认识到：乙方按照法律法规规定及本计划约定的投资范围和投资比例管理运用、处分企业年金基金财产，企业年金基金财产仍有可能面临遭受损失的风险，由此产生的收益或受到的损失，归于企业年金基金财产。</w:t>
      </w:r>
    </w:p>
    <w:p>
      <w:pPr>
        <w:pStyle w:val="2"/>
        <w:jc w:val="center"/>
        <w:rPr>
          <w:rFonts w:hint="eastAsia" w:ascii="彩虹黑体" w:hAnsi="彩虹粗仿宋" w:eastAsia="彩虹黑体" w:cs="彩虹粗仿宋"/>
          <w:b w:val="0"/>
          <w:sz w:val="28"/>
          <w:szCs w:val="28"/>
        </w:rPr>
      </w:pPr>
      <w:bookmarkStart w:id="98" w:name="_Toc14782083"/>
      <w:bookmarkStart w:id="99" w:name="_Toc196484093"/>
      <w:bookmarkStart w:id="100" w:name="_Toc311041005"/>
      <w:r>
        <w:rPr>
          <w:rFonts w:hint="eastAsia" w:ascii="彩虹黑体" w:hAnsi="彩虹粗仿宋" w:eastAsia="彩虹黑体" w:cs="彩虹粗仿宋"/>
          <w:b w:val="0"/>
          <w:sz w:val="28"/>
          <w:szCs w:val="28"/>
        </w:rPr>
        <w:t>第二十章  其他事项</w:t>
      </w:r>
      <w:bookmarkEnd w:id="98"/>
      <w:bookmarkEnd w:id="99"/>
      <w:bookmarkEnd w:id="100"/>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20.1  甲方被兼并或被收购，其在本合同中所承担的权利与义务由兼并方或收购方承担。</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20.2  甲方为非企业法人单位的，由甲方负责人或授权代表签署本合同。</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20.3  本合同有效期内，如法律法规规定发生变化导致本合同条款与其有抵触的，相抵触之处按新的法律法规规定执行。</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20.4  本合同有效期内，如法律法规规定发生变化导致本合同需要报人力资源社会保障行政部门审核，由乙方负责办理。</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20.5  如果本合同任何条款与相关法律法规规定不符而构成无效，并不影响本合同其他条款的效力。</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20.6  本合同条款已经人力资源和社会保障部审核备案。</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20.7  本合同壹式肆份，由甲方、乙方各执贰份，每份具有同等的法律效力。</w:t>
      </w:r>
    </w:p>
    <w:p>
      <w:pPr>
        <w:spacing w:line="360" w:lineRule="auto"/>
        <w:rPr>
          <w:rFonts w:hint="eastAsia" w:ascii="彩虹粗仿宋" w:hAnsi="彩虹粗仿宋" w:eastAsia="彩虹粗仿宋" w:cs="彩虹粗仿宋"/>
          <w:sz w:val="28"/>
          <w:szCs w:val="28"/>
        </w:rPr>
      </w:pPr>
    </w:p>
    <w:p>
      <w:pPr>
        <w:spacing w:line="360" w:lineRule="auto"/>
        <w:rPr>
          <w:rFonts w:hint="eastAsia" w:ascii="彩虹粗仿宋" w:hAnsi="彩虹粗仿宋" w:eastAsia="彩虹粗仿宋" w:cs="彩虹粗仿宋"/>
          <w:sz w:val="28"/>
          <w:szCs w:val="28"/>
        </w:rPr>
      </w:pPr>
    </w:p>
    <w:p>
      <w:pPr>
        <w:spacing w:line="360" w:lineRule="auto"/>
        <w:rPr>
          <w:rFonts w:hint="eastAsia" w:ascii="彩虹粗仿宋" w:hAnsi="彩虹粗仿宋" w:eastAsia="彩虹粗仿宋" w:cs="彩虹粗仿宋"/>
          <w:sz w:val="28"/>
          <w:szCs w:val="28"/>
        </w:rPr>
      </w:pP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（以下是本合同签署页。）</w:t>
      </w:r>
    </w:p>
    <w:p>
      <w:pPr>
        <w:spacing w:line="360" w:lineRule="auto"/>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br w:type="page"/>
      </w:r>
    </w:p>
    <w:p>
      <w:pPr>
        <w:spacing w:line="360" w:lineRule="auto"/>
        <w:rPr>
          <w:rFonts w:hint="eastAsia" w:ascii="彩虹粗仿宋" w:hAnsi="彩虹粗仿宋" w:eastAsia="彩虹粗仿宋" w:cs="彩虹粗仿宋"/>
          <w:sz w:val="28"/>
          <w:szCs w:val="28"/>
        </w:rPr>
      </w:pPr>
    </w:p>
    <w:p>
      <w:pPr>
        <w:spacing w:line="360" w:lineRule="auto"/>
        <w:rPr>
          <w:rFonts w:hint="eastAsia" w:ascii="彩虹粗仿宋" w:hAnsi="彩虹粗仿宋" w:eastAsia="彩虹粗仿宋" w:cs="彩虹粗仿宋"/>
          <w:sz w:val="28"/>
          <w:szCs w:val="28"/>
        </w:rPr>
      </w:pPr>
    </w:p>
    <w:p>
      <w:pPr>
        <w:spacing w:line="360" w:lineRule="auto"/>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 xml:space="preserve">甲方（公章）： </w:t>
      </w:r>
    </w:p>
    <w:p>
      <w:pPr>
        <w:spacing w:line="360" w:lineRule="auto"/>
        <w:rPr>
          <w:rFonts w:hint="eastAsia" w:ascii="彩虹粗仿宋" w:hAnsi="彩虹粗仿宋" w:eastAsia="彩虹粗仿宋" w:cs="彩虹粗仿宋"/>
          <w:sz w:val="28"/>
          <w:szCs w:val="28"/>
        </w:rPr>
      </w:pPr>
    </w:p>
    <w:p>
      <w:pPr>
        <w:spacing w:line="360" w:lineRule="auto"/>
        <w:rPr>
          <w:rFonts w:hint="eastAsia" w:ascii="彩虹粗仿宋" w:eastAsia="彩虹粗仿宋"/>
          <w:sz w:val="28"/>
          <w:szCs w:val="28"/>
        </w:rPr>
      </w:pPr>
      <w:r>
        <w:rPr>
          <w:rFonts w:hint="eastAsia" w:ascii="彩虹粗仿宋" w:eastAsia="彩虹粗仿宋"/>
          <w:sz w:val="28"/>
          <w:szCs w:val="28"/>
        </w:rPr>
        <w:t>法定代表人（或授权代表）签字（或签章）：</w:t>
      </w:r>
    </w:p>
    <w:p>
      <w:pPr>
        <w:spacing w:line="360" w:lineRule="auto"/>
        <w:rPr>
          <w:rFonts w:hint="eastAsia" w:ascii="彩虹粗仿宋" w:hAnsi="彩虹粗仿宋" w:eastAsia="彩虹粗仿宋" w:cs="彩虹粗仿宋"/>
          <w:sz w:val="28"/>
          <w:szCs w:val="28"/>
        </w:rPr>
      </w:pPr>
    </w:p>
    <w:p>
      <w:pPr>
        <w:spacing w:line="360" w:lineRule="auto"/>
        <w:rPr>
          <w:rFonts w:hint="eastAsia" w:ascii="彩虹粗仿宋" w:hAnsi="彩虹粗仿宋" w:eastAsia="彩虹粗仿宋" w:cs="彩虹粗仿宋"/>
          <w:sz w:val="28"/>
          <w:szCs w:val="28"/>
        </w:rPr>
      </w:pPr>
    </w:p>
    <w:p>
      <w:pPr>
        <w:spacing w:line="360" w:lineRule="auto"/>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签署日期：       年    月    日</w:t>
      </w:r>
    </w:p>
    <w:p>
      <w:pPr>
        <w:spacing w:line="360" w:lineRule="auto"/>
        <w:rPr>
          <w:rFonts w:hint="eastAsia" w:ascii="彩虹粗仿宋" w:hAnsi="彩虹粗仿宋" w:eastAsia="彩虹粗仿宋" w:cs="彩虹粗仿宋"/>
          <w:sz w:val="28"/>
          <w:szCs w:val="28"/>
        </w:rPr>
      </w:pPr>
    </w:p>
    <w:p>
      <w:pPr>
        <w:spacing w:line="360" w:lineRule="auto"/>
        <w:rPr>
          <w:rFonts w:hint="eastAsia" w:ascii="彩虹粗仿宋" w:hAnsi="彩虹粗仿宋" w:eastAsia="彩虹粗仿宋" w:cs="彩虹粗仿宋"/>
          <w:sz w:val="28"/>
          <w:szCs w:val="28"/>
        </w:rPr>
      </w:pPr>
    </w:p>
    <w:p>
      <w:pPr>
        <w:spacing w:line="360" w:lineRule="auto"/>
        <w:rPr>
          <w:rFonts w:hint="eastAsia" w:ascii="彩虹粗仿宋" w:hAnsi="彩虹粗仿宋" w:eastAsia="彩虹粗仿宋" w:cs="彩虹粗仿宋"/>
          <w:sz w:val="28"/>
          <w:szCs w:val="28"/>
        </w:rPr>
      </w:pPr>
    </w:p>
    <w:p>
      <w:pPr>
        <w:spacing w:line="360" w:lineRule="auto"/>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乙方（公章）：</w:t>
      </w:r>
    </w:p>
    <w:p>
      <w:pPr>
        <w:spacing w:line="360" w:lineRule="auto"/>
        <w:rPr>
          <w:rFonts w:hint="eastAsia" w:ascii="彩虹粗仿宋" w:hAnsi="彩虹粗仿宋" w:eastAsia="彩虹粗仿宋" w:cs="彩虹粗仿宋"/>
          <w:sz w:val="28"/>
          <w:szCs w:val="28"/>
        </w:rPr>
      </w:pPr>
    </w:p>
    <w:p>
      <w:pPr>
        <w:spacing w:line="360" w:lineRule="auto"/>
        <w:rPr>
          <w:rFonts w:hint="eastAsia" w:ascii="彩虹粗仿宋" w:eastAsia="彩虹粗仿宋"/>
          <w:sz w:val="28"/>
          <w:szCs w:val="28"/>
        </w:rPr>
      </w:pPr>
      <w:r>
        <w:rPr>
          <w:rFonts w:hint="eastAsia" w:ascii="彩虹粗仿宋" w:eastAsia="彩虹粗仿宋"/>
          <w:sz w:val="28"/>
          <w:szCs w:val="28"/>
        </w:rPr>
        <w:t>法定代表人（或授权代表）签字（或签章）：</w:t>
      </w:r>
    </w:p>
    <w:p>
      <w:pPr>
        <w:spacing w:line="360" w:lineRule="auto"/>
        <w:rPr>
          <w:rFonts w:hint="eastAsia" w:ascii="彩虹粗仿宋" w:hAnsi="彩虹粗仿宋" w:eastAsia="彩虹粗仿宋" w:cs="彩虹粗仿宋"/>
          <w:sz w:val="28"/>
          <w:szCs w:val="28"/>
        </w:rPr>
      </w:pPr>
    </w:p>
    <w:p>
      <w:pPr>
        <w:spacing w:line="360" w:lineRule="auto"/>
        <w:rPr>
          <w:rFonts w:hint="eastAsia" w:ascii="彩虹粗仿宋" w:hAnsi="彩虹粗仿宋" w:eastAsia="彩虹粗仿宋" w:cs="彩虹粗仿宋"/>
          <w:sz w:val="28"/>
          <w:szCs w:val="28"/>
        </w:rPr>
      </w:pPr>
    </w:p>
    <w:p>
      <w:pPr>
        <w:spacing w:line="360" w:lineRule="auto"/>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签署日期：        年    月    日</w:t>
      </w:r>
    </w:p>
    <w:p>
      <w:pPr>
        <w:spacing w:line="360" w:lineRule="auto"/>
        <w:rPr>
          <w:rFonts w:hint="eastAsia" w:ascii="彩虹粗仿宋" w:hAnsi="彩虹粗仿宋" w:eastAsia="彩虹粗仿宋" w:cs="彩虹粗仿宋"/>
          <w:sz w:val="28"/>
          <w:szCs w:val="28"/>
        </w:rPr>
      </w:pPr>
    </w:p>
    <w:p>
      <w:pPr>
        <w:spacing w:line="360" w:lineRule="auto"/>
        <w:rPr>
          <w:rFonts w:hint="eastAsia" w:ascii="彩虹粗仿宋" w:hAnsi="彩虹粗仿宋" w:eastAsia="彩虹粗仿宋" w:cs="彩虹粗仿宋"/>
          <w:sz w:val="28"/>
          <w:szCs w:val="28"/>
        </w:rPr>
      </w:pPr>
    </w:p>
    <w:bookmarkEnd w:id="29"/>
    <w:p>
      <w:pPr>
        <w:widowControl/>
        <w:spacing w:line="360" w:lineRule="auto"/>
        <w:jc w:val="left"/>
        <w:rPr>
          <w:rFonts w:ascii="Times New Roman" w:hAnsi="Times New Roman" w:cs="Times New Roman"/>
          <w:sz w:val="24"/>
        </w:rPr>
      </w:pPr>
    </w:p>
    <w:sectPr>
      <w:headerReference r:id="rId9" w:type="default"/>
      <w:footerReference r:id="rId10"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B6B2813-67B2-4D44-9683-013973327B92}"/>
  </w:font>
  <w:font w:name="黑体">
    <w:panose1 w:val="02010609060101010101"/>
    <w:charset w:val="86"/>
    <w:family w:val="auto"/>
    <w:pitch w:val="default"/>
    <w:sig w:usb0="800002BF" w:usb1="38CF7CFA" w:usb2="00000016" w:usb3="00000000" w:csb0="00040001" w:csb1="00000000"/>
    <w:embedRegular r:id="rId2" w:fontKey="{EB4428FB-6543-4C10-A46A-BF978307BA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A5F1410B-D160-4CF8-A7C3-BEBBB563FCF3}"/>
  </w:font>
  <w:font w:name="仿宋_GB2312">
    <w:panose1 w:val="02010609030101010101"/>
    <w:charset w:val="86"/>
    <w:family w:val="modern"/>
    <w:pitch w:val="default"/>
    <w:sig w:usb0="00000001" w:usb1="080E0000" w:usb2="00000000" w:usb3="00000000" w:csb0="00040000" w:csb1="00000000"/>
    <w:embedRegular r:id="rId4" w:fontKey="{7561A30E-C77F-45C5-97F5-D6EE7BDC79A8}"/>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MS Sans Serif">
    <w:altName w:val="Arial"/>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黑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5" w:fontKey="{DE556B3F-2F79-4822-A263-291CAC7195CF}"/>
  </w:font>
  <w:font w:name="仿宋">
    <w:panose1 w:val="02010609060101010101"/>
    <w:charset w:val="86"/>
    <w:family w:val="auto"/>
    <w:pitch w:val="default"/>
    <w:sig w:usb0="800002BF" w:usb1="38CF7CFA" w:usb2="00000016" w:usb3="00000000" w:csb0="00040001" w:csb1="00000000"/>
    <w:embedRegular r:id="rId6" w:fontKey="{A584F063-7076-4C16-8A93-FB34F6FF5773}"/>
  </w:font>
  <w:font w:name="彩虹粗仿宋">
    <w:altName w:val="微软雅黑"/>
    <w:panose1 w:val="00000000000000000000"/>
    <w:charset w:val="00"/>
    <w:family w:val="auto"/>
    <w:pitch w:val="default"/>
    <w:sig w:usb0="00000000" w:usb1="00000000" w:usb2="00000000" w:usb3="00000000" w:csb0="00000000" w:csb1="00000000"/>
    <w:embedRegular r:id="rId7" w:fontKey="{BB477ADC-0764-4FBD-A057-3956FD1934ED}"/>
  </w:font>
  <w:font w:name="彩虹黑体">
    <w:altName w:val="黑体"/>
    <w:panose1 w:val="03000509000000000000"/>
    <w:charset w:val="86"/>
    <w:family w:val="script"/>
    <w:pitch w:val="default"/>
    <w:sig w:usb0="00000000" w:usb1="00000000" w:usb2="00000000" w:usb3="00000000" w:csb0="00040000" w:csb1="00000000"/>
    <w:embedRegular r:id="rId8" w:fontKey="{BB65F360-D341-4208-A885-535B080ADE83}"/>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pPr>
      <w:pStyle w:val="2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p>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D724D"/>
    <w:multiLevelType w:val="singleLevel"/>
    <w:tmpl w:val="C8AD724D"/>
    <w:lvl w:ilvl="0" w:tentative="0">
      <w:start w:val="13"/>
      <w:numFmt w:val="decimal"/>
      <w:lvlText w:val="%1."/>
      <w:lvlJc w:val="left"/>
      <w:pPr>
        <w:tabs>
          <w:tab w:val="left" w:pos="312"/>
        </w:tabs>
      </w:pPr>
    </w:lvl>
  </w:abstractNum>
  <w:abstractNum w:abstractNumId="1">
    <w:nsid w:val="1801FF91"/>
    <w:multiLevelType w:val="singleLevel"/>
    <w:tmpl w:val="1801FF91"/>
    <w:lvl w:ilvl="0" w:tentative="0">
      <w:start w:val="1"/>
      <w:numFmt w:val="bullet"/>
      <w:pStyle w:val="17"/>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tch_#">
    <w15:presenceInfo w15:providerId="WPS Office" w15:userId="10825365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wZTJkNTkxNjM1ZDNiM2IzOWUyODhiODA1N2EyZGMifQ=="/>
  </w:docVars>
  <w:rsids>
    <w:rsidRoot w:val="00000000"/>
    <w:rsid w:val="01434E3A"/>
    <w:rsid w:val="02336475"/>
    <w:rsid w:val="023D3D5A"/>
    <w:rsid w:val="03197CC1"/>
    <w:rsid w:val="031C19DD"/>
    <w:rsid w:val="033E4BBF"/>
    <w:rsid w:val="05237BC9"/>
    <w:rsid w:val="06126354"/>
    <w:rsid w:val="0671217A"/>
    <w:rsid w:val="077E0605"/>
    <w:rsid w:val="07B41E06"/>
    <w:rsid w:val="084532CC"/>
    <w:rsid w:val="0A165F4E"/>
    <w:rsid w:val="0A7809B7"/>
    <w:rsid w:val="0ACF25B8"/>
    <w:rsid w:val="0B04224A"/>
    <w:rsid w:val="0B4C3734"/>
    <w:rsid w:val="0CA6467F"/>
    <w:rsid w:val="0DB461AA"/>
    <w:rsid w:val="0E1C3D4F"/>
    <w:rsid w:val="0E4F7C80"/>
    <w:rsid w:val="0F5D4B31"/>
    <w:rsid w:val="0F63568A"/>
    <w:rsid w:val="10146569"/>
    <w:rsid w:val="1145536B"/>
    <w:rsid w:val="11F1104F"/>
    <w:rsid w:val="128E47CA"/>
    <w:rsid w:val="13573133"/>
    <w:rsid w:val="13705AE8"/>
    <w:rsid w:val="140530A9"/>
    <w:rsid w:val="144813FA"/>
    <w:rsid w:val="145E0C1D"/>
    <w:rsid w:val="14C30A80"/>
    <w:rsid w:val="14D6431A"/>
    <w:rsid w:val="1585667E"/>
    <w:rsid w:val="173C2D6C"/>
    <w:rsid w:val="1B29046A"/>
    <w:rsid w:val="1D9D71B6"/>
    <w:rsid w:val="1F4B7FF0"/>
    <w:rsid w:val="221B2C1C"/>
    <w:rsid w:val="22B61C24"/>
    <w:rsid w:val="2463402E"/>
    <w:rsid w:val="266E3140"/>
    <w:rsid w:val="27005B64"/>
    <w:rsid w:val="29A45C57"/>
    <w:rsid w:val="29EF3C6E"/>
    <w:rsid w:val="2A181417"/>
    <w:rsid w:val="2EFE6E2D"/>
    <w:rsid w:val="30A42168"/>
    <w:rsid w:val="31467EBB"/>
    <w:rsid w:val="317853A3"/>
    <w:rsid w:val="319C62FD"/>
    <w:rsid w:val="31D976DD"/>
    <w:rsid w:val="323112C7"/>
    <w:rsid w:val="3236068C"/>
    <w:rsid w:val="32E05A51"/>
    <w:rsid w:val="33B63F0B"/>
    <w:rsid w:val="36304EC1"/>
    <w:rsid w:val="3687595A"/>
    <w:rsid w:val="371D006C"/>
    <w:rsid w:val="39CE38A0"/>
    <w:rsid w:val="3A26713C"/>
    <w:rsid w:val="3A345DF9"/>
    <w:rsid w:val="3A4231D7"/>
    <w:rsid w:val="3B1672AC"/>
    <w:rsid w:val="3B8F1A46"/>
    <w:rsid w:val="3BC94C7C"/>
    <w:rsid w:val="3CCA47F2"/>
    <w:rsid w:val="3CD042E5"/>
    <w:rsid w:val="3D9D5A63"/>
    <w:rsid w:val="3DB459B5"/>
    <w:rsid w:val="3E090CC4"/>
    <w:rsid w:val="3E38578C"/>
    <w:rsid w:val="3E4D7489"/>
    <w:rsid w:val="3EBD2975"/>
    <w:rsid w:val="3F3C12AC"/>
    <w:rsid w:val="40CA68E9"/>
    <w:rsid w:val="420D0394"/>
    <w:rsid w:val="42672397"/>
    <w:rsid w:val="42DF3919"/>
    <w:rsid w:val="440A4F86"/>
    <w:rsid w:val="44915BF6"/>
    <w:rsid w:val="45C001B0"/>
    <w:rsid w:val="466E068E"/>
    <w:rsid w:val="466F4B6F"/>
    <w:rsid w:val="46E0781B"/>
    <w:rsid w:val="46E966CF"/>
    <w:rsid w:val="476B0980"/>
    <w:rsid w:val="48030BB8"/>
    <w:rsid w:val="4ACA1E61"/>
    <w:rsid w:val="4C486B77"/>
    <w:rsid w:val="4CD9638C"/>
    <w:rsid w:val="4D043409"/>
    <w:rsid w:val="4D331F40"/>
    <w:rsid w:val="4DF00587"/>
    <w:rsid w:val="4E6C5709"/>
    <w:rsid w:val="4EBA414E"/>
    <w:rsid w:val="4EC94551"/>
    <w:rsid w:val="4F1D45B9"/>
    <w:rsid w:val="4F710AFD"/>
    <w:rsid w:val="51A82756"/>
    <w:rsid w:val="522B768A"/>
    <w:rsid w:val="535350EA"/>
    <w:rsid w:val="53B611D5"/>
    <w:rsid w:val="53BD07B5"/>
    <w:rsid w:val="55436A98"/>
    <w:rsid w:val="557E60A6"/>
    <w:rsid w:val="55E72A4A"/>
    <w:rsid w:val="56A47A0A"/>
    <w:rsid w:val="5728063B"/>
    <w:rsid w:val="582F64DC"/>
    <w:rsid w:val="5A126092"/>
    <w:rsid w:val="5ABE6908"/>
    <w:rsid w:val="5B477079"/>
    <w:rsid w:val="5C427AAA"/>
    <w:rsid w:val="5D927271"/>
    <w:rsid w:val="5ED03A93"/>
    <w:rsid w:val="5F177A55"/>
    <w:rsid w:val="5FC8476A"/>
    <w:rsid w:val="60175C03"/>
    <w:rsid w:val="6062071A"/>
    <w:rsid w:val="651A753E"/>
    <w:rsid w:val="65D8147F"/>
    <w:rsid w:val="6662597E"/>
    <w:rsid w:val="683A3D2B"/>
    <w:rsid w:val="685C6397"/>
    <w:rsid w:val="6A651D16"/>
    <w:rsid w:val="6BCF6E80"/>
    <w:rsid w:val="6C184383"/>
    <w:rsid w:val="6D6B1A13"/>
    <w:rsid w:val="6F401996"/>
    <w:rsid w:val="6FA8452B"/>
    <w:rsid w:val="71B47750"/>
    <w:rsid w:val="71F03ACD"/>
    <w:rsid w:val="72267F28"/>
    <w:rsid w:val="72EA3C3A"/>
    <w:rsid w:val="733D0C11"/>
    <w:rsid w:val="7443172F"/>
    <w:rsid w:val="74544FC0"/>
    <w:rsid w:val="74AA048A"/>
    <w:rsid w:val="74EC45FF"/>
    <w:rsid w:val="75E033DC"/>
    <w:rsid w:val="76550DDC"/>
    <w:rsid w:val="784E3ABE"/>
    <w:rsid w:val="79222CE5"/>
    <w:rsid w:val="79FF3026"/>
    <w:rsid w:val="7A682FFB"/>
    <w:rsid w:val="7A70182E"/>
    <w:rsid w:val="7BA934F5"/>
    <w:rsid w:val="7BDB5199"/>
    <w:rsid w:val="7C345209"/>
    <w:rsid w:val="7C7C132D"/>
    <w:rsid w:val="7DFC2925"/>
    <w:rsid w:val="7EBC3294"/>
    <w:rsid w:val="7F7233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qFormat="1" w:unhideWhenUsed="0" w:uiPriority="0" w:semiHidden="0" w:name="page number"/>
    <w:lsdException w:qFormat="1" w:uiPriority="0" w:semiHidden="0" w:name="endnote reference"/>
    <w:lsdException w:qFormat="1" w:uiPriority="0" w:semiHidden="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qFormat="1"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99" w:semiHidden="0" w:name="Plain Text"/>
    <w:lsdException w:uiPriority="0" w:name="E-mail Signature"/>
    <w:lsdException w:qFormat="1" w:unhideWhenUsed="0" w:uiPriority="0"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宋体" w:cs="@仿宋_GB2312"/>
      <w:kern w:val="2"/>
      <w:sz w:val="21"/>
      <w:lang w:val="en-US" w:eastAsia="zh-CN" w:bidi="ar-SA"/>
    </w:rPr>
  </w:style>
  <w:style w:type="paragraph" w:styleId="2">
    <w:name w:val="heading 1"/>
    <w:basedOn w:val="1"/>
    <w:next w:val="1"/>
    <w:link w:val="7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00"/>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139"/>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5"/>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33"/>
    <w:autoRedefine/>
    <w:unhideWhenUsed/>
    <w:qFormat/>
    <w:uiPriority w:val="9"/>
    <w:pPr>
      <w:keepNext/>
      <w:keepLines/>
      <w:spacing w:before="280" w:after="290" w:line="372" w:lineRule="auto"/>
      <w:outlineLvl w:val="4"/>
    </w:pPr>
    <w:rPr>
      <w:b/>
      <w:sz w:val="28"/>
    </w:rPr>
  </w:style>
  <w:style w:type="paragraph" w:styleId="7">
    <w:name w:val="heading 6"/>
    <w:basedOn w:val="1"/>
    <w:next w:val="1"/>
    <w:link w:val="134"/>
    <w:autoRedefine/>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link w:val="121"/>
    <w:autoRedefine/>
    <w:unhideWhenUsed/>
    <w:qFormat/>
    <w:uiPriority w:val="9"/>
    <w:pPr>
      <w:keepNext/>
      <w:keepLines/>
      <w:spacing w:before="240" w:after="64" w:line="317" w:lineRule="auto"/>
      <w:outlineLvl w:val="6"/>
    </w:pPr>
    <w:rPr>
      <w:b/>
      <w:sz w:val="24"/>
    </w:rPr>
  </w:style>
  <w:style w:type="paragraph" w:styleId="9">
    <w:name w:val="heading 8"/>
    <w:basedOn w:val="1"/>
    <w:next w:val="1"/>
    <w:link w:val="135"/>
    <w:autoRedefine/>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link w:val="136"/>
    <w:autoRedefine/>
    <w:unhideWhenUsed/>
    <w:qFormat/>
    <w:uiPriority w:val="9"/>
    <w:pPr>
      <w:keepNext/>
      <w:keepLines/>
      <w:spacing w:before="240" w:after="64" w:line="317" w:lineRule="auto"/>
      <w:outlineLvl w:val="8"/>
    </w:pPr>
    <w:rPr>
      <w:rFonts w:ascii="Arial" w:hAnsi="Arial" w:eastAsia="黑体"/>
    </w:rPr>
  </w:style>
  <w:style w:type="character" w:default="1" w:styleId="43">
    <w:name w:val="Default Paragraph Font"/>
    <w:autoRedefine/>
    <w:unhideWhenUsed/>
    <w:qFormat/>
    <w:uiPriority w:val="1"/>
  </w:style>
  <w:style w:type="table" w:default="1" w:styleId="41">
    <w:name w:val="Normal Table"/>
    <w:autoRedefine/>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2">
    <w:name w:val="Document Map"/>
    <w:basedOn w:val="1"/>
    <w:link w:val="115"/>
    <w:autoRedefine/>
    <w:unhideWhenUsed/>
    <w:qFormat/>
    <w:uiPriority w:val="0"/>
    <w:pPr>
      <w:shd w:val="clear" w:color="auto" w:fill="000080"/>
    </w:pPr>
  </w:style>
  <w:style w:type="paragraph" w:styleId="13">
    <w:name w:val="annotation text"/>
    <w:basedOn w:val="1"/>
    <w:link w:val="78"/>
    <w:autoRedefine/>
    <w:qFormat/>
    <w:uiPriority w:val="99"/>
    <w:pPr>
      <w:jc w:val="left"/>
    </w:pPr>
    <w:rPr>
      <w:rFonts w:ascii="Arial" w:hAnsi="Arial" w:eastAsia="黑体" w:cs="Arial"/>
    </w:rPr>
  </w:style>
  <w:style w:type="paragraph" w:styleId="14">
    <w:name w:val="Salutation"/>
    <w:basedOn w:val="1"/>
    <w:next w:val="1"/>
    <w:link w:val="140"/>
    <w:autoRedefine/>
    <w:unhideWhenUsed/>
    <w:qFormat/>
    <w:uiPriority w:val="0"/>
  </w:style>
  <w:style w:type="paragraph" w:styleId="15">
    <w:name w:val="Body Text 3"/>
    <w:basedOn w:val="1"/>
    <w:link w:val="131"/>
    <w:autoRedefine/>
    <w:unhideWhenUsed/>
    <w:qFormat/>
    <w:uiPriority w:val="0"/>
    <w:pPr>
      <w:spacing w:after="120"/>
    </w:pPr>
    <w:rPr>
      <w:sz w:val="16"/>
    </w:rPr>
  </w:style>
  <w:style w:type="paragraph" w:styleId="16">
    <w:name w:val="Body Text"/>
    <w:basedOn w:val="1"/>
    <w:next w:val="17"/>
    <w:link w:val="93"/>
    <w:autoRedefine/>
    <w:qFormat/>
    <w:uiPriority w:val="0"/>
    <w:rPr>
      <w:rFonts w:ascii="宋体" w:hAnsi="Arial" w:cs="Times New Roman"/>
      <w:sz w:val="28"/>
    </w:rPr>
  </w:style>
  <w:style w:type="paragraph" w:styleId="17">
    <w:name w:val="List Bullet 5"/>
    <w:basedOn w:val="1"/>
    <w:autoRedefine/>
    <w:semiHidden/>
    <w:unhideWhenUsed/>
    <w:qFormat/>
    <w:uiPriority w:val="0"/>
    <w:pPr>
      <w:numPr>
        <w:ilvl w:val="0"/>
        <w:numId w:val="1"/>
      </w:numPr>
    </w:pPr>
  </w:style>
  <w:style w:type="paragraph" w:styleId="18">
    <w:name w:val="Body Text Indent"/>
    <w:basedOn w:val="1"/>
    <w:next w:val="19"/>
    <w:link w:val="141"/>
    <w:autoRedefine/>
    <w:qFormat/>
    <w:uiPriority w:val="0"/>
    <w:pPr>
      <w:spacing w:after="120"/>
      <w:ind w:left="420" w:leftChars="200"/>
    </w:pPr>
  </w:style>
  <w:style w:type="paragraph" w:styleId="19">
    <w:name w:val="envelope return"/>
    <w:basedOn w:val="1"/>
    <w:next w:val="1"/>
    <w:autoRedefine/>
    <w:qFormat/>
    <w:uiPriority w:val="0"/>
    <w:pPr>
      <w:snapToGrid w:val="0"/>
    </w:pPr>
    <w:rPr>
      <w:rFonts w:ascii="Arial" w:hAnsi="Arial"/>
    </w:rPr>
  </w:style>
  <w:style w:type="paragraph" w:styleId="20">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1">
    <w:name w:val="Plain Text"/>
    <w:basedOn w:val="1"/>
    <w:link w:val="71"/>
    <w:autoRedefine/>
    <w:qFormat/>
    <w:uiPriority w:val="99"/>
    <w:rPr>
      <w:rFonts w:ascii="宋体" w:hAnsi="Courier New" w:cs="黑体"/>
      <w:szCs w:val="22"/>
    </w:rPr>
  </w:style>
  <w:style w:type="paragraph" w:styleId="22">
    <w:name w:val="Date"/>
    <w:basedOn w:val="1"/>
    <w:next w:val="1"/>
    <w:link w:val="75"/>
    <w:autoRedefine/>
    <w:qFormat/>
    <w:uiPriority w:val="0"/>
    <w:rPr>
      <w:rFonts w:ascii="Arial" w:hAnsi="Arial" w:cs="Arial"/>
      <w:b/>
      <w:sz w:val="28"/>
    </w:rPr>
  </w:style>
  <w:style w:type="paragraph" w:styleId="23">
    <w:name w:val="Body Text Indent 2"/>
    <w:basedOn w:val="1"/>
    <w:link w:val="105"/>
    <w:autoRedefine/>
    <w:unhideWhenUsed/>
    <w:qFormat/>
    <w:uiPriority w:val="0"/>
    <w:pPr>
      <w:spacing w:after="120" w:line="480" w:lineRule="auto"/>
      <w:ind w:left="420" w:leftChars="200"/>
    </w:pPr>
  </w:style>
  <w:style w:type="paragraph" w:styleId="24">
    <w:name w:val="endnote text"/>
    <w:basedOn w:val="1"/>
    <w:link w:val="142"/>
    <w:autoRedefine/>
    <w:unhideWhenUsed/>
    <w:qFormat/>
    <w:uiPriority w:val="0"/>
    <w:pPr>
      <w:snapToGrid w:val="0"/>
      <w:jc w:val="left"/>
    </w:pPr>
  </w:style>
  <w:style w:type="paragraph" w:styleId="25">
    <w:name w:val="Balloon Text"/>
    <w:basedOn w:val="1"/>
    <w:link w:val="68"/>
    <w:autoRedefine/>
    <w:unhideWhenUsed/>
    <w:qFormat/>
    <w:uiPriority w:val="99"/>
    <w:rPr>
      <w:sz w:val="18"/>
      <w:szCs w:val="18"/>
    </w:rPr>
  </w:style>
  <w:style w:type="paragraph" w:styleId="26">
    <w:name w:val="footer"/>
    <w:basedOn w:val="1"/>
    <w:link w:val="70"/>
    <w:autoRedefine/>
    <w:unhideWhenUsed/>
    <w:qFormat/>
    <w:uiPriority w:val="99"/>
    <w:pPr>
      <w:tabs>
        <w:tab w:val="center" w:pos="4153"/>
        <w:tab w:val="right" w:pos="8306"/>
      </w:tabs>
      <w:snapToGrid w:val="0"/>
      <w:jc w:val="left"/>
    </w:pPr>
    <w:rPr>
      <w:sz w:val="18"/>
      <w:szCs w:val="18"/>
    </w:rPr>
  </w:style>
  <w:style w:type="paragraph" w:styleId="27">
    <w:name w:val="header"/>
    <w:basedOn w:val="1"/>
    <w:link w:val="6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unhideWhenUsed/>
    <w:qFormat/>
    <w:uiPriority w:val="39"/>
    <w:pPr>
      <w:widowControl/>
      <w:spacing w:after="100" w:line="276" w:lineRule="auto"/>
      <w:jc w:val="left"/>
    </w:pPr>
    <w:rPr>
      <w:rFonts w:ascii="Calibri" w:hAnsi="Calibri" w:cs="黑体"/>
      <w:kern w:val="0"/>
      <w:sz w:val="22"/>
      <w:szCs w:val="22"/>
    </w:rPr>
  </w:style>
  <w:style w:type="paragraph" w:styleId="29">
    <w:name w:val="Subtitle"/>
    <w:basedOn w:val="1"/>
    <w:link w:val="114"/>
    <w:autoRedefine/>
    <w:qFormat/>
    <w:uiPriority w:val="11"/>
    <w:pPr>
      <w:spacing w:before="240" w:after="60" w:line="312" w:lineRule="auto"/>
      <w:jc w:val="center"/>
      <w:outlineLvl w:val="1"/>
    </w:pPr>
    <w:rPr>
      <w:rFonts w:ascii="Arial" w:hAnsi="Arial"/>
      <w:b/>
      <w:kern w:val="28"/>
      <w:sz w:val="32"/>
    </w:rPr>
  </w:style>
  <w:style w:type="paragraph" w:styleId="30">
    <w:name w:val="List"/>
    <w:basedOn w:val="1"/>
    <w:autoRedefine/>
    <w:qFormat/>
    <w:uiPriority w:val="0"/>
    <w:pPr>
      <w:ind w:left="200" w:hanging="200" w:hangingChars="200"/>
    </w:pPr>
    <w:rPr>
      <w:rFonts w:ascii="Calibri" w:hAnsi="Calibri"/>
      <w:szCs w:val="22"/>
    </w:rPr>
  </w:style>
  <w:style w:type="paragraph" w:styleId="31">
    <w:name w:val="footnote text"/>
    <w:basedOn w:val="1"/>
    <w:link w:val="143"/>
    <w:autoRedefine/>
    <w:unhideWhenUsed/>
    <w:qFormat/>
    <w:uiPriority w:val="0"/>
    <w:pPr>
      <w:snapToGrid w:val="0"/>
      <w:jc w:val="left"/>
    </w:pPr>
    <w:rPr>
      <w:rFonts w:ascii="Times New Roman" w:hAnsi="Times New Roman" w:cs="Times New Roman"/>
      <w:sz w:val="18"/>
      <w:szCs w:val="18"/>
      <w:lang w:val="zh-CN"/>
    </w:rPr>
  </w:style>
  <w:style w:type="paragraph" w:styleId="32">
    <w:name w:val="Body Text Indent 3"/>
    <w:basedOn w:val="1"/>
    <w:link w:val="122"/>
    <w:autoRedefine/>
    <w:unhideWhenUsed/>
    <w:qFormat/>
    <w:uiPriority w:val="0"/>
    <w:pPr>
      <w:spacing w:after="120"/>
      <w:ind w:left="420" w:leftChars="200"/>
    </w:pPr>
    <w:rPr>
      <w:sz w:val="16"/>
    </w:rPr>
  </w:style>
  <w:style w:type="paragraph" w:styleId="33">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4">
    <w:name w:val="Body Text 2"/>
    <w:basedOn w:val="1"/>
    <w:link w:val="144"/>
    <w:autoRedefine/>
    <w:unhideWhenUsed/>
    <w:qFormat/>
    <w:uiPriority w:val="0"/>
    <w:pPr>
      <w:spacing w:after="120" w:line="480" w:lineRule="auto"/>
    </w:pPr>
  </w:style>
  <w:style w:type="paragraph" w:styleId="35">
    <w:name w:val="Normal (Web)"/>
    <w:basedOn w:val="1"/>
    <w:autoRedefine/>
    <w:qFormat/>
    <w:uiPriority w:val="0"/>
    <w:pPr>
      <w:spacing w:beforeAutospacing="1" w:afterAutospacing="1"/>
      <w:jc w:val="left"/>
    </w:pPr>
    <w:rPr>
      <w:kern w:val="0"/>
      <w:sz w:val="24"/>
    </w:rPr>
  </w:style>
  <w:style w:type="paragraph" w:styleId="36">
    <w:name w:val="index 1"/>
    <w:basedOn w:val="1"/>
    <w:next w:val="1"/>
    <w:autoRedefine/>
    <w:qFormat/>
    <w:uiPriority w:val="0"/>
    <w:pPr>
      <w:jc w:val="center"/>
    </w:pPr>
    <w:rPr>
      <w:rFonts w:ascii="Arial" w:hAnsi="Arial" w:eastAsia="Arial" w:cs="Arial"/>
      <w:b/>
      <w:bCs/>
      <w:sz w:val="28"/>
    </w:rPr>
  </w:style>
  <w:style w:type="paragraph" w:styleId="37">
    <w:name w:val="Title"/>
    <w:basedOn w:val="1"/>
    <w:link w:val="109"/>
    <w:autoRedefine/>
    <w:qFormat/>
    <w:uiPriority w:val="10"/>
    <w:pPr>
      <w:spacing w:before="240" w:after="60"/>
      <w:jc w:val="center"/>
      <w:outlineLvl w:val="0"/>
    </w:pPr>
    <w:rPr>
      <w:rFonts w:ascii="Arial" w:hAnsi="Arial"/>
      <w:b/>
      <w:sz w:val="32"/>
    </w:rPr>
  </w:style>
  <w:style w:type="paragraph" w:styleId="38">
    <w:name w:val="annotation subject"/>
    <w:basedOn w:val="13"/>
    <w:next w:val="13"/>
    <w:link w:val="88"/>
    <w:autoRedefine/>
    <w:unhideWhenUsed/>
    <w:qFormat/>
    <w:uiPriority w:val="99"/>
    <w:rPr>
      <w:rFonts w:ascii="@仿宋_GB2312" w:hAnsi="@仿宋_GB2312" w:eastAsia="@仿宋_GB2312" w:cs="@仿宋_GB2312"/>
      <w:b/>
      <w:bCs/>
    </w:rPr>
  </w:style>
  <w:style w:type="paragraph" w:styleId="39">
    <w:name w:val="Body Text First Indent"/>
    <w:basedOn w:val="16"/>
    <w:next w:val="1"/>
    <w:autoRedefine/>
    <w:qFormat/>
    <w:uiPriority w:val="0"/>
    <w:pPr>
      <w:autoSpaceDE w:val="0"/>
      <w:autoSpaceDN w:val="0"/>
      <w:adjustRightInd w:val="0"/>
      <w:ind w:right="-24" w:rightChars="-10" w:firstLine="425" w:firstLineChars="225"/>
    </w:pPr>
    <w:rPr>
      <w:rFonts w:ascii="Arial" w:eastAsia="仿宋_GB2312" w:cs="Arial"/>
      <w:szCs w:val="32"/>
    </w:rPr>
  </w:style>
  <w:style w:type="paragraph" w:styleId="40">
    <w:name w:val="Body Text First Indent 2"/>
    <w:basedOn w:val="18"/>
    <w:next w:val="1"/>
    <w:autoRedefine/>
    <w:qFormat/>
    <w:uiPriority w:val="0"/>
    <w:pPr>
      <w:ind w:firstLine="420" w:firstLineChars="200"/>
    </w:pPr>
  </w:style>
  <w:style w:type="table" w:styleId="42">
    <w:name w:val="Table Grid"/>
    <w:basedOn w:val="41"/>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bCs/>
    </w:rPr>
  </w:style>
  <w:style w:type="character" w:styleId="45">
    <w:name w:val="endnote reference"/>
    <w:basedOn w:val="43"/>
    <w:autoRedefine/>
    <w:unhideWhenUsed/>
    <w:qFormat/>
    <w:uiPriority w:val="0"/>
    <w:rPr>
      <w:vertAlign w:val="superscript"/>
    </w:rPr>
  </w:style>
  <w:style w:type="character" w:styleId="46">
    <w:name w:val="page number"/>
    <w:autoRedefine/>
    <w:qFormat/>
    <w:uiPriority w:val="0"/>
  </w:style>
  <w:style w:type="character" w:styleId="47">
    <w:name w:val="FollowedHyperlink"/>
    <w:basedOn w:val="43"/>
    <w:autoRedefine/>
    <w:unhideWhenUsed/>
    <w:qFormat/>
    <w:uiPriority w:val="0"/>
    <w:rPr>
      <w:color w:val="800080"/>
      <w:u w:val="none"/>
    </w:rPr>
  </w:style>
  <w:style w:type="character" w:styleId="48">
    <w:name w:val="Emphasis"/>
    <w:basedOn w:val="43"/>
    <w:autoRedefine/>
    <w:qFormat/>
    <w:uiPriority w:val="20"/>
  </w:style>
  <w:style w:type="character" w:styleId="49">
    <w:name w:val="HTML Definition"/>
    <w:basedOn w:val="43"/>
    <w:autoRedefine/>
    <w:unhideWhenUsed/>
    <w:qFormat/>
    <w:uiPriority w:val="0"/>
  </w:style>
  <w:style w:type="character" w:styleId="50">
    <w:name w:val="HTML Typewriter"/>
    <w:basedOn w:val="43"/>
    <w:autoRedefine/>
    <w:unhideWhenUsed/>
    <w:qFormat/>
    <w:uiPriority w:val="0"/>
    <w:rPr>
      <w:rFonts w:ascii="monospace" w:hAnsi="monospace" w:eastAsia="monospace" w:cs="monospace"/>
      <w:sz w:val="20"/>
    </w:rPr>
  </w:style>
  <w:style w:type="character" w:styleId="51">
    <w:name w:val="HTML Acronym"/>
    <w:basedOn w:val="43"/>
    <w:autoRedefine/>
    <w:unhideWhenUsed/>
    <w:qFormat/>
    <w:uiPriority w:val="0"/>
  </w:style>
  <w:style w:type="character" w:styleId="52">
    <w:name w:val="HTML Variable"/>
    <w:basedOn w:val="43"/>
    <w:autoRedefine/>
    <w:unhideWhenUsed/>
    <w:qFormat/>
    <w:uiPriority w:val="0"/>
  </w:style>
  <w:style w:type="character" w:styleId="53">
    <w:name w:val="Hyperlink"/>
    <w:basedOn w:val="43"/>
    <w:autoRedefine/>
    <w:unhideWhenUsed/>
    <w:qFormat/>
    <w:uiPriority w:val="99"/>
    <w:rPr>
      <w:color w:val="0000FF"/>
      <w:u w:val="single"/>
    </w:rPr>
  </w:style>
  <w:style w:type="character" w:styleId="54">
    <w:name w:val="HTML Code"/>
    <w:basedOn w:val="43"/>
    <w:autoRedefine/>
    <w:unhideWhenUsed/>
    <w:qFormat/>
    <w:uiPriority w:val="0"/>
    <w:rPr>
      <w:rFonts w:hint="default" w:ascii="monospace" w:hAnsi="monospace" w:eastAsia="monospace" w:cs="monospace"/>
      <w:sz w:val="20"/>
    </w:rPr>
  </w:style>
  <w:style w:type="character" w:styleId="55">
    <w:name w:val="annotation reference"/>
    <w:basedOn w:val="43"/>
    <w:autoRedefine/>
    <w:unhideWhenUsed/>
    <w:qFormat/>
    <w:uiPriority w:val="99"/>
    <w:rPr>
      <w:sz w:val="21"/>
      <w:szCs w:val="21"/>
    </w:rPr>
  </w:style>
  <w:style w:type="character" w:styleId="56">
    <w:name w:val="HTML Cite"/>
    <w:basedOn w:val="43"/>
    <w:autoRedefine/>
    <w:unhideWhenUsed/>
    <w:qFormat/>
    <w:uiPriority w:val="0"/>
  </w:style>
  <w:style w:type="character" w:styleId="57">
    <w:name w:val="footnote reference"/>
    <w:autoRedefine/>
    <w:unhideWhenUsed/>
    <w:qFormat/>
    <w:uiPriority w:val="0"/>
    <w:rPr>
      <w:vertAlign w:val="superscript"/>
    </w:rPr>
  </w:style>
  <w:style w:type="character" w:styleId="58">
    <w:name w:val="HTML Keyboard"/>
    <w:basedOn w:val="43"/>
    <w:autoRedefine/>
    <w:unhideWhenUsed/>
    <w:qFormat/>
    <w:uiPriority w:val="0"/>
    <w:rPr>
      <w:rFonts w:hint="default" w:ascii="monospace" w:hAnsi="monospace" w:eastAsia="monospace" w:cs="monospace"/>
      <w:sz w:val="20"/>
    </w:rPr>
  </w:style>
  <w:style w:type="character" w:styleId="59">
    <w:name w:val="HTML Sample"/>
    <w:basedOn w:val="43"/>
    <w:autoRedefine/>
    <w:unhideWhenUsed/>
    <w:qFormat/>
    <w:uiPriority w:val="0"/>
    <w:rPr>
      <w:rFonts w:hint="default" w:ascii="monospace" w:hAnsi="monospace" w:eastAsia="monospace" w:cs="monospace"/>
    </w:rPr>
  </w:style>
  <w:style w:type="paragraph" w:customStyle="1" w:styleId="60">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6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2">
    <w:name w:val="D&amp;L"/>
    <w:basedOn w:val="2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3">
    <w:name w:val="列表段落1"/>
    <w:basedOn w:val="1"/>
    <w:autoRedefine/>
    <w:qFormat/>
    <w:uiPriority w:val="34"/>
    <w:pPr>
      <w:ind w:firstLine="420" w:firstLineChars="200"/>
    </w:pPr>
  </w:style>
  <w:style w:type="paragraph" w:customStyle="1" w:styleId="64">
    <w:name w:val="Char Char Char Char Char Char Char1 Char"/>
    <w:basedOn w:val="1"/>
    <w:autoRedefine/>
    <w:qFormat/>
    <w:uiPriority w:val="0"/>
    <w:rPr>
      <w:rFonts w:ascii="Arial" w:hAnsi="Arial" w:cs="Arial"/>
      <w:sz w:val="24"/>
    </w:rPr>
  </w:style>
  <w:style w:type="paragraph" w:customStyle="1" w:styleId="65">
    <w:name w:val="TOC 标题1"/>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6">
    <w:name w:val="Char"/>
    <w:basedOn w:val="1"/>
    <w:autoRedefine/>
    <w:qFormat/>
    <w:uiPriority w:val="0"/>
    <w:rPr>
      <w:rFonts w:ascii="Tahoma" w:hAnsi="Tahoma"/>
      <w:sz w:val="24"/>
    </w:rPr>
  </w:style>
  <w:style w:type="paragraph" w:customStyle="1" w:styleId="67">
    <w:name w:val="列表段落2"/>
    <w:basedOn w:val="1"/>
    <w:autoRedefine/>
    <w:qFormat/>
    <w:uiPriority w:val="34"/>
    <w:pPr>
      <w:ind w:firstLine="420" w:firstLineChars="200"/>
    </w:pPr>
  </w:style>
  <w:style w:type="character" w:customStyle="1" w:styleId="68">
    <w:name w:val="批注框文本 字符"/>
    <w:basedOn w:val="43"/>
    <w:link w:val="25"/>
    <w:autoRedefine/>
    <w:semiHidden/>
    <w:qFormat/>
    <w:uiPriority w:val="99"/>
    <w:rPr>
      <w:rFonts w:ascii="@仿宋_GB2312" w:hAnsi="@仿宋_GB2312" w:eastAsia="@仿宋_GB2312" w:cs="@仿宋_GB2312"/>
      <w:sz w:val="18"/>
      <w:szCs w:val="18"/>
    </w:rPr>
  </w:style>
  <w:style w:type="character" w:customStyle="1" w:styleId="69">
    <w:name w:val="页眉 字符"/>
    <w:basedOn w:val="43"/>
    <w:link w:val="27"/>
    <w:autoRedefine/>
    <w:qFormat/>
    <w:uiPriority w:val="99"/>
    <w:rPr>
      <w:rFonts w:ascii="@仿宋_GB2312" w:hAnsi="@仿宋_GB2312" w:eastAsia="@仿宋_GB2312" w:cs="@仿宋_GB2312"/>
      <w:sz w:val="18"/>
      <w:szCs w:val="18"/>
    </w:rPr>
  </w:style>
  <w:style w:type="character" w:customStyle="1" w:styleId="70">
    <w:name w:val="页脚 字符"/>
    <w:basedOn w:val="43"/>
    <w:link w:val="26"/>
    <w:autoRedefine/>
    <w:qFormat/>
    <w:uiPriority w:val="99"/>
    <w:rPr>
      <w:rFonts w:ascii="@仿宋_GB2312" w:hAnsi="@仿宋_GB2312" w:eastAsia="@仿宋_GB2312" w:cs="@仿宋_GB2312"/>
      <w:sz w:val="18"/>
      <w:szCs w:val="18"/>
    </w:rPr>
  </w:style>
  <w:style w:type="character" w:customStyle="1" w:styleId="71">
    <w:name w:val="纯文本 字符"/>
    <w:link w:val="21"/>
    <w:autoRedefine/>
    <w:qFormat/>
    <w:uiPriority w:val="0"/>
    <w:rPr>
      <w:rFonts w:ascii="宋体" w:hAnsi="Courier New"/>
    </w:rPr>
  </w:style>
  <w:style w:type="character" w:customStyle="1" w:styleId="72">
    <w:name w:val="纯文本 字符1"/>
    <w:basedOn w:val="43"/>
    <w:autoRedefine/>
    <w:semiHidden/>
    <w:qFormat/>
    <w:uiPriority w:val="99"/>
    <w:rPr>
      <w:rFonts w:ascii="宋体" w:hAnsi="Courier New" w:cs="Courier New"/>
      <w:szCs w:val="20"/>
    </w:rPr>
  </w:style>
  <w:style w:type="character" w:customStyle="1" w:styleId="73">
    <w:name w:val="未处理的提及1"/>
    <w:basedOn w:val="43"/>
    <w:autoRedefine/>
    <w:unhideWhenUsed/>
    <w:qFormat/>
    <w:uiPriority w:val="99"/>
    <w:rPr>
      <w:color w:val="605E5C"/>
      <w:shd w:val="clear" w:color="auto" w:fill="E1DFDD"/>
    </w:rPr>
  </w:style>
  <w:style w:type="character" w:customStyle="1" w:styleId="74">
    <w:name w:val="日期 字符"/>
    <w:basedOn w:val="43"/>
    <w:autoRedefine/>
    <w:semiHidden/>
    <w:qFormat/>
    <w:uiPriority w:val="99"/>
    <w:rPr>
      <w:rFonts w:ascii="@仿宋_GB2312" w:hAnsi="@仿宋_GB2312" w:eastAsia="@仿宋_GB2312" w:cs="@仿宋_GB2312"/>
      <w:szCs w:val="20"/>
    </w:rPr>
  </w:style>
  <w:style w:type="character" w:customStyle="1" w:styleId="75">
    <w:name w:val="日期 字符1"/>
    <w:link w:val="22"/>
    <w:autoRedefine/>
    <w:qFormat/>
    <w:uiPriority w:val="0"/>
    <w:rPr>
      <w:rFonts w:ascii="Arial" w:hAnsi="Arial" w:eastAsia="宋体" w:cs="Arial"/>
      <w:b/>
      <w:sz w:val="28"/>
      <w:szCs w:val="20"/>
    </w:rPr>
  </w:style>
  <w:style w:type="character" w:customStyle="1" w:styleId="76">
    <w:name w:val="纯文本 Char1"/>
    <w:autoRedefine/>
    <w:qFormat/>
    <w:locked/>
    <w:uiPriority w:val="99"/>
    <w:rPr>
      <w:rFonts w:ascii="Arial" w:hAnsi="Arial" w:eastAsia="Arial"/>
      <w:kern w:val="2"/>
      <w:sz w:val="21"/>
      <w:lang w:val="en-US" w:eastAsia="zh-CN" w:bidi="ar-SA"/>
    </w:rPr>
  </w:style>
  <w:style w:type="character" w:customStyle="1" w:styleId="77">
    <w:name w:val="批注文字 Char"/>
    <w:basedOn w:val="43"/>
    <w:autoRedefine/>
    <w:semiHidden/>
    <w:qFormat/>
    <w:uiPriority w:val="99"/>
    <w:rPr>
      <w:rFonts w:ascii="@仿宋_GB2312" w:hAnsi="@仿宋_GB2312" w:eastAsia="@仿宋_GB2312" w:cs="@仿宋_GB2312"/>
      <w:szCs w:val="20"/>
    </w:rPr>
  </w:style>
  <w:style w:type="character" w:customStyle="1" w:styleId="78">
    <w:name w:val="批注文字 字符"/>
    <w:link w:val="13"/>
    <w:autoRedefine/>
    <w:qFormat/>
    <w:uiPriority w:val="99"/>
    <w:rPr>
      <w:rFonts w:ascii="Arial" w:hAnsi="Arial" w:eastAsia="黑体" w:cs="Arial"/>
      <w:szCs w:val="20"/>
    </w:rPr>
  </w:style>
  <w:style w:type="character" w:customStyle="1" w:styleId="79">
    <w:name w:val="标题 1 字符"/>
    <w:basedOn w:val="43"/>
    <w:link w:val="2"/>
    <w:autoRedefine/>
    <w:qFormat/>
    <w:uiPriority w:val="9"/>
    <w:rPr>
      <w:rFonts w:ascii="@仿宋_GB2312" w:hAnsi="@仿宋_GB2312" w:eastAsia="@仿宋_GB2312" w:cs="@仿宋_GB2312"/>
      <w:b/>
      <w:bCs/>
      <w:kern w:val="44"/>
      <w:sz w:val="44"/>
      <w:szCs w:val="44"/>
    </w:rPr>
  </w:style>
  <w:style w:type="character" w:customStyle="1" w:styleId="80">
    <w:name w:val="标题 3 字符"/>
    <w:basedOn w:val="43"/>
    <w:autoRedefine/>
    <w:semiHidden/>
    <w:qFormat/>
    <w:uiPriority w:val="9"/>
    <w:rPr>
      <w:rFonts w:ascii="@仿宋_GB2312" w:hAnsi="@仿宋_GB2312" w:eastAsia="@仿宋_GB2312" w:cs="@仿宋_GB2312"/>
      <w:b/>
      <w:bCs/>
      <w:sz w:val="32"/>
      <w:szCs w:val="32"/>
    </w:rPr>
  </w:style>
  <w:style w:type="character" w:customStyle="1" w:styleId="81">
    <w:name w:val="fontstyle01"/>
    <w:basedOn w:val="43"/>
    <w:autoRedefine/>
    <w:qFormat/>
    <w:uiPriority w:val="0"/>
    <w:rPr>
      <w:rFonts w:hint="eastAsia" w:ascii="宋体" w:hAnsi="宋体" w:eastAsia="宋体"/>
      <w:color w:val="000000"/>
      <w:sz w:val="22"/>
      <w:szCs w:val="22"/>
    </w:rPr>
  </w:style>
  <w:style w:type="character" w:customStyle="1" w:styleId="82">
    <w:name w:val="fontstyle21"/>
    <w:basedOn w:val="43"/>
    <w:autoRedefine/>
    <w:qFormat/>
    <w:uiPriority w:val="0"/>
    <w:rPr>
      <w:rFonts w:hint="default" w:ascii="TimesNewRomanPSMT" w:hAnsi="TimesNewRomanPSMT"/>
      <w:color w:val="000000"/>
      <w:sz w:val="22"/>
      <w:szCs w:val="22"/>
    </w:rPr>
  </w:style>
  <w:style w:type="character" w:customStyle="1" w:styleId="8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4">
    <w:name w:val="标题 4 字符"/>
    <w:basedOn w:val="43"/>
    <w:autoRedefine/>
    <w:semiHidden/>
    <w:qFormat/>
    <w:uiPriority w:val="9"/>
    <w:rPr>
      <w:rFonts w:ascii="Cambria" w:hAnsi="Cambria" w:eastAsia="宋体" w:cs="黑体"/>
      <w:b/>
      <w:bCs/>
      <w:sz w:val="28"/>
      <w:szCs w:val="28"/>
    </w:rPr>
  </w:style>
  <w:style w:type="character" w:customStyle="1" w:styleId="85">
    <w:name w:val="标题 4 字符1"/>
    <w:link w:val="5"/>
    <w:autoRedefine/>
    <w:qFormat/>
    <w:uiPriority w:val="0"/>
    <w:rPr>
      <w:rFonts w:ascii="@仿宋_GB2312" w:hAnsi="@仿宋_GB2312" w:eastAsia="@仿宋_GB2312" w:cs="@仿宋_GB2312"/>
      <w:b/>
      <w:bCs/>
      <w:sz w:val="28"/>
      <w:szCs w:val="28"/>
    </w:rPr>
  </w:style>
  <w:style w:type="character" w:customStyle="1" w:styleId="86">
    <w:name w:val="标题 4 Char"/>
    <w:autoRedefine/>
    <w:qFormat/>
    <w:uiPriority w:val="0"/>
    <w:rPr>
      <w:rFonts w:ascii="Arial" w:hAnsi="Arial" w:eastAsia="Arial"/>
      <w:b/>
      <w:bCs/>
      <w:kern w:val="2"/>
      <w:sz w:val="28"/>
      <w:szCs w:val="28"/>
      <w:lang w:val="en-US" w:eastAsia="zh-CN" w:bidi="ar-SA"/>
    </w:rPr>
  </w:style>
  <w:style w:type="character" w:customStyle="1" w:styleId="87">
    <w:name w:val="fontstyle11"/>
    <w:basedOn w:val="43"/>
    <w:autoRedefine/>
    <w:qFormat/>
    <w:uiPriority w:val="0"/>
    <w:rPr>
      <w:rFonts w:hint="eastAsia" w:ascii="宋体" w:hAnsi="宋体" w:eastAsia="宋体"/>
      <w:color w:val="000000"/>
      <w:sz w:val="22"/>
      <w:szCs w:val="22"/>
    </w:rPr>
  </w:style>
  <w:style w:type="character" w:customStyle="1" w:styleId="88">
    <w:name w:val="批注主题 字符"/>
    <w:basedOn w:val="78"/>
    <w:link w:val="38"/>
    <w:autoRedefine/>
    <w:semiHidden/>
    <w:qFormat/>
    <w:uiPriority w:val="99"/>
    <w:rPr>
      <w:rFonts w:ascii="@仿宋_GB2312" w:hAnsi="@仿宋_GB2312" w:eastAsia="@仿宋_GB2312" w:cs="@仿宋_GB2312"/>
      <w:b/>
      <w:bCs/>
      <w:szCs w:val="20"/>
    </w:rPr>
  </w:style>
  <w:style w:type="table" w:customStyle="1" w:styleId="89">
    <w:name w:val="网格表 1 浅色1"/>
    <w:basedOn w:val="41"/>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90">
    <w:name w:val="网格型1"/>
    <w:basedOn w:val="4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1">
    <w:name w:val="List Paragraph"/>
    <w:basedOn w:val="1"/>
    <w:autoRedefine/>
    <w:qFormat/>
    <w:uiPriority w:val="99"/>
    <w:pPr>
      <w:ind w:firstLine="420" w:firstLineChars="200"/>
    </w:pPr>
  </w:style>
  <w:style w:type="character" w:customStyle="1" w:styleId="92">
    <w:name w:val="正文文本 Char"/>
    <w:basedOn w:val="43"/>
    <w:autoRedefine/>
    <w:semiHidden/>
    <w:qFormat/>
    <w:uiPriority w:val="0"/>
    <w:rPr>
      <w:rFonts w:ascii="@仿宋_GB2312" w:hAnsi="@仿宋_GB2312" w:eastAsia="@仿宋_GB2312" w:cs="@仿宋_GB2312"/>
      <w:kern w:val="2"/>
      <w:sz w:val="21"/>
    </w:rPr>
  </w:style>
  <w:style w:type="character" w:customStyle="1" w:styleId="93">
    <w:name w:val="正文文本 字符"/>
    <w:link w:val="16"/>
    <w:autoRedefine/>
    <w:qFormat/>
    <w:uiPriority w:val="0"/>
    <w:rPr>
      <w:rFonts w:ascii="宋体" w:hAnsi="Arial"/>
      <w:kern w:val="2"/>
      <w:sz w:val="28"/>
    </w:rPr>
  </w:style>
  <w:style w:type="paragraph" w:customStyle="1" w:styleId="94">
    <w:name w:val="正文 New"/>
    <w:autoRedefine/>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5">
    <w:name w:val="Table Paragraph"/>
    <w:basedOn w:val="1"/>
    <w:autoRedefine/>
    <w:qFormat/>
    <w:uiPriority w:val="1"/>
    <w:rPr>
      <w:rFonts w:ascii="宋体" w:hAnsi="宋体" w:cs="宋体"/>
      <w:lang w:val="zh-CN" w:bidi="zh-CN"/>
    </w:rPr>
  </w:style>
  <w:style w:type="paragraph" w:customStyle="1" w:styleId="96">
    <w:name w:val="纯文本1"/>
    <w:basedOn w:val="1"/>
    <w:autoRedefine/>
    <w:qFormat/>
    <w:uiPriority w:val="0"/>
    <w:rPr>
      <w:rFonts w:ascii="Arial" w:hAnsi="Arial" w:eastAsia="Arial" w:cstheme="minorBidi"/>
    </w:rPr>
  </w:style>
  <w:style w:type="paragraph" w:customStyle="1" w:styleId="9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0">
    <w:name w:val="标题 2 字符"/>
    <w:basedOn w:val="43"/>
    <w:link w:val="3"/>
    <w:autoRedefine/>
    <w:qFormat/>
    <w:uiPriority w:val="0"/>
    <w:rPr>
      <w:rFonts w:hint="default" w:ascii="Cambria" w:hAnsi="Cambria" w:eastAsia="Cambria" w:cs="Cambria"/>
      <w:b/>
      <w:bCs/>
      <w:kern w:val="2"/>
      <w:sz w:val="32"/>
      <w:szCs w:val="32"/>
    </w:rPr>
  </w:style>
  <w:style w:type="paragraph" w:customStyle="1" w:styleId="101">
    <w:name w:val="正文_0"/>
    <w:basedOn w:val="1"/>
    <w:autoRedefine/>
    <w:qFormat/>
    <w:uiPriority w:val="0"/>
    <w:rPr>
      <w:rFonts w:ascii="Times New Roman" w:hAnsi="Times New Roman" w:cs="Times New Roman"/>
      <w:szCs w:val="24"/>
    </w:rPr>
  </w:style>
  <w:style w:type="character" w:customStyle="1" w:styleId="102">
    <w:name w:val="正文文本 Char1"/>
    <w:basedOn w:val="43"/>
    <w:autoRedefine/>
    <w:qFormat/>
    <w:uiPriority w:val="0"/>
    <w:rPr>
      <w:kern w:val="2"/>
      <w:sz w:val="21"/>
      <w:szCs w:val="22"/>
    </w:rPr>
  </w:style>
  <w:style w:type="character" w:customStyle="1" w:styleId="103">
    <w:name w:val="Blockquote Char_0_1"/>
    <w:basedOn w:val="43"/>
    <w:autoRedefine/>
    <w:qFormat/>
    <w:uiPriority w:val="0"/>
    <w:rPr>
      <w:sz w:val="24"/>
    </w:rPr>
  </w:style>
  <w:style w:type="character" w:customStyle="1" w:styleId="104">
    <w:name w:val="NormalCharacter"/>
    <w:autoRedefine/>
    <w:qFormat/>
    <w:uiPriority w:val="0"/>
    <w:rPr>
      <w:rFonts w:ascii="@仿宋_GB2312" w:hAnsi="@仿宋_GB2312" w:eastAsia="宋体" w:cs="@仿宋_GB2312"/>
      <w:kern w:val="2"/>
      <w:sz w:val="21"/>
      <w:lang w:val="en-US" w:eastAsia="zh-CN" w:bidi="ar-SA"/>
    </w:rPr>
  </w:style>
  <w:style w:type="character" w:customStyle="1" w:styleId="105">
    <w:name w:val="正文文本缩进 2 字符"/>
    <w:basedOn w:val="43"/>
    <w:link w:val="23"/>
    <w:autoRedefine/>
    <w:qFormat/>
    <w:uiPriority w:val="0"/>
    <w:rPr>
      <w:rFonts w:hint="eastAsia" w:ascii="宋体" w:hAnsi="MS Sans Serif" w:eastAsia="宋体" w:cs="宋体"/>
      <w:bCs/>
      <w:spacing w:val="12"/>
      <w:sz w:val="24"/>
    </w:rPr>
  </w:style>
  <w:style w:type="character" w:customStyle="1" w:styleId="106">
    <w:name w:val="纯文本 Char"/>
    <w:basedOn w:val="43"/>
    <w:autoRedefine/>
    <w:qFormat/>
    <w:uiPriority w:val="0"/>
    <w:rPr>
      <w:rFonts w:hint="eastAsia" w:ascii="宋体" w:hAnsi="Courier New" w:eastAsia="宋体" w:cs="Courier New"/>
      <w:kern w:val="2"/>
      <w:sz w:val="21"/>
      <w:szCs w:val="21"/>
    </w:rPr>
  </w:style>
  <w:style w:type="character" w:customStyle="1" w:styleId="107">
    <w:name w:val="msointenseemphasis"/>
    <w:basedOn w:val="43"/>
    <w:autoRedefine/>
    <w:qFormat/>
    <w:uiPriority w:val="0"/>
    <w:rPr>
      <w:b/>
      <w:bCs/>
      <w:i/>
      <w:iCs/>
      <w:color w:val="4F81BD"/>
    </w:rPr>
  </w:style>
  <w:style w:type="character" w:customStyle="1" w:styleId="108">
    <w:name w:val="标题 Char1"/>
    <w:basedOn w:val="43"/>
    <w:autoRedefine/>
    <w:qFormat/>
    <w:uiPriority w:val="0"/>
    <w:rPr>
      <w:rFonts w:hint="default" w:ascii="Cambria" w:hAnsi="Cambria" w:eastAsia="Cambria" w:cs="Times New Roman"/>
      <w:b/>
      <w:bCs/>
      <w:kern w:val="2"/>
      <w:sz w:val="32"/>
      <w:szCs w:val="32"/>
    </w:rPr>
  </w:style>
  <w:style w:type="character" w:customStyle="1" w:styleId="109">
    <w:name w:val="标题 字符"/>
    <w:basedOn w:val="43"/>
    <w:link w:val="37"/>
    <w:autoRedefine/>
    <w:qFormat/>
    <w:uiPriority w:val="0"/>
    <w:rPr>
      <w:rFonts w:hint="eastAsia" w:ascii="宋体" w:hAnsi="宋体" w:eastAsia="黑体" w:cs="宋体"/>
      <w:b/>
      <w:smallCaps/>
      <w:kern w:val="2"/>
      <w:sz w:val="44"/>
      <w:szCs w:val="24"/>
    </w:rPr>
  </w:style>
  <w:style w:type="character" w:customStyle="1" w:styleId="110">
    <w:name w:val="明显引用 字符1"/>
    <w:basedOn w:val="43"/>
    <w:autoRedefine/>
    <w:qFormat/>
    <w:uiPriority w:val="0"/>
    <w:rPr>
      <w:i/>
      <w:iCs/>
      <w:color w:val="4472C4"/>
      <w:kern w:val="2"/>
      <w:sz w:val="21"/>
      <w:szCs w:val="24"/>
    </w:rPr>
  </w:style>
  <w:style w:type="character" w:customStyle="1" w:styleId="111">
    <w:name w:val="正文文本 (2)_"/>
    <w:basedOn w:val="43"/>
    <w:autoRedefine/>
    <w:qFormat/>
    <w:uiPriority w:val="0"/>
    <w:rPr>
      <w:rFonts w:hint="eastAsia" w:ascii="MingLiU" w:hAnsi="MingLiU" w:eastAsia="MingLiU" w:cs="MingLiU"/>
      <w:spacing w:val="20"/>
      <w:sz w:val="22"/>
      <w:shd w:val="clear" w:color="auto" w:fill="FFFFFF"/>
    </w:rPr>
  </w:style>
  <w:style w:type="character" w:customStyle="1" w:styleId="112">
    <w:name w:val="页眉 Char1"/>
    <w:basedOn w:val="43"/>
    <w:autoRedefine/>
    <w:qFormat/>
    <w:uiPriority w:val="0"/>
    <w:rPr>
      <w:kern w:val="2"/>
      <w:sz w:val="18"/>
      <w:szCs w:val="18"/>
    </w:rPr>
  </w:style>
  <w:style w:type="character" w:customStyle="1" w:styleId="113">
    <w:name w:val="明显引用 Char1"/>
    <w:basedOn w:val="43"/>
    <w:autoRedefine/>
    <w:qFormat/>
    <w:uiPriority w:val="0"/>
    <w:rPr>
      <w:b/>
      <w:bCs/>
      <w:i/>
      <w:iCs/>
      <w:color w:val="4F81BD"/>
      <w:kern w:val="2"/>
      <w:sz w:val="21"/>
      <w:szCs w:val="24"/>
    </w:rPr>
  </w:style>
  <w:style w:type="character" w:customStyle="1" w:styleId="114">
    <w:name w:val="副标题 字符"/>
    <w:basedOn w:val="43"/>
    <w:link w:val="29"/>
    <w:autoRedefine/>
    <w:qFormat/>
    <w:uiPriority w:val="0"/>
    <w:rPr>
      <w:rFonts w:ascii="Arial" w:hAnsi="Arial" w:cs="Arial"/>
      <w:b/>
      <w:bCs/>
      <w:kern w:val="28"/>
      <w:sz w:val="32"/>
      <w:szCs w:val="32"/>
    </w:rPr>
  </w:style>
  <w:style w:type="character" w:customStyle="1" w:styleId="115">
    <w:name w:val="文档结构图 字符"/>
    <w:basedOn w:val="43"/>
    <w:link w:val="12"/>
    <w:autoRedefine/>
    <w:qFormat/>
    <w:uiPriority w:val="0"/>
    <w:rPr>
      <w:rFonts w:hint="default" w:ascii="Calibri" w:hAnsi="Calibri" w:cs="Calibri"/>
      <w:bCs/>
      <w:kern w:val="2"/>
      <w:sz w:val="21"/>
      <w:szCs w:val="32"/>
      <w:shd w:val="clear" w:color="auto" w:fill="000080"/>
    </w:rPr>
  </w:style>
  <w:style w:type="character" w:customStyle="1" w:styleId="116">
    <w:name w:val="标题 3 Char_0"/>
    <w:basedOn w:val="43"/>
    <w:autoRedefine/>
    <w:qFormat/>
    <w:uiPriority w:val="0"/>
    <w:rPr>
      <w:b/>
      <w:sz w:val="32"/>
    </w:rPr>
  </w:style>
  <w:style w:type="character" w:customStyle="1" w:styleId="117">
    <w:name w:val="页脚 Char1"/>
    <w:basedOn w:val="43"/>
    <w:autoRedefine/>
    <w:qFormat/>
    <w:uiPriority w:val="0"/>
    <w:rPr>
      <w:kern w:val="2"/>
      <w:sz w:val="18"/>
      <w:szCs w:val="18"/>
    </w:rPr>
  </w:style>
  <w:style w:type="character" w:customStyle="1" w:styleId="118">
    <w:name w:val="标题 7 Char_0"/>
    <w:basedOn w:val="43"/>
    <w:autoRedefine/>
    <w:qFormat/>
    <w:uiPriority w:val="0"/>
    <w:rPr>
      <w:b/>
      <w:bCs/>
      <w:sz w:val="24"/>
      <w:szCs w:val="24"/>
    </w:rPr>
  </w:style>
  <w:style w:type="character" w:customStyle="1" w:styleId="119">
    <w:name w:val="mini-outputtext1"/>
    <w:basedOn w:val="43"/>
    <w:autoRedefine/>
    <w:qFormat/>
    <w:uiPriority w:val="0"/>
  </w:style>
  <w:style w:type="character" w:customStyle="1" w:styleId="120">
    <w:name w:val="正文文本 Char_0"/>
    <w:basedOn w:val="43"/>
    <w:autoRedefine/>
    <w:qFormat/>
    <w:uiPriority w:val="0"/>
    <w:rPr>
      <w:kern w:val="2"/>
      <w:sz w:val="21"/>
      <w:szCs w:val="24"/>
    </w:rPr>
  </w:style>
  <w:style w:type="character" w:customStyle="1" w:styleId="121">
    <w:name w:val="标题 7 字符"/>
    <w:basedOn w:val="43"/>
    <w:link w:val="8"/>
    <w:autoRedefine/>
    <w:qFormat/>
    <w:uiPriority w:val="0"/>
    <w:rPr>
      <w:b/>
      <w:bCs/>
      <w:kern w:val="2"/>
      <w:sz w:val="30"/>
      <w:szCs w:val="18"/>
    </w:rPr>
  </w:style>
  <w:style w:type="character" w:customStyle="1" w:styleId="122">
    <w:name w:val="正文文本缩进 3 字符"/>
    <w:basedOn w:val="43"/>
    <w:link w:val="32"/>
    <w:autoRedefine/>
    <w:qFormat/>
    <w:uiPriority w:val="0"/>
    <w:rPr>
      <w:rFonts w:hint="eastAsia" w:ascii="宋体" w:hAnsi="MS Sans Serif" w:eastAsia="宋体" w:cs="宋体"/>
      <w:bCs/>
      <w:color w:val="000000"/>
      <w:sz w:val="24"/>
    </w:rPr>
  </w:style>
  <w:style w:type="character" w:customStyle="1" w:styleId="123">
    <w:name w:val="Texte Char1"/>
    <w:basedOn w:val="43"/>
    <w:autoRedefine/>
    <w:qFormat/>
    <w:uiPriority w:val="0"/>
    <w:rPr>
      <w:rFonts w:hint="eastAsia" w:ascii="宋体" w:hAnsi="Courier New" w:eastAsia="宋体" w:cs="宋体"/>
      <w:kern w:val="2"/>
      <w:sz w:val="21"/>
      <w:szCs w:val="21"/>
    </w:rPr>
  </w:style>
  <w:style w:type="character" w:customStyle="1" w:styleId="124">
    <w:name w:val="标题 2 Char_0"/>
    <w:basedOn w:val="43"/>
    <w:autoRedefine/>
    <w:qFormat/>
    <w:uiPriority w:val="0"/>
    <w:rPr>
      <w:rFonts w:hint="eastAsia" w:ascii="黑体" w:hAnsi="宋体" w:eastAsia="黑体" w:cs="黑体"/>
      <w:b/>
      <w:smallCaps/>
      <w:sz w:val="36"/>
      <w:szCs w:val="24"/>
    </w:rPr>
  </w:style>
  <w:style w:type="character" w:customStyle="1" w:styleId="125">
    <w:name w:val="msosubtlereference"/>
    <w:basedOn w:val="43"/>
    <w:autoRedefine/>
    <w:qFormat/>
    <w:uiPriority w:val="0"/>
    <w:rPr>
      <w:smallCaps/>
      <w:color w:val="C0504D"/>
      <w:u w:val="single"/>
    </w:rPr>
  </w:style>
  <w:style w:type="character" w:customStyle="1" w:styleId="126">
    <w:name w:val="标题 8 Char1"/>
    <w:basedOn w:val="43"/>
    <w:autoRedefine/>
    <w:qFormat/>
    <w:uiPriority w:val="0"/>
    <w:rPr>
      <w:rFonts w:hint="default" w:ascii="Cambria" w:hAnsi="Cambria" w:eastAsia="宋体" w:cs="Cambria"/>
      <w:kern w:val="2"/>
      <w:sz w:val="24"/>
      <w:szCs w:val="24"/>
    </w:rPr>
  </w:style>
  <w:style w:type="character" w:customStyle="1" w:styleId="127">
    <w:name w:val="msointensereference"/>
    <w:basedOn w:val="43"/>
    <w:autoRedefine/>
    <w:qFormat/>
    <w:uiPriority w:val="0"/>
    <w:rPr>
      <w:b/>
      <w:bCs/>
      <w:smallCaps/>
      <w:color w:val="C0504D"/>
      <w:spacing w:val="5"/>
      <w:u w:val="single"/>
    </w:rPr>
  </w:style>
  <w:style w:type="character" w:customStyle="1" w:styleId="128">
    <w:name w:val="textcontents"/>
    <w:basedOn w:val="43"/>
    <w:autoRedefine/>
    <w:qFormat/>
    <w:uiPriority w:val="0"/>
    <w:rPr>
      <w:rFonts w:hint="default" w:ascii="Times New Roman" w:hAnsi="Times New Roman" w:cs="Times New Roman"/>
    </w:rPr>
  </w:style>
  <w:style w:type="character" w:customStyle="1" w:styleId="129">
    <w:name w:val="msobooktitle"/>
    <w:basedOn w:val="43"/>
    <w:autoRedefine/>
    <w:qFormat/>
    <w:uiPriority w:val="0"/>
    <w:rPr>
      <w:b/>
      <w:bCs/>
      <w:smallCaps/>
      <w:spacing w:val="5"/>
    </w:rPr>
  </w:style>
  <w:style w:type="character" w:customStyle="1" w:styleId="130">
    <w:name w:val="文档结构图 Char1"/>
    <w:basedOn w:val="43"/>
    <w:autoRedefine/>
    <w:qFormat/>
    <w:uiPriority w:val="0"/>
    <w:rPr>
      <w:rFonts w:hint="eastAsia" w:ascii="宋体" w:hAnsi="宋体" w:eastAsia="宋体" w:cs="宋体"/>
      <w:kern w:val="2"/>
      <w:sz w:val="18"/>
      <w:szCs w:val="18"/>
    </w:rPr>
  </w:style>
  <w:style w:type="character" w:customStyle="1" w:styleId="131">
    <w:name w:val="正文文本 3 字符"/>
    <w:basedOn w:val="43"/>
    <w:link w:val="15"/>
    <w:autoRedefine/>
    <w:qFormat/>
    <w:uiPriority w:val="0"/>
    <w:rPr>
      <w:rFonts w:hint="eastAsia" w:ascii="仿宋_GB2312" w:hAnsi="宋体" w:eastAsia="仿宋_GB2312" w:cs="仿宋_GB2312"/>
      <w:bCs/>
      <w:color w:val="000000"/>
      <w:kern w:val="2"/>
      <w:sz w:val="24"/>
      <w:szCs w:val="32"/>
    </w:rPr>
  </w:style>
  <w:style w:type="character" w:customStyle="1" w:styleId="132">
    <w:name w:val="msosubtleemphasis"/>
    <w:basedOn w:val="43"/>
    <w:autoRedefine/>
    <w:qFormat/>
    <w:uiPriority w:val="0"/>
    <w:rPr>
      <w:i/>
      <w:iCs/>
      <w:color w:val="808080"/>
    </w:rPr>
  </w:style>
  <w:style w:type="character" w:customStyle="1" w:styleId="133">
    <w:name w:val="标题 5 字符"/>
    <w:basedOn w:val="43"/>
    <w:link w:val="6"/>
    <w:autoRedefine/>
    <w:qFormat/>
    <w:uiPriority w:val="0"/>
    <w:rPr>
      <w:rFonts w:hint="default" w:ascii="Calibri" w:hAnsi="Calibri" w:cs="Calibri"/>
      <w:b/>
      <w:bCs/>
      <w:kern w:val="2"/>
      <w:sz w:val="28"/>
      <w:szCs w:val="28"/>
    </w:rPr>
  </w:style>
  <w:style w:type="character" w:customStyle="1" w:styleId="134">
    <w:name w:val="标题 6 字符"/>
    <w:basedOn w:val="43"/>
    <w:link w:val="7"/>
    <w:autoRedefine/>
    <w:qFormat/>
    <w:uiPriority w:val="0"/>
    <w:rPr>
      <w:b/>
      <w:bCs/>
      <w:kern w:val="2"/>
      <w:sz w:val="30"/>
      <w:szCs w:val="18"/>
    </w:rPr>
  </w:style>
  <w:style w:type="character" w:customStyle="1" w:styleId="135">
    <w:name w:val="标题 8 字符"/>
    <w:basedOn w:val="43"/>
    <w:link w:val="9"/>
    <w:autoRedefine/>
    <w:qFormat/>
    <w:uiPriority w:val="0"/>
    <w:rPr>
      <w:rFonts w:hint="eastAsia" w:ascii="宋体" w:hAnsi="宋体" w:eastAsia="黑体" w:cs="宋体"/>
      <w:kern w:val="2"/>
      <w:sz w:val="32"/>
      <w:szCs w:val="32"/>
    </w:rPr>
  </w:style>
  <w:style w:type="character" w:customStyle="1" w:styleId="136">
    <w:name w:val="标题 9 字符"/>
    <w:basedOn w:val="43"/>
    <w:link w:val="10"/>
    <w:autoRedefine/>
    <w:qFormat/>
    <w:uiPriority w:val="0"/>
    <w:rPr>
      <w:rFonts w:hint="default" w:ascii="Cambria" w:hAnsi="Cambria" w:eastAsia="Cambria" w:cs="Cambria"/>
      <w:kern w:val="2"/>
      <w:sz w:val="21"/>
      <w:szCs w:val="21"/>
    </w:rPr>
  </w:style>
  <w:style w:type="character" w:customStyle="1" w:styleId="137">
    <w:name w:val="标题 9 Char1"/>
    <w:basedOn w:val="43"/>
    <w:autoRedefine/>
    <w:qFormat/>
    <w:uiPriority w:val="0"/>
    <w:rPr>
      <w:rFonts w:hint="default" w:ascii="Cambria" w:hAnsi="Cambria" w:eastAsia="宋体" w:cs="Cambria"/>
      <w:kern w:val="2"/>
      <w:sz w:val="21"/>
      <w:szCs w:val="21"/>
    </w:rPr>
  </w:style>
  <w:style w:type="character" w:customStyle="1" w:styleId="138">
    <w:name w:val="ask-title2"/>
    <w:basedOn w:val="43"/>
    <w:autoRedefine/>
    <w:qFormat/>
    <w:uiPriority w:val="0"/>
  </w:style>
  <w:style w:type="character" w:customStyle="1" w:styleId="139">
    <w:name w:val="标题 3 字符1"/>
    <w:basedOn w:val="43"/>
    <w:link w:val="4"/>
    <w:autoRedefine/>
    <w:qFormat/>
    <w:uiPriority w:val="0"/>
    <w:rPr>
      <w:rFonts w:hint="eastAsia" w:ascii="黑体" w:hAnsi="宋体" w:eastAsia="黑体" w:cs="黑体"/>
      <w:bCs/>
      <w:kern w:val="2"/>
      <w:sz w:val="24"/>
      <w:szCs w:val="24"/>
    </w:rPr>
  </w:style>
  <w:style w:type="character" w:customStyle="1" w:styleId="140">
    <w:name w:val="称呼 字符"/>
    <w:basedOn w:val="43"/>
    <w:link w:val="14"/>
    <w:autoRedefine/>
    <w:qFormat/>
    <w:uiPriority w:val="0"/>
    <w:rPr>
      <w:rFonts w:hint="eastAsia" w:ascii="仿宋_GB2312" w:eastAsia="仿宋_GB2312" w:cs="仿宋_GB2312"/>
      <w:kern w:val="2"/>
      <w:sz w:val="28"/>
    </w:rPr>
  </w:style>
  <w:style w:type="character" w:customStyle="1" w:styleId="141">
    <w:name w:val="正文文本缩进 字符"/>
    <w:basedOn w:val="43"/>
    <w:link w:val="18"/>
    <w:autoRedefine/>
    <w:qFormat/>
    <w:uiPriority w:val="0"/>
    <w:rPr>
      <w:rFonts w:hint="eastAsia" w:ascii="宋体" w:hAnsi="宋体" w:eastAsia="宋体" w:cs="宋体"/>
      <w:bCs/>
      <w:kern w:val="2"/>
      <w:sz w:val="28"/>
      <w:szCs w:val="32"/>
    </w:rPr>
  </w:style>
  <w:style w:type="character" w:customStyle="1" w:styleId="142">
    <w:name w:val="尾注文本 字符"/>
    <w:basedOn w:val="43"/>
    <w:link w:val="24"/>
    <w:autoRedefine/>
    <w:qFormat/>
    <w:uiPriority w:val="0"/>
    <w:rPr>
      <w:kern w:val="2"/>
      <w:sz w:val="21"/>
      <w:szCs w:val="24"/>
    </w:rPr>
  </w:style>
  <w:style w:type="character" w:customStyle="1" w:styleId="143">
    <w:name w:val="脚注文本 字符"/>
    <w:basedOn w:val="43"/>
    <w:link w:val="31"/>
    <w:autoRedefine/>
    <w:qFormat/>
    <w:uiPriority w:val="0"/>
    <w:rPr>
      <w:kern w:val="2"/>
      <w:sz w:val="18"/>
      <w:szCs w:val="18"/>
    </w:rPr>
  </w:style>
  <w:style w:type="character" w:customStyle="1" w:styleId="144">
    <w:name w:val="正文文本 2 字符"/>
    <w:basedOn w:val="43"/>
    <w:link w:val="34"/>
    <w:autoRedefine/>
    <w:qFormat/>
    <w:uiPriority w:val="0"/>
    <w:rPr>
      <w:rFonts w:hint="eastAsia" w:ascii="宋体" w:hAnsi="宋体" w:eastAsia="宋体" w:cs="宋体"/>
      <w:spacing w:val="-20"/>
      <w:kern w:val="2"/>
      <w:sz w:val="28"/>
    </w:rPr>
  </w:style>
  <w:style w:type="character" w:customStyle="1" w:styleId="145">
    <w:name w:val="引用 字符"/>
    <w:basedOn w:val="43"/>
    <w:autoRedefine/>
    <w:qFormat/>
    <w:uiPriority w:val="0"/>
    <w:rPr>
      <w:i/>
      <w:iCs/>
      <w:color w:val="000000"/>
      <w:kern w:val="2"/>
      <w:sz w:val="21"/>
      <w:szCs w:val="22"/>
    </w:rPr>
  </w:style>
  <w:style w:type="character" w:customStyle="1" w:styleId="146">
    <w:name w:val="引用 字符1"/>
    <w:basedOn w:val="43"/>
    <w:autoRedefine/>
    <w:qFormat/>
    <w:uiPriority w:val="0"/>
    <w:rPr>
      <w:i/>
      <w:iCs/>
      <w:color w:val="404040"/>
      <w:kern w:val="2"/>
      <w:sz w:val="21"/>
      <w:szCs w:val="24"/>
    </w:rPr>
  </w:style>
  <w:style w:type="character" w:customStyle="1" w:styleId="147">
    <w:name w:val="普通文字1 Char"/>
    <w:basedOn w:val="43"/>
    <w:autoRedefine/>
    <w:qFormat/>
    <w:uiPriority w:val="0"/>
    <w:rPr>
      <w:rFonts w:hint="eastAsia" w:ascii="宋体" w:hAnsi="Courier New" w:eastAsia="宋体" w:cs="Courier New"/>
      <w:szCs w:val="21"/>
    </w:rPr>
  </w:style>
  <w:style w:type="character" w:customStyle="1" w:styleId="148">
    <w:name w:val="批注文字 Char1"/>
    <w:basedOn w:val="43"/>
    <w:autoRedefine/>
    <w:qFormat/>
    <w:uiPriority w:val="0"/>
    <w:rPr>
      <w:kern w:val="2"/>
      <w:sz w:val="21"/>
      <w:szCs w:val="24"/>
    </w:rPr>
  </w:style>
  <w:style w:type="character" w:customStyle="1" w:styleId="149">
    <w:name w:val="tdrownotice1"/>
    <w:basedOn w:val="43"/>
    <w:autoRedefine/>
    <w:qFormat/>
    <w:uiPriority w:val="0"/>
    <w:rPr>
      <w:sz w:val="22"/>
    </w:rPr>
  </w:style>
  <w:style w:type="character" w:customStyle="1" w:styleId="150">
    <w:name w:val="标题4 Char Char"/>
    <w:basedOn w:val="43"/>
    <w:autoRedefine/>
    <w:qFormat/>
    <w:uiPriority w:val="0"/>
    <w:rPr>
      <w:rFonts w:hint="default" w:ascii="Arial" w:hAnsi="Arial" w:cs="Arial"/>
      <w:b/>
      <w:bCs/>
      <w:sz w:val="24"/>
      <w:szCs w:val="32"/>
    </w:rPr>
  </w:style>
  <w:style w:type="character" w:customStyle="1" w:styleId="151">
    <w:name w:val="纯文本 Char1_1"/>
    <w:basedOn w:val="43"/>
    <w:autoRedefine/>
    <w:qFormat/>
    <w:uiPriority w:val="0"/>
    <w:rPr>
      <w:rFonts w:hint="eastAsia" w:ascii="宋体" w:hAnsi="Courier New" w:eastAsia="宋体" w:cs="宋体"/>
      <w:kern w:val="2"/>
      <w:sz w:val="21"/>
      <w:szCs w:val="21"/>
    </w:rPr>
  </w:style>
  <w:style w:type="character" w:customStyle="1" w:styleId="152">
    <w:name w:val="标题 6 Char_0"/>
    <w:basedOn w:val="43"/>
    <w:autoRedefine/>
    <w:qFormat/>
    <w:uiPriority w:val="0"/>
    <w:rPr>
      <w:rFonts w:hint="default" w:ascii="Arial" w:hAnsi="Arial" w:eastAsia="黑体" w:cs="Arial"/>
      <w:b/>
      <w:bCs/>
      <w:sz w:val="24"/>
      <w:szCs w:val="24"/>
    </w:rPr>
  </w:style>
  <w:style w:type="character" w:customStyle="1" w:styleId="153">
    <w:name w:val="正文文本 (2) + 间距 0 pt5"/>
    <w:basedOn w:val="43"/>
    <w:autoRedefine/>
    <w:qFormat/>
    <w:uiPriority w:val="0"/>
    <w:rPr>
      <w:rFonts w:hint="eastAsia" w:ascii="MingLiU" w:hAnsi="MingLiU" w:eastAsia="MingLiU" w:cs="MingLiU"/>
      <w:spacing w:val="0"/>
      <w:sz w:val="22"/>
      <w:shd w:val="clear" w:color="auto" w:fill="FFFFFF"/>
    </w:rPr>
  </w:style>
  <w:style w:type="character" w:customStyle="1" w:styleId="154">
    <w:name w:val="脚注文本 Char_0"/>
    <w:basedOn w:val="43"/>
    <w:autoRedefine/>
    <w:qFormat/>
    <w:uiPriority w:val="0"/>
    <w:rPr>
      <w:sz w:val="18"/>
    </w:rPr>
  </w:style>
  <w:style w:type="character" w:customStyle="1" w:styleId="155">
    <w:name w:val="标题 2 Char"/>
    <w:basedOn w:val="43"/>
    <w:autoRedefine/>
    <w:qFormat/>
    <w:uiPriority w:val="0"/>
    <w:rPr>
      <w:rFonts w:hint="default" w:ascii="Cambria" w:hAnsi="Cambria" w:eastAsia="宋体" w:cs="Times New Roman"/>
      <w:b/>
      <w:bCs/>
      <w:kern w:val="2"/>
      <w:sz w:val="32"/>
      <w:szCs w:val="32"/>
    </w:rPr>
  </w:style>
  <w:style w:type="character" w:customStyle="1" w:styleId="156">
    <w:name w:val="标题 8 Char_0"/>
    <w:basedOn w:val="43"/>
    <w:autoRedefine/>
    <w:qFormat/>
    <w:uiPriority w:val="0"/>
    <w:rPr>
      <w:rFonts w:hint="default" w:ascii="Arial" w:hAnsi="Arial" w:eastAsia="黑体" w:cs="Arial"/>
      <w:sz w:val="24"/>
      <w:szCs w:val="24"/>
    </w:rPr>
  </w:style>
  <w:style w:type="character" w:customStyle="1" w:styleId="157">
    <w:name w:val="批注框文本 Char1"/>
    <w:basedOn w:val="43"/>
    <w:autoRedefine/>
    <w:qFormat/>
    <w:uiPriority w:val="0"/>
    <w:rPr>
      <w:kern w:val="2"/>
      <w:sz w:val="18"/>
      <w:szCs w:val="18"/>
    </w:rPr>
  </w:style>
  <w:style w:type="character" w:customStyle="1" w:styleId="158">
    <w:name w:val="纯文本 Char1_0"/>
    <w:basedOn w:val="43"/>
    <w:autoRedefine/>
    <w:qFormat/>
    <w:uiPriority w:val="0"/>
    <w:rPr>
      <w:rFonts w:hint="eastAsia" w:ascii="宋体" w:hAnsi="Courier New" w:eastAsia="宋体" w:cs="宋体"/>
      <w:kern w:val="2"/>
      <w:sz w:val="21"/>
      <w:szCs w:val="21"/>
    </w:rPr>
  </w:style>
  <w:style w:type="character" w:customStyle="1" w:styleId="159">
    <w:name w:val="Blockquote Char_0"/>
    <w:basedOn w:val="43"/>
    <w:autoRedefine/>
    <w:qFormat/>
    <w:uiPriority w:val="0"/>
    <w:rPr>
      <w:sz w:val="24"/>
    </w:rPr>
  </w:style>
  <w:style w:type="character" w:customStyle="1" w:styleId="160">
    <w:name w:val="标题 4 Char1"/>
    <w:basedOn w:val="43"/>
    <w:autoRedefine/>
    <w:qFormat/>
    <w:uiPriority w:val="0"/>
    <w:rPr>
      <w:rFonts w:hint="default" w:ascii="Cambria" w:hAnsi="Cambria" w:eastAsia="宋体" w:cs="Cambria"/>
      <w:b/>
      <w:kern w:val="2"/>
      <w:sz w:val="28"/>
      <w:szCs w:val="28"/>
    </w:rPr>
  </w:style>
  <w:style w:type="character" w:customStyle="1" w:styleId="161">
    <w:name w:val="标题 6 Char1"/>
    <w:basedOn w:val="43"/>
    <w:autoRedefine/>
    <w:qFormat/>
    <w:uiPriority w:val="0"/>
    <w:rPr>
      <w:rFonts w:hint="default" w:ascii="Cambria" w:hAnsi="Cambria" w:eastAsia="宋体" w:cs="Cambria"/>
      <w:b/>
      <w:kern w:val="2"/>
      <w:sz w:val="24"/>
      <w:szCs w:val="24"/>
    </w:rPr>
  </w:style>
  <w:style w:type="character" w:customStyle="1" w:styleId="162">
    <w:name w:val="标题 1 Char_0"/>
    <w:basedOn w:val="43"/>
    <w:autoRedefine/>
    <w:qFormat/>
    <w:uiPriority w:val="0"/>
    <w:rPr>
      <w:rFonts w:hint="eastAsia" w:ascii="黑体" w:hAnsi="宋体" w:eastAsia="黑体" w:cs="黑体"/>
      <w:sz w:val="52"/>
    </w:rPr>
  </w:style>
  <w:style w:type="character" w:customStyle="1" w:styleId="163">
    <w:name w:val="引用 Char1"/>
    <w:basedOn w:val="43"/>
    <w:autoRedefine/>
    <w:qFormat/>
    <w:uiPriority w:val="0"/>
    <w:rPr>
      <w:i/>
      <w:iCs/>
      <w:color w:val="000000"/>
      <w:kern w:val="2"/>
      <w:sz w:val="21"/>
      <w:szCs w:val="24"/>
    </w:rPr>
  </w:style>
  <w:style w:type="character" w:customStyle="1" w:styleId="164">
    <w:name w:val="标题 3 Char1"/>
    <w:basedOn w:val="43"/>
    <w:autoRedefine/>
    <w:qFormat/>
    <w:uiPriority w:val="0"/>
    <w:rPr>
      <w:rFonts w:hint="default" w:ascii="Calibri" w:hAnsi="Calibri" w:eastAsia="宋体" w:cs="Calibri"/>
      <w:b/>
      <w:kern w:val="2"/>
      <w:sz w:val="32"/>
    </w:rPr>
  </w:style>
  <w:style w:type="character" w:customStyle="1" w:styleId="165">
    <w:name w:val="Blockquote Char"/>
    <w:basedOn w:val="43"/>
    <w:autoRedefine/>
    <w:qFormat/>
    <w:uiPriority w:val="0"/>
    <w:rPr>
      <w:sz w:val="24"/>
    </w:rPr>
  </w:style>
  <w:style w:type="character" w:customStyle="1" w:styleId="166">
    <w:name w:val="标题 4 Char_0"/>
    <w:basedOn w:val="43"/>
    <w:autoRedefine/>
    <w:qFormat/>
    <w:uiPriority w:val="0"/>
    <w:rPr>
      <w:rFonts w:hint="default" w:ascii="Arial" w:hAnsi="Arial" w:eastAsia="黑体" w:cs="Arial"/>
      <w:sz w:val="28"/>
    </w:rPr>
  </w:style>
  <w:style w:type="character" w:customStyle="1" w:styleId="167">
    <w:name w:val="标题 7 Char1"/>
    <w:basedOn w:val="43"/>
    <w:autoRedefine/>
    <w:qFormat/>
    <w:uiPriority w:val="0"/>
    <w:rPr>
      <w:rFonts w:hint="default" w:ascii="Calibri" w:hAnsi="Calibri" w:eastAsia="宋体" w:cs="Calibri"/>
      <w:b/>
      <w:kern w:val="2"/>
      <w:sz w:val="24"/>
      <w:szCs w:val="24"/>
    </w:rPr>
  </w:style>
  <w:style w:type="character" w:customStyle="1" w:styleId="168">
    <w:name w:val="标题 5 Char1"/>
    <w:basedOn w:val="43"/>
    <w:autoRedefine/>
    <w:qFormat/>
    <w:uiPriority w:val="0"/>
    <w:rPr>
      <w:rFonts w:hint="default" w:ascii="Calibri" w:hAnsi="Calibri" w:eastAsia="宋体" w:cs="Calibri"/>
      <w:b/>
      <w:kern w:val="2"/>
      <w:sz w:val="28"/>
      <w:szCs w:val="28"/>
    </w:rPr>
  </w:style>
  <w:style w:type="character" w:customStyle="1" w:styleId="169">
    <w:name w:val="批注主题 Char2"/>
    <w:basedOn w:val="43"/>
    <w:autoRedefine/>
    <w:qFormat/>
    <w:uiPriority w:val="0"/>
    <w:rPr>
      <w:b/>
      <w:bCs/>
      <w:kern w:val="2"/>
      <w:sz w:val="21"/>
      <w:szCs w:val="22"/>
    </w:rPr>
  </w:style>
  <w:style w:type="character" w:customStyle="1" w:styleId="170">
    <w:name w:val="副标题 Char1"/>
    <w:basedOn w:val="43"/>
    <w:autoRedefine/>
    <w:qFormat/>
    <w:uiPriority w:val="0"/>
    <w:rPr>
      <w:rFonts w:hint="default" w:ascii="Cambria" w:hAnsi="Cambria" w:eastAsia="Cambria" w:cs="Times New Roman"/>
      <w:b/>
      <w:bCs/>
      <w:kern w:val="28"/>
      <w:sz w:val="32"/>
      <w:szCs w:val="32"/>
    </w:rPr>
  </w:style>
  <w:style w:type="character" w:customStyle="1" w:styleId="171">
    <w:name w:val="文档结构图 Char2"/>
    <w:basedOn w:val="43"/>
    <w:autoRedefine/>
    <w:qFormat/>
    <w:uiPriority w:val="0"/>
    <w:rPr>
      <w:rFonts w:hint="eastAsia" w:ascii="宋体" w:hAnsi="宋体" w:eastAsia="宋体" w:cs="宋体"/>
      <w:kern w:val="2"/>
      <w:sz w:val="18"/>
      <w:szCs w:val="18"/>
    </w:rPr>
  </w:style>
  <w:style w:type="character" w:customStyle="1" w:styleId="172">
    <w:name w:val="批注主题 Char1"/>
    <w:basedOn w:val="43"/>
    <w:autoRedefine/>
    <w:qFormat/>
    <w:uiPriority w:val="0"/>
    <w:rPr>
      <w:b/>
      <w:bCs/>
      <w:kern w:val="2"/>
      <w:sz w:val="21"/>
      <w:szCs w:val="24"/>
    </w:rPr>
  </w:style>
  <w:style w:type="character" w:customStyle="1" w:styleId="173">
    <w:name w:val="正文2 Char"/>
    <w:basedOn w:val="43"/>
    <w:autoRedefine/>
    <w:qFormat/>
    <w:uiPriority w:val="0"/>
    <w:rPr>
      <w:rFonts w:hint="eastAsia" w:ascii="楷体" w:hAnsi="楷体" w:eastAsia="楷体" w:cs="楷体"/>
      <w:b/>
      <w:color w:val="0000FF"/>
      <w:kern w:val="2"/>
      <w:sz w:val="21"/>
      <w:szCs w:val="22"/>
    </w:rPr>
  </w:style>
  <w:style w:type="character" w:customStyle="1" w:styleId="174">
    <w:name w:val="正文文本 Char2"/>
    <w:basedOn w:val="43"/>
    <w:autoRedefine/>
    <w:qFormat/>
    <w:uiPriority w:val="0"/>
    <w:rPr>
      <w:kern w:val="2"/>
      <w:sz w:val="21"/>
      <w:szCs w:val="22"/>
    </w:rPr>
  </w:style>
  <w:style w:type="character" w:customStyle="1" w:styleId="175">
    <w:name w:val="日期 Char1"/>
    <w:basedOn w:val="43"/>
    <w:autoRedefine/>
    <w:qFormat/>
    <w:uiPriority w:val="0"/>
    <w:rPr>
      <w:kern w:val="2"/>
      <w:sz w:val="21"/>
      <w:szCs w:val="22"/>
    </w:rPr>
  </w:style>
  <w:style w:type="character" w:customStyle="1" w:styleId="176">
    <w:name w:val="批注框文本 Char2"/>
    <w:basedOn w:val="43"/>
    <w:autoRedefine/>
    <w:qFormat/>
    <w:uiPriority w:val="0"/>
    <w:rPr>
      <w:kern w:val="2"/>
      <w:sz w:val="18"/>
      <w:szCs w:val="18"/>
    </w:rPr>
  </w:style>
  <w:style w:type="character" w:customStyle="1" w:styleId="177">
    <w:name w:val="标题 9 Char_0"/>
    <w:basedOn w:val="43"/>
    <w:autoRedefine/>
    <w:qFormat/>
    <w:uiPriority w:val="0"/>
    <w:rPr>
      <w:rFonts w:hint="default" w:ascii="Arial" w:hAnsi="Arial" w:eastAsia="黑体" w:cs="Arial"/>
      <w:sz w:val="21"/>
      <w:szCs w:val="21"/>
    </w:rPr>
  </w:style>
  <w:style w:type="character" w:customStyle="1" w:styleId="178">
    <w:name w:val="脚注文本 Char"/>
    <w:basedOn w:val="43"/>
    <w:autoRedefine/>
    <w:qFormat/>
    <w:uiPriority w:val="0"/>
    <w:rPr>
      <w:kern w:val="2"/>
      <w:sz w:val="18"/>
      <w:szCs w:val="18"/>
    </w:rPr>
  </w:style>
  <w:style w:type="character" w:customStyle="1" w:styleId="179">
    <w:name w:val="标题5 Char Char"/>
    <w:basedOn w:val="43"/>
    <w:autoRedefine/>
    <w:qFormat/>
    <w:uiPriority w:val="0"/>
    <w:rPr>
      <w:rFonts w:hint="default" w:ascii="Arial" w:hAnsi="Arial" w:cs="Arial"/>
      <w:b/>
      <w:bCs/>
      <w:sz w:val="24"/>
      <w:szCs w:val="32"/>
    </w:rPr>
  </w:style>
  <w:style w:type="character" w:customStyle="1" w:styleId="180">
    <w:name w:val="明显引用 字符"/>
    <w:basedOn w:val="43"/>
    <w:autoRedefine/>
    <w:qFormat/>
    <w:uiPriority w:val="0"/>
    <w:rPr>
      <w:b/>
      <w:bCs/>
      <w:i/>
      <w:iCs/>
      <w:color w:val="4F81BD"/>
      <w:kern w:val="2"/>
      <w:sz w:val="21"/>
      <w:szCs w:val="22"/>
    </w:rPr>
  </w:style>
  <w:style w:type="character" w:customStyle="1" w:styleId="181">
    <w:name w:val="批注文字 Char Char"/>
    <w:basedOn w:val="43"/>
    <w:autoRedefine/>
    <w:qFormat/>
    <w:uiPriority w:val="0"/>
    <w:rPr>
      <w:rFonts w:hint="eastAsia" w:ascii="宋体" w:hAnsi="Times New Roman" w:eastAsia="宋体" w:cs="Times New Roman"/>
      <w:sz w:val="28"/>
      <w:szCs w:val="20"/>
    </w:rPr>
  </w:style>
  <w:style w:type="character" w:customStyle="1" w:styleId="182">
    <w:name w:val="t_tag"/>
    <w:basedOn w:val="43"/>
    <w:autoRedefine/>
    <w:qFormat/>
    <w:uiPriority w:val="0"/>
  </w:style>
  <w:style w:type="character" w:customStyle="1" w:styleId="183">
    <w:name w:val="日期 Char2"/>
    <w:basedOn w:val="43"/>
    <w:autoRedefine/>
    <w:qFormat/>
    <w:uiPriority w:val="0"/>
    <w:rPr>
      <w:kern w:val="2"/>
      <w:sz w:val="21"/>
      <w:szCs w:val="22"/>
    </w:rPr>
  </w:style>
  <w:style w:type="character" w:customStyle="1" w:styleId="184">
    <w:name w:val="标题 1 Char1"/>
    <w:basedOn w:val="43"/>
    <w:autoRedefine/>
    <w:qFormat/>
    <w:uiPriority w:val="0"/>
    <w:rPr>
      <w:rFonts w:hint="default" w:ascii="Calibri" w:hAnsi="Calibri" w:eastAsia="宋体" w:cs="Calibri"/>
      <w:b/>
      <w:kern w:val="44"/>
      <w:sz w:val="44"/>
      <w:szCs w:val="44"/>
    </w:rPr>
  </w:style>
  <w:style w:type="character" w:customStyle="1" w:styleId="185">
    <w:name w:val="Char Char"/>
    <w:basedOn w:val="43"/>
    <w:autoRedefine/>
    <w:qFormat/>
    <w:uiPriority w:val="0"/>
    <w:rPr>
      <w:rFonts w:hint="eastAsia" w:ascii="宋体" w:hAnsi="Courier New" w:eastAsia="宋体" w:cs="Courier New"/>
      <w:kern w:val="2"/>
      <w:sz w:val="21"/>
      <w:szCs w:val="21"/>
      <w:lang w:val="en-US" w:eastAsia="zh-CN" w:bidi="ar"/>
    </w:rPr>
  </w:style>
  <w:style w:type="paragraph" w:customStyle="1" w:styleId="186">
    <w:name w:val="附件标题"/>
    <w:basedOn w:val="3"/>
    <w:next w:val="1"/>
    <w:autoRedefine/>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7">
    <w:name w:val="UserStyle_11"/>
    <w:basedOn w:val="1"/>
    <w:autoRedefine/>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8">
    <w:name w:val="AnnotationText"/>
    <w:basedOn w:val="1"/>
    <w:autoRedefine/>
    <w:qFormat/>
    <w:uiPriority w:val="0"/>
    <w:pPr>
      <w:jc w:val="left"/>
      <w:textAlignment w:val="baseline"/>
    </w:pPr>
    <w:rPr>
      <w:rFonts w:ascii="Arial" w:hAnsi="Arial" w:eastAsia="黑体"/>
    </w:rPr>
  </w:style>
  <w:style w:type="paragraph" w:customStyle="1" w:styleId="189">
    <w:name w:val="BodyText1I2"/>
    <w:basedOn w:val="190"/>
    <w:next w:val="1"/>
    <w:autoRedefine/>
    <w:qFormat/>
    <w:uiPriority w:val="0"/>
    <w:pPr>
      <w:spacing w:line="520" w:lineRule="exact"/>
      <w:ind w:firstLine="420" w:firstLineChars="200"/>
    </w:pPr>
    <w:rPr>
      <w:rFonts w:ascii="微软简标宋" w:hAnsi="微软简标宋" w:eastAsia="@仿宋_GB2312"/>
      <w:color w:val="000000"/>
      <w:sz w:val="24"/>
    </w:rPr>
  </w:style>
  <w:style w:type="paragraph" w:customStyle="1" w:styleId="190">
    <w:name w:val="BodyTextIndent"/>
    <w:basedOn w:val="1"/>
    <w:autoRedefine/>
    <w:qFormat/>
    <w:uiPriority w:val="0"/>
    <w:pPr>
      <w:spacing w:after="120"/>
      <w:ind w:left="420" w:leftChars="200"/>
      <w:textAlignment w:val="baseline"/>
    </w:pPr>
  </w:style>
  <w:style w:type="paragraph" w:customStyle="1" w:styleId="191">
    <w:name w:val="BodyText1I"/>
    <w:basedOn w:val="192"/>
    <w:autoRedefine/>
    <w:qFormat/>
    <w:uiPriority w:val="0"/>
    <w:pPr>
      <w:ind w:firstLine="420" w:firstLineChars="100"/>
    </w:pPr>
    <w:rPr>
      <w:rFonts w:eastAsia="@仿宋_GB2312"/>
    </w:rPr>
  </w:style>
  <w:style w:type="paragraph" w:customStyle="1" w:styleId="192">
    <w:name w:val="BodyText"/>
    <w:basedOn w:val="1"/>
    <w:autoRedefine/>
    <w:qFormat/>
    <w:uiPriority w:val="0"/>
    <w:pPr>
      <w:spacing w:after="120"/>
      <w:textAlignment w:val="baseline"/>
    </w:pPr>
  </w:style>
  <w:style w:type="paragraph" w:customStyle="1" w:styleId="193">
    <w:name w:val="font2324242"/>
    <w:basedOn w:val="1"/>
    <w:autoRedefine/>
    <w:qFormat/>
    <w:uiPriority w:val="0"/>
    <w:pPr>
      <w:widowControl/>
      <w:spacing w:before="100" w:beforeAutospacing="1" w:after="100" w:afterAutospacing="1"/>
      <w:jc w:val="left"/>
    </w:pPr>
    <w:rPr>
      <w:rFonts w:ascii="宋体" w:hAnsi="宋体" w:cs="宋体"/>
      <w:kern w:val="0"/>
      <w:sz w:val="22"/>
      <w:szCs w:val="22"/>
    </w:rPr>
  </w:style>
  <w:style w:type="character" w:customStyle="1" w:styleId="194">
    <w:name w:val="font71"/>
    <w:basedOn w:val="43"/>
    <w:autoRedefine/>
    <w:qFormat/>
    <w:uiPriority w:val="0"/>
    <w:rPr>
      <w:rFonts w:hint="eastAsia" w:ascii="宋体" w:hAnsi="宋体" w:eastAsia="宋体" w:cs="宋体"/>
      <w:color w:val="000000"/>
      <w:sz w:val="22"/>
      <w:szCs w:val="22"/>
      <w:u w:val="none"/>
    </w:rPr>
  </w:style>
  <w:style w:type="character" w:customStyle="1" w:styleId="195">
    <w:name w:val="font51"/>
    <w:basedOn w:val="43"/>
    <w:autoRedefine/>
    <w:qFormat/>
    <w:uiPriority w:val="0"/>
    <w:rPr>
      <w:rFonts w:hint="eastAsia" w:ascii="宋体" w:hAnsi="宋体" w:eastAsia="宋体" w:cs="宋体"/>
      <w:color w:val="000000"/>
      <w:sz w:val="22"/>
      <w:szCs w:val="22"/>
      <w:u w:val="none"/>
    </w:rPr>
  </w:style>
  <w:style w:type="character" w:customStyle="1" w:styleId="196">
    <w:name w:val="font21"/>
    <w:basedOn w:val="43"/>
    <w:autoRedefine/>
    <w:qFormat/>
    <w:uiPriority w:val="0"/>
    <w:rPr>
      <w:rFonts w:hint="eastAsia" w:ascii="宋体" w:hAnsi="宋体" w:eastAsia="宋体" w:cs="宋体"/>
      <w:b/>
      <w:bCs/>
      <w:color w:val="000000"/>
      <w:sz w:val="32"/>
      <w:szCs w:val="32"/>
      <w:u w:val="none"/>
    </w:rPr>
  </w:style>
  <w:style w:type="paragraph" w:customStyle="1" w:styleId="197">
    <w:name w:val="正文1"/>
    <w:autoRedefine/>
    <w:qFormat/>
    <w:uiPriority w:val="0"/>
    <w:pPr>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69</Pages>
  <Words>28381</Words>
  <Characters>30665</Characters>
  <Lines>406</Lines>
  <Paragraphs>114</Paragraphs>
  <TotalTime>22</TotalTime>
  <ScaleCrop>false</ScaleCrop>
  <LinksUpToDate>false</LinksUpToDate>
  <CharactersWithSpaces>31664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2023-08-17T01:38:00Z</dcterms:created>
  <dc:creator>Anakin</dc:creator>
  <cp:lastModifiedBy>丁宁</cp:lastModifiedBy>
  <cp:lastPrinted>2022-01-07T16:43:00Z</cp:lastPrinted>
  <dcterms:modified xsi:type="dcterms:W3CDTF">2024-08-30T07:02:34Z</dcterms:modified>
  <dc:title>某项目（项目编号：某编号）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F7AF7000FE8F4E4F88570F71E2DB64BE_13</vt:lpwstr>
  </property>
</Properties>
</file>