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简体" w:cs="Times New Roman"/>
          <w:color w:val="auto"/>
          <w:sz w:val="32"/>
          <w:szCs w:val="32"/>
          <w:highlight w:val="none"/>
        </w:rPr>
      </w:pPr>
      <w:bookmarkStart w:id="0" w:name="_Hlk9544796"/>
    </w:p>
    <w:p>
      <w:pPr>
        <w:widowControl/>
        <w:jc w:val="center"/>
        <w:rPr>
          <w:rFonts w:ascii="Times New Roman" w:hAnsi="Times New Roman" w:eastAsia="方正小标宋简体" w:cs="Times New Roman"/>
          <w:color w:val="auto"/>
          <w:sz w:val="32"/>
          <w:szCs w:val="32"/>
          <w:highlight w:val="none"/>
        </w:rPr>
      </w:pPr>
    </w:p>
    <w:p>
      <w:pPr>
        <w:pStyle w:val="15"/>
        <w:ind w:firstLine="560"/>
        <w:rPr>
          <w:rFonts w:ascii="Times New Roman" w:hAnsi="Times New Roman" w:eastAsia="方正小标宋简体" w:cs="Times New Roman"/>
          <w:snapToGrid w:val="0"/>
          <w:color w:val="auto"/>
          <w:kern w:val="0"/>
          <w:sz w:val="28"/>
          <w:szCs w:val="28"/>
          <w:highlight w:val="none"/>
        </w:rPr>
      </w:pPr>
      <w:bookmarkStart w:id="185" w:name="_GoBack"/>
      <w:bookmarkEnd w:id="185"/>
    </w:p>
    <w:p>
      <w:pPr>
        <w:rPr>
          <w:rFonts w:ascii="Times New Roman" w:hAnsi="Times New Roman" w:cs="Times New Roman"/>
          <w:color w:val="auto"/>
          <w:highlight w:val="none"/>
        </w:rPr>
      </w:pPr>
    </w:p>
    <w:p>
      <w:pPr>
        <w:tabs>
          <w:tab w:val="left" w:pos="315"/>
          <w:tab w:val="left" w:pos="8820"/>
        </w:tabs>
        <w:spacing w:before="156" w:beforeLines="50" w:after="156" w:afterLines="50"/>
        <w:ind w:right="265" w:rightChars="126"/>
        <w:jc w:val="center"/>
        <w:rPr>
          <w:rFonts w:ascii="Times New Roman" w:hAnsi="Times New Roman" w:cs="Times New Roman"/>
          <w:b/>
          <w:bCs/>
          <w:color w:val="auto"/>
          <w:sz w:val="96"/>
          <w:szCs w:val="96"/>
          <w:highlight w:val="none"/>
        </w:rPr>
      </w:pPr>
      <w:r>
        <w:rPr>
          <w:rFonts w:ascii="Times New Roman" w:hAnsi="Times New Roman" w:eastAsia="黑体" w:cs="Times New Roman"/>
          <w:color w:val="auto"/>
          <w:sz w:val="72"/>
          <w:szCs w:val="72"/>
          <w:highlight w:val="none"/>
        </w:rPr>
        <w:t>招 标 文 件</w:t>
      </w:r>
    </w:p>
    <w:p>
      <w:pPr>
        <w:tabs>
          <w:tab w:val="left" w:pos="315"/>
          <w:tab w:val="left" w:pos="8820"/>
        </w:tabs>
        <w:spacing w:before="312" w:beforeLines="100" w:after="156" w:afterLines="50" w:line="500" w:lineRule="exact"/>
        <w:ind w:right="267" w:rightChars="127"/>
        <w:jc w:val="center"/>
        <w:rPr>
          <w:rFonts w:ascii="Times New Roman" w:hAnsi="Times New Roman" w:cs="Times New Roman"/>
          <w:b/>
          <w:bCs/>
          <w:color w:val="auto"/>
          <w:sz w:val="52"/>
          <w:szCs w:val="52"/>
          <w:highlight w:val="none"/>
        </w:rPr>
      </w:pPr>
      <w:r>
        <w:rPr>
          <w:rFonts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服务类</w:t>
      </w:r>
      <w:r>
        <w:rPr>
          <w:rFonts w:ascii="Times New Roman" w:hAnsi="Times New Roman" w:cs="Times New Roman"/>
          <w:b/>
          <w:bCs/>
          <w:color w:val="auto"/>
          <w:sz w:val="52"/>
          <w:szCs w:val="52"/>
          <w:highlight w:val="none"/>
        </w:rPr>
        <w:t>）</w:t>
      </w:r>
    </w:p>
    <w:p>
      <w:pPr>
        <w:tabs>
          <w:tab w:val="left" w:pos="315"/>
          <w:tab w:val="left" w:pos="8820"/>
        </w:tabs>
        <w:spacing w:before="312" w:beforeLines="100" w:after="156" w:afterLines="50" w:line="500" w:lineRule="exact"/>
        <w:ind w:right="267" w:rightChars="127"/>
        <w:jc w:val="center"/>
        <w:rPr>
          <w:rFonts w:ascii="Times New Roman" w:hAnsi="Times New Roman" w:cs="Times New Roman"/>
          <w:b/>
          <w:bCs/>
          <w:color w:val="auto"/>
          <w:sz w:val="52"/>
          <w:szCs w:val="52"/>
          <w:highlight w:val="none"/>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highlight w:val="none"/>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highlight w:val="none"/>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highlight w:val="none"/>
        </w:rPr>
      </w:pPr>
    </w:p>
    <w:p>
      <w:pPr>
        <w:tabs>
          <w:tab w:val="left" w:pos="2410"/>
        </w:tabs>
        <w:autoSpaceDE w:val="0"/>
        <w:autoSpaceDN w:val="0"/>
        <w:adjustRightInd w:val="0"/>
        <w:snapToGrid w:val="0"/>
        <w:spacing w:line="360" w:lineRule="auto"/>
        <w:ind w:left="3528" w:leftChars="304" w:hanging="2890" w:hangingChars="800"/>
        <w:jc w:val="center"/>
        <w:rPr>
          <w:rFonts w:hint="eastAsia" w:ascii="Times New Roman" w:hAnsi="Times New Roman" w:cs="Times New Roman"/>
          <w:b/>
          <w:color w:val="auto"/>
          <w:spacing w:val="20"/>
          <w:kern w:val="0"/>
          <w:sz w:val="32"/>
          <w:szCs w:val="32"/>
          <w:highlight w:val="none"/>
          <w:u w:val="single"/>
          <w:lang w:val="en-US" w:eastAsia="zh-CN"/>
        </w:rPr>
      </w:pPr>
      <w:r>
        <w:rPr>
          <w:rFonts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合肥滨湖时光空间运营管理有限公司</w:t>
      </w:r>
    </w:p>
    <w:p>
      <w:pPr>
        <w:tabs>
          <w:tab w:val="left" w:pos="2410"/>
        </w:tabs>
        <w:autoSpaceDE w:val="0"/>
        <w:autoSpaceDN w:val="0"/>
        <w:adjustRightInd w:val="0"/>
        <w:snapToGrid w:val="0"/>
        <w:spacing w:line="360" w:lineRule="auto"/>
        <w:ind w:left="3192" w:leftChars="1520" w:firstLine="0" w:firstLineChars="0"/>
        <w:jc w:val="both"/>
        <w:rPr>
          <w:rFonts w:hint="eastAsia" w:ascii="Times New Roman" w:hAnsi="Times New Roman" w:eastAsia="宋体" w:cs="Times New Roman"/>
          <w:b/>
          <w:color w:val="auto"/>
          <w:spacing w:val="20"/>
          <w:kern w:val="0"/>
          <w:sz w:val="32"/>
          <w:szCs w:val="32"/>
          <w:highlight w:val="none"/>
          <w:u w:val="single"/>
        </w:rPr>
      </w:pPr>
      <w:r>
        <w:rPr>
          <w:rFonts w:hint="eastAsia" w:ascii="Times New Roman" w:hAnsi="Times New Roman" w:eastAsia="宋体" w:cs="Times New Roman"/>
          <w:b/>
          <w:bCs w:val="0"/>
          <w:color w:val="auto"/>
          <w:spacing w:val="20"/>
          <w:kern w:val="0"/>
          <w:sz w:val="32"/>
          <w:szCs w:val="32"/>
          <w:highlight w:val="none"/>
          <w:u w:val="single"/>
          <w:lang w:val="en-US" w:eastAsia="zh-CN"/>
        </w:rPr>
        <w:t>安全隐患排查及维修</w:t>
      </w:r>
      <w:r>
        <w:rPr>
          <w:rFonts w:hint="eastAsia" w:ascii="Times New Roman" w:hAnsi="Times New Roman" w:eastAsia="宋体" w:cs="Times New Roman"/>
          <w:b/>
          <w:color w:val="auto"/>
          <w:spacing w:val="20"/>
          <w:kern w:val="0"/>
          <w:sz w:val="32"/>
          <w:szCs w:val="32"/>
          <w:highlight w:val="none"/>
          <w:u w:val="single"/>
          <w:lang w:val="en-US" w:eastAsia="zh-CN"/>
        </w:rPr>
        <w:t>项目</w:t>
      </w:r>
    </w:p>
    <w:p>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highlight w:val="none"/>
          <w:u w:val="single"/>
        </w:rPr>
      </w:pPr>
      <w:r>
        <w:rPr>
          <w:rFonts w:ascii="Times New Roman" w:hAnsi="Times New Roman" w:cs="Times New Roman"/>
          <w:b/>
          <w:color w:val="auto"/>
          <w:spacing w:val="20"/>
          <w:kern w:val="0"/>
          <w:sz w:val="32"/>
          <w:szCs w:val="32"/>
          <w:highlight w:val="none"/>
        </w:rPr>
        <w:t>项目编号：</w:t>
      </w:r>
      <w:r>
        <w:rPr>
          <w:rFonts w:hint="eastAsia" w:ascii="Times New Roman" w:hAnsi="Times New Roman" w:cs="Times New Roman"/>
          <w:b/>
          <w:color w:val="auto"/>
          <w:spacing w:val="20"/>
          <w:kern w:val="0"/>
          <w:sz w:val="32"/>
          <w:szCs w:val="32"/>
          <w:highlight w:val="none"/>
          <w:u w:val="single"/>
        </w:rPr>
        <w:t xml:space="preserve"> </w:t>
      </w:r>
      <w:r>
        <w:rPr>
          <w:rFonts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val="en-US" w:eastAsia="zh-CN"/>
        </w:rPr>
        <w:t>BHSG-ZTB-2024-09</w:t>
      </w:r>
      <w:r>
        <w:rPr>
          <w:rFonts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val="en-US" w:eastAsia="zh-CN"/>
        </w:rPr>
        <w:t xml:space="preserve">                    </w:t>
      </w:r>
      <w:r>
        <w:rPr>
          <w:rFonts w:ascii="Times New Roman" w:hAnsi="Times New Roman" w:cs="Times New Roman"/>
          <w:b/>
          <w:color w:val="auto"/>
          <w:spacing w:val="20"/>
          <w:kern w:val="0"/>
          <w:sz w:val="32"/>
          <w:szCs w:val="32"/>
          <w:highlight w:val="none"/>
          <w:u w:val="single"/>
        </w:rPr>
        <w:t xml:space="preserve">  </w:t>
      </w:r>
    </w:p>
    <w:p>
      <w:pPr>
        <w:tabs>
          <w:tab w:val="left" w:pos="2410"/>
        </w:tabs>
        <w:autoSpaceDE w:val="0"/>
        <w:autoSpaceDN w:val="0"/>
        <w:adjustRightInd w:val="0"/>
        <w:snapToGrid w:val="0"/>
        <w:spacing w:line="360" w:lineRule="auto"/>
        <w:ind w:left="6057" w:leftChars="304" w:hanging="5419" w:hangingChars="1500"/>
        <w:rPr>
          <w:rFonts w:hint="default" w:ascii="Times New Roman" w:hAnsi="Times New Roman" w:eastAsia="宋体" w:cs="Times New Roman"/>
          <w:b/>
          <w:color w:val="auto"/>
          <w:spacing w:val="20"/>
          <w:kern w:val="0"/>
          <w:sz w:val="32"/>
          <w:szCs w:val="32"/>
          <w:highlight w:val="none"/>
          <w:u w:val="single"/>
          <w:lang w:val="en-US" w:eastAsia="zh-CN"/>
        </w:rPr>
      </w:pPr>
      <w:r>
        <w:rPr>
          <w:rFonts w:ascii="Times New Roman" w:hAnsi="Times New Roman" w:cs="Times New Roman"/>
          <w:b/>
          <w:color w:val="auto"/>
          <w:spacing w:val="20"/>
          <w:kern w:val="0"/>
          <w:sz w:val="32"/>
          <w:szCs w:val="32"/>
          <w:highlight w:val="none"/>
        </w:rPr>
        <w:t>招标人：</w:t>
      </w:r>
      <w:r>
        <w:rPr>
          <w:rFonts w:hint="eastAsia" w:ascii="Times New Roman" w:hAnsi="Times New Roman" w:cs="Times New Roman"/>
          <w:b/>
          <w:color w:val="auto"/>
          <w:spacing w:val="20"/>
          <w:kern w:val="0"/>
          <w:sz w:val="32"/>
          <w:szCs w:val="32"/>
          <w:highlight w:val="none"/>
          <w:u w:val="single"/>
          <w:lang w:val="en-US" w:eastAsia="zh-CN"/>
        </w:rPr>
        <w:t>合肥滨湖时光空间运营管理有限公司</w:t>
      </w:r>
    </w:p>
    <w:p>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highlight w:val="none"/>
          <w:u w:val="single"/>
        </w:rPr>
      </w:pPr>
    </w:p>
    <w:p>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highlight w:val="none"/>
          <w:u w:val="single"/>
        </w:rPr>
      </w:pPr>
    </w:p>
    <w:p>
      <w:pPr>
        <w:tabs>
          <w:tab w:val="left" w:pos="315"/>
          <w:tab w:val="left" w:pos="8820"/>
        </w:tabs>
        <w:spacing w:before="312" w:beforeLines="100" w:after="156" w:afterLines="50" w:line="500" w:lineRule="exact"/>
        <w:ind w:right="267" w:rightChars="127"/>
        <w:jc w:val="center"/>
        <w:rPr>
          <w:rFonts w:ascii="Times New Roman" w:hAnsi="Times New Roman" w:cs="Times New Roman"/>
          <w:b/>
          <w:color w:val="auto"/>
          <w:sz w:val="36"/>
          <w:highlight w:val="none"/>
        </w:rPr>
      </w:pPr>
      <w:r>
        <w:rPr>
          <w:rFonts w:hint="eastAsia" w:ascii="Times New Roman" w:hAnsi="Times New Roman" w:cs="Times New Roman"/>
          <w:b/>
          <w:color w:val="auto"/>
          <w:sz w:val="36"/>
          <w:highlight w:val="none"/>
          <w:u w:val="single"/>
        </w:rPr>
        <w:t xml:space="preserve"> </w:t>
      </w:r>
      <w:r>
        <w:rPr>
          <w:rFonts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4</w:t>
      </w:r>
      <w:r>
        <w:rPr>
          <w:rFonts w:ascii="Times New Roman" w:hAnsi="Times New Roman" w:cs="Times New Roman"/>
          <w:b/>
          <w:color w:val="auto"/>
          <w:sz w:val="36"/>
          <w:highlight w:val="none"/>
        </w:rPr>
        <w:t>年</w:t>
      </w:r>
      <w:r>
        <w:rPr>
          <w:rFonts w:hint="eastAsia"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11</w:t>
      </w:r>
      <w:r>
        <w:rPr>
          <w:rFonts w:hint="eastAsia" w:ascii="Times New Roman" w:hAnsi="Times New Roman" w:cs="Times New Roman"/>
          <w:b/>
          <w:color w:val="auto"/>
          <w:sz w:val="36"/>
          <w:highlight w:val="none"/>
          <w:u w:val="single"/>
        </w:rPr>
        <w:t xml:space="preserve"> </w:t>
      </w:r>
      <w:r>
        <w:rPr>
          <w:rFonts w:ascii="Times New Roman" w:hAnsi="Times New Roman" w:cs="Times New Roman"/>
          <w:b/>
          <w:color w:val="auto"/>
          <w:sz w:val="36"/>
          <w:highlight w:val="none"/>
        </w:rPr>
        <w:t>月</w:t>
      </w:r>
    </w:p>
    <w:bookmarkEnd w:id="0"/>
    <w:p>
      <w:pPr>
        <w:tabs>
          <w:tab w:val="left" w:pos="315"/>
          <w:tab w:val="left" w:pos="8820"/>
        </w:tabs>
        <w:spacing w:before="312" w:beforeLines="100" w:after="156" w:afterLines="50" w:line="500" w:lineRule="exact"/>
        <w:ind w:right="267" w:rightChars="127"/>
        <w:rPr>
          <w:rFonts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pPr>
        <w:tabs>
          <w:tab w:val="left" w:pos="2410"/>
        </w:tabs>
        <w:autoSpaceDE w:val="0"/>
        <w:autoSpaceDN w:val="0"/>
        <w:adjustRightInd w:val="0"/>
        <w:snapToGrid w:val="0"/>
        <w:spacing w:line="360" w:lineRule="auto"/>
        <w:jc w:val="center"/>
        <w:rPr>
          <w:rFonts w:ascii="Times New Roman" w:hAnsi="Times New Roman" w:cs="Times New Roman"/>
          <w:b/>
          <w:color w:val="auto"/>
          <w:sz w:val="28"/>
          <w:highlight w:val="none"/>
        </w:rPr>
      </w:pPr>
      <w:r>
        <w:rPr>
          <w:rFonts w:ascii="Times New Roman" w:hAnsi="Times New Roman" w:cs="Times New Roman"/>
          <w:b/>
          <w:color w:val="auto"/>
          <w:sz w:val="28"/>
          <w:highlight w:val="none"/>
        </w:rPr>
        <w:t>目  录</w:t>
      </w:r>
    </w:p>
    <w:p>
      <w:pPr>
        <w:pStyle w:val="13"/>
        <w:tabs>
          <w:tab w:val="right" w:leader="dot" w:pos="9072"/>
        </w:tabs>
        <w:rPr>
          <w:rFonts w:ascii="Times New Roman" w:hAnsi="Times New Roman" w:cs="Times New Roman"/>
          <w:color w:val="auto"/>
          <w:highlight w:val="none"/>
        </w:rPr>
      </w:pPr>
      <w:r>
        <w:rPr>
          <w:rFonts w:ascii="Times New Roman" w:hAnsi="Times New Roman" w:cs="Times New Roman"/>
          <w:b/>
          <w:color w:val="auto"/>
          <w:sz w:val="24"/>
          <w:szCs w:val="24"/>
          <w:highlight w:val="none"/>
        </w:rPr>
        <w:fldChar w:fldCharType="begin"/>
      </w:r>
      <w:r>
        <w:rPr>
          <w:rFonts w:ascii="Times New Roman" w:hAnsi="Times New Roman" w:cs="Times New Roman"/>
          <w:b/>
          <w:color w:val="auto"/>
          <w:sz w:val="24"/>
          <w:szCs w:val="24"/>
          <w:highlight w:val="none"/>
        </w:rPr>
        <w:instrText xml:space="preserve"> TOC \o "1-2" \h \z \u </w:instrText>
      </w:r>
      <w:r>
        <w:rPr>
          <w:rFonts w:ascii="Times New Roman" w:hAnsi="Times New Roman" w:cs="Times New Roman"/>
          <w:b/>
          <w:color w:val="auto"/>
          <w:sz w:val="24"/>
          <w:szCs w:val="24"/>
          <w:highlight w:val="none"/>
        </w:rPr>
        <w:fldChar w:fldCharType="separate"/>
      </w:r>
      <w:r>
        <w:rPr>
          <w:color w:val="auto"/>
          <w:highlight w:val="none"/>
        </w:rPr>
        <w:fldChar w:fldCharType="begin"/>
      </w:r>
      <w:r>
        <w:rPr>
          <w:color w:val="auto"/>
          <w:highlight w:val="none"/>
        </w:rPr>
        <w:instrText xml:space="preserve"> HYPERLINK \l "_Toc13708" </w:instrText>
      </w:r>
      <w:r>
        <w:rPr>
          <w:color w:val="auto"/>
          <w:highlight w:val="none"/>
        </w:rPr>
        <w:fldChar w:fldCharType="separate"/>
      </w:r>
      <w:r>
        <w:rPr>
          <w:rFonts w:ascii="Times New Roman" w:hAnsi="Times New Roman" w:cs="Times New Roman"/>
          <w:color w:val="auto"/>
          <w:highlight w:val="none"/>
        </w:rPr>
        <w:t>第一章  投标邀请（招标公告）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end"/>
      </w:r>
    </w:p>
    <w:p>
      <w:pPr>
        <w:pStyle w:val="13"/>
        <w:tabs>
          <w:tab w:val="right" w:leader="dot" w:pos="9072"/>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"_Toc19060" </w:instrText>
      </w:r>
      <w:r>
        <w:rPr>
          <w:color w:val="auto"/>
          <w:highlight w:val="none"/>
        </w:rPr>
        <w:fldChar w:fldCharType="separate"/>
      </w:r>
      <w:r>
        <w:rPr>
          <w:rFonts w:ascii="Times New Roman" w:hAnsi="Times New Roman" w:cs="Times New Roman"/>
          <w:color w:val="auto"/>
          <w:highlight w:val="none"/>
        </w:rPr>
        <w:t>第二章  投标人须知</w:t>
      </w:r>
      <w:r>
        <w:rPr>
          <w:rFonts w:ascii="Times New Roman" w:hAnsi="Times New Roman" w:cs="Times New Roman"/>
          <w:color w:val="auto"/>
          <w:highlight w:val="none"/>
        </w:rPr>
        <w:tab/>
      </w:r>
      <w:r>
        <w:rPr>
          <w:rFonts w:ascii="Times New Roman" w:hAnsi="Times New Roman" w:cs="Times New Roman"/>
          <w:color w:val="auto"/>
          <w:highlight w:val="none"/>
        </w:rPr>
        <w:fldChar w:fldCharType="end"/>
      </w:r>
    </w:p>
    <w:p>
      <w:pPr>
        <w:pStyle w:val="13"/>
        <w:tabs>
          <w:tab w:val="right" w:leader="dot" w:pos="9072"/>
        </w:tabs>
        <w:rPr>
          <w:rFonts w:ascii="Times New Roman" w:hAnsi="Times New Roman" w:cs="Times New Roman"/>
          <w:color w:val="auto"/>
          <w:szCs w:val="24"/>
          <w:highlight w:val="none"/>
        </w:rPr>
      </w:pPr>
      <w:r>
        <w:rPr>
          <w:color w:val="auto"/>
          <w:highlight w:val="none"/>
        </w:rPr>
        <w:fldChar w:fldCharType="begin"/>
      </w:r>
      <w:r>
        <w:rPr>
          <w:color w:val="auto"/>
          <w:highlight w:val="none"/>
        </w:rPr>
        <w:instrText xml:space="preserve"> HYPERLINK \l "_Toc27373" </w:instrText>
      </w:r>
      <w:r>
        <w:rPr>
          <w:color w:val="auto"/>
          <w:highlight w:val="none"/>
        </w:rPr>
        <w:fldChar w:fldCharType="separate"/>
      </w:r>
      <w:r>
        <w:rPr>
          <w:rFonts w:ascii="Times New Roman" w:hAnsi="Times New Roman" w:cs="Times New Roman"/>
          <w:color w:val="auto"/>
          <w:highlight w:val="none"/>
        </w:rPr>
        <w:t>第</w:t>
      </w:r>
      <w:r>
        <w:rPr>
          <w:rFonts w:hint="eastAsia" w:ascii="Times New Roman" w:hAnsi="Times New Roman" w:cs="Times New Roman"/>
          <w:color w:val="auto"/>
          <w:highlight w:val="none"/>
        </w:rPr>
        <w:t>三</w:t>
      </w:r>
      <w:r>
        <w:rPr>
          <w:rFonts w:ascii="Times New Roman" w:hAnsi="Times New Roman" w:cs="Times New Roman"/>
          <w:color w:val="auto"/>
          <w:highlight w:val="none"/>
        </w:rPr>
        <w:t xml:space="preserve">章  </w:t>
      </w:r>
      <w:r>
        <w:rPr>
          <w:rFonts w:hint="eastAsia" w:ascii="Times New Roman" w:hAnsi="Times New Roman" w:cs="Times New Roman"/>
          <w:color w:val="auto"/>
          <w:highlight w:val="none"/>
        </w:rPr>
        <w:t>招标</w:t>
      </w:r>
      <w:r>
        <w:rPr>
          <w:rFonts w:ascii="Times New Roman" w:hAnsi="Times New Roman" w:cs="Times New Roman"/>
          <w:color w:val="auto"/>
          <w:highlight w:val="none"/>
        </w:rPr>
        <w:t>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end"/>
      </w:r>
    </w:p>
    <w:p>
      <w:pPr>
        <w:pStyle w:val="13"/>
        <w:tabs>
          <w:tab w:val="right" w:leader="dot" w:pos="9072"/>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"_Toc15352" </w:instrText>
      </w:r>
      <w:r>
        <w:rPr>
          <w:color w:val="auto"/>
          <w:highlight w:val="none"/>
        </w:rPr>
        <w:fldChar w:fldCharType="separate"/>
      </w:r>
      <w:r>
        <w:rPr>
          <w:rFonts w:ascii="Times New Roman" w:hAnsi="Times New Roman" w:eastAsia="宋体" w:cs="Times New Roman"/>
          <w:color w:val="auto"/>
          <w:highlight w:val="none"/>
        </w:rPr>
        <w:t>第</w:t>
      </w:r>
      <w:r>
        <w:rPr>
          <w:rFonts w:hint="eastAsia" w:ascii="Times New Roman" w:hAnsi="Times New Roman" w:eastAsia="宋体" w:cs="Times New Roman"/>
          <w:color w:val="auto"/>
          <w:highlight w:val="none"/>
        </w:rPr>
        <w:t>四</w:t>
      </w:r>
      <w:r>
        <w:rPr>
          <w:rFonts w:ascii="Times New Roman" w:hAnsi="Times New Roman" w:eastAsia="宋体" w:cs="Times New Roman"/>
          <w:color w:val="auto"/>
          <w:highlight w:val="none"/>
        </w:rPr>
        <w:t>章  评标办法</w:t>
      </w:r>
      <w:r>
        <w:rPr>
          <w:rFonts w:ascii="Times New Roman" w:hAnsi="Times New Roman" w:cs="Times New Roman"/>
          <w:color w:val="auto"/>
          <w:highlight w:val="none"/>
        </w:rPr>
        <w:tab/>
      </w:r>
      <w:r>
        <w:rPr>
          <w:rFonts w:ascii="Times New Roman" w:hAnsi="Times New Roman" w:cs="Times New Roman"/>
          <w:color w:val="auto"/>
          <w:highlight w:val="none"/>
        </w:rPr>
        <w:fldChar w:fldCharType="end"/>
      </w:r>
    </w:p>
    <w:p>
      <w:pPr>
        <w:pStyle w:val="13"/>
        <w:tabs>
          <w:tab w:val="right" w:leader="dot" w:pos="9072"/>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"_Toc17261" </w:instrText>
      </w:r>
      <w:r>
        <w:rPr>
          <w:color w:val="auto"/>
          <w:highlight w:val="none"/>
        </w:rPr>
        <w:fldChar w:fldCharType="separate"/>
      </w:r>
      <w:r>
        <w:rPr>
          <w:rFonts w:ascii="Times New Roman" w:hAnsi="Times New Roman" w:eastAsia="宋体" w:cs="Times New Roman"/>
          <w:color w:val="auto"/>
          <w:highlight w:val="none"/>
        </w:rPr>
        <w:t>第</w:t>
      </w: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章  合同条款及格式</w:t>
      </w:r>
      <w:r>
        <w:rPr>
          <w:rFonts w:ascii="Times New Roman" w:hAnsi="Times New Roman" w:cs="Times New Roman"/>
          <w:color w:val="auto"/>
          <w:highlight w:val="none"/>
        </w:rPr>
        <w:tab/>
      </w:r>
      <w:r>
        <w:rPr>
          <w:rFonts w:ascii="Times New Roman" w:hAnsi="Times New Roman" w:cs="Times New Roman"/>
          <w:color w:val="auto"/>
          <w:highlight w:val="none"/>
        </w:rPr>
        <w:fldChar w:fldCharType="end"/>
      </w:r>
    </w:p>
    <w:p>
      <w:pPr>
        <w:pStyle w:val="13"/>
        <w:tabs>
          <w:tab w:val="right" w:leader="dot" w:pos="9072"/>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"_Toc29760" </w:instrText>
      </w:r>
      <w:r>
        <w:rPr>
          <w:color w:val="auto"/>
          <w:highlight w:val="none"/>
        </w:rPr>
        <w:fldChar w:fldCharType="separate"/>
      </w:r>
      <w:r>
        <w:rPr>
          <w:rFonts w:ascii="Times New Roman" w:hAnsi="Times New Roman" w:cs="Times New Roman"/>
          <w:color w:val="auto"/>
          <w:highlight w:val="none"/>
        </w:rPr>
        <w:t>第六章  投标文件格式</w:t>
      </w:r>
      <w:r>
        <w:rPr>
          <w:rFonts w:ascii="Times New Roman" w:hAnsi="Times New Roman" w:cs="Times New Roman"/>
          <w:color w:val="auto"/>
          <w:highlight w:val="none"/>
        </w:rPr>
        <w:tab/>
      </w:r>
      <w:r>
        <w:rPr>
          <w:rFonts w:ascii="Times New Roman" w:hAnsi="Times New Roman" w:cs="Times New Roman"/>
          <w:color w:val="auto"/>
          <w:highlight w:val="none"/>
        </w:rPr>
        <w:fldChar w:fldCharType="end"/>
      </w:r>
    </w:p>
    <w:p>
      <w:pPr>
        <w:pStyle w:val="13"/>
        <w:tabs>
          <w:tab w:val="right" w:leader="dot" w:pos="9072"/>
        </w:tabs>
        <w:rPr>
          <w:rFonts w:ascii="Times New Roman" w:hAnsi="Times New Roman" w:cs="Times New Roman"/>
          <w:color w:val="auto"/>
          <w:highlight w:val="none"/>
        </w:rPr>
      </w:pPr>
      <w:r>
        <w:rPr>
          <w:rFonts w:ascii="Times New Roman" w:hAnsi="Times New Roman" w:cs="Times New Roman"/>
          <w:color w:val="auto"/>
          <w:szCs w:val="24"/>
          <w:highlight w:val="none"/>
        </w:rPr>
        <w:fldChar w:fldCharType="end"/>
      </w:r>
    </w:p>
    <w:p>
      <w:pPr>
        <w:rPr>
          <w:rFonts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pPr>
        <w:spacing w:line="360" w:lineRule="auto"/>
        <w:jc w:val="center"/>
        <w:outlineLvl w:val="1"/>
        <w:rPr>
          <w:rFonts w:ascii="Times New Roman" w:hAnsi="Times New Roman" w:cs="Times New Roman"/>
          <w:b/>
          <w:color w:val="auto"/>
          <w:sz w:val="28"/>
          <w:highlight w:val="none"/>
        </w:rPr>
      </w:pPr>
      <w:bookmarkStart w:id="1" w:name="_Toc13708"/>
      <w:r>
        <w:rPr>
          <w:rFonts w:ascii="Times New Roman" w:hAnsi="Times New Roman" w:cs="Times New Roman"/>
          <w:b/>
          <w:color w:val="auto"/>
          <w:sz w:val="28"/>
          <w:highlight w:val="none"/>
        </w:rPr>
        <w:t>第一章  投标邀请（招标公告）</w:t>
      </w:r>
      <w:bookmarkEnd w:id="1"/>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color w:val="auto"/>
          <w:spacing w:val="20"/>
          <w:sz w:val="24"/>
          <w:szCs w:val="24"/>
          <w:highlight w:val="none"/>
        </w:rPr>
      </w:pPr>
      <w:bookmarkStart w:id="2" w:name="_Toc35393622"/>
      <w:bookmarkStart w:id="3" w:name="_Toc35393791"/>
      <w:bookmarkStart w:id="4" w:name="_Toc28359003"/>
      <w:bookmarkStart w:id="5" w:name="_Toc28359080"/>
      <w:r>
        <w:rPr>
          <w:rFonts w:hint="eastAsia" w:ascii="Times New Roman" w:hAnsi="Times New Roman" w:cs="Times New Roman"/>
          <w:color w:val="auto"/>
          <w:spacing w:val="20"/>
          <w:sz w:val="24"/>
          <w:szCs w:val="24"/>
          <w:highlight w:val="none"/>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color w:val="auto"/>
          <w:sz w:val="24"/>
          <w:szCs w:val="24"/>
          <w:highlight w:val="none"/>
        </w:rPr>
      </w:pPr>
      <w:r>
        <w:rPr>
          <w:rFonts w:hint="eastAsia" w:ascii="Times New Roman" w:hAnsi="Times New Roman" w:eastAsia="宋体" w:cs="Times New Roman"/>
          <w:color w:val="auto"/>
          <w:spacing w:val="20"/>
          <w:sz w:val="24"/>
          <w:szCs w:val="24"/>
          <w:highlight w:val="none"/>
          <w:u w:val="single"/>
          <w:lang w:val="en-US" w:eastAsia="zh-CN"/>
        </w:rPr>
        <w:t>合肥合肥滨湖时光时光空间运营管理有限公司</w:t>
      </w:r>
      <w:bookmarkStart w:id="6" w:name="OLE_LINK1"/>
      <w:r>
        <w:rPr>
          <w:rFonts w:hint="eastAsia" w:ascii="Times New Roman" w:hAnsi="Times New Roman" w:eastAsia="宋体" w:cs="Times New Roman"/>
          <w:color w:val="auto"/>
          <w:spacing w:val="20"/>
          <w:sz w:val="24"/>
          <w:szCs w:val="24"/>
          <w:highlight w:val="none"/>
          <w:u w:val="single"/>
          <w:lang w:val="en-US" w:eastAsia="zh-CN"/>
        </w:rPr>
        <w:t>安全隐患排查及维修项目</w:t>
      </w:r>
      <w:bookmarkEnd w:id="6"/>
      <w:r>
        <w:rPr>
          <w:rFonts w:ascii="Times New Roman" w:hAnsi="Times New Roman" w:cs="Times New Roman"/>
          <w:color w:val="auto"/>
          <w:spacing w:val="20"/>
          <w:sz w:val="24"/>
          <w:szCs w:val="24"/>
          <w:highlight w:val="none"/>
        </w:rPr>
        <w:t>的潜在投标人应在</w:t>
      </w:r>
      <w:r>
        <w:rPr>
          <w:rFonts w:hint="eastAsia" w:ascii="Times New Roman" w:hAnsi="Times New Roman" w:cs="Times New Roman"/>
          <w:color w:val="auto"/>
          <w:spacing w:val="20"/>
          <w:sz w:val="24"/>
          <w:szCs w:val="24"/>
          <w:highlight w:val="none"/>
          <w:u w:val="single"/>
          <w:lang w:eastAsia="zh-CN"/>
        </w:rPr>
        <w:t>合肥滨湖时光产业投资集团有限公司</w:t>
      </w:r>
      <w:r>
        <w:rPr>
          <w:rFonts w:ascii="Times New Roman" w:hAnsi="Times New Roman" w:cs="Times New Roman"/>
          <w:color w:val="auto"/>
          <w:spacing w:val="20"/>
          <w:kern w:val="10"/>
          <w:sz w:val="24"/>
          <w:szCs w:val="24"/>
          <w:highlight w:val="none"/>
          <w:u w:val="single"/>
        </w:rPr>
        <w:t>官方网站</w:t>
      </w:r>
      <w:r>
        <w:rPr>
          <w:rFonts w:hint="eastAsia" w:ascii="Times New Roman" w:hAnsi="Times New Roman" w:cs="Times New Roman"/>
          <w:color w:val="auto"/>
          <w:spacing w:val="20"/>
          <w:sz w:val="24"/>
          <w:szCs w:val="24"/>
          <w:highlight w:val="none"/>
          <w:u w:val="single"/>
          <w:lang w:eastAsia="zh-CN"/>
        </w:rPr>
        <w:t>http://bhsggroup.cn/</w:t>
      </w:r>
      <w:r>
        <w:rPr>
          <w:rFonts w:ascii="Times New Roman" w:hAnsi="Times New Roman" w:cs="Times New Roman"/>
          <w:color w:val="auto"/>
          <w:sz w:val="24"/>
          <w:szCs w:val="24"/>
          <w:highlight w:val="none"/>
        </w:rPr>
        <w:t>获取招标文件，并于</w:t>
      </w:r>
      <w:r>
        <w:rPr>
          <w:rFonts w:hint="eastAsia"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4</w:t>
      </w:r>
      <w:r>
        <w:rPr>
          <w:rFonts w:hint="eastAsia" w:ascii="Times New Roman" w:hAnsi="Times New Roman" w:cs="Times New Roman"/>
          <w:color w:val="auto"/>
          <w:sz w:val="24"/>
          <w:szCs w:val="24"/>
          <w:highlight w:val="none"/>
          <w:u w:val="single"/>
        </w:rPr>
        <w:t>年</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11</w:t>
      </w:r>
      <w:r>
        <w:rPr>
          <w:rFonts w:hint="eastAsia" w:ascii="Times New Roman" w:hAnsi="Times New Roman" w:cs="Times New Roman"/>
          <w:color w:val="auto"/>
          <w:sz w:val="24"/>
          <w:szCs w:val="24"/>
          <w:highlight w:val="none"/>
          <w:u w:val="single"/>
        </w:rPr>
        <w:t>月</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28</w:t>
      </w:r>
      <w:r>
        <w:rPr>
          <w:rFonts w:hint="eastAsia" w:ascii="Times New Roman" w:hAnsi="Times New Roman" w:cs="Times New Roman"/>
          <w:color w:val="auto"/>
          <w:sz w:val="24"/>
          <w:szCs w:val="24"/>
          <w:highlight w:val="none"/>
          <w:u w:val="single"/>
        </w:rPr>
        <w:t>日</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rPr>
        <w:t>9:30</w:t>
      </w:r>
      <w:r>
        <w:rPr>
          <w:rFonts w:ascii="Times New Roman" w:hAnsi="Times New Roman" w:cs="Times New Roman"/>
          <w:color w:val="auto"/>
          <w:sz w:val="24"/>
          <w:szCs w:val="24"/>
          <w:highlight w:val="none"/>
          <w:u w:val="single"/>
        </w:rPr>
        <w:t xml:space="preserve">   </w:t>
      </w:r>
      <w:r>
        <w:rPr>
          <w:rFonts w:ascii="Times New Roman" w:hAnsi="Times New Roman" w:cs="Times New Roman"/>
          <w:bCs/>
          <w:color w:val="auto"/>
          <w:sz w:val="24"/>
          <w:szCs w:val="24"/>
          <w:highlight w:val="none"/>
        </w:rPr>
        <w:t>（北京时间）前递交投标文件</w:t>
      </w:r>
      <w:r>
        <w:rPr>
          <w:rFonts w:ascii="Times New Roman" w:hAnsi="Times New Roman" w:cs="Times New Roman"/>
          <w:color w:val="auto"/>
          <w:sz w:val="24"/>
          <w:szCs w:val="24"/>
          <w:highlight w:val="none"/>
        </w:rPr>
        <w:t>。</w:t>
      </w:r>
    </w:p>
    <w:p>
      <w:pPr>
        <w:snapToGrid w:val="0"/>
        <w:spacing w:line="360" w:lineRule="auto"/>
        <w:rPr>
          <w:rFonts w:ascii="Times New Roman" w:hAnsi="Times New Roman" w:cs="Times New Roman"/>
          <w:color w:val="auto"/>
          <w:sz w:val="24"/>
          <w:szCs w:val="24"/>
          <w:highlight w:val="none"/>
        </w:rPr>
      </w:pPr>
    </w:p>
    <w:p>
      <w:pPr>
        <w:snapToGrid w:val="0"/>
        <w:spacing w:line="360" w:lineRule="auto"/>
        <w:ind w:firstLine="482" w:firstLineChars="200"/>
        <w:rPr>
          <w:rFonts w:ascii="Times New Roman" w:hAnsi="Times New Roman" w:cs="Times New Roman"/>
          <w:b/>
          <w:bCs/>
          <w:color w:val="auto"/>
          <w:sz w:val="24"/>
          <w:szCs w:val="24"/>
          <w:highlight w:val="none"/>
        </w:rPr>
      </w:pPr>
      <w:bookmarkStart w:id="7" w:name="_Toc35393621"/>
      <w:bookmarkStart w:id="8" w:name="_Toc28359079"/>
      <w:bookmarkStart w:id="9" w:name="_Toc35393790"/>
      <w:bookmarkStart w:id="10" w:name="_Toc28359002"/>
      <w:bookmarkStart w:id="11" w:name="_Hlk24379207"/>
      <w:r>
        <w:rPr>
          <w:rFonts w:ascii="Times New Roman" w:hAnsi="Times New Roman" w:cs="Times New Roman"/>
          <w:b/>
          <w:bCs/>
          <w:color w:val="auto"/>
          <w:sz w:val="24"/>
          <w:szCs w:val="24"/>
          <w:highlight w:val="none"/>
        </w:rPr>
        <w:t>一、</w:t>
      </w:r>
      <w:bookmarkEnd w:id="7"/>
      <w:bookmarkEnd w:id="8"/>
      <w:bookmarkEnd w:id="9"/>
      <w:bookmarkEnd w:id="10"/>
      <w:r>
        <w:rPr>
          <w:rFonts w:ascii="Times New Roman" w:hAnsi="Times New Roman" w:cs="Times New Roman"/>
          <w:b/>
          <w:bCs/>
          <w:color w:val="auto"/>
          <w:sz w:val="24"/>
          <w:szCs w:val="18"/>
          <w:highlight w:val="none"/>
        </w:rPr>
        <w:t>项目名称及内容</w:t>
      </w:r>
    </w:p>
    <w:p>
      <w:pPr>
        <w:tabs>
          <w:tab w:val="left" w:pos="2410"/>
        </w:tabs>
        <w:autoSpaceDE w:val="0"/>
        <w:autoSpaceDN w:val="0"/>
        <w:adjustRightInd w:val="0"/>
        <w:snapToGrid w:val="0"/>
        <w:spacing w:line="360" w:lineRule="auto"/>
        <w:ind w:firstLine="480" w:firstLineChars="200"/>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rPr>
        <w:t>BHSG-ZTB-2024-09</w:t>
      </w:r>
      <w:r>
        <w:rPr>
          <w:rFonts w:ascii="Times New Roman" w:hAnsi="Times New Roman" w:cs="Times New Roman"/>
          <w:color w:val="auto"/>
          <w:sz w:val="24"/>
          <w:szCs w:val="24"/>
          <w:highlight w:val="none"/>
          <w:u w:val="single"/>
        </w:rPr>
        <w:t xml:space="preserve">  </w:t>
      </w:r>
    </w:p>
    <w:p>
      <w:pPr>
        <w:snapToGrid w:val="0"/>
        <w:spacing w:line="360" w:lineRule="auto"/>
        <w:ind w:firstLine="480" w:firstLineChars="200"/>
        <w:rPr>
          <w:rFonts w:hint="eastAsia" w:ascii="Times New Roman" w:hAnsi="Times New Roman" w:eastAsia="宋体" w:cs="Times New Roman"/>
          <w:color w:val="auto"/>
          <w:spacing w:val="20"/>
          <w:sz w:val="24"/>
          <w:szCs w:val="24"/>
          <w:highlight w:val="none"/>
          <w:u w:val="single"/>
          <w:lang w:val="en-US" w:eastAsia="zh-CN"/>
        </w:rPr>
      </w:pPr>
      <w:r>
        <w:rPr>
          <w:rFonts w:ascii="Times New Roman" w:hAnsi="Times New Roman" w:cs="Times New Roman"/>
          <w:color w:val="auto"/>
          <w:sz w:val="24"/>
          <w:szCs w:val="24"/>
          <w:highlight w:val="none"/>
        </w:rPr>
        <w:t>2.项目名称：</w:t>
      </w:r>
      <w:bookmarkEnd w:id="11"/>
      <w:r>
        <w:rPr>
          <w:rFonts w:hint="eastAsia" w:ascii="Times New Roman" w:hAnsi="Times New Roman" w:eastAsia="宋体" w:cs="Times New Roman"/>
          <w:color w:val="auto"/>
          <w:spacing w:val="20"/>
          <w:sz w:val="24"/>
          <w:szCs w:val="24"/>
          <w:highlight w:val="none"/>
          <w:u w:val="single"/>
          <w:lang w:val="en-US" w:eastAsia="zh-CN"/>
        </w:rPr>
        <w:t>合肥合肥滨湖时光时光空间运营管理有限公司安全隐患排查及维修项目</w:t>
      </w:r>
    </w:p>
    <w:p>
      <w:pPr>
        <w:snapToGrid w:val="0"/>
        <w:spacing w:line="360" w:lineRule="auto"/>
        <w:ind w:firstLine="480" w:firstLineChars="200"/>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3.项目地点：</w:t>
      </w:r>
      <w:r>
        <w:rPr>
          <w:rFonts w:ascii="Times New Roman" w:hAnsi="Times New Roman" w:cs="Times New Roman"/>
          <w:color w:val="auto"/>
          <w:sz w:val="24"/>
          <w:szCs w:val="24"/>
          <w:highlight w:val="none"/>
          <w:u w:val="single"/>
        </w:rPr>
        <w:t>合肥市包河区</w:t>
      </w:r>
    </w:p>
    <w:p>
      <w:pPr>
        <w:snapToGrid w:val="0"/>
        <w:spacing w:line="360" w:lineRule="auto"/>
        <w:ind w:left="479" w:leftChars="228"/>
        <w:rPr>
          <w:rFonts w:hint="eastAsia" w:ascii="Times New Roman" w:hAnsi="Times New Roman" w:cs="Times New Roman"/>
          <w:color w:val="auto"/>
          <w:spacing w:val="20"/>
          <w:sz w:val="24"/>
          <w:szCs w:val="24"/>
          <w:highlight w:val="none"/>
          <w:u w:val="single"/>
          <w:lang w:val="en-US" w:eastAsia="zh-CN"/>
        </w:rPr>
      </w:pPr>
      <w:r>
        <w:rPr>
          <w:rFonts w:hint="eastAsia" w:ascii="Times New Roman" w:hAnsi="Times New Roman" w:cs="Times New Roman"/>
          <w:color w:val="auto"/>
          <w:sz w:val="24"/>
          <w:szCs w:val="24"/>
          <w:highlight w:val="none"/>
        </w:rPr>
        <w:t>4.项目概况：</w:t>
      </w:r>
    </w:p>
    <w:p>
      <w:pPr>
        <w:spacing w:line="360" w:lineRule="auto"/>
        <w:ind w:firstLine="480" w:firstLineChars="200"/>
        <w:rPr>
          <w:rFonts w:hint="eastAsia" w:ascii="Times New Roman" w:hAnsi="Times New Roman" w:eastAsia="宋体" w:cs="楷体"/>
          <w:bCs/>
          <w:snapToGrid w:val="0"/>
          <w:color w:val="auto"/>
          <w:kern w:val="0"/>
          <w:sz w:val="24"/>
          <w:szCs w:val="24"/>
          <w:highlight w:val="none"/>
          <w:lang w:val="en-US" w:eastAsia="zh-CN"/>
        </w:rPr>
      </w:pPr>
      <w:r>
        <w:rPr>
          <w:rFonts w:hint="eastAsia" w:ascii="Times New Roman" w:hAnsi="Times New Roman" w:eastAsia="宋体" w:cs="楷体"/>
          <w:bCs/>
          <w:snapToGrid w:val="0"/>
          <w:color w:val="auto"/>
          <w:kern w:val="0"/>
          <w:sz w:val="24"/>
          <w:szCs w:val="24"/>
          <w:highlight w:val="none"/>
        </w:rPr>
        <w:t>主要</w:t>
      </w:r>
      <w:r>
        <w:rPr>
          <w:rFonts w:hint="eastAsia" w:ascii="Times New Roman" w:hAnsi="Times New Roman" w:eastAsia="宋体" w:cs="楷体"/>
          <w:bCs/>
          <w:snapToGrid w:val="0"/>
          <w:color w:val="auto"/>
          <w:kern w:val="0"/>
          <w:sz w:val="24"/>
          <w:szCs w:val="24"/>
          <w:highlight w:val="none"/>
          <w:lang w:val="en-US" w:eastAsia="zh-CN"/>
        </w:rPr>
        <w:t>服务内容</w:t>
      </w:r>
      <w:r>
        <w:rPr>
          <w:rFonts w:hint="eastAsia" w:ascii="Times New Roman" w:hAnsi="Times New Roman" w:eastAsia="宋体" w:cs="楷体"/>
          <w:bCs/>
          <w:snapToGrid w:val="0"/>
          <w:color w:val="auto"/>
          <w:kern w:val="0"/>
          <w:sz w:val="24"/>
          <w:szCs w:val="24"/>
          <w:highlight w:val="none"/>
        </w:rPr>
        <w:t>为</w:t>
      </w:r>
      <w:r>
        <w:rPr>
          <w:rFonts w:hint="eastAsia" w:ascii="Times New Roman" w:hAnsi="Times New Roman" w:eastAsia="宋体" w:cs="楷体"/>
          <w:bCs/>
          <w:snapToGrid w:val="0"/>
          <w:color w:val="auto"/>
          <w:kern w:val="0"/>
          <w:sz w:val="24"/>
          <w:szCs w:val="24"/>
          <w:highlight w:val="none"/>
          <w:lang w:val="en-US" w:eastAsia="zh-CN"/>
        </w:rPr>
        <w:t>合肥滨湖时光空间运营管理有限公司安全隐患排查及维修</w:t>
      </w:r>
      <w:r>
        <w:rPr>
          <w:rFonts w:hint="eastAsia" w:ascii="Times New Roman" w:hAnsi="Times New Roman" w:eastAsia="宋体" w:cs="楷体"/>
          <w:bCs/>
          <w:snapToGrid w:val="0"/>
          <w:color w:val="auto"/>
          <w:kern w:val="0"/>
          <w:sz w:val="24"/>
          <w:szCs w:val="24"/>
          <w:highlight w:val="none"/>
        </w:rPr>
        <w:t>，</w:t>
      </w:r>
      <w:r>
        <w:rPr>
          <w:rFonts w:hint="eastAsia" w:ascii="Times New Roman" w:hAnsi="Times New Roman" w:eastAsia="宋体" w:cs="楷体"/>
          <w:bCs/>
          <w:snapToGrid w:val="0"/>
          <w:color w:val="auto"/>
          <w:kern w:val="0"/>
          <w:sz w:val="24"/>
          <w:szCs w:val="24"/>
          <w:highlight w:val="none"/>
          <w:lang w:val="en-US" w:eastAsia="zh-CN"/>
        </w:rPr>
        <w:t>具体任务：</w:t>
      </w:r>
    </w:p>
    <w:p>
      <w:pPr>
        <w:spacing w:line="360" w:lineRule="auto"/>
        <w:ind w:firstLine="480" w:firstLineChars="20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Times New Roman" w:hAnsi="Times New Roman" w:eastAsia="宋体" w:cs="楷体"/>
          <w:bCs/>
          <w:snapToGrid w:val="0"/>
          <w:color w:val="auto"/>
          <w:kern w:val="0"/>
          <w:sz w:val="24"/>
          <w:szCs w:val="24"/>
          <w:highlight w:val="none"/>
          <w:lang w:val="en-US" w:eastAsia="zh-CN"/>
        </w:rPr>
        <w:t>（1）负责合肥滨湖时光空间运营管理有限公司运营的各场所的消防、用水用电、设施设备等</w:t>
      </w:r>
      <w:r>
        <w:rPr>
          <w:rFonts w:hint="eastAsia" w:ascii="宋体" w:hAnsi="宋体" w:eastAsia="宋体" w:cs="宋体"/>
          <w:b w:val="0"/>
          <w:bCs w:val="0"/>
          <w:i w:val="0"/>
          <w:iCs w:val="0"/>
          <w:color w:val="auto"/>
          <w:kern w:val="0"/>
          <w:sz w:val="24"/>
          <w:szCs w:val="24"/>
          <w:highlight w:val="none"/>
          <w:u w:val="none"/>
          <w:lang w:val="en-US" w:eastAsia="zh-CN" w:bidi="ar"/>
        </w:rPr>
        <w:t>安全隐患排查。每季度至少安排一次覆盖全场所的现场安全隐患排查工作；</w:t>
      </w:r>
    </w:p>
    <w:p>
      <w:pPr>
        <w:spacing w:line="360" w:lineRule="auto"/>
        <w:ind w:firstLine="480" w:firstLineChars="200"/>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（2）负</w:t>
      </w:r>
      <w:bookmarkStart w:id="12" w:name="OLE_LINK2"/>
      <w:r>
        <w:rPr>
          <w:rFonts w:hint="eastAsia" w:ascii="宋体" w:hAnsi="宋体" w:eastAsia="宋体" w:cs="宋体"/>
          <w:b w:val="0"/>
          <w:bCs w:val="0"/>
          <w:i w:val="0"/>
          <w:iCs w:val="0"/>
          <w:color w:val="auto"/>
          <w:kern w:val="0"/>
          <w:sz w:val="24"/>
          <w:szCs w:val="24"/>
          <w:highlight w:val="none"/>
          <w:u w:val="none"/>
          <w:lang w:val="en-US" w:eastAsia="zh-CN" w:bidi="ar"/>
        </w:rPr>
        <w:t>责</w:t>
      </w:r>
      <w:r>
        <w:rPr>
          <w:rFonts w:hint="eastAsia" w:ascii="Times New Roman" w:hAnsi="Times New Roman" w:eastAsia="宋体" w:cs="楷体"/>
          <w:bCs/>
          <w:snapToGrid w:val="0"/>
          <w:color w:val="auto"/>
          <w:kern w:val="0"/>
          <w:sz w:val="24"/>
          <w:szCs w:val="24"/>
          <w:highlight w:val="none"/>
          <w:lang w:val="en-US" w:eastAsia="zh-CN"/>
        </w:rPr>
        <w:t>合肥滨湖时光空间运营管理有限公司运营的各类项目内的资产、设施、设备以及其他附属物维护、维修、改造、提升、应急保障项目等，具体任务以招标人实际下达的任务为准。</w:t>
      </w:r>
    </w:p>
    <w:bookmarkEnd w:id="12"/>
    <w:p>
      <w:pPr>
        <w:spacing w:line="360" w:lineRule="auto"/>
        <w:ind w:firstLine="480" w:firstLineChars="200"/>
        <w:rPr>
          <w:rFonts w:hint="default" w:ascii="宋体" w:hAnsi="宋体" w:eastAsia="宋体" w:cs="@仿宋_GB2312"/>
          <w:b w:val="0"/>
          <w:bCs w:val="0"/>
          <w:color w:val="auto"/>
          <w:kern w:val="2"/>
          <w:sz w:val="24"/>
          <w:szCs w:val="20"/>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本项目目前拟涉及地点如下表所示：</w:t>
      </w:r>
    </w:p>
    <w:tbl>
      <w:tblPr>
        <w:tblStyle w:val="16"/>
        <w:tblW w:w="41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Style w:val="20"/>
                <w:rFonts w:hint="eastAsia" w:ascii="宋体" w:hAnsi="宋体" w:eastAsia="宋体" w:cs="宋体"/>
                <w:b/>
                <w:bCs/>
                <w:color w:val="auto"/>
                <w:sz w:val="22"/>
                <w:szCs w:val="22"/>
                <w:highlight w:val="none"/>
                <w:lang w:val="en-US" w:eastAsia="zh-CN" w:bidi="ar"/>
              </w:rPr>
              <w:t>序号</w:t>
            </w:r>
          </w:p>
        </w:tc>
        <w:tc>
          <w:tcPr>
            <w:tcW w:w="406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Style w:val="20"/>
                <w:rFonts w:hint="eastAsia" w:ascii="宋体" w:hAnsi="宋体" w:eastAsia="宋体" w:cs="宋体"/>
                <w:b/>
                <w:bCs/>
                <w:color w:val="auto"/>
                <w:sz w:val="22"/>
                <w:szCs w:val="22"/>
                <w:highlight w:val="none"/>
                <w:lang w:val="en-US" w:eastAsia="zh-CN" w:bidi="ar"/>
              </w:rPr>
              <w:t>安全隐患排查及维修地点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i w:val="0"/>
                <w:iCs w:val="0"/>
                <w:color w:val="auto"/>
                <w:sz w:val="22"/>
                <w:szCs w:val="22"/>
                <w:highlight w:val="none"/>
                <w:u w:val="none"/>
                <w:lang w:val="en-US" w:eastAsia="zh-CN" w:bidi="zh-CN"/>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406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合肥滨湖时光空间运营管理有限公司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i w:val="0"/>
                <w:iCs w:val="0"/>
                <w:color w:val="auto"/>
                <w:sz w:val="22"/>
                <w:szCs w:val="22"/>
                <w:highlight w:val="none"/>
                <w:u w:val="none"/>
                <w:lang w:val="zh-CN" w:eastAsia="zh-CN" w:bidi="zh-CN"/>
              </w:rPr>
            </w:pPr>
            <w:r>
              <w:rPr>
                <w:rFonts w:hint="eastAsia" w:ascii="宋体" w:hAnsi="宋体" w:eastAsia="宋体" w:cs="宋体"/>
                <w:b w:val="0"/>
                <w:bCs w:val="0"/>
                <w:i w:val="0"/>
                <w:iCs w:val="0"/>
                <w:color w:val="auto"/>
                <w:kern w:val="0"/>
                <w:sz w:val="22"/>
                <w:szCs w:val="22"/>
                <w:highlight w:val="none"/>
                <w:u w:val="none"/>
                <w:lang w:val="en-US" w:eastAsia="zh-CN" w:bidi="ar"/>
              </w:rPr>
              <w:t>2</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雨花书院悦书房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i w:val="0"/>
                <w:iCs w:val="0"/>
                <w:color w:val="auto"/>
                <w:sz w:val="22"/>
                <w:szCs w:val="22"/>
                <w:highlight w:val="none"/>
                <w:u w:val="none"/>
                <w:lang w:val="zh-CN" w:eastAsia="zh-CN" w:bidi="zh-CN"/>
              </w:rPr>
            </w:pPr>
            <w:r>
              <w:rPr>
                <w:rFonts w:hint="eastAsia" w:ascii="宋体" w:hAnsi="宋体" w:eastAsia="宋体" w:cs="宋体"/>
                <w:b w:val="0"/>
                <w:bCs w:val="0"/>
                <w:i w:val="0"/>
                <w:iCs w:val="0"/>
                <w:color w:val="auto"/>
                <w:kern w:val="0"/>
                <w:sz w:val="22"/>
                <w:szCs w:val="22"/>
                <w:highlight w:val="none"/>
                <w:u w:val="none"/>
                <w:lang w:val="en-US" w:eastAsia="zh-CN" w:bidi="ar"/>
              </w:rPr>
              <w:t>3</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兰亭书院悦书房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i w:val="0"/>
                <w:iCs w:val="0"/>
                <w:color w:val="auto"/>
                <w:sz w:val="22"/>
                <w:szCs w:val="22"/>
                <w:highlight w:val="none"/>
                <w:u w:val="none"/>
                <w:lang w:val="en-US" w:eastAsia="zh-CN" w:bidi="zh-CN"/>
              </w:rPr>
            </w:pPr>
            <w:r>
              <w:rPr>
                <w:rFonts w:hint="eastAsia" w:ascii="宋体" w:hAnsi="宋体" w:eastAsia="宋体" w:cs="宋体"/>
                <w:b w:val="0"/>
                <w:bCs w:val="0"/>
                <w:i w:val="0"/>
                <w:iCs w:val="0"/>
                <w:color w:val="auto"/>
                <w:kern w:val="0"/>
                <w:sz w:val="22"/>
                <w:szCs w:val="22"/>
                <w:highlight w:val="none"/>
                <w:u w:val="none"/>
                <w:lang w:val="en-US" w:eastAsia="zh-CN" w:bidi="ar"/>
              </w:rPr>
              <w:t>4</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转角时光悦书房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5</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半亩方塘悦书房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6</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罍街悦书房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7</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四季书苑悦书房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8</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滨江花月书院悦书房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9</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一起读吧悦书房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10</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圩美书吧悦书房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11</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万卷书悦书房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12</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悦书书房悦书房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13</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云海书院悦书房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14</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金斗书立方悦书房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15</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清溪书屋悦书房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16</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兴悦书吧悦书房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17</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世纪南书房悦书房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18</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云川两级中心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19</w:t>
            </w:r>
          </w:p>
        </w:tc>
        <w:tc>
          <w:tcPr>
            <w:tcW w:w="4061"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云谷两级中心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pct"/>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20</w:t>
            </w:r>
          </w:p>
        </w:tc>
        <w:tc>
          <w:tcPr>
            <w:tcW w:w="406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后期因业务发展可能涉及到的包河区其余场所</w:t>
            </w:r>
          </w:p>
        </w:tc>
      </w:tr>
    </w:tbl>
    <w:p>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.项目预算：</w:t>
      </w:r>
      <w:r>
        <w:rPr>
          <w:rFonts w:hint="eastAsia" w:ascii="Times New Roman" w:hAnsi="Times New Roman" w:cs="Times New Roman"/>
          <w:color w:val="auto"/>
          <w:sz w:val="24"/>
          <w:szCs w:val="24"/>
          <w:highlight w:val="none"/>
          <w:u w:val="single"/>
          <w:lang w:val="en-US" w:eastAsia="zh-CN"/>
        </w:rPr>
        <w:t>50</w:t>
      </w:r>
      <w:r>
        <w:rPr>
          <w:rFonts w:ascii="Times New Roman" w:hAnsi="Times New Roman" w:cs="Times New Roman"/>
          <w:color w:val="auto"/>
          <w:sz w:val="24"/>
          <w:szCs w:val="24"/>
          <w:highlight w:val="none"/>
          <w:u w:val="single"/>
        </w:rPr>
        <w:t>万元</w:t>
      </w:r>
      <w:r>
        <w:rPr>
          <w:rFonts w:hint="eastAsia" w:ascii="Times New Roman" w:hAnsi="Times New Roman" w:cs="Times New Roman"/>
          <w:color w:val="auto"/>
          <w:sz w:val="24"/>
          <w:szCs w:val="24"/>
          <w:highlight w:val="none"/>
          <w:u w:val="single"/>
          <w:lang w:val="en-US" w:eastAsia="zh-CN"/>
        </w:rPr>
        <w:t>1年合同期</w:t>
      </w:r>
    </w:p>
    <w:p>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6</w:t>
      </w:r>
      <w:r>
        <w:rPr>
          <w:rFonts w:ascii="Times New Roman" w:hAnsi="Times New Roman" w:cs="Times New Roman"/>
          <w:color w:val="auto"/>
          <w:sz w:val="24"/>
          <w:szCs w:val="24"/>
          <w:highlight w:val="none"/>
        </w:rPr>
        <w:t>.最高限价：</w:t>
      </w:r>
      <w:r>
        <w:rPr>
          <w:rFonts w:hint="eastAsia" w:ascii="Times New Roman" w:hAnsi="Times New Roman" w:cs="Times New Roman"/>
          <w:color w:val="auto"/>
          <w:sz w:val="24"/>
          <w:szCs w:val="24"/>
          <w:highlight w:val="none"/>
          <w:u w:val="single"/>
          <w:lang w:val="en-US" w:eastAsia="zh-CN"/>
        </w:rPr>
        <w:t>50</w:t>
      </w:r>
      <w:r>
        <w:rPr>
          <w:rFonts w:ascii="Times New Roman" w:hAnsi="Times New Roman" w:cs="Times New Roman"/>
          <w:color w:val="auto"/>
          <w:sz w:val="24"/>
          <w:szCs w:val="24"/>
          <w:highlight w:val="none"/>
          <w:u w:val="single"/>
        </w:rPr>
        <w:t>万元</w:t>
      </w:r>
    </w:p>
    <w:p>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7</w:t>
      </w:r>
      <w:r>
        <w:rPr>
          <w:rFonts w:ascii="Times New Roman" w:hAnsi="Times New Roman" w:cs="Times New Roman"/>
          <w:color w:val="auto"/>
          <w:sz w:val="24"/>
          <w:szCs w:val="24"/>
          <w:highlight w:val="none"/>
        </w:rPr>
        <w:t>.项目类别：</w:t>
      </w:r>
      <w:r>
        <w:rPr>
          <w:rFonts w:hint="eastAsia" w:ascii="Times New Roman" w:hAnsi="Times New Roman" w:cs="Times New Roman"/>
          <w:color w:val="auto"/>
          <w:sz w:val="24"/>
          <w:szCs w:val="24"/>
          <w:highlight w:val="none"/>
          <w:u w:val="single"/>
          <w:lang w:val="en-US" w:eastAsia="zh-CN"/>
        </w:rPr>
        <w:t>服务</w:t>
      </w:r>
      <w:r>
        <w:rPr>
          <w:rFonts w:hint="eastAsia" w:ascii="Times New Roman" w:hAnsi="Times New Roman" w:cs="Times New Roman"/>
          <w:color w:val="auto"/>
          <w:sz w:val="24"/>
          <w:szCs w:val="24"/>
          <w:highlight w:val="none"/>
          <w:u w:val="single"/>
        </w:rPr>
        <w:t>类</w:t>
      </w:r>
    </w:p>
    <w:p>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hint="eastAsia" w:ascii="Times New Roman" w:hAnsi="Times New Roman" w:cs="Times New Roman"/>
          <w:color w:val="auto"/>
          <w:sz w:val="24"/>
          <w:szCs w:val="24"/>
          <w:highlight w:val="none"/>
        </w:rPr>
        <w:t>8</w:t>
      </w:r>
      <w:r>
        <w:rPr>
          <w:rFonts w:ascii="Times New Roman" w:hAnsi="Times New Roman" w:cs="Times New Roman"/>
          <w:color w:val="auto"/>
          <w:sz w:val="24"/>
          <w:szCs w:val="24"/>
          <w:highlight w:val="none"/>
        </w:rPr>
        <w:t>.合同履行期限</w:t>
      </w:r>
      <w:r>
        <w:rPr>
          <w:rFonts w:ascii="Times New Roman" w:hAnsi="Times New Roman" w:eastAsia="宋体" w:cs="Times New Roman"/>
          <w:color w:val="auto"/>
          <w:sz w:val="24"/>
          <w:szCs w:val="24"/>
          <w:highlight w:val="none"/>
          <w:u w:val="single"/>
        </w:rPr>
        <w:t>：</w:t>
      </w:r>
      <w:r>
        <w:rPr>
          <w:rFonts w:hint="eastAsia" w:ascii="Times New Roman" w:hAnsi="Times New Roman" w:eastAsia="宋体" w:cs="Times New Roman"/>
          <w:color w:val="auto"/>
          <w:sz w:val="24"/>
          <w:szCs w:val="24"/>
          <w:highlight w:val="none"/>
          <w:u w:val="single"/>
          <w:lang w:eastAsia="zh-CN"/>
        </w:rPr>
        <w:t>合同签订后</w:t>
      </w:r>
      <w:r>
        <w:rPr>
          <w:rFonts w:hint="eastAsia" w:ascii="Times New Roman" w:hAnsi="Times New Roman" w:eastAsia="宋体" w:cs="Times New Roman"/>
          <w:color w:val="auto"/>
          <w:sz w:val="24"/>
          <w:szCs w:val="24"/>
          <w:highlight w:val="none"/>
          <w:u w:val="single"/>
          <w:lang w:val="en-US" w:eastAsia="zh-CN"/>
        </w:rPr>
        <w:t>1年</w:t>
      </w:r>
      <w:r>
        <w:rPr>
          <w:rFonts w:hint="eastAsia" w:ascii="Times New Roman" w:hAnsi="Times New Roman" w:cs="Times New Roman"/>
          <w:color w:val="auto"/>
          <w:sz w:val="24"/>
          <w:szCs w:val="24"/>
          <w:highlight w:val="none"/>
          <w:u w:val="single"/>
          <w:lang w:val="en-US" w:eastAsia="zh-CN"/>
        </w:rPr>
        <w:t>或项目预算使用金额达到限价</w:t>
      </w:r>
      <w:r>
        <w:rPr>
          <w:rFonts w:hint="eastAsia" w:ascii="Times New Roman" w:hAnsi="Times New Roman" w:eastAsia="宋体" w:cs="Times New Roman"/>
          <w:color w:val="auto"/>
          <w:sz w:val="24"/>
          <w:szCs w:val="24"/>
          <w:highlight w:val="none"/>
          <w:u w:val="single"/>
          <w:lang w:val="en-US" w:eastAsia="zh-CN"/>
        </w:rPr>
        <w:t>。如服务期表现良好，合同双方同意且年度预算能够保证的前提下，可再续签1年合同。（</w:t>
      </w:r>
      <w:r>
        <w:rPr>
          <w:rFonts w:hint="eastAsia" w:ascii="Times New Roman" w:hAnsi="Times New Roman" w:eastAsia="宋体" w:cs="Times New Roman"/>
          <w:color w:val="auto"/>
          <w:sz w:val="24"/>
          <w:szCs w:val="24"/>
          <w:highlight w:val="none"/>
          <w:u w:val="single"/>
          <w:lang w:eastAsia="zh-CN"/>
        </w:rPr>
        <w:t>如</w:t>
      </w:r>
      <w:r>
        <w:rPr>
          <w:rFonts w:hint="eastAsia" w:ascii="Times New Roman" w:hAnsi="Times New Roman" w:eastAsia="宋体" w:cs="Times New Roman"/>
          <w:color w:val="auto"/>
          <w:sz w:val="24"/>
          <w:szCs w:val="24"/>
          <w:highlight w:val="none"/>
          <w:u w:val="single"/>
          <w:lang w:val="en-US" w:eastAsia="zh-CN"/>
        </w:rPr>
        <w:t>服务</w:t>
      </w:r>
      <w:r>
        <w:rPr>
          <w:rFonts w:hint="eastAsia" w:ascii="Times New Roman" w:hAnsi="Times New Roman" w:eastAsia="宋体" w:cs="Times New Roman"/>
          <w:color w:val="auto"/>
          <w:sz w:val="24"/>
          <w:szCs w:val="24"/>
          <w:highlight w:val="none"/>
          <w:u w:val="single"/>
          <w:lang w:eastAsia="zh-CN"/>
        </w:rPr>
        <w:t>期结束，尚有项目未完成的，直至</w:t>
      </w:r>
      <w:r>
        <w:rPr>
          <w:rFonts w:hint="eastAsia" w:ascii="Times New Roman" w:hAnsi="Times New Roman" w:eastAsia="宋体" w:cs="Times New Roman"/>
          <w:color w:val="auto"/>
          <w:sz w:val="24"/>
          <w:szCs w:val="24"/>
          <w:highlight w:val="none"/>
          <w:u w:val="single"/>
          <w:lang w:val="en-US" w:eastAsia="zh-CN"/>
        </w:rPr>
        <w:t>服务</w:t>
      </w:r>
      <w:r>
        <w:rPr>
          <w:rFonts w:hint="eastAsia" w:ascii="Times New Roman" w:hAnsi="Times New Roman" w:eastAsia="宋体" w:cs="Times New Roman"/>
          <w:color w:val="auto"/>
          <w:sz w:val="24"/>
          <w:szCs w:val="24"/>
          <w:highlight w:val="none"/>
          <w:u w:val="single"/>
          <w:lang w:eastAsia="zh-CN"/>
        </w:rPr>
        <w:t>期内承接的最后一个项目履约完成。</w:t>
      </w:r>
      <w:r>
        <w:rPr>
          <w:rFonts w:hint="eastAsia" w:ascii="Times New Roman" w:hAnsi="Times New Roman" w:eastAsia="宋体" w:cs="Times New Roman"/>
          <w:color w:val="auto"/>
          <w:sz w:val="24"/>
          <w:szCs w:val="24"/>
          <w:highlight w:val="none"/>
          <w:u w:val="single"/>
          <w:lang w:val="en-US" w:eastAsia="zh-CN"/>
        </w:rPr>
        <w:t>）</w:t>
      </w:r>
      <w:r>
        <w:rPr>
          <w:rFonts w:ascii="Times New Roman" w:hAnsi="Times New Roman" w:eastAsia="宋体" w:cs="Times New Roman"/>
          <w:color w:val="auto"/>
          <w:sz w:val="24"/>
          <w:szCs w:val="24"/>
          <w:highlight w:val="none"/>
          <w:u w:val="single"/>
        </w:rPr>
        <w:t xml:space="preserve">  </w:t>
      </w:r>
    </w:p>
    <w:p>
      <w:pPr>
        <w:autoSpaceDE w:val="0"/>
        <w:autoSpaceDN w:val="0"/>
        <w:adjustRightInd w:val="0"/>
        <w:spacing w:line="360" w:lineRule="auto"/>
        <w:ind w:firstLine="436" w:firstLineChars="182"/>
        <w:jc w:val="left"/>
        <w:rPr>
          <w:rFonts w:ascii="宋体" w:hAnsi="宋体"/>
          <w:color w:val="auto"/>
          <w:sz w:val="24"/>
          <w:szCs w:val="18"/>
          <w:highlight w:val="none"/>
          <w:u w:val="single"/>
        </w:rPr>
      </w:pPr>
      <w:r>
        <w:rPr>
          <w:rFonts w:hint="eastAsia" w:ascii="宋体" w:hAnsi="宋体"/>
          <w:color w:val="auto"/>
          <w:sz w:val="24"/>
          <w:szCs w:val="18"/>
          <w:highlight w:val="none"/>
        </w:rPr>
        <w:t>9.标段（包别）划分：</w:t>
      </w:r>
    </w:p>
    <w:p>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二、</w:t>
      </w:r>
      <w:r>
        <w:rPr>
          <w:rFonts w:ascii="Times New Roman" w:hAnsi="Times New Roman" w:eastAsia="宋体" w:cs="Times New Roman"/>
          <w:b/>
          <w:color w:val="auto"/>
          <w:sz w:val="24"/>
          <w:highlight w:val="none"/>
        </w:rPr>
        <w:t>投标人</w:t>
      </w:r>
      <w:r>
        <w:rPr>
          <w:rFonts w:ascii="Times New Roman" w:hAnsi="Times New Roman" w:cs="Times New Roman"/>
          <w:b/>
          <w:bCs/>
          <w:color w:val="auto"/>
          <w:sz w:val="24"/>
          <w:szCs w:val="18"/>
          <w:highlight w:val="none"/>
        </w:rPr>
        <w:t>资格</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具有独立承担民事责任的能力；</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2.资质要求：</w:t>
      </w:r>
      <w:r>
        <w:rPr>
          <w:rFonts w:hint="eastAsia" w:ascii="宋体" w:hAnsi="宋体" w:eastAsia="宋体" w:cs="宋体"/>
          <w:color w:val="auto"/>
          <w:sz w:val="24"/>
          <w:szCs w:val="18"/>
          <w:highlight w:val="none"/>
          <w:lang w:val="en-US" w:eastAsia="zh-CN"/>
        </w:rPr>
        <w:t>投标人</w:t>
      </w:r>
      <w:r>
        <w:rPr>
          <w:rFonts w:hint="eastAsia" w:ascii="宋体" w:hAnsi="宋体" w:eastAsia="宋体" w:cs="宋体"/>
          <w:color w:val="auto"/>
          <w:sz w:val="24"/>
          <w:szCs w:val="18"/>
          <w:highlight w:val="none"/>
        </w:rPr>
        <w:t>具有建筑工程施工总承包三级及以上资质；且具有有效的安全生产许可证；</w:t>
      </w:r>
    </w:p>
    <w:p>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3.</w:t>
      </w:r>
      <w:r>
        <w:rPr>
          <w:rFonts w:hint="eastAsia" w:ascii="宋体" w:hAnsi="宋体" w:eastAsia="宋体" w:cs="宋体"/>
          <w:color w:val="auto"/>
          <w:sz w:val="24"/>
          <w:szCs w:val="18"/>
          <w:highlight w:val="none"/>
          <w:lang w:val="en-US" w:eastAsia="zh-CN"/>
        </w:rPr>
        <w:t>投标人</w:t>
      </w:r>
      <w:r>
        <w:rPr>
          <w:rFonts w:hint="eastAsia" w:ascii="宋体" w:hAnsi="宋体" w:eastAsia="宋体" w:cs="宋体"/>
          <w:color w:val="auto"/>
          <w:sz w:val="24"/>
          <w:szCs w:val="18"/>
          <w:highlight w:val="none"/>
        </w:rPr>
        <w:t>业绩要求：</w:t>
      </w:r>
      <w:r>
        <w:rPr>
          <w:rFonts w:hint="eastAsia" w:ascii="宋体" w:hAnsi="宋体" w:eastAsia="宋体" w:cs="宋体"/>
          <w:color w:val="auto"/>
          <w:sz w:val="24"/>
          <w:szCs w:val="18"/>
          <w:highlight w:val="none"/>
          <w:lang w:val="en-US" w:eastAsia="zh-CN"/>
        </w:rPr>
        <w:t>无</w:t>
      </w:r>
    </w:p>
    <w:p>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项目负责人资格要求：投标人拟委任项目负责人须具备建筑工程专业二级</w:t>
      </w:r>
    </w:p>
    <w:p>
      <w:pPr>
        <w:spacing w:line="360" w:lineRule="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及以上注册建造师执业资格，且具备有效的安全生产考核合格证书。</w:t>
      </w:r>
    </w:p>
    <w:p>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项目负责人业绩要求：自 201</w:t>
      </w:r>
      <w:r>
        <w:rPr>
          <w:rFonts w:hint="eastAsia" w:ascii="宋体" w:hAnsi="宋体" w:cs="宋体"/>
          <w:color w:val="auto"/>
          <w:sz w:val="24"/>
          <w:szCs w:val="18"/>
          <w:highlight w:val="none"/>
          <w:lang w:val="en-US" w:eastAsia="zh-CN"/>
        </w:rPr>
        <w:t>9</w:t>
      </w:r>
      <w:r>
        <w:rPr>
          <w:rFonts w:hint="eastAsia" w:ascii="宋体" w:hAnsi="宋体" w:eastAsia="宋体" w:cs="宋体"/>
          <w:color w:val="auto"/>
          <w:sz w:val="24"/>
          <w:szCs w:val="18"/>
          <w:highlight w:val="none"/>
          <w:lang w:val="en-US" w:eastAsia="zh-CN"/>
        </w:rPr>
        <w:t xml:space="preserve"> 年 1 月 1 日以来（以合同签订时间为准），投标人拟委任项目负责人在中华人民共和国境内（不含港澳台）须具备单个合同金额不少于 </w:t>
      </w:r>
      <w:r>
        <w:rPr>
          <w:rFonts w:hint="eastAsia" w:ascii="宋体" w:hAnsi="宋体" w:cs="宋体"/>
          <w:color w:val="auto"/>
          <w:sz w:val="24"/>
          <w:szCs w:val="18"/>
          <w:highlight w:val="none"/>
          <w:lang w:val="en-US" w:eastAsia="zh-CN"/>
        </w:rPr>
        <w:t>35</w:t>
      </w:r>
      <w:r>
        <w:rPr>
          <w:rFonts w:hint="eastAsia" w:ascii="宋体" w:hAnsi="宋体" w:eastAsia="宋体" w:cs="宋体"/>
          <w:color w:val="auto"/>
          <w:sz w:val="24"/>
          <w:szCs w:val="18"/>
          <w:highlight w:val="none"/>
          <w:lang w:val="en-US" w:eastAsia="zh-CN"/>
        </w:rPr>
        <w:t>万元的房屋建筑工程类施工业绩。</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4.本项目不接受联合体磋商；</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 xml:space="preserve">投标人未被合肥市及其所辖县（市）、区（开发区）公共资源交易监督管理部门记不良行为记录的；或被记不良行为记录（以公布日期为准），但同时符合下列情形的：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 xml:space="preserve">（1）开标日前（含当日）6个月内记分累计未满10分的；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 xml:space="preserve">（2）开标日前（含当日）12个月内记分累计未满15分的；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 xml:space="preserve">（3）开标日前（含当日）18个月内记分累计未满20分的； </w:t>
      </w:r>
    </w:p>
    <w:p>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lang w:val="en-US" w:eastAsia="zh-CN"/>
        </w:rPr>
        <w:t>（4）开标日前（含当日）24个月内记分累计未满25分的。</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6.投标人存在以下不良信用记录情形之一的，不得推荐为中标候选人，不得确定为中标人：</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pPr>
        <w:spacing w:line="360" w:lineRule="auto"/>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p>
      <w:pPr>
        <w:spacing w:line="360" w:lineRule="auto"/>
        <w:ind w:firstLine="435"/>
        <w:rPr>
          <w:rFonts w:hint="eastAsia" w:ascii="宋体" w:hAnsi="宋体"/>
          <w:color w:val="auto"/>
          <w:sz w:val="24"/>
          <w:szCs w:val="18"/>
          <w:highlight w:val="none"/>
        </w:rPr>
      </w:pPr>
    </w:p>
    <w:p>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三、获取招标文件方式</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1.获取时间：</w:t>
      </w:r>
      <w:r>
        <w:rPr>
          <w:rFonts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4</w:t>
      </w:r>
      <w:r>
        <w:rPr>
          <w:rFonts w:ascii="Times New Roman" w:hAnsi="Times New Roman" w:cs="Times New Roman"/>
          <w:color w:val="auto"/>
          <w:sz w:val="24"/>
          <w:szCs w:val="24"/>
          <w:highlight w:val="none"/>
          <w:u w:val="single"/>
        </w:rPr>
        <w:t xml:space="preserve">年 </w:t>
      </w:r>
      <w:r>
        <w:rPr>
          <w:rFonts w:hint="eastAsia" w:ascii="Times New Roman" w:hAnsi="Times New Roman" w:cs="Times New Roman"/>
          <w:color w:val="auto"/>
          <w:sz w:val="24"/>
          <w:szCs w:val="24"/>
          <w:highlight w:val="none"/>
          <w:u w:val="single"/>
          <w:lang w:val="en-US" w:eastAsia="zh-CN"/>
        </w:rPr>
        <w:t>11</w:t>
      </w:r>
      <w:r>
        <w:rPr>
          <w:rFonts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21</w:t>
      </w:r>
      <w:r>
        <w:rPr>
          <w:rFonts w:ascii="Times New Roman" w:hAnsi="Times New Roman" w:cs="Times New Roman"/>
          <w:color w:val="auto"/>
          <w:sz w:val="24"/>
          <w:szCs w:val="24"/>
          <w:highlight w:val="none"/>
          <w:u w:val="single"/>
        </w:rPr>
        <w:t>日至202</w:t>
      </w:r>
      <w:r>
        <w:rPr>
          <w:rFonts w:hint="eastAsia" w:ascii="Times New Roman" w:hAnsi="Times New Roman" w:cs="Times New Roman"/>
          <w:color w:val="auto"/>
          <w:sz w:val="24"/>
          <w:szCs w:val="24"/>
          <w:highlight w:val="none"/>
          <w:u w:val="single"/>
          <w:lang w:val="en-US" w:eastAsia="zh-CN"/>
        </w:rPr>
        <w:t>4</w:t>
      </w:r>
      <w:r>
        <w:rPr>
          <w:rFonts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11</w:t>
      </w:r>
      <w:r>
        <w:rPr>
          <w:rFonts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28</w:t>
      </w:r>
      <w:r>
        <w:rPr>
          <w:rFonts w:ascii="Times New Roman" w:hAnsi="Times New Roman" w:cs="Times New Roman"/>
          <w:color w:val="auto"/>
          <w:sz w:val="24"/>
          <w:szCs w:val="24"/>
          <w:highlight w:val="none"/>
          <w:u w:val="single"/>
        </w:rPr>
        <w:t>日</w:t>
      </w:r>
    </w:p>
    <w:p>
      <w:pPr>
        <w:snapToGrid w:val="0"/>
        <w:spacing w:line="360" w:lineRule="auto"/>
        <w:ind w:firstLine="480" w:firstLineChars="200"/>
        <w:jc w:val="left"/>
        <w:rPr>
          <w:rFonts w:ascii="Times New Roman" w:hAnsi="Times New Roman" w:cs="Times New Roman"/>
          <w:color w:val="auto"/>
          <w:sz w:val="24"/>
          <w:szCs w:val="24"/>
          <w:highlight w:val="none"/>
          <w:shd w:val="clear" w:color="auto" w:fill="FFFFFF"/>
        </w:rPr>
      </w:pPr>
      <w:r>
        <w:rPr>
          <w:rFonts w:ascii="Times New Roman" w:hAnsi="Times New Roman" w:cs="Times New Roman"/>
          <w:color w:val="auto"/>
          <w:sz w:val="24"/>
          <w:szCs w:val="24"/>
          <w:highlight w:val="none"/>
        </w:rPr>
        <w:t>2.获取方式：登录</w:t>
      </w:r>
      <w:r>
        <w:rPr>
          <w:rFonts w:hint="eastAsia" w:ascii="Times New Roman" w:hAnsi="Times New Roman" w:cs="Times New Roman"/>
          <w:color w:val="auto"/>
          <w:sz w:val="24"/>
          <w:szCs w:val="24"/>
          <w:highlight w:val="none"/>
          <w:u w:val="single"/>
          <w:lang w:eastAsia="zh-CN"/>
        </w:rPr>
        <w:t>合肥滨湖时光产业投资集团有限公司</w:t>
      </w:r>
      <w:r>
        <w:rPr>
          <w:rFonts w:ascii="Times New Roman" w:hAnsi="Times New Roman" w:cs="Times New Roman"/>
          <w:color w:val="auto"/>
          <w:sz w:val="24"/>
          <w:szCs w:val="24"/>
          <w:highlight w:val="none"/>
          <w:u w:val="single"/>
        </w:rPr>
        <w:t>官方网站</w:t>
      </w:r>
      <w:r>
        <w:rPr>
          <w:rFonts w:hint="eastAsia" w:ascii="Times New Roman" w:hAnsi="Times New Roman" w:cs="Times New Roman"/>
          <w:color w:val="auto"/>
          <w:sz w:val="24"/>
          <w:szCs w:val="24"/>
          <w:highlight w:val="none"/>
          <w:u w:val="single"/>
          <w:lang w:eastAsia="zh-CN"/>
        </w:rPr>
        <w:t>http://bhsggroup.cn/</w:t>
      </w:r>
      <w:r>
        <w:rPr>
          <w:rFonts w:ascii="Times New Roman" w:hAnsi="Times New Roman" w:cs="Times New Roman"/>
          <w:color w:val="auto"/>
          <w:sz w:val="24"/>
          <w:szCs w:val="24"/>
          <w:highlight w:val="none"/>
          <w:shd w:val="clear" w:color="auto" w:fill="FFFFFF"/>
        </w:rPr>
        <w:t>并下载招标文件及相关附件。在投标截止时间前，将投标文件密封提交（或快递）至项目联系人处即可。</w:t>
      </w:r>
    </w:p>
    <w:p>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四、</w:t>
      </w:r>
      <w:r>
        <w:rPr>
          <w:rFonts w:hint="eastAsia" w:ascii="宋体" w:hAnsi="宋体" w:cs="宋体"/>
          <w:b/>
          <w:bCs/>
          <w:color w:val="auto"/>
          <w:sz w:val="24"/>
          <w:szCs w:val="24"/>
          <w:highlight w:val="none"/>
        </w:rPr>
        <w:t>提交投标文件截止时间、开标时间和地点</w:t>
      </w:r>
    </w:p>
    <w:p>
      <w:pPr>
        <w:snapToGrid w:val="0"/>
        <w:spacing w:line="360" w:lineRule="auto"/>
        <w:ind w:firstLine="480" w:firstLineChars="20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1.投标文件提交截止时间：</w:t>
      </w:r>
      <w:r>
        <w:rPr>
          <w:rFonts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4</w:t>
      </w:r>
      <w:r>
        <w:rPr>
          <w:rFonts w:ascii="Times New Roman" w:hAnsi="Times New Roman" w:cs="Times New Roman"/>
          <w:color w:val="auto"/>
          <w:sz w:val="24"/>
          <w:szCs w:val="24"/>
          <w:highlight w:val="none"/>
          <w:u w:val="single"/>
        </w:rPr>
        <w:t xml:space="preserve">年 </w:t>
      </w:r>
      <w:r>
        <w:rPr>
          <w:rFonts w:hint="eastAsia" w:ascii="Times New Roman" w:hAnsi="Times New Roman" w:cs="Times New Roman"/>
          <w:color w:val="auto"/>
          <w:sz w:val="24"/>
          <w:szCs w:val="24"/>
          <w:highlight w:val="none"/>
          <w:u w:val="single"/>
          <w:lang w:val="en-US" w:eastAsia="zh-CN"/>
        </w:rPr>
        <w:t>11月21</w:t>
      </w:r>
      <w:r>
        <w:rPr>
          <w:rFonts w:ascii="Times New Roman" w:hAnsi="Times New Roman" w:cs="Times New Roman"/>
          <w:color w:val="auto"/>
          <w:sz w:val="24"/>
          <w:szCs w:val="24"/>
          <w:highlight w:val="none"/>
          <w:u w:val="single"/>
        </w:rPr>
        <w:t>日至202</w:t>
      </w:r>
      <w:r>
        <w:rPr>
          <w:rFonts w:hint="eastAsia" w:ascii="Times New Roman" w:hAnsi="Times New Roman" w:cs="Times New Roman"/>
          <w:color w:val="auto"/>
          <w:sz w:val="24"/>
          <w:szCs w:val="24"/>
          <w:highlight w:val="none"/>
          <w:u w:val="single"/>
          <w:lang w:val="en-US" w:eastAsia="zh-CN"/>
        </w:rPr>
        <w:t>4</w:t>
      </w:r>
      <w:r>
        <w:rPr>
          <w:rFonts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11</w:t>
      </w:r>
      <w:r>
        <w:rPr>
          <w:rFonts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28</w:t>
      </w:r>
      <w:r>
        <w:rPr>
          <w:rFonts w:ascii="Times New Roman" w:hAnsi="Times New Roman" w:cs="Times New Roman"/>
          <w:color w:val="auto"/>
          <w:sz w:val="24"/>
          <w:szCs w:val="24"/>
          <w:highlight w:val="none"/>
          <w:u w:val="single"/>
        </w:rPr>
        <w:t>日</w:t>
      </w:r>
    </w:p>
    <w:p>
      <w:pPr>
        <w:snapToGrid w:val="0"/>
        <w:spacing w:line="360" w:lineRule="auto"/>
        <w:ind w:firstLine="480" w:firstLineChars="200"/>
        <w:rPr>
          <w:rFonts w:ascii="Times New Roman" w:hAnsi="Times New Roman" w:cs="Times New Roman"/>
          <w:b/>
          <w:bCs/>
          <w:color w:val="auto"/>
          <w:sz w:val="24"/>
          <w:szCs w:val="24"/>
          <w:highlight w:val="none"/>
          <w:u w:val="single"/>
        </w:rPr>
      </w:pPr>
      <w:r>
        <w:rPr>
          <w:rFonts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rPr>
        <w:t>合肥市包河区滨湖卓越城文华园一期A2楼</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层</w:t>
      </w:r>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五、开标时间：同</w:t>
      </w:r>
      <w:r>
        <w:rPr>
          <w:rFonts w:ascii="宋体" w:hAnsi="宋体" w:cs="宋体"/>
          <w:b/>
          <w:bCs/>
          <w:color w:val="auto"/>
          <w:sz w:val="24"/>
          <w:szCs w:val="24"/>
          <w:highlight w:val="none"/>
        </w:rPr>
        <w:t>投标文件提交截止时间</w:t>
      </w:r>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w:t>
      </w:r>
      <w:r>
        <w:rPr>
          <w:rFonts w:ascii="宋体" w:hAnsi="宋体" w:cs="宋体"/>
          <w:b/>
          <w:bCs/>
          <w:color w:val="auto"/>
          <w:sz w:val="24"/>
          <w:szCs w:val="24"/>
          <w:highlight w:val="none"/>
        </w:rPr>
        <w:t>、公告期限</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个工作日内。</w:t>
      </w:r>
    </w:p>
    <w:p>
      <w:pPr>
        <w:snapToGrid w:val="0"/>
        <w:spacing w:line="360" w:lineRule="auto"/>
        <w:ind w:firstLine="482" w:firstLineChars="20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七</w:t>
      </w:r>
      <w:r>
        <w:rPr>
          <w:rFonts w:ascii="Times New Roman" w:hAnsi="Times New Roman" w:cs="Times New Roman"/>
          <w:b/>
          <w:bCs/>
          <w:color w:val="auto"/>
          <w:sz w:val="24"/>
          <w:szCs w:val="24"/>
          <w:highlight w:val="none"/>
        </w:rPr>
        <w:t>、对本次招标提出询问，请按以下方式联系。</w:t>
      </w:r>
    </w:p>
    <w:bookmarkEnd w:id="2"/>
    <w:bookmarkEnd w:id="3"/>
    <w:bookmarkEnd w:id="4"/>
    <w:bookmarkEnd w:id="5"/>
    <w:p>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1.招标人信息</w:t>
      </w:r>
    </w:p>
    <w:p>
      <w:pPr>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合肥滨湖时光</w:t>
      </w:r>
      <w:r>
        <w:rPr>
          <w:rFonts w:hint="eastAsia" w:ascii="宋体" w:hAnsi="宋体" w:cs="宋体"/>
          <w:color w:val="auto"/>
          <w:sz w:val="24"/>
          <w:szCs w:val="24"/>
          <w:highlight w:val="none"/>
          <w:u w:val="single"/>
          <w:lang w:val="en-US" w:eastAsia="zh-CN"/>
        </w:rPr>
        <w:t>空间运营管理有限公司</w:t>
      </w:r>
    </w:p>
    <w:p>
      <w:pPr>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合肥市包河区滨湖卓越城文华园一期A2楼</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 xml:space="preserve">层 </w:t>
      </w:r>
    </w:p>
    <w:p>
      <w:pPr>
        <w:pStyle w:val="15"/>
        <w:ind w:left="0" w:leftChars="0" w:firstLine="48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开户行及账号：徽商银行合肥濉溪路支行</w:t>
      </w:r>
    </w:p>
    <w:p>
      <w:pPr>
        <w:pStyle w:val="15"/>
        <w:ind w:left="0" w:leftChars="0" w:firstLine="48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616 8262 4151 0000 02</w:t>
      </w:r>
    </w:p>
    <w:p>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2.项目联系方式</w:t>
      </w:r>
    </w:p>
    <w:p>
      <w:pPr>
        <w:pStyle w:val="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项目联系人：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沈 工</w:t>
      </w:r>
      <w:r>
        <w:rPr>
          <w:rFonts w:hint="eastAsia" w:hAnsi="宋体" w:cs="宋体"/>
          <w:color w:val="auto"/>
          <w:sz w:val="24"/>
          <w:szCs w:val="24"/>
          <w:highlight w:val="none"/>
          <w:u w:val="single"/>
        </w:rPr>
        <w:t xml:space="preserve">      </w:t>
      </w:r>
    </w:p>
    <w:p>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lang w:val="en-US" w:eastAsia="zh-CN"/>
        </w:rPr>
        <w:t>0551-63357563</w:t>
      </w:r>
      <w:r>
        <w:rPr>
          <w:rFonts w:hint="eastAsia" w:ascii="宋体" w:hAnsi="宋体" w:cs="宋体"/>
          <w:color w:val="auto"/>
          <w:sz w:val="24"/>
          <w:szCs w:val="24"/>
          <w:highlight w:val="none"/>
          <w:u w:val="single"/>
        </w:rPr>
        <w:t xml:space="preserve">   </w:t>
      </w:r>
    </w:p>
    <w:p>
      <w:pPr>
        <w:pStyle w:val="21"/>
        <w:widowControl w:val="0"/>
        <w:autoSpaceDE w:val="0"/>
        <w:autoSpaceDN w:val="0"/>
        <w:adjustRightInd w:val="0"/>
        <w:spacing w:before="0" w:after="0" w:line="360" w:lineRule="auto"/>
        <w:rPr>
          <w:rFonts w:ascii="Times New Roman" w:hAnsi="Times New Roman" w:cs="Times New Roman"/>
          <w:color w:val="auto"/>
          <w:kern w:val="2"/>
          <w:szCs w:val="18"/>
          <w:highlight w:val="none"/>
        </w:rPr>
      </w:pPr>
    </w:p>
    <w:p>
      <w:pPr>
        <w:autoSpaceDE w:val="0"/>
        <w:autoSpaceDN w:val="0"/>
        <w:adjustRightInd w:val="0"/>
        <w:spacing w:line="360" w:lineRule="auto"/>
        <w:ind w:firstLine="434" w:firstLineChars="181"/>
        <w:jc w:val="right"/>
        <w:rPr>
          <w:rFonts w:ascii="Times New Roman" w:hAnsi="Times New Roman" w:cs="Times New Roman"/>
          <w:bCs/>
          <w:color w:val="auto"/>
          <w:sz w:val="24"/>
          <w:szCs w:val="18"/>
          <w:highlight w:val="none"/>
        </w:rPr>
      </w:pPr>
      <w:r>
        <w:rPr>
          <w:rFonts w:ascii="Times New Roman" w:hAnsi="Times New Roman" w:cs="Times New Roman"/>
          <w:bCs/>
          <w:color w:val="auto"/>
          <w:sz w:val="24"/>
          <w:szCs w:val="18"/>
          <w:highlight w:val="none"/>
        </w:rPr>
        <w:br w:type="page"/>
      </w:r>
    </w:p>
    <w:p>
      <w:pPr>
        <w:spacing w:line="360" w:lineRule="auto"/>
        <w:jc w:val="center"/>
        <w:outlineLvl w:val="1"/>
        <w:rPr>
          <w:rFonts w:ascii="Times New Roman" w:hAnsi="Times New Roman" w:cs="Times New Roman"/>
          <w:b/>
          <w:color w:val="auto"/>
          <w:sz w:val="28"/>
          <w:highlight w:val="none"/>
        </w:rPr>
      </w:pPr>
      <w:bookmarkStart w:id="13" w:name="_Toc19060"/>
      <w:bookmarkStart w:id="14" w:name="_Toc31897"/>
      <w:r>
        <w:rPr>
          <w:rFonts w:ascii="Times New Roman" w:hAnsi="Times New Roman" w:cs="Times New Roman"/>
          <w:b/>
          <w:color w:val="auto"/>
          <w:sz w:val="28"/>
          <w:highlight w:val="none"/>
        </w:rPr>
        <w:t>第二章  投标人须知</w:t>
      </w:r>
      <w:bookmarkEnd w:id="13"/>
      <w:bookmarkEnd w:id="14"/>
    </w:p>
    <w:p>
      <w:pPr>
        <w:spacing w:line="360" w:lineRule="auto"/>
        <w:jc w:val="center"/>
        <w:outlineLvl w:val="2"/>
        <w:rPr>
          <w:rFonts w:ascii="Times New Roman" w:hAnsi="Times New Roman" w:cs="Times New Roman"/>
          <w:b/>
          <w:color w:val="auto"/>
          <w:sz w:val="24"/>
          <w:highlight w:val="none"/>
        </w:rPr>
      </w:pPr>
      <w:r>
        <w:rPr>
          <w:rFonts w:ascii="Times New Roman" w:hAnsi="Times New Roman" w:cs="Times New Roman"/>
          <w:b/>
          <w:color w:val="auto"/>
          <w:sz w:val="24"/>
          <w:highlight w:val="none"/>
        </w:rPr>
        <w:t>一、投标人须知前附表</w:t>
      </w:r>
    </w:p>
    <w:p>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b/>
          <w:bCs/>
          <w:color w:val="auto"/>
          <w:sz w:val="24"/>
          <w:szCs w:val="18"/>
          <w:highlight w:val="none"/>
        </w:rPr>
        <w:t>注：</w:t>
      </w:r>
      <w:r>
        <w:rPr>
          <w:rFonts w:ascii="Times New Roman" w:hAnsi="Times New Roman" w:cs="Times New Roman"/>
          <w:color w:val="auto"/>
          <w:sz w:val="24"/>
          <w:szCs w:val="18"/>
          <w:highlight w:val="none"/>
        </w:rPr>
        <w:t>本表是本项目的具体要求，是对投标人须知的具体补充和修改，如有不一致，以本表为准。</w:t>
      </w:r>
    </w:p>
    <w:tbl>
      <w:tblPr>
        <w:tblStyle w:val="16"/>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rPr>
                <w:rFonts w:ascii="Times New Roman" w:hAnsi="Times New Roman" w:cs="Times New Roman"/>
                <w:bCs w:val="0"/>
                <w:color w:val="auto"/>
                <w:kern w:val="2"/>
                <w:sz w:val="24"/>
                <w:szCs w:val="20"/>
                <w:highlight w:val="none"/>
              </w:rPr>
            </w:pPr>
            <w:r>
              <w:rPr>
                <w:rFonts w:ascii="Times New Roman" w:hAnsi="Times New Roman" w:cs="Times New Roman"/>
                <w:bCs w:val="0"/>
                <w:color w:val="auto"/>
                <w:kern w:val="2"/>
                <w:sz w:val="24"/>
                <w:szCs w:val="20"/>
                <w:highlight w:val="none"/>
              </w:rPr>
              <w:t>条款名称</w:t>
            </w:r>
          </w:p>
        </w:tc>
        <w:tc>
          <w:tcPr>
            <w:tcW w:w="6687" w:type="dxa"/>
            <w:noWrap w:val="0"/>
            <w:vAlign w:val="center"/>
          </w:tcPr>
          <w:p>
            <w:pPr>
              <w:pStyle w:val="22"/>
              <w:widowControl w:val="0"/>
              <w:spacing w:before="0" w:beforeAutospacing="0" w:after="0" w:afterAutospacing="0" w:line="360" w:lineRule="auto"/>
              <w:rPr>
                <w:rFonts w:ascii="Times New Roman" w:hAnsi="Times New Roman" w:cs="Times New Roman"/>
                <w:bCs w:val="0"/>
                <w:color w:val="auto"/>
                <w:kern w:val="2"/>
                <w:sz w:val="24"/>
                <w:szCs w:val="20"/>
                <w:highlight w:val="none"/>
              </w:rPr>
            </w:pPr>
            <w:r>
              <w:rPr>
                <w:rFonts w:ascii="Times New Roman" w:hAnsi="Times New Roman" w:cs="Times New Roman"/>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left"/>
              <w:rPr>
                <w:rFonts w:ascii="Times New Roman" w:hAnsi="Times New Roman" w:cs="Times New Roman"/>
                <w:b w:val="0"/>
                <w:bCs w:val="0"/>
                <w:color w:val="auto"/>
                <w:sz w:val="24"/>
                <w:highlight w:val="none"/>
              </w:rPr>
            </w:pPr>
            <w:r>
              <w:rPr>
                <w:rFonts w:ascii="Times New Roman" w:hAnsi="Times New Roman" w:cs="Times New Roman"/>
                <w:b w:val="0"/>
                <w:bCs w:val="0"/>
                <w:color w:val="auto"/>
                <w:sz w:val="24"/>
                <w:highlight w:val="none"/>
              </w:rPr>
              <w:t>招标人</w:t>
            </w:r>
          </w:p>
        </w:tc>
        <w:tc>
          <w:tcPr>
            <w:tcW w:w="6687" w:type="dxa"/>
            <w:noWrap w:val="0"/>
            <w:vAlign w:val="center"/>
          </w:tcPr>
          <w:p>
            <w:pPr>
              <w:pStyle w:val="22"/>
              <w:widowControl w:val="0"/>
              <w:spacing w:before="0" w:beforeAutospacing="0" w:after="0" w:afterAutospacing="0" w:line="360" w:lineRule="auto"/>
              <w:jc w:val="both"/>
              <w:rPr>
                <w:rFonts w:hint="default" w:ascii="Times New Roman" w:hAnsi="Times New Roman" w:eastAsia="宋体" w:cs="Times New Roman"/>
                <w:b w:val="0"/>
                <w:bCs w:val="0"/>
                <w:color w:val="auto"/>
                <w:kern w:val="2"/>
                <w:sz w:val="24"/>
                <w:szCs w:val="20"/>
                <w:highlight w:val="none"/>
                <w:lang w:val="en-US" w:eastAsia="zh-CN"/>
              </w:rPr>
            </w:pPr>
            <w:r>
              <w:rPr>
                <w:rFonts w:hint="eastAsia" w:ascii="Times New Roman" w:hAnsi="Times New Roman" w:cs="Times New Roman"/>
                <w:b w:val="0"/>
                <w:bCs w:val="0"/>
                <w:color w:val="auto"/>
                <w:sz w:val="24"/>
                <w:szCs w:val="18"/>
                <w:highlight w:val="none"/>
                <w:lang w:eastAsia="zh-CN"/>
              </w:rPr>
              <w:t>合肥滨湖时光</w:t>
            </w:r>
            <w:r>
              <w:rPr>
                <w:rFonts w:hint="eastAsia" w:ascii="Times New Roman" w:hAnsi="Times New Roman" w:cs="Times New Roman"/>
                <w:b w:val="0"/>
                <w:bCs w:val="0"/>
                <w:color w:val="auto"/>
                <w:sz w:val="24"/>
                <w:szCs w:val="18"/>
                <w:highlight w:val="none"/>
                <w:lang w:val="en-US" w:eastAsia="zh-CN"/>
              </w:rPr>
              <w:t>空间运营管理有限</w:t>
            </w:r>
            <w:r>
              <w:rPr>
                <w:rFonts w:hint="eastAsia" w:ascii="Times New Roman" w:hAnsi="Times New Roman" w:cs="Times New Roman"/>
                <w:b w:val="0"/>
                <w:bCs w:val="0"/>
                <w:color w:val="auto"/>
                <w:sz w:val="24"/>
                <w:szCs w:val="18"/>
                <w:highlight w:val="none"/>
                <w:lang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left"/>
              <w:rPr>
                <w:rFonts w:ascii="Times New Roman" w:hAnsi="Times New Roman" w:cs="Times New Roman"/>
                <w:b w:val="0"/>
                <w:bCs w:val="0"/>
                <w:color w:val="auto"/>
                <w:sz w:val="24"/>
                <w:highlight w:val="none"/>
              </w:rPr>
            </w:pPr>
            <w:r>
              <w:rPr>
                <w:rFonts w:ascii="Times New Roman" w:hAnsi="Times New Roman" w:cs="Times New Roman"/>
                <w:b w:val="0"/>
                <w:bCs w:val="0"/>
                <w:color w:val="auto"/>
                <w:sz w:val="24"/>
                <w:highlight w:val="none"/>
              </w:rPr>
              <w:t>采购监督管理部门</w:t>
            </w:r>
          </w:p>
        </w:tc>
        <w:tc>
          <w:tcPr>
            <w:tcW w:w="6687" w:type="dxa"/>
            <w:noWrap w:val="0"/>
            <w:vAlign w:val="center"/>
          </w:tcPr>
          <w:p>
            <w:pPr>
              <w:pStyle w:val="22"/>
              <w:widowControl w:val="0"/>
              <w:spacing w:before="0" w:beforeAutospacing="0" w:after="0" w:afterAutospacing="0" w:line="360" w:lineRule="auto"/>
              <w:jc w:val="both"/>
              <w:rPr>
                <w:rFonts w:hint="eastAsia" w:ascii="Times New Roman" w:hAnsi="Times New Roman" w:eastAsia="宋体" w:cs="Times New Roman"/>
                <w:b w:val="0"/>
                <w:bCs w:val="0"/>
                <w:color w:val="auto"/>
                <w:sz w:val="24"/>
                <w:szCs w:val="18"/>
                <w:highlight w:val="none"/>
                <w:lang w:eastAsia="zh-CN"/>
              </w:rPr>
            </w:pPr>
            <w:r>
              <w:rPr>
                <w:rFonts w:hint="eastAsia" w:ascii="Times New Roman" w:hAnsi="Times New Roman" w:cs="Times New Roman"/>
                <w:b w:val="0"/>
                <w:bCs w:val="0"/>
                <w:color w:val="auto"/>
                <w:sz w:val="24"/>
                <w:szCs w:val="18"/>
                <w:highlight w:val="none"/>
                <w:lang w:eastAsia="zh-CN"/>
              </w:rPr>
              <w:t>合肥滨湖时光产业投资集团有限公司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是否允许联合体投标</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现场考察</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bCs w:val="0"/>
                <w:color w:val="auto"/>
                <w:sz w:val="24"/>
                <w:highlight w:val="none"/>
              </w:rPr>
              <w:t>不组织，投标人自行考察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包别划分</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lang w:val="en-US" w:eastAsia="zh-CN"/>
              </w:rPr>
              <w:t>可</w:t>
            </w:r>
            <w:r>
              <w:rPr>
                <w:rFonts w:ascii="Times New Roman" w:hAnsi="Times New Roman" w:cs="Times New Roman"/>
                <w:b w:val="0"/>
                <w:color w:val="auto"/>
                <w:sz w:val="24"/>
                <w:highlight w:val="none"/>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noWrap w:val="0"/>
            <w:vAlign w:val="center"/>
          </w:tcPr>
          <w:p>
            <w:pPr>
              <w:pStyle w:val="22"/>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投标保证金</w:t>
            </w:r>
          </w:p>
        </w:tc>
        <w:tc>
          <w:tcPr>
            <w:tcW w:w="6687" w:type="dxa"/>
            <w:noWrap w:val="0"/>
            <w:vAlign w:val="center"/>
          </w:tcPr>
          <w:p>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投标有效期</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投标文件要求</w:t>
            </w:r>
            <w:r>
              <w:rPr>
                <w:rFonts w:ascii="Times New Roman" w:hAnsi="Times New Roman" w:cs="Times New Roman"/>
                <w:bCs w:val="0"/>
                <w:color w:val="auto"/>
                <w:sz w:val="24"/>
                <w:highlight w:val="none"/>
              </w:rPr>
              <w:t>（纸质）</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（1）纸质版投标文件（建议胶装成册）：</w:t>
            </w:r>
          </w:p>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Cs w:val="0"/>
                <w:color w:val="auto"/>
                <w:sz w:val="24"/>
                <w:highlight w:val="none"/>
              </w:rPr>
              <w:t>正</w:t>
            </w:r>
            <w:r>
              <w:rPr>
                <w:rFonts w:hint="eastAsia" w:ascii="仿宋" w:hAnsi="仿宋" w:eastAsia="仿宋" w:cs="仿宋"/>
                <w:color w:val="auto"/>
                <w:highlight w:val="none"/>
              </w:rPr>
              <w:t>响应文件一式5份，不区分正副本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开标现场提交的其他材料要求</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bCs w:val="0"/>
                <w:color w:val="auto"/>
                <w:sz w:val="24"/>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投标截止时间及地点</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color w:val="auto"/>
                <w:kern w:val="2"/>
                <w:sz w:val="24"/>
                <w:szCs w:val="24"/>
                <w:highlight w:val="none"/>
              </w:rPr>
            </w:pPr>
            <w:r>
              <w:rPr>
                <w:rFonts w:ascii="Times New Roman" w:hAnsi="Times New Roman" w:cs="Times New Roman"/>
                <w:b w:val="0"/>
                <w:color w:val="auto"/>
                <w:sz w:val="24"/>
                <w:highlight w:val="none"/>
              </w:rPr>
              <w:t>投标截止时间：</w:t>
            </w:r>
            <w:r>
              <w:rPr>
                <w:rFonts w:ascii="Times New Roman" w:hAnsi="Times New Roman" w:cs="Times New Roman"/>
                <w:color w:val="auto"/>
                <w:kern w:val="2"/>
                <w:sz w:val="24"/>
                <w:szCs w:val="24"/>
                <w:highlight w:val="none"/>
              </w:rPr>
              <w:t>详见投标邀请（招标公告）</w:t>
            </w:r>
          </w:p>
          <w:p>
            <w:pPr>
              <w:snapToGrid w:val="0"/>
              <w:spacing w:line="360" w:lineRule="auto"/>
              <w:rPr>
                <w:rFonts w:ascii="Times New Roman" w:hAnsi="Times New Roman" w:cs="Times New Roman"/>
                <w:b/>
                <w:bCs/>
                <w:color w:val="auto"/>
                <w:sz w:val="24"/>
                <w:szCs w:val="24"/>
                <w:highlight w:val="none"/>
              </w:rPr>
            </w:pPr>
            <w:r>
              <w:rPr>
                <w:rFonts w:ascii="Times New Roman" w:hAnsi="Times New Roman" w:cs="Times New Roman"/>
                <w:color w:val="auto"/>
                <w:sz w:val="24"/>
                <w:highlight w:val="none"/>
              </w:rPr>
              <w:t>投标文件递交地点：</w:t>
            </w:r>
            <w:r>
              <w:rPr>
                <w:rFonts w:hint="eastAsia" w:ascii="宋体" w:hAnsi="宋体" w:cs="宋体"/>
                <w:b/>
                <w:bCs/>
                <w:color w:val="auto"/>
                <w:sz w:val="24"/>
                <w:szCs w:val="24"/>
                <w:highlight w:val="none"/>
              </w:rPr>
              <w:t>合肥市包河区滨湖卓越城文华园一期A2楼</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层</w:t>
            </w:r>
          </w:p>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投标文件接收时间：</w:t>
            </w:r>
            <w:r>
              <w:rPr>
                <w:rFonts w:ascii="Times New Roman" w:hAnsi="Times New Roman" w:cs="Times New Roman"/>
                <w:color w:val="auto"/>
                <w:kern w:val="2"/>
                <w:sz w:val="24"/>
                <w:szCs w:val="24"/>
                <w:highlight w:val="none"/>
              </w:rPr>
              <w:t>详见投标邀请（招标公告）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资格审查</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bCs w:val="0"/>
                <w:color w:val="auto"/>
                <w:sz w:val="24"/>
                <w:szCs w:val="24"/>
                <w:highlight w:val="none"/>
              </w:rPr>
              <w:t>评标委员会进行审查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评标方法</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rPr>
              <w:sym w:font="Wingdings 2" w:char="0052"/>
            </w:r>
            <w:r>
              <w:rPr>
                <w:rFonts w:ascii="Times New Roman" w:hAnsi="Times New Roman" w:cs="Times New Roman"/>
                <w:b w:val="0"/>
                <w:color w:val="auto"/>
                <w:sz w:val="24"/>
                <w:highlight w:val="none"/>
                <w:u w:val="single"/>
              </w:rPr>
              <w:t>最低评标价法</w:t>
            </w:r>
          </w:p>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ascii="Times New Roman" w:hAnsi="Times New Roman" w:cs="Times New Roman"/>
                <w:b w:val="0"/>
                <w:color w:val="auto"/>
                <w:sz w:val="24"/>
                <w:highlight w:val="none"/>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推荐中标候选人的数量</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color w:val="auto"/>
                <w:sz w:val="24"/>
                <w:highlight w:val="none"/>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确定中标人</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rPr>
              <w:t>□</w:t>
            </w:r>
            <w:r>
              <w:rPr>
                <w:rFonts w:ascii="Times New Roman" w:hAnsi="Times New Roman" w:cs="Times New Roman"/>
                <w:b w:val="0"/>
                <w:bCs w:val="0"/>
                <w:color w:val="auto"/>
                <w:sz w:val="24"/>
                <w:szCs w:val="24"/>
                <w:highlight w:val="none"/>
              </w:rPr>
              <w:t>招标人委托评标委员会确定</w:t>
            </w:r>
          </w:p>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rPr>
              <w:t>☑</w:t>
            </w:r>
            <w:r>
              <w:rPr>
                <w:rFonts w:ascii="Times New Roman" w:hAnsi="Times New Roman" w:cs="Times New Roman"/>
                <w:b w:val="0"/>
                <w:bCs w:val="0"/>
                <w:color w:val="auto"/>
                <w:sz w:val="24"/>
                <w:szCs w:val="24"/>
                <w:highlight w:val="none"/>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随中标结果公告同时公告的中标人的投标文件内容</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告知招标结果的形式</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投标人自行上网查看（</w:t>
            </w:r>
            <w:r>
              <w:rPr>
                <w:rFonts w:hint="eastAsia" w:ascii="Times New Roman" w:hAnsi="Times New Roman" w:cs="Times New Roman"/>
                <w:b w:val="0"/>
                <w:bCs w:val="0"/>
                <w:color w:val="auto"/>
                <w:sz w:val="24"/>
                <w:szCs w:val="24"/>
                <w:highlight w:val="none"/>
                <w:lang w:eastAsia="zh-CN"/>
              </w:rPr>
              <w:t>合肥滨湖时光产业投资集团有限公司</w:t>
            </w:r>
            <w:r>
              <w:rPr>
                <w:rFonts w:ascii="Times New Roman" w:hAnsi="Times New Roman" w:cs="Times New Roman"/>
                <w:b w:val="0"/>
                <w:bCs w:val="0"/>
                <w:color w:val="auto"/>
                <w:sz w:val="24"/>
                <w:szCs w:val="24"/>
                <w:highlight w:val="none"/>
              </w:rPr>
              <w:t>官方网站</w:t>
            </w:r>
            <w:r>
              <w:rPr>
                <w:rFonts w:hint="eastAsia" w:ascii="Times New Roman" w:hAnsi="Times New Roman" w:cs="Times New Roman"/>
                <w:b w:val="0"/>
                <w:bCs w:val="0"/>
                <w:color w:val="auto"/>
                <w:sz w:val="24"/>
                <w:szCs w:val="24"/>
                <w:highlight w:val="none"/>
                <w:lang w:eastAsia="zh-CN"/>
              </w:rPr>
              <w:t>http://bhsggroup.cn/</w:t>
            </w:r>
            <w:r>
              <w:rPr>
                <w:rFonts w:ascii="Times New Roman" w:hAnsi="Times New Roman" w:cs="Times New Roman"/>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762" w:type="dxa"/>
            <w:noWrap w:val="0"/>
            <w:vAlign w:val="center"/>
          </w:tcPr>
          <w:p>
            <w:pPr>
              <w:pStyle w:val="22"/>
              <w:widowControl w:val="0"/>
              <w:spacing w:before="0" w:beforeAutospacing="0" w:after="0" w:afterAutospacing="0" w:line="360" w:lineRule="auto"/>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履约保证金</w:t>
            </w:r>
          </w:p>
          <w:p>
            <w:pPr>
              <w:pStyle w:val="22"/>
              <w:widowControl w:val="0"/>
              <w:spacing w:before="0" w:beforeAutospacing="0" w:after="0" w:afterAutospacing="0" w:line="360" w:lineRule="auto"/>
              <w:rPr>
                <w:rFonts w:ascii="Times New Roman" w:hAnsi="Times New Roman" w:cs="Times New Roman"/>
                <w:b w:val="0"/>
                <w:color w:val="auto"/>
                <w:sz w:val="24"/>
                <w:highlight w:val="none"/>
              </w:rPr>
            </w:pPr>
          </w:p>
        </w:tc>
        <w:tc>
          <w:tcPr>
            <w:tcW w:w="6687" w:type="dxa"/>
            <w:noWrap w:val="0"/>
            <w:vAlign w:val="center"/>
          </w:tcPr>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是否要求投标人递交履约保证金：</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要求，具体如下：</w:t>
            </w:r>
          </w:p>
          <w:p>
            <w:pPr>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（1）履约保证金金额：</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0000元</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（2）履约保证金形式：</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现金（银行转账、银行电汇）</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银行保函</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担保机构担保</w:t>
            </w:r>
          </w:p>
          <w:p>
            <w:pPr>
              <w:snapToGrid w:val="0"/>
              <w:spacing w:line="360" w:lineRule="auto"/>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rPr>
              <w:t>保证保险</w:t>
            </w:r>
          </w:p>
          <w:p>
            <w:pPr>
              <w:snapToGrid w:val="0"/>
              <w:spacing w:line="360" w:lineRule="auto"/>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（3）具体要求：</w:t>
            </w:r>
          </w:p>
          <w:p>
            <w:pPr>
              <w:snapToGrid w:val="0"/>
              <w:spacing w:line="360" w:lineRule="auto"/>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①采用银行保函的，应为不可撤销、不可转让的见索即付独立保函。</w:t>
            </w:r>
          </w:p>
          <w:p>
            <w:pPr>
              <w:snapToGrid w:val="0"/>
              <w:spacing w:line="360" w:lineRule="auto"/>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②采用担保机构担保的，应为经安徽省地方金融监督管理局审查批准，依法取得融资担保业务经营许可证的融资担保机构出具的不可撤销、不可转让的见索即付独立保函。</w:t>
            </w:r>
          </w:p>
          <w:p>
            <w:pPr>
              <w:snapToGrid w:val="0"/>
              <w:spacing w:line="360" w:lineRule="auto"/>
              <w:jc w:val="left"/>
              <w:rPr>
                <w:rFonts w:hint="eastAsia" w:ascii="Times New Roman" w:hAnsi="Times New Roman" w:cs="宋体"/>
                <w:b/>
                <w:bCs/>
                <w:snapToGrid w:val="0"/>
                <w:color w:val="auto"/>
                <w:sz w:val="24"/>
                <w:szCs w:val="24"/>
                <w:highlight w:val="none"/>
              </w:rPr>
            </w:pPr>
            <w:r>
              <w:rPr>
                <w:rFonts w:hint="eastAsia" w:ascii="Times New Roman" w:hAnsi="Times New Roman" w:cs="宋体"/>
                <w:color w:val="auto"/>
                <w:sz w:val="24"/>
                <w:szCs w:val="24"/>
                <w:highlight w:val="none"/>
              </w:rPr>
              <w:t>③采用保证保险的，应为保险公司出具的不可撤销、不可转让的见索即付保证保险。</w:t>
            </w:r>
          </w:p>
          <w:p>
            <w:pPr>
              <w:spacing w:line="360" w:lineRule="auto"/>
              <w:jc w:val="left"/>
              <w:rPr>
                <w:rFonts w:hint="eastAsia" w:ascii="Times New Roman" w:hAnsi="Times New Roman" w:cs="宋体"/>
                <w:bCs/>
                <w:color w:val="auto"/>
                <w:sz w:val="24"/>
                <w:szCs w:val="24"/>
                <w:highlight w:val="none"/>
              </w:rPr>
            </w:pPr>
            <w:r>
              <w:rPr>
                <w:rFonts w:hint="eastAsia" w:ascii="Times New Roman" w:hAnsi="Times New Roman" w:cs="宋体"/>
                <w:color w:val="auto"/>
                <w:sz w:val="24"/>
                <w:szCs w:val="24"/>
                <w:highlight w:val="none"/>
              </w:rPr>
              <w:t>（</w:t>
            </w:r>
            <w:r>
              <w:rPr>
                <w:rFonts w:ascii="Times New Roman" w:hAnsi="Times New Roman" w:cs="宋体"/>
                <w:color w:val="auto"/>
                <w:sz w:val="24"/>
                <w:szCs w:val="24"/>
                <w:highlight w:val="none"/>
              </w:rPr>
              <w:t>4</w:t>
            </w:r>
            <w:r>
              <w:rPr>
                <w:rFonts w:hint="eastAsia" w:ascii="Times New Roman" w:hAnsi="Times New Roman" w:cs="宋体"/>
                <w:color w:val="auto"/>
                <w:sz w:val="24"/>
                <w:szCs w:val="24"/>
                <w:highlight w:val="none"/>
              </w:rPr>
              <w:t>）</w:t>
            </w:r>
            <w:r>
              <w:rPr>
                <w:rFonts w:hint="eastAsia" w:ascii="Times New Roman" w:hAnsi="Times New Roman" w:cs="宋体"/>
                <w:bCs/>
                <w:color w:val="auto"/>
                <w:sz w:val="24"/>
                <w:szCs w:val="24"/>
                <w:highlight w:val="none"/>
              </w:rPr>
              <w:t>本招标项目是否减免履约保证金：</w:t>
            </w:r>
          </w:p>
          <w:p>
            <w:pPr>
              <w:spacing w:line="360" w:lineRule="auto"/>
              <w:jc w:val="left"/>
              <w:rPr>
                <w:rFonts w:hint="eastAsia"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lang w:eastAsia="zh-CN"/>
              </w:rPr>
              <w:t>☑</w:t>
            </w:r>
            <w:r>
              <w:rPr>
                <w:rFonts w:hint="eastAsia" w:ascii="Times New Roman" w:hAnsi="Times New Roman" w:cs="宋体"/>
                <w:bCs/>
                <w:color w:val="auto"/>
                <w:sz w:val="24"/>
                <w:szCs w:val="24"/>
                <w:highlight w:val="none"/>
              </w:rPr>
              <w:t>不减免</w:t>
            </w:r>
          </w:p>
          <w:p>
            <w:pPr>
              <w:snapToGrid w:val="0"/>
              <w:spacing w:line="360" w:lineRule="auto"/>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5</w:t>
            </w:r>
            <w:r>
              <w:rPr>
                <w:rFonts w:hint="eastAsia" w:ascii="Times New Roman" w:hAnsi="Times New Roman" w:eastAsia="宋体" w:cs="宋体"/>
                <w:color w:val="auto"/>
                <w:sz w:val="24"/>
                <w:szCs w:val="24"/>
                <w:highlight w:val="none"/>
              </w:rPr>
              <w:t>）收取单位：</w:t>
            </w:r>
            <w:r>
              <w:rPr>
                <w:rFonts w:hint="eastAsia" w:ascii="Times New Roman" w:hAnsi="Times New Roman" w:eastAsia="宋体" w:cs="宋体"/>
                <w:color w:val="auto"/>
                <w:sz w:val="24"/>
                <w:szCs w:val="24"/>
                <w:highlight w:val="none"/>
                <w:lang w:eastAsia="zh-CN"/>
              </w:rPr>
              <w:t>合肥滨湖时光空间</w:t>
            </w:r>
            <w:r>
              <w:rPr>
                <w:rFonts w:hint="eastAsia" w:ascii="Times New Roman" w:hAnsi="Times New Roman" w:eastAsia="宋体" w:cs="宋体"/>
                <w:color w:val="auto"/>
                <w:sz w:val="24"/>
                <w:szCs w:val="24"/>
                <w:highlight w:val="none"/>
                <w:lang w:val="en-US" w:eastAsia="zh-CN"/>
              </w:rPr>
              <w:t>运营管理有限公司</w:t>
            </w:r>
            <w:r>
              <w:rPr>
                <w:rFonts w:hint="eastAsia" w:ascii="Times New Roman" w:hAnsi="Times New Roman" w:eastAsia="宋体" w:cs="宋体"/>
                <w:color w:val="auto"/>
                <w:sz w:val="24"/>
                <w:szCs w:val="24"/>
                <w:highlight w:val="none"/>
              </w:rPr>
              <w:t xml:space="preserve">              </w:t>
            </w:r>
          </w:p>
          <w:p>
            <w:pPr>
              <w:snapToGrid w:val="0"/>
              <w:spacing w:line="360" w:lineRule="auto"/>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 xml:space="preserve">）缴纳时间：合同签订前 </w:t>
            </w:r>
          </w:p>
          <w:p>
            <w:pPr>
              <w:snapToGrid w:val="0"/>
              <w:spacing w:line="360" w:lineRule="auto"/>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7</w:t>
            </w:r>
            <w:r>
              <w:rPr>
                <w:rFonts w:hint="eastAsia" w:ascii="Times New Roman" w:hAnsi="Times New Roman" w:eastAsia="宋体" w:cs="宋体"/>
                <w:color w:val="auto"/>
                <w:sz w:val="24"/>
                <w:szCs w:val="24"/>
                <w:highlight w:val="none"/>
              </w:rPr>
              <w:t>）退还：服务期满且所有项目结算后退还（需扣除因</w:t>
            </w:r>
            <w:r>
              <w:rPr>
                <w:rFonts w:hint="eastAsia" w:ascii="Times New Roman" w:hAnsi="Times New Roman" w:eastAsia="宋体" w:cs="宋体"/>
                <w:color w:val="auto"/>
                <w:sz w:val="24"/>
                <w:szCs w:val="24"/>
                <w:highlight w:val="none"/>
                <w:lang w:val="en-US" w:eastAsia="zh-CN"/>
              </w:rPr>
              <w:t>中标人</w:t>
            </w:r>
            <w:r>
              <w:rPr>
                <w:rFonts w:hint="eastAsia" w:ascii="Times New Roman" w:hAnsi="Times New Roman" w:eastAsia="宋体" w:cs="宋体"/>
                <w:color w:val="auto"/>
                <w:sz w:val="24"/>
                <w:szCs w:val="24"/>
                <w:highlight w:val="none"/>
              </w:rPr>
              <w:t xml:space="preserve">违约产生的费用 </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 xml:space="preserve">    </w:t>
            </w:r>
          </w:p>
          <w:p>
            <w:pPr>
              <w:snapToGrid w:val="0"/>
              <w:spacing w:line="360" w:lineRule="auto"/>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val="en-US" w:eastAsia="zh-CN"/>
              </w:rPr>
              <w:t>8</w:t>
            </w:r>
            <w:r>
              <w:rPr>
                <w:rFonts w:hint="eastAsia" w:ascii="Times New Roman" w:hAnsi="Times New Roman" w:cs="宋体"/>
                <w:color w:val="auto"/>
                <w:sz w:val="24"/>
                <w:szCs w:val="24"/>
                <w:highlight w:val="none"/>
              </w:rPr>
              <w:t>）其他要求：</w:t>
            </w:r>
            <w:r>
              <w:rPr>
                <w:rFonts w:hint="eastAsia" w:ascii="Times New Roman" w:hAnsi="Times New Roman" w:cs="宋体"/>
                <w:color w:val="auto"/>
                <w:sz w:val="24"/>
                <w:szCs w:val="24"/>
                <w:highlight w:val="none"/>
                <w:lang w:val="en-US" w:eastAsia="zh-CN"/>
              </w:rPr>
              <w:t xml:space="preserve">投标人采用现金（银行转账、银行电汇）形 </w:t>
            </w:r>
          </w:p>
          <w:p>
            <w:pPr>
              <w:pStyle w:val="2"/>
              <w:rPr>
                <w:color w:val="auto"/>
                <w:highlight w:val="none"/>
                <w:lang w:val="en-US"/>
              </w:rPr>
            </w:pPr>
            <w:r>
              <w:rPr>
                <w:rFonts w:hint="eastAsia" w:ascii="Times New Roman" w:hAnsi="Times New Roman" w:cs="宋体"/>
                <w:b w:val="0"/>
                <w:bCs w:val="0"/>
                <w:color w:val="auto"/>
                <w:sz w:val="24"/>
                <w:szCs w:val="24"/>
                <w:highlight w:val="none"/>
                <w:lang w:val="en-US" w:eastAsia="zh-CN"/>
              </w:rPr>
              <w:t>式提交履约保证金的，同时退还银行同期活期存款利息。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中标服务费</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rPr>
              <w:t>☑</w:t>
            </w:r>
            <w:r>
              <w:rPr>
                <w:rFonts w:ascii="Times New Roman" w:hAnsi="Times New Roman" w:cs="Times New Roman"/>
                <w:b w:val="0"/>
                <w:color w:val="auto"/>
                <w:sz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其他内容</w:t>
            </w:r>
          </w:p>
        </w:tc>
        <w:tc>
          <w:tcPr>
            <w:tcW w:w="6687"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关于联合体投标的相关约定</w:t>
            </w:r>
          </w:p>
        </w:tc>
        <w:tc>
          <w:tcPr>
            <w:tcW w:w="6687" w:type="dxa"/>
            <w:noWrap w:val="0"/>
            <w:vAlign w:val="center"/>
          </w:tcPr>
          <w:p>
            <w:pPr>
              <w:pStyle w:val="22"/>
              <w:widowControl w:val="0"/>
              <w:spacing w:before="0" w:beforeAutospacing="0" w:after="0" w:afterAutospacing="0" w:line="360" w:lineRule="auto"/>
              <w:jc w:val="both"/>
              <w:rPr>
                <w:rFonts w:hint="eastAsia" w:ascii="Times New Roman" w:hAnsi="Times New Roman" w:eastAsia="宋体" w:cs="Times New Roman"/>
                <w:b w:val="0"/>
                <w:color w:val="auto"/>
                <w:sz w:val="24"/>
                <w:highlight w:val="none"/>
                <w:lang w:val="en-US" w:eastAsia="zh-CN"/>
              </w:rPr>
            </w:pPr>
            <w:r>
              <w:rPr>
                <w:rFonts w:hint="eastAsia" w:ascii="Times New Roman" w:hAnsi="Times New Roman" w:cs="Times New Roman"/>
                <w:b w:val="0"/>
                <w:color w:val="auto"/>
                <w:sz w:val="24"/>
                <w:highlight w:val="none"/>
              </w:rPr>
              <w:t>☑</w:t>
            </w:r>
            <w:r>
              <w:rPr>
                <w:rFonts w:hint="eastAsia" w:ascii="Times New Roman" w:hAnsi="Times New Roman" w:cs="Times New Roman"/>
                <w:b w:val="0"/>
                <w:color w:val="auto"/>
                <w:sz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hint="eastAsia" w:ascii="Times New Roman" w:hAnsi="Times New Roman" w:eastAsia="宋体" w:cs="Times New Roman"/>
                <w:b w:val="0"/>
                <w:color w:val="auto"/>
                <w:sz w:val="24"/>
                <w:highlight w:val="none"/>
                <w:lang w:val="en-US" w:eastAsia="zh-CN"/>
              </w:rPr>
            </w:pPr>
            <w:r>
              <w:rPr>
                <w:rFonts w:hint="eastAsia" w:ascii="Times New Roman" w:hAnsi="Times New Roman" w:cs="Times New Roman"/>
                <w:b w:val="0"/>
                <w:color w:val="auto"/>
                <w:sz w:val="24"/>
                <w:highlight w:val="none"/>
                <w:lang w:val="en-US" w:eastAsia="zh-CN"/>
              </w:rPr>
              <w:t>分包</w:t>
            </w:r>
          </w:p>
        </w:tc>
        <w:tc>
          <w:tcPr>
            <w:tcW w:w="6687" w:type="dxa"/>
            <w:noWrap w:val="0"/>
            <w:vAlign w:val="center"/>
          </w:tcPr>
          <w:p>
            <w:pPr>
              <w:pStyle w:val="3"/>
              <w:topLinePunct/>
              <w:spacing w:line="360" w:lineRule="auto"/>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□不允许</w:t>
            </w:r>
          </w:p>
          <w:p>
            <w:pPr>
              <w:pStyle w:val="3"/>
              <w:topLinePunct/>
              <w:spacing w:line="360" w:lineRule="auto"/>
              <w:jc w:val="left"/>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☑允许，允许分包的服务：经招标人同意后允许分包的工程</w:t>
            </w:r>
          </w:p>
          <w:p>
            <w:pPr>
              <w:pStyle w:val="3"/>
              <w:topLinePunct/>
              <w:spacing w:line="360" w:lineRule="auto"/>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 xml:space="preserve">分包金额要求：   /   </w:t>
            </w:r>
          </w:p>
          <w:p>
            <w:pPr>
              <w:pStyle w:val="22"/>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hint="eastAsia" w:ascii="Times New Roman" w:hAnsi="Times New Roman" w:cs="宋体"/>
                <w:color w:val="auto"/>
                <w:sz w:val="24"/>
                <w:szCs w:val="22"/>
                <w:highlight w:val="none"/>
              </w:rPr>
              <w:t>对分包人的资质要求</w:t>
            </w:r>
            <w:r>
              <w:rPr>
                <w:rFonts w:hint="eastAsia" w:ascii="Times New Roman" w:hAnsi="Times New Roman" w:cs="宋体"/>
                <w:bCs/>
                <w:color w:val="auto"/>
                <w:sz w:val="24"/>
                <w:szCs w:val="22"/>
                <w:highlight w:val="none"/>
              </w:rPr>
              <w:t>：</w:t>
            </w:r>
            <w:r>
              <w:rPr>
                <w:rFonts w:hint="eastAsia" w:ascii="Times New Roman" w:hAnsi="Times New Roman" w:cs="宋体"/>
                <w:bCs/>
                <w:color w:val="auto"/>
                <w:sz w:val="24"/>
                <w:szCs w:val="22"/>
                <w:highlight w:val="none"/>
                <w:lang w:val="en-US" w:eastAsia="zh-CN"/>
              </w:rPr>
              <w:t>符合相关法律法规及相关资质规定要求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rPr>
              <w:t>增值税税金相关要求</w:t>
            </w:r>
          </w:p>
        </w:tc>
        <w:tc>
          <w:tcPr>
            <w:tcW w:w="6687" w:type="dxa"/>
            <w:noWrap w:val="0"/>
            <w:vAlign w:val="center"/>
          </w:tcPr>
          <w:p>
            <w:pPr>
              <w:snapToGrid w:val="0"/>
              <w:spacing w:line="360" w:lineRule="auto"/>
              <w:jc w:val="left"/>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（1）计税方法：</w:t>
            </w:r>
          </w:p>
          <w:p>
            <w:pPr>
              <w:snapToGrid w:val="0"/>
              <w:spacing w:line="360" w:lineRule="auto"/>
              <w:jc w:val="left"/>
              <w:rPr>
                <w:rFonts w:hint="eastAsia" w:ascii="Times New Roman" w:hAnsi="Times New Roman" w:cs="宋体"/>
                <w:bCs/>
                <w:snapToGrid w:val="0"/>
                <w:color w:val="auto"/>
                <w:kern w:val="0"/>
                <w:sz w:val="24"/>
                <w:szCs w:val="24"/>
                <w:highlight w:val="none"/>
              </w:rPr>
            </w:pPr>
            <w:r>
              <w:rPr>
                <w:rFonts w:hint="eastAsia" w:ascii="宋体" w:hAnsi="宋体" w:cs="宋体"/>
                <w:bCs/>
                <w:snapToGrid w:val="0"/>
                <w:color w:val="auto"/>
                <w:kern w:val="0"/>
                <w:sz w:val="24"/>
                <w:highlight w:val="none"/>
                <w:lang w:eastAsia="zh-CN"/>
              </w:rPr>
              <w:t>☑</w:t>
            </w:r>
            <w:r>
              <w:rPr>
                <w:rFonts w:hint="eastAsia" w:ascii="Times New Roman" w:hAnsi="Times New Roman" w:cs="宋体"/>
                <w:bCs/>
                <w:snapToGrid w:val="0"/>
                <w:color w:val="auto"/>
                <w:kern w:val="0"/>
                <w:sz w:val="24"/>
                <w:szCs w:val="24"/>
                <w:highlight w:val="none"/>
              </w:rPr>
              <w:t>一般计税方法</w:t>
            </w:r>
          </w:p>
          <w:p>
            <w:pPr>
              <w:snapToGrid w:val="0"/>
              <w:spacing w:line="360" w:lineRule="auto"/>
              <w:jc w:val="left"/>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 xml:space="preserve">□简易计算方法 </w:t>
            </w:r>
          </w:p>
          <w:p>
            <w:pPr>
              <w:snapToGrid w:val="0"/>
              <w:spacing w:line="360" w:lineRule="auto"/>
              <w:jc w:val="left"/>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（2）发票类型：</w:t>
            </w:r>
          </w:p>
          <w:p>
            <w:pPr>
              <w:snapToGrid w:val="0"/>
              <w:spacing w:line="360" w:lineRule="auto"/>
              <w:jc w:val="left"/>
              <w:rPr>
                <w:rFonts w:hint="eastAsia" w:ascii="Times New Roman" w:hAnsi="Times New Roman" w:cs="宋体"/>
                <w:bCs/>
                <w:snapToGrid w:val="0"/>
                <w:color w:val="auto"/>
                <w:kern w:val="0"/>
                <w:sz w:val="24"/>
                <w:szCs w:val="24"/>
                <w:highlight w:val="none"/>
              </w:rPr>
            </w:pPr>
            <w:r>
              <w:rPr>
                <w:rFonts w:hint="eastAsia" w:ascii="宋体" w:hAnsi="宋体" w:cs="宋体"/>
                <w:bCs/>
                <w:snapToGrid w:val="0"/>
                <w:color w:val="auto"/>
                <w:kern w:val="0"/>
                <w:sz w:val="24"/>
                <w:highlight w:val="none"/>
                <w:lang w:eastAsia="zh-CN"/>
              </w:rPr>
              <w:t>☑</w:t>
            </w:r>
            <w:r>
              <w:rPr>
                <w:rFonts w:hint="eastAsia" w:ascii="Times New Roman" w:hAnsi="Times New Roman" w:cs="宋体"/>
                <w:bCs/>
                <w:snapToGrid w:val="0"/>
                <w:color w:val="auto"/>
                <w:kern w:val="0"/>
                <w:sz w:val="24"/>
                <w:szCs w:val="24"/>
                <w:highlight w:val="none"/>
              </w:rPr>
              <w:t>增值税专用发票</w:t>
            </w:r>
          </w:p>
          <w:p>
            <w:pPr>
              <w:snapToGrid w:val="0"/>
              <w:spacing w:line="360" w:lineRule="auto"/>
              <w:jc w:val="left"/>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□增值税普通发票</w:t>
            </w:r>
          </w:p>
          <w:p>
            <w:pPr>
              <w:snapToGrid w:val="0"/>
              <w:spacing w:line="360" w:lineRule="auto"/>
              <w:jc w:val="left"/>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（3）增值税税率按照国家有关规定执行。</w:t>
            </w:r>
          </w:p>
          <w:p>
            <w:pPr>
              <w:pStyle w:val="22"/>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hint="eastAsia" w:ascii="Times New Roman" w:hAnsi="Times New Roman" w:cs="宋体"/>
                <w:bCs/>
                <w:snapToGrid w:val="0"/>
                <w:color w:val="auto"/>
                <w:kern w:val="0"/>
                <w:sz w:val="24"/>
                <w:szCs w:val="24"/>
                <w:highlight w:val="none"/>
              </w:rPr>
              <w:t>（4）</w:t>
            </w:r>
            <w:r>
              <w:rPr>
                <w:rFonts w:hint="eastAsia" w:ascii="Times New Roman" w:hAnsi="Times New Roman" w:cs="宋体"/>
                <w:color w:val="auto"/>
                <w:sz w:val="24"/>
                <w:szCs w:val="24"/>
                <w:highlight w:val="none"/>
              </w:rPr>
              <w:t>注册地不在合肥市行政区域范围（含四县一市）的中标人，应按照国家税务总局规定，在建筑服务发生地及时足额预缴增值税。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62" w:type="dxa"/>
            <w:noWrap w:val="0"/>
            <w:vAlign w:val="center"/>
          </w:tcPr>
          <w:p>
            <w:pPr>
              <w:pStyle w:val="22"/>
              <w:widowControl w:val="0"/>
              <w:spacing w:before="0" w:beforeAutospacing="0" w:after="0" w:afterAutospacing="0" w:line="360" w:lineRule="auto"/>
              <w:jc w:val="center"/>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rPr>
              <w:t>报价方式</w:t>
            </w:r>
          </w:p>
        </w:tc>
        <w:tc>
          <w:tcPr>
            <w:tcW w:w="6687" w:type="dxa"/>
            <w:noWrap w:val="0"/>
            <w:vAlign w:val="center"/>
          </w:tcPr>
          <w:p>
            <w:pPr>
              <w:spacing w:line="360" w:lineRule="auto"/>
              <w:jc w:val="left"/>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□总价：</w:t>
            </w:r>
          </w:p>
          <w:p>
            <w:pPr>
              <w:spacing w:line="360" w:lineRule="auto"/>
              <w:jc w:val="left"/>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□单价：</w:t>
            </w:r>
          </w:p>
          <w:p>
            <w:pPr>
              <w:spacing w:line="360" w:lineRule="auto"/>
              <w:jc w:val="left"/>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lang w:eastAsia="zh-CN"/>
              </w:rPr>
              <w:t>☑</w:t>
            </w:r>
            <w:r>
              <w:rPr>
                <w:rFonts w:hint="eastAsia" w:ascii="Times New Roman" w:hAnsi="Times New Roman" w:cs="宋体"/>
                <w:bCs/>
                <w:snapToGrid w:val="0"/>
                <w:color w:val="auto"/>
                <w:kern w:val="0"/>
                <w:sz w:val="24"/>
                <w:szCs w:val="24"/>
                <w:highlight w:val="none"/>
              </w:rPr>
              <w:t>费率：</w:t>
            </w:r>
            <w:r>
              <w:rPr>
                <w:rFonts w:hint="eastAsia" w:ascii="Times New Roman" w:hAnsi="Times New Roman" w:cs="宋体"/>
                <w:bCs/>
                <w:snapToGrid w:val="0"/>
                <w:color w:val="auto"/>
                <w:kern w:val="0"/>
                <w:sz w:val="24"/>
                <w:szCs w:val="24"/>
                <w:highlight w:val="none"/>
                <w:lang w:val="en-US" w:eastAsia="zh-CN"/>
              </w:rPr>
              <w:t>详见第三章报价要求</w:t>
            </w:r>
          </w:p>
          <w:p>
            <w:pPr>
              <w:pStyle w:val="22"/>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hint="eastAsia" w:ascii="Times New Roman" w:hAnsi="Times New Roman" w:cs="宋体"/>
                <w:b w:val="0"/>
                <w:bCs w:val="0"/>
                <w:snapToGrid w:val="0"/>
                <w:color w:val="auto"/>
                <w:kern w:val="0"/>
                <w:sz w:val="24"/>
                <w:szCs w:val="24"/>
                <w:highlight w:val="none"/>
              </w:rPr>
              <w:t>□定价：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eastAsia" w:ascii="Times New Roman" w:hAnsi="Times New Roman" w:cs="Times New Roman"/>
                <w:b w:val="0"/>
                <w:color w:val="auto"/>
                <w:sz w:val="24"/>
                <w:highlight w:val="none"/>
                <w:lang w:val="en-US" w:eastAsia="zh-CN"/>
              </w:rPr>
              <w:t>相关政策要求</w:t>
            </w:r>
          </w:p>
        </w:tc>
        <w:tc>
          <w:tcPr>
            <w:tcW w:w="6687" w:type="dxa"/>
            <w:noWrap w:val="0"/>
            <w:vAlign w:val="center"/>
          </w:tcPr>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（1）省外建设工程企业按照《关于优化进皖建设工程企业信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息登记服务和管理有关工作的通知》（建市函〔2022〕580 </w:t>
            </w:r>
          </w:p>
          <w:p>
            <w:pPr>
              <w:widowControl/>
              <w:snapToGrid w:val="0"/>
              <w:spacing w:line="360" w:lineRule="auto"/>
              <w:jc w:val="left"/>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 xml:space="preserve">号）进行相关信息登记。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（2）工程质量保证金执行《关于以保函等方式替代工程质量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保证金的通知》（合建〔2020〕29 号）。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（3）关于投标保证金、履约保证金、工程质量保证金执行《关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于加快推进房屋建筑和市政基础设施工程实行工程担保制度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的通知》（建市〔2020〕84 号）。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（4）保证保险产品应按《中国银保监会办公厅关于进一步加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强和改进财产保险公司产品监管有关问题的通知》执行。 </w:t>
            </w:r>
          </w:p>
          <w:p>
            <w:pPr>
              <w:widowControl/>
              <w:snapToGrid w:val="0"/>
              <w:spacing w:line="360" w:lineRule="auto"/>
              <w:jc w:val="both"/>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（5）采用一级建造师投标的应按《住房和城乡建设部办公厅 </w:t>
            </w:r>
          </w:p>
          <w:p>
            <w:pPr>
              <w:widowControl/>
              <w:snapToGrid w:val="0"/>
              <w:spacing w:line="360" w:lineRule="auto"/>
              <w:jc w:val="both"/>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关于全面实行一级建造师电子注册证书的通知》（建办市〔2021〕40 号）执行。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（6）采用一级注册建筑师投标的应符合《全国注册建筑师管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理委员会关于开展使用一级注册建筑师电子注册证书工作的 </w:t>
            </w:r>
          </w:p>
          <w:p>
            <w:pPr>
              <w:widowControl/>
              <w:snapToGrid w:val="0"/>
              <w:spacing w:line="360" w:lineRule="auto"/>
              <w:jc w:val="lef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 xml:space="preserve">通知》（注建〔2021〕2 号）规定，投标文件提供的一级注册建筑师证书应在个人签名处手写本人签名，未手写签名或与签名图像笔迹不一致的，该电子证书无效。 </w:t>
            </w:r>
          </w:p>
          <w:p>
            <w:pPr>
              <w:pStyle w:val="22"/>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hint="eastAsia" w:ascii="Times New Roman" w:hAnsi="Times New Roman" w:eastAsia="宋体" w:cs="宋体"/>
                <w:b/>
                <w:bCs w:val="0"/>
                <w:color w:val="auto"/>
                <w:sz w:val="24"/>
                <w:szCs w:val="24"/>
                <w:highlight w:val="none"/>
                <w:lang w:val="en-US" w:eastAsia="zh-CN"/>
              </w:rPr>
              <w:t>注：未列明的按照国家、省、市相关政策执行。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eastAsia" w:ascii="Times New Roman" w:hAnsi="Times New Roman" w:cs="Times New Roman"/>
                <w:b w:val="0"/>
                <w:color w:val="auto"/>
                <w:sz w:val="24"/>
                <w:highlight w:val="none"/>
                <w:lang w:val="en-US" w:eastAsia="zh-CN"/>
              </w:rPr>
              <w:t>投标所需材料</w:t>
            </w:r>
          </w:p>
        </w:tc>
        <w:tc>
          <w:tcPr>
            <w:tcW w:w="6687" w:type="dxa"/>
            <w:noWrap w:val="0"/>
            <w:vAlign w:val="center"/>
          </w:tcPr>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（1）投标人按照招标文件要求编制投标文件并对投标文件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进行电子签章并使用数字证书加密，并于招标文件规定的投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标截止时间前通过电子交易系统完成上传。投标人应合理安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排投标文件递交时间，特别是网络速度慢的地区防止在系统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关闭前网络拥堵无法操作。如果因计算机及网络故障造成无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法完成投标文件递交情形，责任自负。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（2）投标人应及时查看上传的相关资料，如出现上传的相应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投标资料不全、模糊不清、超出有效期等情况，评标委员会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将作出对投标人不利的认定，由此产生的一切后果由投标人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自行承担。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（3）投标人提供的营业执照、资质证书、安全生产许可证、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安全生产考核合格证书、注册建造师证书、安全生产考核合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格证书等证书证件应在有效期内，若法律法规或发证机构或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相关主管部门另有规定的，从其规定。投标人在投标文件中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提供了相关证明材料，或经询标被评标委员会认定符合相关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规定的，评标委员会应予以认可。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（4）采用一级建造师投标的应符合《住房和城乡建设部办公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厅关于全面实行一级建造师电子注册证书的通知》(建办市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〔2021〕40 号)规定，投标文件应提供一级建造师电子注册证书，且应在个人签名处手写本人签名，未手写签名或与签名图像笔迹不一致的，该电子证书无效。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（5）采用一级注册建筑师投标的应符合《全国注册建筑师管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理委员会关于开展使用一级注册建筑师电子注册证书工作的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通知》（注建〔2021〕2 号）规定，投标文件提供的一级注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册建筑师证书应在个人签名处手写本人签名，未手写签名或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与签名图像笔迹不一致的，该电子证书无效。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（6）具体资料以第三章“评标办法”和第六章“投标文件格 </w:t>
            </w:r>
          </w:p>
          <w:p>
            <w:pPr>
              <w:pStyle w:val="22"/>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hint="eastAsia" w:ascii="宋体" w:hAnsi="宋体" w:eastAsia="宋体" w:cs="宋体"/>
                <w:color w:val="auto"/>
                <w:kern w:val="0"/>
                <w:sz w:val="24"/>
                <w:szCs w:val="24"/>
                <w:highlight w:val="none"/>
                <w:lang w:val="en-US" w:eastAsia="zh-CN" w:bidi="ar"/>
              </w:rPr>
              <w:t>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snapToGrid w:val="0"/>
              <w:spacing w:line="360" w:lineRule="auto"/>
              <w:jc w:val="center"/>
              <w:rPr>
                <w:rFonts w:ascii="Times New Roman" w:hAnsi="Times New Roman" w:cs="Times New Roman"/>
                <w:b w:val="0"/>
                <w:color w:val="auto"/>
                <w:sz w:val="24"/>
                <w:highlight w:val="none"/>
              </w:rPr>
            </w:pPr>
            <w:r>
              <w:rPr>
                <w:rFonts w:hint="eastAsia" w:ascii="Times New Roman" w:hAnsi="Times New Roman" w:cs="宋体"/>
                <w:b w:val="0"/>
                <w:bCs/>
                <w:snapToGrid w:val="0"/>
                <w:color w:val="auto"/>
                <w:sz w:val="24"/>
                <w:szCs w:val="24"/>
                <w:highlight w:val="none"/>
                <w:lang w:val="en-US" w:eastAsia="zh-CN"/>
              </w:rPr>
              <w:t>招标人补充的其他内容</w:t>
            </w:r>
          </w:p>
        </w:tc>
        <w:tc>
          <w:tcPr>
            <w:tcW w:w="6687" w:type="dxa"/>
            <w:noWrap w:val="0"/>
            <w:vAlign w:val="center"/>
          </w:tcPr>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（1）投标人投标文件中填报人员及投标人按招标文件提出的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最低要求填报派驻投标标段的其他管理和技术人员，经招标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人审核后不得进行更换。除非招标文件另有约定，投标人派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驻投标标段的项目负责人及项目管理机构主要人员均应为投标单位在职人员（不含外聘人员、返聘人员、临时聘用人员），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否则招标人有权取消其中标资格。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（2）因电子服务系统或电子交易系统出现软件设计或功能缺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陷、运行异常等情况，可能影响招投标活动公平、公正进行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的，招标人（或招标代理机构）有权中止或终止招投标活动，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招投标各方免责。 </w:t>
            </w:r>
          </w:p>
          <w:p>
            <w:pPr>
              <w:pStyle w:val="22"/>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3</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唱标信息内容与投标函中不一致的，以投标函中内容为准。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社保证明材料</w:t>
            </w:r>
          </w:p>
        </w:tc>
        <w:tc>
          <w:tcPr>
            <w:tcW w:w="6687" w:type="dxa"/>
            <w:noWrap w:val="0"/>
            <w:vAlign w:val="center"/>
          </w:tcPr>
          <w:p>
            <w:pPr>
              <w:pStyle w:val="2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本项目磋商文件中要求提供的社保证明材料为下述形式之一（响应文件中须提供扫描件）：</w:t>
            </w:r>
          </w:p>
          <w:p>
            <w:pPr>
              <w:pStyle w:val="2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（1）社保局官方网站查询的缴费记录截图；</w:t>
            </w:r>
          </w:p>
          <w:p>
            <w:pPr>
              <w:pStyle w:val="2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（2）社保局的书面证明材料；</w:t>
            </w:r>
          </w:p>
          <w:p>
            <w:pPr>
              <w:pStyle w:val="2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（3）经投标人委托的第三方人力资源服务机构或与投标人有直接隶属关系的机构可以代缴社保，但须提供有关证明材料并经磋商小组确认；</w:t>
            </w:r>
          </w:p>
          <w:p>
            <w:pPr>
              <w:pStyle w:val="2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（4）参与磋商的院校，社保证明可以用以下任意一种：</w:t>
            </w:r>
          </w:p>
          <w:p>
            <w:pPr>
              <w:pStyle w:val="2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①加盖投标人公章的教师证（须为本单位人员）；</w:t>
            </w:r>
          </w:p>
          <w:p>
            <w:pPr>
              <w:pStyle w:val="2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②医保证明材料；</w:t>
            </w:r>
          </w:p>
          <w:p>
            <w:pPr>
              <w:pStyle w:val="2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（5）其他经磋商小组认可的证明材料；</w:t>
            </w:r>
          </w:p>
          <w:p>
            <w:pPr>
              <w:pStyle w:val="22"/>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hint="eastAsia" w:ascii="宋体" w:hAnsi="宋体" w:eastAsia="宋体" w:cs="宋体"/>
                <w:b w:val="0"/>
                <w:color w:val="auto"/>
                <w:sz w:val="24"/>
                <w:highlight w:val="none"/>
              </w:rPr>
              <w:t>（6）法定代表人参与项目的，无需提供社保证明材料，提供身份证明材料即可。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重要提示</w:t>
            </w:r>
          </w:p>
        </w:tc>
        <w:tc>
          <w:tcPr>
            <w:tcW w:w="6687" w:type="dxa"/>
            <w:noWrap w:val="0"/>
            <w:vAlign w:val="center"/>
          </w:tcPr>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解释权</w:t>
            </w:r>
          </w:p>
        </w:tc>
        <w:tc>
          <w:tcPr>
            <w:tcW w:w="6687" w:type="dxa"/>
            <w:noWrap w:val="0"/>
            <w:vAlign w:val="center"/>
          </w:tcPr>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（1）构成本招标文件的各个组成文件应互为解释，互为说明；</w:t>
            </w:r>
          </w:p>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（2）同一组成文件中就同一事项的规定或约定不一致的，除招标文件另有规定外，以编排顺序在后者为准；</w:t>
            </w:r>
          </w:p>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pPr>
              <w:pStyle w:val="22"/>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其他补充说明</w:t>
            </w:r>
          </w:p>
        </w:tc>
        <w:tc>
          <w:tcPr>
            <w:tcW w:w="6687" w:type="dxa"/>
            <w:noWrap w:val="0"/>
            <w:vAlign w:val="center"/>
          </w:tcPr>
          <w:p>
            <w:pPr>
              <w:spacing w:line="360" w:lineRule="auto"/>
              <w:rPr>
                <w:rFonts w:ascii="Times New Roman" w:hAnsi="Times New Roman" w:cs="Times New Roman"/>
                <w:bCs/>
                <w:color w:val="auto"/>
                <w:sz w:val="24"/>
                <w:szCs w:val="24"/>
                <w:highlight w:val="none"/>
                <w:u w:val="single"/>
              </w:rPr>
            </w:pPr>
          </w:p>
        </w:tc>
      </w:tr>
    </w:tbl>
    <w:p>
      <w:pPr>
        <w:rPr>
          <w:rFonts w:ascii="Times New Roman" w:hAnsi="Times New Roman" w:cs="Times New Roman"/>
          <w:b/>
          <w:color w:val="auto"/>
          <w:highlight w:val="none"/>
        </w:rPr>
      </w:pPr>
      <w:bookmarkStart w:id="15" w:name="_Toc26766"/>
      <w:bookmarkStart w:id="16" w:name="_Toc283798416"/>
      <w:bookmarkStart w:id="17" w:name="_Toc460226989"/>
      <w:bookmarkStart w:id="18" w:name="_Toc421916975"/>
      <w:bookmarkStart w:id="19" w:name="_Toc11078137"/>
      <w:bookmarkStart w:id="20" w:name="_Toc460660062"/>
      <w:bookmarkStart w:id="21" w:name="_Toc460226720"/>
    </w:p>
    <w:bookmarkEnd w:id="15"/>
    <w:bookmarkEnd w:id="16"/>
    <w:bookmarkEnd w:id="17"/>
    <w:bookmarkEnd w:id="18"/>
    <w:bookmarkEnd w:id="19"/>
    <w:bookmarkEnd w:id="20"/>
    <w:bookmarkEnd w:id="21"/>
    <w:p>
      <w:pPr>
        <w:spacing w:line="360" w:lineRule="auto"/>
        <w:jc w:val="center"/>
        <w:outlineLvl w:val="2"/>
        <w:rPr>
          <w:rFonts w:ascii="Times New Roman" w:hAnsi="Times New Roman" w:eastAsia="宋体" w:cs="Times New Roman"/>
          <w:b/>
          <w:color w:val="auto"/>
          <w:sz w:val="24"/>
          <w:highlight w:val="none"/>
        </w:rPr>
      </w:pPr>
    </w:p>
    <w:p>
      <w:pPr>
        <w:spacing w:line="360" w:lineRule="auto"/>
        <w:jc w:val="center"/>
        <w:outlineLvl w:val="2"/>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二、投标人须知正文</w:t>
      </w:r>
    </w:p>
    <w:p>
      <w:pPr>
        <w:spacing w:line="360" w:lineRule="auto"/>
        <w:ind w:firstLine="437"/>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1.适用范围</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1.1本</w:t>
      </w:r>
      <w:r>
        <w:rPr>
          <w:rFonts w:hint="eastAsia" w:ascii="Times New Roman" w:hAnsi="Times New Roman" w:cs="Times New Roman"/>
          <w:color w:val="auto"/>
          <w:sz w:val="24"/>
          <w:highlight w:val="none"/>
        </w:rPr>
        <w:t>招标</w:t>
      </w:r>
      <w:r>
        <w:rPr>
          <w:rFonts w:ascii="Times New Roman" w:hAnsi="Times New Roman" w:cs="Times New Roman"/>
          <w:color w:val="auto"/>
          <w:sz w:val="24"/>
          <w:highlight w:val="none"/>
        </w:rPr>
        <w:t>文件仅适用于本次</w:t>
      </w:r>
      <w:r>
        <w:rPr>
          <w:rFonts w:hint="eastAsia" w:ascii="Times New Roman" w:hAnsi="Times New Roman" w:cs="Times New Roman"/>
          <w:color w:val="auto"/>
          <w:sz w:val="24"/>
          <w:highlight w:val="none"/>
        </w:rPr>
        <w:t>招标</w:t>
      </w:r>
      <w:r>
        <w:rPr>
          <w:rFonts w:ascii="Times New Roman" w:hAnsi="Times New Roman" w:cs="Times New Roman"/>
          <w:color w:val="auto"/>
          <w:sz w:val="24"/>
          <w:highlight w:val="none"/>
        </w:rPr>
        <w:t>所述的</w:t>
      </w:r>
      <w:r>
        <w:rPr>
          <w:rFonts w:hint="eastAsia" w:ascii="宋体" w:hAnsi="宋体"/>
          <w:color w:val="auto"/>
          <w:sz w:val="24"/>
          <w:highlight w:val="none"/>
        </w:rPr>
        <w:t>货物项目招标</w:t>
      </w:r>
      <w:r>
        <w:rPr>
          <w:rFonts w:ascii="Times New Roman" w:hAnsi="Times New Roman" w:cs="Times New Roman"/>
          <w:color w:val="auto"/>
          <w:sz w:val="24"/>
          <w:highlight w:val="none"/>
        </w:rPr>
        <w:t>。</w:t>
      </w:r>
    </w:p>
    <w:p>
      <w:pPr>
        <w:spacing w:line="360" w:lineRule="auto"/>
        <w:ind w:firstLine="437"/>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2.定义</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宋体" w:hAnsi="宋体"/>
          <w:color w:val="auto"/>
          <w:sz w:val="24"/>
          <w:highlight w:val="none"/>
        </w:rPr>
        <w:t>货物：是指各种形态和种类的物品，包括原材料、燃料、设备、产品等。</w:t>
      </w:r>
    </w:p>
    <w:p>
      <w:pPr>
        <w:spacing w:line="360" w:lineRule="auto"/>
        <w:ind w:firstLine="470" w:firstLineChars="196"/>
        <w:rPr>
          <w:rFonts w:ascii="Times New Roman" w:hAnsi="Times New Roman" w:cs="Times New Roman"/>
          <w:b/>
          <w:color w:val="auto"/>
          <w:highlight w:val="none"/>
        </w:rPr>
      </w:pPr>
      <w:r>
        <w:rPr>
          <w:rFonts w:ascii="Times New Roman" w:hAnsi="Times New Roman" w:cs="Times New Roman"/>
          <w:color w:val="auto"/>
          <w:sz w:val="24"/>
          <w:highlight w:val="none"/>
        </w:rPr>
        <w:t>2.2时限（年份、月份等）计算：系指从</w:t>
      </w:r>
      <w:r>
        <w:rPr>
          <w:rFonts w:hint="eastAsia" w:ascii="Times New Roman" w:hAnsi="Times New Roman" w:cs="Times New Roman"/>
          <w:color w:val="auto"/>
          <w:sz w:val="24"/>
          <w:highlight w:val="none"/>
        </w:rPr>
        <w:t>投标</w:t>
      </w:r>
      <w:r>
        <w:rPr>
          <w:rFonts w:ascii="Times New Roman" w:hAnsi="Times New Roman" w:cs="Times New Roman"/>
          <w:color w:val="auto"/>
          <w:sz w:val="24"/>
          <w:highlight w:val="none"/>
        </w:rPr>
        <w:t>文件提交截止之日向前追溯X年/月（“X”为“一”及以后整数）起算。</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3.招标人及投标人</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3.1招标人：是指开展招标活动的各类主体。本项目的招标人见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3.2采购监督管理部门：</w:t>
      </w:r>
      <w:r>
        <w:rPr>
          <w:rFonts w:ascii="Times New Roman" w:hAnsi="Times New Roman" w:cs="Times New Roman"/>
          <w:color w:val="auto"/>
          <w:sz w:val="24"/>
          <w:szCs w:val="22"/>
          <w:highlight w:val="none"/>
        </w:rPr>
        <w:t>与</w:t>
      </w:r>
      <w:r>
        <w:rPr>
          <w:rFonts w:ascii="Times New Roman" w:hAnsi="Times New Roman" w:cs="Times New Roman"/>
          <w:color w:val="auto"/>
          <w:sz w:val="24"/>
          <w:highlight w:val="none"/>
        </w:rPr>
        <w:t>招标</w:t>
      </w:r>
      <w:r>
        <w:rPr>
          <w:rFonts w:ascii="Times New Roman" w:hAnsi="Times New Roman" w:cs="Times New Roman"/>
          <w:color w:val="auto"/>
          <w:sz w:val="24"/>
          <w:szCs w:val="22"/>
          <w:highlight w:val="none"/>
        </w:rPr>
        <w:t>活动有关的具有监督管理权利的相关部门。</w:t>
      </w:r>
      <w:r>
        <w:rPr>
          <w:rFonts w:ascii="Times New Roman" w:hAnsi="Times New Roman" w:cs="Times New Roman"/>
          <w:color w:val="auto"/>
          <w:sz w:val="24"/>
          <w:highlight w:val="none"/>
        </w:rPr>
        <w:t>本项目的采购监督管理部门见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3.4在中华人民共和国境内注册，能够独立承担民事责任，有生产或供应能力的本国投标人。</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3.5若</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中允许联合体投标，对联合体规定如下：</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3.5.1两个以上投标人可以组成一个投标联合体，以一个投标人的身份投标。</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3.5.2联合体各方均应为在中华人民共和国境内注册，能够独立承担民事责任，有生产或供应能力的本国投标人。</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3.5.3招标人根据采购项目对投标人的特殊要求，联合体中至少应当有一方符合相关规定。</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3.5.5联合体中有同类资质的投标人按照联合体分工承担相同工作的，应当按照资质等级较低的投标人确定资质等级。</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3.5.7对联合体投标的其他资格要求见</w:t>
      </w:r>
      <w:r>
        <w:rPr>
          <w:rFonts w:ascii="Times New Roman" w:hAnsi="Times New Roman" w:cs="Times New Roman"/>
          <w:color w:val="auto"/>
          <w:sz w:val="24"/>
          <w:highlight w:val="none"/>
          <w:u w:val="single"/>
        </w:rPr>
        <w:t>投标人资格</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color w:val="auto"/>
          <w:sz w:val="24"/>
          <w:highlight w:val="none"/>
        </w:rPr>
        <w:t>投标无效</w:t>
      </w:r>
      <w:r>
        <w:rPr>
          <w:rFonts w:ascii="Times New Roman" w:hAnsi="Times New Roman" w:cs="Times New Roman"/>
          <w:color w:val="auto"/>
          <w:sz w:val="24"/>
          <w:highlight w:val="none"/>
        </w:rPr>
        <w:t>。</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4.资金来源</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4.1本项目的招标人已获得足以支付本次招标后所签订的合同项下的资金。</w:t>
      </w:r>
    </w:p>
    <w:p>
      <w:pPr>
        <w:spacing w:line="360" w:lineRule="auto"/>
        <w:ind w:firstLine="435"/>
        <w:rPr>
          <w:rFonts w:ascii="Times New Roman" w:hAnsi="Times New Roman" w:cs="Times New Roman"/>
          <w:color w:val="auto"/>
          <w:sz w:val="24"/>
          <w:highlight w:val="none"/>
        </w:rPr>
      </w:pPr>
      <w:bookmarkStart w:id="22" w:name="_Hlk11702998"/>
      <w:r>
        <w:rPr>
          <w:rFonts w:ascii="Times New Roman" w:hAnsi="Times New Roman" w:cs="Times New Roman"/>
          <w:color w:val="auto"/>
          <w:sz w:val="24"/>
          <w:highlight w:val="none"/>
        </w:rPr>
        <w:t>4.2</w:t>
      </w:r>
      <w:r>
        <w:rPr>
          <w:rFonts w:ascii="Times New Roman" w:hAnsi="Times New Roman" w:eastAsia="宋体" w:cs="Times New Roman"/>
          <w:color w:val="auto"/>
          <w:sz w:val="24"/>
          <w:highlight w:val="none"/>
        </w:rPr>
        <w:t>项目预算金额或分项（或分标段）预算金额见</w:t>
      </w:r>
      <w:r>
        <w:rPr>
          <w:rFonts w:ascii="Times New Roman" w:hAnsi="Times New Roman" w:cs="Times New Roman"/>
          <w:color w:val="auto"/>
          <w:sz w:val="24"/>
          <w:highlight w:val="none"/>
          <w:u w:val="single"/>
        </w:rPr>
        <w:t>投标邀请（招标公告）</w:t>
      </w:r>
      <w:r>
        <w:rPr>
          <w:rFonts w:ascii="Times New Roman" w:hAnsi="Times New Roman" w:cs="Times New Roman"/>
          <w:color w:val="auto"/>
          <w:sz w:val="24"/>
          <w:highlight w:val="none"/>
        </w:rPr>
        <w:t>。</w:t>
      </w:r>
    </w:p>
    <w:bookmarkEnd w:id="22"/>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5.投标费用</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不论投标的结果如何，投标人应承担所有与准备和参加投标有关的费用。</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6.适用法律</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本项目招标人、投标人的相关行为和权利受招标人有关规定及本项目招标文件的约束和保护。</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7.招标文件构成</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7.1招标文件包括下列内容：</w:t>
      </w:r>
    </w:p>
    <w:p>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第一章  投标邀请（招标公告）</w:t>
      </w:r>
    </w:p>
    <w:p>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第二章  投标人须知</w:t>
      </w:r>
    </w:p>
    <w:p>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第三章  招标需求</w:t>
      </w:r>
    </w:p>
    <w:p>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第四章  评标方法和标准</w:t>
      </w:r>
    </w:p>
    <w:p>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第五章  合同模板</w:t>
      </w:r>
    </w:p>
    <w:p>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第六章  投标文件格式</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7.2招标文件中有不一致的，有澄清的部分以最终的澄清更正内容为准。</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7.3现场考察及相关事项见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7.4</w:t>
      </w:r>
      <w:r>
        <w:rPr>
          <w:rFonts w:hint="eastAsia" w:ascii="Times New Roman" w:hAnsi="Times New Roman" w:cs="Times New Roman"/>
          <w:color w:val="auto"/>
          <w:sz w:val="24"/>
          <w:highlight w:val="none"/>
        </w:rPr>
        <w:t>本次招标需要</w:t>
      </w:r>
      <w:r>
        <w:rPr>
          <w:rFonts w:ascii="Times New Roman" w:hAnsi="Times New Roman" w:cs="Times New Roman"/>
          <w:color w:val="auto"/>
          <w:sz w:val="24"/>
          <w:highlight w:val="none"/>
        </w:rPr>
        <w:t>提供</w:t>
      </w:r>
      <w:r>
        <w:rPr>
          <w:rFonts w:hint="eastAsia" w:ascii="Times New Roman" w:hAnsi="Times New Roman" w:cs="Times New Roman"/>
          <w:color w:val="auto"/>
          <w:sz w:val="24"/>
          <w:highlight w:val="none"/>
        </w:rPr>
        <w:t>部分</w:t>
      </w:r>
      <w:r>
        <w:rPr>
          <w:rFonts w:ascii="Times New Roman" w:hAnsi="Times New Roman" w:cs="Times New Roman"/>
          <w:color w:val="auto"/>
          <w:sz w:val="24"/>
          <w:highlight w:val="none"/>
        </w:rPr>
        <w:t>样品，对样品相关要求见采购需求，对样品的评审方法及评审标准见招标文件第四章。</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7.5投标人应认真阅读招标文件所有的事项、格式、条款和技术规范等。</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8.招标文件的澄清与修改</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8.2招标人可主动或在解答投标人提出的问题时对招标文件进行澄清或者修改。</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pPr>
        <w:spacing w:line="360" w:lineRule="auto"/>
        <w:ind w:firstLine="435"/>
        <w:rPr>
          <w:rFonts w:ascii="Times New Roman" w:hAnsi="Times New Roman" w:cs="Times New Roman"/>
          <w:i/>
          <w:iCs/>
          <w:color w:val="auto"/>
          <w:sz w:val="24"/>
          <w:highlight w:val="none"/>
        </w:rPr>
      </w:pPr>
      <w:r>
        <w:rPr>
          <w:rFonts w:ascii="Times New Roman" w:hAnsi="Times New Roman" w:cs="Times New Roman"/>
          <w:color w:val="auto"/>
          <w:sz w:val="24"/>
          <w:highlight w:val="none"/>
        </w:rPr>
        <w:t>8.4对于没有提出疑问又参与了本项目投标的投标人将被视为完全认同本招标文件（含更正公告的内容）</w:t>
      </w:r>
      <w:r>
        <w:rPr>
          <w:rFonts w:ascii="Times New Roman" w:hAnsi="Times New Roman" w:cs="Times New Roman"/>
          <w:i/>
          <w:color w:val="auto"/>
          <w:sz w:val="24"/>
          <w:highlight w:val="none"/>
        </w:rPr>
        <w:t>。</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9.投标范围及投标文件中标准和计量单位的使用</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9.1</w:t>
      </w:r>
      <w:r>
        <w:rPr>
          <w:rFonts w:ascii="Times New Roman" w:hAnsi="Times New Roman" w:eastAsia="宋体" w:cs="Times New Roman"/>
          <w:color w:val="auto"/>
          <w:sz w:val="24"/>
          <w:highlight w:val="none"/>
        </w:rPr>
        <w:t>项目有划分标段的，投标人可参与其中某一个或多个标段的投标，中标标段数详见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w:t>
      </w:r>
    </w:p>
    <w:p>
      <w:pPr>
        <w:spacing w:line="360" w:lineRule="auto"/>
        <w:ind w:firstLine="435"/>
        <w:rPr>
          <w:rFonts w:ascii="Times New Roman" w:hAnsi="Times New Roman" w:cs="Times New Roman"/>
          <w:color w:val="auto"/>
          <w:sz w:val="24"/>
          <w:highlight w:val="none"/>
        </w:rPr>
      </w:pPr>
      <w:bookmarkStart w:id="23" w:name="_Hlk16458980"/>
      <w:r>
        <w:rPr>
          <w:rFonts w:ascii="Times New Roman" w:hAnsi="Times New Roman" w:cs="Times New Roman"/>
          <w:color w:val="auto"/>
          <w:sz w:val="24"/>
          <w:highlight w:val="none"/>
        </w:rPr>
        <w:t>9.2无论招标文件中是否要求，投标人所投货物及伴随的服务和工程均应符合国家强制性标准。</w:t>
      </w:r>
    </w:p>
    <w:bookmarkEnd w:id="23"/>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9.4除招标文件中有特殊要求外，投标文件中所使用的计量单位，应采用中华人民共和国法定计量单位。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10.投标文件构成</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10.2上述文件应按照招标文件规定的格式填写、签署和盖章。</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11.证明投标标的的合格性和符合招标文件规定的技术文件</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11.1投标人应提交证明文件，证明其投标内容符合招标文件规定。该证明文件是投标文件的一部分。</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11.2上款所述的证明文件，可以是文字资料、图纸和数据</w:t>
      </w:r>
      <w:bookmarkStart w:id="24" w:name="_Hlk11703583"/>
      <w:r>
        <w:rPr>
          <w:rFonts w:ascii="Times New Roman" w:hAnsi="Times New Roman" w:cs="Times New Roman"/>
          <w:color w:val="auto"/>
          <w:sz w:val="24"/>
          <w:highlight w:val="none"/>
        </w:rPr>
        <w:t>。</w:t>
      </w:r>
    </w:p>
    <w:bookmarkEnd w:id="24"/>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11.3本条所指证明文件不包括对招标文件相关部分的文字、图标的复制。</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11.4为保证公平公正，除非另有规定或说明，投标人对同一项目投标时，不得同时提供备选投标方案。</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12.投标报价</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12.2除非招标文件另有规定或经招标人同意支付的，最后报价均不得高于招标文件（公告）列明的项目预算，否则其投标文件将被认定为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12.4招标人不接受具有附加条件的报价。</w:t>
      </w:r>
    </w:p>
    <w:p>
      <w:pPr>
        <w:numPr>
          <w:ilvl w:val="0"/>
          <w:numId w:val="2"/>
        </w:num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投标保证金</w:t>
      </w:r>
    </w:p>
    <w:p>
      <w:pPr>
        <w:spacing w:line="360" w:lineRule="auto"/>
        <w:ind w:firstLine="437"/>
        <w:outlineLvl w:val="3"/>
        <w:rPr>
          <w:rFonts w:ascii="Times New Roman" w:hAnsi="Times New Roman" w:cs="Times New Roman"/>
          <w:color w:val="auto"/>
          <w:sz w:val="24"/>
          <w:highlight w:val="none"/>
        </w:rPr>
      </w:pPr>
      <w:r>
        <w:rPr>
          <w:rFonts w:ascii="Times New Roman" w:hAnsi="Times New Roman" w:cs="Times New Roman"/>
          <w:color w:val="auto"/>
          <w:sz w:val="24"/>
          <w:highlight w:val="none"/>
        </w:rPr>
        <w:t>中标人应按照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规定缴纳投标保证金。</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14.投标有效期</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14.1投标有效期为从投标截止之日算起的日历天数，投标有效期详见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15.投标文件的制作</w:t>
      </w:r>
    </w:p>
    <w:p>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15.1投标文件份数</w:t>
      </w:r>
    </w:p>
    <w:p>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15.1.1投标人应按照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的要求编制投标文件，并在封面上注明“正本”和“副本”字样。投标文件的正本与副本如有不一致之处，以正本为准。</w:t>
      </w:r>
    </w:p>
    <w:p>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15.1.2投标文件应按招标文件要求加盖投标人公章，热敏纸无效。</w:t>
      </w:r>
    </w:p>
    <w:p>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15.1.3招标人保留要求中标人提供其投标文件电子版的权利。</w:t>
      </w:r>
    </w:p>
    <w:p>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15.2投标文件的封装和标记</w:t>
      </w:r>
    </w:p>
    <w:p>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15.2.1投标文件应装订成册并封装，建议在密封袋上标注项目名称、项目编号、投标人名称及包别。</w:t>
      </w:r>
    </w:p>
    <w:p>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15.2.2建议投标人将正本单独封装，全部副本一起封装。</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15.2.3如果未按规定封装或加写标记，招标人将不承担投标文件错放或提前开封的责任，并可能导致投标无效。</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15.3开标现场提交的其他材料要求详见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16.投标截止及投标文件的递交</w:t>
      </w:r>
    </w:p>
    <w:p>
      <w:pPr>
        <w:spacing w:line="360" w:lineRule="auto"/>
        <w:ind w:firstLine="437"/>
        <w:outlineLvl w:val="3"/>
        <w:rPr>
          <w:rFonts w:ascii="Times New Roman" w:hAnsi="Times New Roman" w:cs="Times New Roman"/>
          <w:bCs/>
          <w:color w:val="auto"/>
          <w:sz w:val="24"/>
          <w:highlight w:val="none"/>
        </w:rPr>
      </w:pPr>
      <w:r>
        <w:rPr>
          <w:rFonts w:ascii="Times New Roman" w:hAnsi="Times New Roman" w:cs="Times New Roman"/>
          <w:bCs/>
          <w:color w:val="auto"/>
          <w:sz w:val="24"/>
          <w:highlight w:val="none"/>
        </w:rPr>
        <w:t>16.1投标人应当在</w:t>
      </w:r>
      <w:r>
        <w:rPr>
          <w:rFonts w:ascii="Times New Roman" w:hAnsi="Times New Roman" w:cs="Times New Roman"/>
          <w:color w:val="auto"/>
          <w:sz w:val="24"/>
          <w:highlight w:val="none"/>
        </w:rPr>
        <w:t>“投标邀请”</w:t>
      </w:r>
      <w:r>
        <w:rPr>
          <w:rFonts w:ascii="Times New Roman" w:hAnsi="Times New Roman" w:cs="Times New Roman"/>
          <w:bCs/>
          <w:color w:val="auto"/>
          <w:sz w:val="24"/>
          <w:highlight w:val="none"/>
        </w:rPr>
        <w:t>规定的投标截止时间前，将投标文件密封送达</w:t>
      </w:r>
      <w:r>
        <w:rPr>
          <w:rFonts w:ascii="Times New Roman" w:hAnsi="Times New Roman" w:cs="Times New Roman"/>
          <w:color w:val="auto"/>
          <w:sz w:val="24"/>
          <w:highlight w:val="none"/>
          <w:u w:val="single"/>
        </w:rPr>
        <w:t>投标人须知前附表</w:t>
      </w:r>
      <w:r>
        <w:rPr>
          <w:rFonts w:ascii="Times New Roman" w:hAnsi="Times New Roman" w:cs="Times New Roman"/>
          <w:bCs/>
          <w:color w:val="auto"/>
          <w:sz w:val="24"/>
          <w:highlight w:val="none"/>
        </w:rPr>
        <w:t>指定地点。</w:t>
      </w:r>
    </w:p>
    <w:p>
      <w:pPr>
        <w:spacing w:line="360" w:lineRule="auto"/>
        <w:ind w:firstLine="437"/>
        <w:outlineLvl w:val="3"/>
        <w:rPr>
          <w:rFonts w:ascii="Times New Roman" w:hAnsi="Times New Roman" w:cs="Times New Roman"/>
          <w:bCs/>
          <w:color w:val="auto"/>
          <w:sz w:val="24"/>
          <w:highlight w:val="none"/>
        </w:rPr>
      </w:pPr>
      <w:r>
        <w:rPr>
          <w:rFonts w:ascii="Times New Roman" w:hAnsi="Times New Roman" w:cs="Times New Roman"/>
          <w:bCs/>
          <w:color w:val="auto"/>
          <w:sz w:val="24"/>
          <w:highlight w:val="none"/>
        </w:rPr>
        <w:t>16.2在投标截止时间之后送达的投标文件将被拒绝。</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17.投标文件的修改、补充与撤回</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17.1投标人在投标截止时间前，可以对所递交的投标文件进行补充、修改或者撤回，并书面通知招标人。</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17.2补充、修改的内容应当按照招标文件要求签署、盖章、密封后，作为投标文件的组成部分。</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18.资格审查及组建评标委员会</w:t>
      </w:r>
    </w:p>
    <w:p>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.1按照有关规定依法组建的评标委员会，负责本项目评标工作。</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.2评标委员会依据法律法规和招标文件中规定的内容，对投标人资格进行审查，未通过资格审查的投标人不进入评标。</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.3投标人存在不良信用记录的，其投标将被认定为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.3.1不良信用记录是指：</w:t>
      </w:r>
      <w:bookmarkStart w:id="25" w:name="_Hlk24663244"/>
      <w:r>
        <w:rPr>
          <w:rFonts w:ascii="Times New Roman" w:hAnsi="Times New Roman" w:cs="Times New Roman"/>
          <w:color w:val="auto"/>
          <w:sz w:val="24"/>
          <w:szCs w:val="18"/>
          <w:highlight w:val="none"/>
        </w:rPr>
        <w:t>（1）供应商被人民法院列入失信被执行人；（2）供应商被税务部门列入重大税收违法案件当事人名单。</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以联合体形式参加投标的，联合体任何成员存在以上不良信用记录的，联合体投标将被认定为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.3.2信用信息查询渠道：“信用中国”网站（www.creditchina.gov.cn）。</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.3.3信用信息记录方式：投标人将查询网页打印、盖章并在投标文件中提供。查询网页必须体现被查询人名称、查询时间、查询结果。</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投标人对不良信用记录的真实性和有效性负责。</w:t>
      </w:r>
    </w:p>
    <w:p>
      <w:pPr>
        <w:spacing w:line="360" w:lineRule="auto"/>
        <w:ind w:firstLine="435"/>
        <w:rPr>
          <w:rFonts w:ascii="Times New Roman" w:hAnsi="Times New Roman" w:cs="Times New Roman"/>
          <w:color w:val="auto"/>
          <w:sz w:val="24"/>
          <w:highlight w:val="none"/>
        </w:rPr>
      </w:pPr>
      <w:bookmarkStart w:id="26" w:name="_Hlk24663338"/>
      <w:r>
        <w:rPr>
          <w:rFonts w:ascii="Times New Roman" w:hAnsi="Times New Roman" w:cs="Times New Roman"/>
          <w:color w:val="auto"/>
          <w:sz w:val="24"/>
          <w:highlight w:val="none"/>
        </w:rPr>
        <w:t>信用信息查询时间为投标截止时间前2个工作日内。</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在本招标文件规定的查询时间之外，网站信息发生的任何变更均不作为资格审查依据。</w:t>
      </w:r>
    </w:p>
    <w:bookmarkEnd w:id="25"/>
    <w:bookmarkEnd w:id="26"/>
    <w:p>
      <w:pPr>
        <w:spacing w:line="360" w:lineRule="auto"/>
        <w:ind w:firstLine="437"/>
        <w:outlineLvl w:val="3"/>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19</w:t>
      </w:r>
      <w:r>
        <w:rPr>
          <w:rFonts w:ascii="Times New Roman" w:hAnsi="Times New Roman" w:cs="Times New Roman"/>
          <w:b/>
          <w:color w:val="auto"/>
          <w:sz w:val="24"/>
          <w:highlight w:val="none"/>
        </w:rPr>
        <w:t>.投标文件初审与澄清</w:t>
      </w:r>
    </w:p>
    <w:p>
      <w:pPr>
        <w:spacing w:line="360" w:lineRule="auto"/>
        <w:ind w:firstLine="435"/>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19</w:t>
      </w:r>
      <w:r>
        <w:rPr>
          <w:rFonts w:ascii="Times New Roman" w:hAnsi="Times New Roman" w:cs="Times New Roman"/>
          <w:color w:val="auto"/>
          <w:sz w:val="24"/>
          <w:highlight w:val="none"/>
        </w:rPr>
        <w:t>.1初审是指依据招标文件的规定，从投标文件的有效性和完整性对招标文件的响应程度进行审查，以确定是否对招标文件的实质性要求做出响应。</w:t>
      </w:r>
    </w:p>
    <w:p>
      <w:pPr>
        <w:spacing w:line="360" w:lineRule="auto"/>
        <w:ind w:firstLine="435"/>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19</w:t>
      </w:r>
      <w:r>
        <w:rPr>
          <w:rFonts w:ascii="Times New Roman" w:hAnsi="Times New Roman" w:cs="Times New Roman"/>
          <w:color w:val="auto"/>
          <w:sz w:val="24"/>
          <w:highlight w:val="none"/>
        </w:rPr>
        <w:t>.2投标文件的澄清</w:t>
      </w:r>
    </w:p>
    <w:p>
      <w:pPr>
        <w:spacing w:line="360" w:lineRule="auto"/>
        <w:ind w:firstLine="435"/>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19</w:t>
      </w:r>
      <w:r>
        <w:rPr>
          <w:rFonts w:ascii="Times New Roman" w:hAnsi="Times New Roman" w:cs="Times New Roman"/>
          <w:color w:val="auto"/>
          <w:sz w:val="24"/>
          <w:highlight w:val="none"/>
        </w:rPr>
        <w:t>.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pPr>
        <w:spacing w:line="360" w:lineRule="auto"/>
        <w:ind w:firstLine="435"/>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19</w:t>
      </w:r>
      <w:r>
        <w:rPr>
          <w:rFonts w:ascii="Times New Roman" w:hAnsi="Times New Roman" w:cs="Times New Roman"/>
          <w:color w:val="auto"/>
          <w:sz w:val="24"/>
          <w:highlight w:val="none"/>
        </w:rPr>
        <w:t>.2.2投标人的澄清、说明或补正将作为投标文件的一部分。</w:t>
      </w:r>
    </w:p>
    <w:p>
      <w:pPr>
        <w:spacing w:line="360" w:lineRule="auto"/>
        <w:ind w:firstLine="435"/>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19</w:t>
      </w:r>
      <w:r>
        <w:rPr>
          <w:rFonts w:ascii="Times New Roman" w:hAnsi="Times New Roman" w:cs="Times New Roman"/>
          <w:color w:val="auto"/>
          <w:sz w:val="24"/>
          <w:highlight w:val="none"/>
        </w:rPr>
        <w:t>.2.3评标委员会对投标人提交的澄清、说明或补正有疑问的，可以要求投标人进一步澄清、说明或补正，直至满足评标委员会的要求。</w:t>
      </w:r>
    </w:p>
    <w:p>
      <w:pPr>
        <w:spacing w:line="360" w:lineRule="auto"/>
        <w:ind w:firstLine="435"/>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19</w:t>
      </w:r>
      <w:r>
        <w:rPr>
          <w:rFonts w:ascii="Times New Roman" w:hAnsi="Times New Roman" w:cs="Times New Roman"/>
          <w:color w:val="auto"/>
          <w:sz w:val="24"/>
          <w:highlight w:val="none"/>
        </w:rPr>
        <w:t>.3投标文件报价出现前后不一致的，按照下列规定修正：</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（1）投标文件中开标一览表内容与投标文件中相应内容不一致的，以开标一览表为准；</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（2）大写金额和小写金额不一致的，以大写金额为准；</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（3）单价金额小数点或者百分比有明显错位的，以开标一览表的总价为准，并修改单价；</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（4）总价金额与按单价汇总金额不一致的，以单价金额计算结果为准。</w:t>
      </w:r>
    </w:p>
    <w:p>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同时出现两种以上不一致的，按照前款规定的顺序修正。修正后的报价按照规定经投标人确认后产生约束力，投标人不确认的，其投标将被认定为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。对不同文字文本投标文件的解释发生异议的，以中文文本为准。</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0</w:t>
      </w:r>
      <w:r>
        <w:rPr>
          <w:rFonts w:ascii="Times New Roman" w:hAnsi="Times New Roman" w:cs="Times New Roman"/>
          <w:b/>
          <w:color w:val="auto"/>
          <w:sz w:val="24"/>
          <w:highlight w:val="none"/>
        </w:rPr>
        <w:t>.投标无效</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0</w:t>
      </w:r>
      <w:r>
        <w:rPr>
          <w:rFonts w:ascii="Times New Roman" w:hAnsi="Times New Roman" w:cs="Times New Roman"/>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评标委员会决定投标的响应性只根据招标文件要求和投标文件内容。</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0</w:t>
      </w:r>
      <w:r>
        <w:rPr>
          <w:rFonts w:ascii="Times New Roman" w:hAnsi="Times New Roman" w:cs="Times New Roman"/>
          <w:color w:val="auto"/>
          <w:sz w:val="24"/>
          <w:highlight w:val="none"/>
        </w:rPr>
        <w:t>.2如发现下列情况之一的，其投标将被认定为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（1）投标文件未按照招标文件规定要求签署、盖章的；</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（2）不具备招标文件中规定的资格要求的；</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（3）投标报价超过招标文件中规定的项目预算或者最高限价的；</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（4）投标文件不满足招标文件全部实质性要求的；</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（5）投标文件含有招标人不能接受的附加条件的；</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（6）法律、法规和招标文件规定的其他无效情形。</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1</w:t>
      </w:r>
      <w:r>
        <w:rPr>
          <w:rFonts w:ascii="Times New Roman" w:hAnsi="Times New Roman" w:cs="Times New Roman"/>
          <w:b/>
          <w:color w:val="auto"/>
          <w:sz w:val="24"/>
          <w:highlight w:val="none"/>
        </w:rPr>
        <w:t>.比较与评价</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.1经初审合格的投标文件，评标委员会将根据招标文件确定的评标方法和标准，对其投标文件作进一步的比较与评价。</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.2评标严格按照招标文件的要求和条件进行。根据实际情况，在</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中规定采用下列一种评标方法，详细评标方法和标准见招标文件第四章：</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（1）最低评标价法，是指投标文件满足招标文件全部实质性要求，且投标报价最低的投标人为中标候选人的评标方法。</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2</w:t>
      </w:r>
      <w:r>
        <w:rPr>
          <w:rFonts w:ascii="Times New Roman" w:hAnsi="Times New Roman" w:cs="Times New Roman"/>
          <w:b/>
          <w:color w:val="auto"/>
          <w:sz w:val="24"/>
          <w:highlight w:val="none"/>
        </w:rPr>
        <w:t>.废标</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出现下列情形之一，将导致项目废标：</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（1）符合专业条件的投标人或者对招标文件做实质性响应的投标人不足规定数量的；</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（2）出现影响采购公正的违法、违规行为的；</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（3）投标人的报价均超过了采购估算，招标人不能支付的；</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（4）因重大变故，采购任务取消的。</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3</w:t>
      </w:r>
      <w:r>
        <w:rPr>
          <w:rFonts w:ascii="Times New Roman" w:hAnsi="Times New Roman" w:cs="Times New Roman"/>
          <w:b/>
          <w:color w:val="auto"/>
          <w:sz w:val="24"/>
          <w:highlight w:val="none"/>
        </w:rPr>
        <w:t>.保密要求</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.1评标将在严格保密的情况下进行。</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.2有关人员应当遵守评标工作纪律，不得泄露评标文件、评标情况和评标中获悉的国家秘密、商业秘密。</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4</w:t>
      </w:r>
      <w:r>
        <w:rPr>
          <w:rFonts w:ascii="Times New Roman" w:hAnsi="Times New Roman" w:cs="Times New Roman"/>
          <w:b/>
          <w:color w:val="auto"/>
          <w:sz w:val="24"/>
          <w:highlight w:val="none"/>
        </w:rPr>
        <w:t>.中标候选人的确定原则及标准</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.1评标委员会依据本项目招标文件所约定的评标方法，对实质上响应招标文件的投标人按下列方法进行排序，确定中标候选人：</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5</w:t>
      </w:r>
      <w:r>
        <w:rPr>
          <w:rFonts w:ascii="Times New Roman" w:hAnsi="Times New Roman" w:cs="Times New Roman"/>
          <w:b/>
          <w:color w:val="auto"/>
          <w:sz w:val="24"/>
          <w:highlight w:val="none"/>
        </w:rPr>
        <w:t>.确定中标候选人和中标人</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.1评标委员会将根据评标标准，按</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中规定数量推荐中标候选人。</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.2按</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中规定，由评标委员会或招标人确定中标人。</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.3因重大变故采购任务取消时，招标人有权拒绝任何投标人中标，且对受影响的投标人不承担任何责任。</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6</w:t>
      </w:r>
      <w:r>
        <w:rPr>
          <w:rFonts w:ascii="Times New Roman" w:hAnsi="Times New Roman" w:cs="Times New Roman"/>
          <w:b/>
          <w:color w:val="auto"/>
          <w:sz w:val="24"/>
          <w:highlight w:val="none"/>
        </w:rPr>
        <w:t>.编写评标报告</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7</w:t>
      </w:r>
      <w:r>
        <w:rPr>
          <w:rFonts w:ascii="Times New Roman" w:hAnsi="Times New Roman" w:cs="Times New Roman"/>
          <w:b/>
          <w:color w:val="auto"/>
          <w:sz w:val="24"/>
          <w:highlight w:val="none"/>
        </w:rPr>
        <w:t>.中标结果公告</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.1自中标人确定之日起</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日内，招标人将在</w:t>
      </w:r>
      <w:r>
        <w:rPr>
          <w:rFonts w:ascii="Times New Roman" w:hAnsi="Times New Roman" w:cs="Times New Roman"/>
          <w:color w:val="auto"/>
          <w:sz w:val="24"/>
          <w:szCs w:val="22"/>
          <w:highlight w:val="none"/>
        </w:rPr>
        <w:t>公司网站</w:t>
      </w:r>
      <w:r>
        <w:rPr>
          <w:rFonts w:ascii="Times New Roman" w:hAnsi="Times New Roman" w:cs="Times New Roman"/>
          <w:color w:val="auto"/>
          <w:sz w:val="24"/>
          <w:highlight w:val="none"/>
        </w:rPr>
        <w:t>发布中标结果公告。</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中约定进行公告的内容。中标公告期限为</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日。</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w:t>
      </w:r>
      <w:r>
        <w:rPr>
          <w:rFonts w:hint="eastAsia" w:ascii="Times New Roman" w:hAnsi="Times New Roman" w:cs="Times New Roman"/>
          <w:b/>
          <w:color w:val="auto"/>
          <w:sz w:val="24"/>
          <w:highlight w:val="none"/>
          <w:lang w:val="en-US" w:eastAsia="zh-CN"/>
        </w:rPr>
        <w:t>8</w:t>
      </w:r>
      <w:r>
        <w:rPr>
          <w:rFonts w:ascii="Times New Roman" w:hAnsi="Times New Roman" w:cs="Times New Roman"/>
          <w:b/>
          <w:color w:val="auto"/>
          <w:sz w:val="24"/>
          <w:highlight w:val="none"/>
        </w:rPr>
        <w:t>.</w:t>
      </w:r>
      <w:r>
        <w:rPr>
          <w:rFonts w:hint="eastAsia" w:ascii="Times New Roman" w:hAnsi="Times New Roman" w:cs="Times New Roman"/>
          <w:b/>
          <w:color w:val="auto"/>
          <w:sz w:val="24"/>
          <w:highlight w:val="none"/>
          <w:lang w:val="en-US" w:eastAsia="zh-CN"/>
        </w:rPr>
        <w:t>8</w:t>
      </w:r>
      <w:r>
        <w:rPr>
          <w:rFonts w:ascii="Times New Roman" w:hAnsi="Times New Roman" w:cs="Times New Roman"/>
          <w:b/>
          <w:color w:val="auto"/>
          <w:sz w:val="24"/>
          <w:highlight w:val="none"/>
        </w:rPr>
        <w:t>中标通知书</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.1招标人发布中标公告</w:t>
      </w:r>
      <w:r>
        <w:rPr>
          <w:rFonts w:ascii="Times New Roman" w:hAnsi="Times New Roman" w:cs="Times New Roman"/>
          <w:iCs/>
          <w:color w:val="auto"/>
          <w:sz w:val="24"/>
          <w:highlight w:val="none"/>
        </w:rPr>
        <w:t>的</w:t>
      </w:r>
      <w:r>
        <w:rPr>
          <w:rFonts w:ascii="Times New Roman" w:hAnsi="Times New Roman" w:cs="Times New Roman"/>
          <w:color w:val="auto"/>
          <w:sz w:val="24"/>
          <w:highlight w:val="none"/>
        </w:rPr>
        <w:t>同时向中标人发出中标通知书。</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.2中标通知书对招标人和中标人具有同等法律效力。中标通知书发出以后，招标人改变中标结果或者中标人放弃中标，应当承担相应的法律责任。</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.3中标通知书是合同的组成部分。</w:t>
      </w:r>
    </w:p>
    <w:p>
      <w:pPr>
        <w:spacing w:line="360" w:lineRule="auto"/>
        <w:ind w:firstLine="437"/>
        <w:outlineLvl w:val="3"/>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29</w:t>
      </w:r>
      <w:r>
        <w:rPr>
          <w:rFonts w:ascii="Times New Roman" w:hAnsi="Times New Roman" w:cs="Times New Roman"/>
          <w:b/>
          <w:color w:val="auto"/>
          <w:sz w:val="24"/>
          <w:highlight w:val="none"/>
        </w:rPr>
        <w:t>.告知招标结果</w:t>
      </w:r>
    </w:p>
    <w:p>
      <w:pPr>
        <w:spacing w:line="360" w:lineRule="auto"/>
        <w:ind w:firstLine="435"/>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29</w:t>
      </w:r>
      <w:r>
        <w:rPr>
          <w:rFonts w:ascii="Times New Roman" w:hAnsi="Times New Roman" w:cs="Times New Roman"/>
          <w:color w:val="auto"/>
          <w:sz w:val="24"/>
          <w:highlight w:val="none"/>
        </w:rPr>
        <w:t>.1在公告中标结果的同时，招标人同时以</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0</w:t>
      </w:r>
      <w:r>
        <w:rPr>
          <w:rFonts w:ascii="Times New Roman" w:hAnsi="Times New Roman" w:cs="Times New Roman"/>
          <w:b/>
          <w:color w:val="auto"/>
          <w:sz w:val="24"/>
          <w:highlight w:val="none"/>
        </w:rPr>
        <w:t>.履约保证金</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0</w:t>
      </w:r>
      <w:r>
        <w:rPr>
          <w:rFonts w:ascii="Times New Roman" w:hAnsi="Times New Roman" w:cs="Times New Roman"/>
          <w:color w:val="auto"/>
          <w:sz w:val="24"/>
          <w:highlight w:val="none"/>
        </w:rPr>
        <w:t>.1中标人应按照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规定缴纳履约保证金。</w:t>
      </w:r>
    </w:p>
    <w:p>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0</w:t>
      </w:r>
      <w:r>
        <w:rPr>
          <w:rFonts w:ascii="Times New Roman" w:hAnsi="Times New Roman" w:cs="Times New Roman"/>
          <w:color w:val="auto"/>
          <w:sz w:val="24"/>
          <w:highlight w:val="none"/>
        </w:rPr>
        <w:t>.2如果中标人没有按照上述履约保证金的规定执行，将视为放弃中标资格。在此情况下，招标人可确定下一中标候选人为中标人，也可以重新开展采购活动。</w:t>
      </w:r>
    </w:p>
    <w:p>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1</w:t>
      </w:r>
      <w:r>
        <w:rPr>
          <w:rFonts w:ascii="Times New Roman" w:hAnsi="Times New Roman" w:cs="Times New Roman"/>
          <w:b/>
          <w:color w:val="auto"/>
          <w:sz w:val="24"/>
          <w:highlight w:val="none"/>
        </w:rPr>
        <w:t>.签订合同</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.1招标人与中标人应当自发出中标通知书之日起30日内签订合同。</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.2招标文件、中标人的投标文件及其澄清文件等，均为签订合同的依据。</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.3中标人拒绝与招标人签订合同的，招标人可以按照评审报告推荐的中标候选人名单排序，确定下一中标候选人为中标人，也可以重新开展采购活动。</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.4当出现法规规定的中标无效或中标结果无效情形时，招标人可依法与排名下一位的中标候选人另行签订合同，或依法重新开展采购活动。</w:t>
      </w:r>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.5 投标人签订合同前，需向招标人演示投标产品的相关功能。否则招标人有权变更中标人。</w:t>
      </w:r>
    </w:p>
    <w:p>
      <w:pPr>
        <w:spacing w:line="360" w:lineRule="auto"/>
        <w:ind w:firstLine="437"/>
        <w:outlineLvl w:val="3"/>
        <w:rPr>
          <w:rFonts w:ascii="Times New Roman" w:hAnsi="Times New Roman" w:cs="Times New Roman"/>
          <w:color w:val="auto"/>
          <w:sz w:val="24"/>
          <w:highlight w:val="none"/>
        </w:rPr>
      </w:pPr>
      <w:r>
        <w:rPr>
          <w:rFonts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2</w:t>
      </w:r>
      <w:r>
        <w:rPr>
          <w:rFonts w:ascii="Times New Roman" w:hAnsi="Times New Roman" w:cs="Times New Roman"/>
          <w:b/>
          <w:color w:val="auto"/>
          <w:sz w:val="24"/>
          <w:highlight w:val="none"/>
        </w:rPr>
        <w:t>.中标服务费</w:t>
      </w:r>
      <w:r>
        <w:rPr>
          <w:rFonts w:hint="eastAsia"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本项目中标服务费的收取按</w:t>
      </w:r>
      <w:r>
        <w:rPr>
          <w:rFonts w:ascii="Times New Roman" w:hAnsi="Times New Roman" w:cs="Times New Roman"/>
          <w:color w:val="auto"/>
          <w:sz w:val="24"/>
          <w:highlight w:val="none"/>
          <w:u w:val="single"/>
        </w:rPr>
        <w:t>投标人须知前附表的</w:t>
      </w:r>
      <w:r>
        <w:rPr>
          <w:rFonts w:ascii="Times New Roman" w:hAnsi="Times New Roman" w:cs="Times New Roman"/>
          <w:color w:val="auto"/>
          <w:sz w:val="24"/>
          <w:highlight w:val="none"/>
        </w:rPr>
        <w:t>规定执行。</w:t>
      </w:r>
    </w:p>
    <w:p>
      <w:pPr>
        <w:spacing w:line="360" w:lineRule="auto"/>
        <w:ind w:firstLine="437"/>
        <w:outlineLvl w:val="3"/>
        <w:rPr>
          <w:rFonts w:ascii="Times New Roman" w:hAnsi="Times New Roman" w:cs="Times New Roman"/>
          <w:b/>
          <w:color w:val="auto"/>
          <w:sz w:val="24"/>
          <w:highlight w:val="none"/>
        </w:rPr>
      </w:pPr>
      <w:bookmarkStart w:id="27" w:name="_Toc518923100"/>
      <w:bookmarkStart w:id="28" w:name="_Toc2583661"/>
      <w:r>
        <w:rPr>
          <w:rFonts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3</w:t>
      </w:r>
      <w:r>
        <w:rPr>
          <w:rFonts w:ascii="Times New Roman" w:hAnsi="Times New Roman" w:cs="Times New Roman"/>
          <w:b/>
          <w:color w:val="auto"/>
          <w:sz w:val="24"/>
          <w:highlight w:val="none"/>
        </w:rPr>
        <w:t>.廉洁自律规定</w:t>
      </w:r>
      <w:bookmarkEnd w:id="27"/>
      <w:bookmarkEnd w:id="28"/>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采购工作人员不得接受投标人组织的宴请、旅游、娱乐，不得收受礼品、现金、有价证券等，不得向投标人报销应当由个人承担的费用。</w:t>
      </w:r>
    </w:p>
    <w:p>
      <w:pPr>
        <w:spacing w:line="360" w:lineRule="auto"/>
        <w:ind w:firstLine="437"/>
        <w:outlineLvl w:val="3"/>
        <w:rPr>
          <w:rFonts w:ascii="Times New Roman" w:hAnsi="Times New Roman" w:cs="Times New Roman"/>
          <w:b/>
          <w:color w:val="auto"/>
          <w:sz w:val="24"/>
          <w:highlight w:val="none"/>
        </w:rPr>
      </w:pPr>
      <w:bookmarkStart w:id="29" w:name="_Toc2583662"/>
      <w:bookmarkStart w:id="30" w:name="_Toc518923101"/>
      <w:r>
        <w:rPr>
          <w:rFonts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4</w:t>
      </w:r>
      <w:r>
        <w:rPr>
          <w:rFonts w:ascii="Times New Roman" w:hAnsi="Times New Roman" w:cs="Times New Roman"/>
          <w:b/>
          <w:color w:val="auto"/>
          <w:sz w:val="24"/>
          <w:highlight w:val="none"/>
        </w:rPr>
        <w:t>.人员回避</w:t>
      </w:r>
      <w:bookmarkEnd w:id="29"/>
      <w:bookmarkEnd w:id="30"/>
    </w:p>
    <w:p>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pPr>
        <w:numPr>
          <w:ilvl w:val="0"/>
          <w:numId w:val="0"/>
        </w:numPr>
        <w:spacing w:line="360" w:lineRule="auto"/>
        <w:jc w:val="center"/>
        <w:outlineLvl w:val="1"/>
        <w:rPr>
          <w:rFonts w:hint="eastAsia" w:ascii="Times New Roman" w:hAnsi="Times New Roman" w:cs="Times New Roman"/>
          <w:b/>
          <w:color w:val="auto"/>
          <w:sz w:val="28"/>
          <w:highlight w:val="none"/>
        </w:rPr>
      </w:pPr>
      <w:r>
        <w:rPr>
          <w:rFonts w:hint="eastAsia" w:ascii="Times New Roman" w:hAnsi="Times New Roman" w:cs="Times New Roman"/>
          <w:b/>
          <w:color w:val="auto"/>
          <w:sz w:val="28"/>
          <w:highlight w:val="none"/>
          <w:lang w:val="en-US" w:eastAsia="zh-CN"/>
        </w:rPr>
        <w:t xml:space="preserve">第三章 </w:t>
      </w:r>
      <w:r>
        <w:rPr>
          <w:rFonts w:hint="eastAsia" w:ascii="Times New Roman" w:hAnsi="Times New Roman" w:cs="Times New Roman"/>
          <w:b/>
          <w:color w:val="auto"/>
          <w:sz w:val="28"/>
          <w:highlight w:val="none"/>
        </w:rPr>
        <w:t>招标需求</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pPr>
        <w:spacing w:line="360" w:lineRule="auto"/>
        <w:ind w:firstLine="437"/>
        <w:rPr>
          <w:color w:val="auto"/>
          <w:highlight w:val="none"/>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pPr>
        <w:spacing w:line="360" w:lineRule="auto"/>
        <w:ind w:firstLine="437"/>
        <w:rPr>
          <w:rFonts w:ascii="宋体" w:hAnsi="宋体"/>
          <w:b/>
          <w:color w:val="auto"/>
          <w:sz w:val="24"/>
          <w:szCs w:val="18"/>
          <w:highlight w:val="none"/>
        </w:rPr>
      </w:pPr>
      <w:r>
        <w:rPr>
          <w:rFonts w:hint="eastAsia" w:ascii="宋体" w:hAnsi="宋体"/>
          <w:b/>
          <w:color w:val="auto"/>
          <w:sz w:val="24"/>
          <w:szCs w:val="18"/>
          <w:highlight w:val="none"/>
        </w:rPr>
        <w:t>一、招标需求前附表</w:t>
      </w:r>
    </w:p>
    <w:tbl>
      <w:tblPr>
        <w:tblStyle w:val="1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pPr>
              <w:pStyle w:val="23"/>
              <w:pBdr>
                <w:bottom w:val="none" w:color="auto" w:sz="0" w:space="0"/>
              </w:pBdr>
              <w:adjustRightInd/>
              <w:spacing w:line="240" w:lineRule="auto"/>
              <w:textAlignment w:val="auto"/>
              <w:rPr>
                <w:rFonts w:ascii="宋体" w:hAnsi="宋体"/>
                <w:b/>
                <w:color w:val="auto"/>
                <w:kern w:val="2"/>
                <w:highlight w:val="none"/>
              </w:rPr>
            </w:pPr>
            <w:r>
              <w:rPr>
                <w:rFonts w:hint="eastAsia" w:ascii="宋体" w:hAnsi="宋体"/>
                <w:b/>
                <w:color w:val="auto"/>
                <w:kern w:val="2"/>
                <w:highlight w:val="none"/>
              </w:rPr>
              <w:t>序号</w:t>
            </w:r>
          </w:p>
        </w:tc>
        <w:tc>
          <w:tcPr>
            <w:tcW w:w="2191" w:type="dxa"/>
            <w:noWrap w:val="0"/>
            <w:vAlign w:val="center"/>
          </w:tcPr>
          <w:p>
            <w:pPr>
              <w:pStyle w:val="22"/>
              <w:widowControl w:val="0"/>
              <w:spacing w:before="0" w:beforeAutospacing="0" w:after="0" w:afterAutospacing="0" w:line="360" w:lineRule="auto"/>
              <w:rPr>
                <w:rFonts w:ascii="宋体" w:hAnsi="宋体"/>
                <w:bCs w:val="0"/>
                <w:color w:val="auto"/>
                <w:sz w:val="24"/>
                <w:highlight w:val="none"/>
              </w:rPr>
            </w:pPr>
            <w:r>
              <w:rPr>
                <w:rFonts w:hint="eastAsia" w:ascii="宋体" w:hAnsi="宋体"/>
                <w:bCs w:val="0"/>
                <w:color w:val="auto"/>
                <w:sz w:val="24"/>
                <w:highlight w:val="none"/>
              </w:rPr>
              <w:t>条款名称</w:t>
            </w:r>
          </w:p>
        </w:tc>
        <w:tc>
          <w:tcPr>
            <w:tcW w:w="5913" w:type="dxa"/>
            <w:noWrap w:val="0"/>
            <w:vAlign w:val="center"/>
          </w:tcPr>
          <w:p>
            <w:pPr>
              <w:pStyle w:val="22"/>
              <w:widowControl w:val="0"/>
              <w:spacing w:before="0" w:beforeAutospacing="0" w:after="0" w:afterAutospacing="0" w:line="360" w:lineRule="auto"/>
              <w:rPr>
                <w:rFonts w:ascii="宋体" w:hAnsi="宋体"/>
                <w:bCs w:val="0"/>
                <w:color w:val="auto"/>
                <w:sz w:val="24"/>
                <w:highlight w:val="none"/>
              </w:rPr>
            </w:pPr>
            <w:r>
              <w:rPr>
                <w:rFonts w:hint="eastAsia" w:ascii="宋体" w:hAnsi="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87" w:type="dxa"/>
            <w:noWrap w:val="0"/>
            <w:vAlign w:val="center"/>
          </w:tcPr>
          <w:p>
            <w:pPr>
              <w:pStyle w:val="23"/>
              <w:pBdr>
                <w:bottom w:val="none" w:color="auto" w:sz="0" w:space="0"/>
              </w:pBdr>
              <w:adjustRightInd/>
              <w:spacing w:line="240" w:lineRule="auto"/>
              <w:jc w:val="center"/>
              <w:textAlignment w:val="auto"/>
              <w:rPr>
                <w:rFonts w:ascii="宋体" w:hAnsi="宋体"/>
                <w:bCs/>
                <w:color w:val="auto"/>
                <w:kern w:val="2"/>
                <w:highlight w:val="none"/>
              </w:rPr>
            </w:pPr>
            <w:r>
              <w:rPr>
                <w:rFonts w:hint="eastAsia" w:ascii="宋体" w:hAnsi="宋体"/>
                <w:bCs/>
                <w:color w:val="auto"/>
                <w:kern w:val="2"/>
                <w:highlight w:val="none"/>
              </w:rPr>
              <w:t>1</w:t>
            </w:r>
          </w:p>
        </w:tc>
        <w:tc>
          <w:tcPr>
            <w:tcW w:w="2191" w:type="dxa"/>
            <w:noWrap w:val="0"/>
            <w:vAlign w:val="center"/>
          </w:tcPr>
          <w:p>
            <w:pPr>
              <w:pStyle w:val="22"/>
              <w:widowControl w:val="0"/>
              <w:spacing w:before="0" w:beforeAutospacing="0" w:after="0" w:afterAutospacing="0" w:line="360" w:lineRule="auto"/>
              <w:jc w:val="center"/>
              <w:rPr>
                <w:rFonts w:hint="eastAsia" w:ascii="宋体" w:hAnsi="宋体"/>
                <w:b w:val="0"/>
                <w:color w:val="auto"/>
                <w:sz w:val="24"/>
                <w:highlight w:val="none"/>
              </w:rPr>
            </w:pPr>
          </w:p>
          <w:p>
            <w:pPr>
              <w:pStyle w:val="22"/>
              <w:widowControl w:val="0"/>
              <w:spacing w:before="0" w:beforeAutospacing="0" w:after="0" w:afterAutospacing="0" w:line="360" w:lineRule="auto"/>
              <w:jc w:val="center"/>
              <w:rPr>
                <w:rFonts w:ascii="宋体" w:hAnsi="宋体"/>
                <w:b w:val="0"/>
                <w:color w:val="auto"/>
                <w:sz w:val="24"/>
                <w:highlight w:val="none"/>
              </w:rPr>
            </w:pPr>
            <w:r>
              <w:rPr>
                <w:rFonts w:hint="eastAsia" w:ascii="宋体" w:hAnsi="宋体"/>
                <w:b w:val="0"/>
                <w:color w:val="auto"/>
                <w:sz w:val="24"/>
                <w:highlight w:val="none"/>
              </w:rPr>
              <w:t>付款方式</w:t>
            </w:r>
          </w:p>
          <w:p>
            <w:pPr>
              <w:jc w:val="center"/>
              <w:rPr>
                <w:color w:val="auto"/>
                <w:highlight w:val="none"/>
              </w:rPr>
            </w:pPr>
          </w:p>
        </w:tc>
        <w:tc>
          <w:tcPr>
            <w:tcW w:w="5913" w:type="dxa"/>
            <w:noWrap w:val="0"/>
            <w:vAlign w:val="center"/>
          </w:tcPr>
          <w:p>
            <w:pPr>
              <w:keepNext w:val="0"/>
              <w:keepLines w:val="0"/>
              <w:widowControl/>
              <w:suppressLineNumbers w:val="0"/>
              <w:spacing w:before="0" w:beforeAutospacing="0" w:after="0" w:afterAutospacing="0"/>
              <w:ind w:left="0" w:right="0"/>
              <w:jc w:val="left"/>
              <w:rPr>
                <w:rFonts w:hint="default"/>
                <w:color w:val="auto"/>
                <w:szCs w:val="20"/>
                <w:highlight w:val="none"/>
              </w:rPr>
            </w:pPr>
            <w:r>
              <w:rPr>
                <w:rFonts w:hint="eastAsia" w:ascii="宋体" w:hAnsi="宋体" w:eastAsia="宋体" w:cs="宋体"/>
                <w:color w:val="auto"/>
                <w:kern w:val="0"/>
                <w:sz w:val="24"/>
                <w:szCs w:val="24"/>
                <w:highlight w:val="none"/>
                <w:lang w:val="en-US" w:eastAsia="zh-CN" w:bidi="ar"/>
              </w:rPr>
              <w:t>（1）进度款支付：承包人每</w:t>
            </w:r>
            <w:r>
              <w:rPr>
                <w:rFonts w:hint="eastAsia" w:ascii="宋体" w:hAnsi="宋体" w:cs="宋体"/>
                <w:color w:val="auto"/>
                <w:kern w:val="0"/>
                <w:sz w:val="24"/>
                <w:szCs w:val="24"/>
                <w:highlight w:val="none"/>
                <w:lang w:val="en-US" w:eastAsia="zh-CN" w:bidi="ar"/>
              </w:rPr>
              <w:t>季度将</w:t>
            </w:r>
            <w:r>
              <w:rPr>
                <w:rFonts w:hint="eastAsia" w:ascii="宋体" w:hAnsi="宋体" w:eastAsia="宋体" w:cs="宋体"/>
                <w:color w:val="auto"/>
                <w:kern w:val="0"/>
                <w:sz w:val="24"/>
                <w:szCs w:val="24"/>
                <w:highlight w:val="none"/>
                <w:lang w:val="en-US" w:eastAsia="zh-CN" w:bidi="ar"/>
              </w:rPr>
              <w:t xml:space="preserve">工程款资料经建设单位组织审核后，30天内支付当月已完合格工程量的80%； </w:t>
            </w:r>
          </w:p>
          <w:p>
            <w:pPr>
              <w:keepNext w:val="0"/>
              <w:keepLines w:val="0"/>
              <w:widowControl/>
              <w:suppressLineNumbers w:val="0"/>
              <w:spacing w:before="0" w:beforeAutospacing="0" w:after="0" w:afterAutospacing="0"/>
              <w:ind w:left="0" w:right="0"/>
              <w:jc w:val="left"/>
              <w:rPr>
                <w:rFonts w:hint="default"/>
                <w:color w:val="auto"/>
                <w:szCs w:val="20"/>
                <w:highlight w:val="none"/>
              </w:rPr>
            </w:pPr>
            <w:r>
              <w:rPr>
                <w:rFonts w:hint="eastAsia" w:ascii="宋体" w:hAnsi="宋体" w:eastAsia="宋体" w:cs="宋体"/>
                <w:color w:val="auto"/>
                <w:kern w:val="0"/>
                <w:sz w:val="24"/>
                <w:szCs w:val="24"/>
                <w:highlight w:val="none"/>
                <w:lang w:val="en-US" w:eastAsia="zh-CN" w:bidi="ar"/>
              </w:rPr>
              <w:t xml:space="preserve">（2）竣工款支付：工程竣工验收合格后，30天内支付至已完合格工程量的90%； </w:t>
            </w:r>
          </w:p>
          <w:p>
            <w:pPr>
              <w:keepNext w:val="0"/>
              <w:keepLines w:val="0"/>
              <w:widowControl/>
              <w:suppressLineNumbers w:val="0"/>
              <w:spacing w:before="0" w:beforeAutospacing="0" w:after="0" w:afterAutospacing="0"/>
              <w:ind w:left="0" w:right="0"/>
              <w:jc w:val="left"/>
              <w:rPr>
                <w:rFonts w:hint="default"/>
                <w:color w:val="auto"/>
                <w:szCs w:val="20"/>
                <w:highlight w:val="none"/>
              </w:rPr>
            </w:pPr>
            <w:r>
              <w:rPr>
                <w:rFonts w:hint="eastAsia" w:ascii="宋体" w:hAnsi="宋体" w:eastAsia="宋体" w:cs="宋体"/>
                <w:color w:val="auto"/>
                <w:kern w:val="0"/>
                <w:sz w:val="24"/>
                <w:szCs w:val="24"/>
                <w:highlight w:val="none"/>
                <w:lang w:val="en-US" w:eastAsia="zh-CN" w:bidi="ar"/>
              </w:rPr>
              <w:t xml:space="preserve">（3）结算款支付：项目审核结算后再付至工程结算价的 97%； 剩余 3％留作质保金，待质保期满后一次性付清。 </w:t>
            </w:r>
          </w:p>
          <w:p>
            <w:pPr>
              <w:keepNext w:val="0"/>
              <w:keepLines w:val="0"/>
              <w:widowControl/>
              <w:suppressLineNumbers w:val="0"/>
              <w:spacing w:before="0" w:beforeAutospacing="0" w:after="0" w:afterAutospacing="0"/>
              <w:ind w:left="0" w:right="0"/>
              <w:jc w:val="left"/>
              <w:rPr>
                <w:rFonts w:hint="default"/>
                <w:color w:val="auto"/>
                <w:szCs w:val="20"/>
                <w:highlight w:val="none"/>
              </w:rPr>
            </w:pPr>
            <w:r>
              <w:rPr>
                <w:rFonts w:hint="eastAsia" w:ascii="宋体" w:hAnsi="宋体" w:eastAsia="宋体" w:cs="宋体"/>
                <w:color w:val="auto"/>
                <w:kern w:val="0"/>
                <w:sz w:val="24"/>
                <w:szCs w:val="24"/>
                <w:highlight w:val="none"/>
                <w:lang w:val="en-US" w:eastAsia="zh-CN" w:bidi="ar"/>
              </w:rPr>
              <w:t xml:space="preserve">注：如中标人采用“银行保函或保证保险等方式”提交等额 工程质量保证金，则在工程竣工结算完成后招标人应付至最 终结算价款的 100%。质量保证金可采用以下任意一种方式： </w:t>
            </w:r>
          </w:p>
          <w:p>
            <w:pPr>
              <w:keepNext w:val="0"/>
              <w:keepLines w:val="0"/>
              <w:widowControl/>
              <w:suppressLineNumbers w:val="0"/>
              <w:spacing w:before="0" w:beforeAutospacing="0" w:after="0" w:afterAutospacing="0"/>
              <w:ind w:left="0" w:right="0"/>
              <w:jc w:val="left"/>
              <w:rPr>
                <w:rFonts w:hint="default"/>
                <w:color w:val="auto"/>
                <w:szCs w:val="20"/>
                <w:highlight w:val="none"/>
              </w:rPr>
            </w:pPr>
            <w:r>
              <w:rPr>
                <w:rFonts w:hint="eastAsia" w:ascii="宋体" w:hAnsi="宋体" w:eastAsia="宋体" w:cs="宋体"/>
                <w:color w:val="auto"/>
                <w:kern w:val="0"/>
                <w:sz w:val="24"/>
                <w:szCs w:val="24"/>
                <w:highlight w:val="none"/>
                <w:lang w:val="en-US" w:eastAsia="zh-CN" w:bidi="ar"/>
              </w:rPr>
              <w:t xml:space="preserve">（1）由银行业金融机构、工程担保公司、保险机构出具银行 保函、工程质量保险等担保方式，担保/保证金额为：3%的合 同价款； </w:t>
            </w:r>
          </w:p>
          <w:p>
            <w:pPr>
              <w:keepNext w:val="0"/>
              <w:keepLines w:val="0"/>
              <w:widowControl/>
              <w:suppressLineNumbers w:val="0"/>
              <w:spacing w:before="0" w:beforeAutospacing="0" w:after="0" w:afterAutospacing="0"/>
              <w:ind w:left="0" w:right="0"/>
              <w:jc w:val="left"/>
              <w:rPr>
                <w:rFonts w:hint="default"/>
                <w:color w:val="auto"/>
                <w:szCs w:val="20"/>
                <w:highlight w:val="none"/>
              </w:rPr>
            </w:pPr>
            <w:r>
              <w:rPr>
                <w:rFonts w:hint="eastAsia" w:ascii="宋体" w:hAnsi="宋体" w:eastAsia="宋体" w:cs="宋体"/>
                <w:color w:val="auto"/>
                <w:kern w:val="0"/>
                <w:sz w:val="24"/>
                <w:szCs w:val="24"/>
                <w:highlight w:val="none"/>
                <w:lang w:val="en-US" w:eastAsia="zh-CN" w:bidi="ar"/>
              </w:rPr>
              <w:t xml:space="preserve">（2）3%的工程款； </w:t>
            </w:r>
          </w:p>
          <w:p>
            <w:pPr>
              <w:keepNext w:val="0"/>
              <w:keepLines w:val="0"/>
              <w:widowControl/>
              <w:numPr>
                <w:ilvl w:val="0"/>
                <w:numId w:val="3"/>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其他方式：采用现金形式提交的（含从工程款中扣留）。</w:t>
            </w:r>
          </w:p>
          <w:p>
            <w:pPr>
              <w:keepNext w:val="0"/>
              <w:keepLines w:val="0"/>
              <w:widowControl/>
              <w:numPr>
                <w:ilvl w:val="0"/>
                <w:numId w:val="0"/>
              </w:numPr>
              <w:suppressLineNumbers w:val="0"/>
              <w:spacing w:before="0" w:beforeAutospacing="0" w:after="0" w:afterAutospacing="0"/>
              <w:ind w:right="0" w:rightChars="0"/>
              <w:jc w:val="left"/>
              <w:rPr>
                <w:rFonts w:hint="eastAsia" w:ascii="宋体" w:hAnsi="宋体" w:eastAsia="宋体"/>
                <w:b w:val="0"/>
                <w:color w:val="auto"/>
                <w:sz w:val="24"/>
                <w:highlight w:val="none"/>
                <w:u w:val="single"/>
                <w:lang w:eastAsia="zh-CN"/>
              </w:rPr>
            </w:pPr>
            <w:r>
              <w:rPr>
                <w:rFonts w:hint="eastAsia" w:ascii="宋体" w:hAnsi="宋体" w:eastAsia="宋体" w:cs="宋体"/>
                <w:bCs w:val="0"/>
                <w:color w:val="auto"/>
                <w:sz w:val="24"/>
                <w:highlight w:val="none"/>
              </w:rPr>
              <w:t>注：投标人提交的响应文件中如有关于付款条件的表述与磋商文件规定负偏离的，响应无效。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87" w:type="dxa"/>
            <w:noWrap w:val="0"/>
            <w:vAlign w:val="center"/>
          </w:tcPr>
          <w:p>
            <w:pPr>
              <w:pStyle w:val="23"/>
              <w:pBdr>
                <w:bottom w:val="none" w:color="auto" w:sz="0" w:space="0"/>
              </w:pBdr>
              <w:adjustRightInd/>
              <w:spacing w:line="240" w:lineRule="auto"/>
              <w:textAlignment w:val="auto"/>
              <w:rPr>
                <w:rFonts w:ascii="宋体" w:hAnsi="宋体"/>
                <w:bCs/>
                <w:color w:val="auto"/>
                <w:kern w:val="2"/>
                <w:highlight w:val="none"/>
              </w:rPr>
            </w:pPr>
            <w:r>
              <w:rPr>
                <w:rFonts w:hint="eastAsia" w:ascii="宋体" w:hAnsi="宋体"/>
                <w:bCs/>
                <w:color w:val="auto"/>
                <w:kern w:val="2"/>
                <w:highlight w:val="none"/>
              </w:rPr>
              <w:t>2</w:t>
            </w:r>
          </w:p>
        </w:tc>
        <w:tc>
          <w:tcPr>
            <w:tcW w:w="2191" w:type="dxa"/>
            <w:noWrap w:val="0"/>
            <w:vAlign w:val="center"/>
          </w:tcPr>
          <w:p>
            <w:pPr>
              <w:pStyle w:val="22"/>
              <w:widowControl w:val="0"/>
              <w:spacing w:before="0" w:beforeAutospacing="0" w:after="0" w:afterAutospacing="0" w:line="360" w:lineRule="auto"/>
              <w:jc w:val="center"/>
              <w:rPr>
                <w:rFonts w:ascii="宋体" w:hAnsi="宋体"/>
                <w:b w:val="0"/>
                <w:color w:val="auto"/>
                <w:sz w:val="24"/>
                <w:highlight w:val="none"/>
              </w:rPr>
            </w:pPr>
            <w:r>
              <w:rPr>
                <w:rFonts w:hint="eastAsia" w:ascii="宋体" w:hAnsi="宋体"/>
                <w:b w:val="0"/>
                <w:color w:val="auto"/>
                <w:sz w:val="24"/>
                <w:highlight w:val="none"/>
                <w:lang w:val="en-US" w:eastAsia="zh-CN"/>
              </w:rPr>
              <w:t>施工</w:t>
            </w:r>
            <w:r>
              <w:rPr>
                <w:rFonts w:hint="eastAsia" w:ascii="宋体" w:hAnsi="宋体"/>
                <w:b w:val="0"/>
                <w:color w:val="auto"/>
                <w:sz w:val="24"/>
                <w:highlight w:val="none"/>
              </w:rPr>
              <w:t>地点</w:t>
            </w:r>
          </w:p>
        </w:tc>
        <w:tc>
          <w:tcPr>
            <w:tcW w:w="5913" w:type="dxa"/>
            <w:noWrap w:val="0"/>
            <w:vAlign w:val="center"/>
          </w:tcPr>
          <w:p>
            <w:pPr>
              <w:pStyle w:val="24"/>
              <w:spacing w:before="0" w:after="0" w:line="360" w:lineRule="auto"/>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合肥市包河区，招标人指定地点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pPr>
              <w:pStyle w:val="23"/>
              <w:pBdr>
                <w:bottom w:val="none" w:color="auto" w:sz="0" w:space="0"/>
              </w:pBdr>
              <w:adjustRightInd/>
              <w:spacing w:line="240" w:lineRule="auto"/>
              <w:textAlignment w:val="auto"/>
              <w:rPr>
                <w:rFonts w:ascii="宋体" w:hAnsi="宋体"/>
                <w:bCs/>
                <w:color w:val="auto"/>
                <w:kern w:val="2"/>
                <w:highlight w:val="none"/>
              </w:rPr>
            </w:pPr>
            <w:r>
              <w:rPr>
                <w:rFonts w:hint="eastAsia" w:ascii="宋体" w:hAnsi="宋体"/>
                <w:bCs/>
                <w:color w:val="auto"/>
                <w:kern w:val="2"/>
                <w:highlight w:val="none"/>
              </w:rPr>
              <w:t>3</w:t>
            </w:r>
          </w:p>
        </w:tc>
        <w:tc>
          <w:tcPr>
            <w:tcW w:w="2191" w:type="dxa"/>
            <w:noWrap w:val="0"/>
            <w:vAlign w:val="center"/>
          </w:tcPr>
          <w:p>
            <w:pPr>
              <w:pStyle w:val="22"/>
              <w:widowControl w:val="0"/>
              <w:spacing w:before="0" w:beforeAutospacing="0" w:after="0" w:afterAutospacing="0" w:line="360" w:lineRule="auto"/>
              <w:jc w:val="center"/>
              <w:rPr>
                <w:rFonts w:ascii="宋体" w:hAnsi="宋体"/>
                <w:b w:val="0"/>
                <w:color w:val="auto"/>
                <w:sz w:val="24"/>
                <w:highlight w:val="none"/>
              </w:rPr>
            </w:pPr>
            <w:r>
              <w:rPr>
                <w:rFonts w:hint="eastAsia" w:ascii="宋体" w:hAnsi="宋体"/>
                <w:b w:val="0"/>
                <w:color w:val="auto"/>
                <w:sz w:val="24"/>
                <w:highlight w:val="none"/>
                <w:lang w:val="en-US" w:eastAsia="zh-CN"/>
              </w:rPr>
              <w:t>施工</w:t>
            </w:r>
            <w:r>
              <w:rPr>
                <w:rFonts w:hint="eastAsia" w:ascii="宋体" w:hAnsi="宋体"/>
                <w:b w:val="0"/>
                <w:color w:val="auto"/>
                <w:sz w:val="24"/>
                <w:highlight w:val="none"/>
              </w:rPr>
              <w:t>期限</w:t>
            </w:r>
          </w:p>
        </w:tc>
        <w:tc>
          <w:tcPr>
            <w:tcW w:w="5913" w:type="dxa"/>
            <w:noWrap w:val="0"/>
            <w:vAlign w:val="center"/>
          </w:tcPr>
          <w:p>
            <w:pPr>
              <w:pStyle w:val="22"/>
              <w:keepNext w:val="0"/>
              <w:keepLines w:val="0"/>
              <w:widowControl w:val="0"/>
              <w:suppressLineNumbers w:val="0"/>
              <w:spacing w:before="0" w:beforeAutospacing="0" w:after="0" w:afterAutospacing="0" w:line="360" w:lineRule="auto"/>
              <w:ind w:left="0" w:right="0"/>
              <w:jc w:val="left"/>
              <w:rPr>
                <w:rFonts w:hint="eastAsia" w:ascii="宋体" w:hAnsi="宋体" w:eastAsia="宋体"/>
                <w:color w:val="auto"/>
                <w:sz w:val="24"/>
                <w:highlight w:val="none"/>
                <w:lang w:val="en-US" w:eastAsia="zh-CN"/>
              </w:rPr>
            </w:pPr>
            <w:r>
              <w:rPr>
                <w:rFonts w:hint="eastAsia" w:ascii="宋体" w:hAnsi="宋体" w:eastAsia="宋体"/>
                <w:b w:val="0"/>
                <w:color w:val="auto"/>
                <w:sz w:val="24"/>
                <w:highlight w:val="none"/>
                <w:u w:val="none"/>
              </w:rPr>
              <w:t>自合同签订之日起</w:t>
            </w:r>
            <w:r>
              <w:rPr>
                <w:rFonts w:hint="eastAsia" w:ascii="宋体" w:hAnsi="宋体" w:eastAsia="宋体"/>
                <w:b w:val="0"/>
                <w:color w:val="auto"/>
                <w:sz w:val="24"/>
                <w:highlight w:val="none"/>
                <w:u w:val="none"/>
                <w:lang w:eastAsia="zh-CN"/>
              </w:rPr>
              <w:t>一年，合同期内承接的项目未完成的直至项目结束。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pPr>
              <w:pStyle w:val="23"/>
              <w:pBdr>
                <w:bottom w:val="none" w:color="auto" w:sz="0" w:space="0"/>
              </w:pBdr>
              <w:adjustRightInd/>
              <w:spacing w:line="240" w:lineRule="auto"/>
              <w:textAlignment w:val="auto"/>
              <w:rPr>
                <w:rFonts w:ascii="宋体" w:hAnsi="宋体"/>
                <w:bCs/>
                <w:color w:val="auto"/>
                <w:kern w:val="2"/>
                <w:highlight w:val="none"/>
              </w:rPr>
            </w:pPr>
            <w:r>
              <w:rPr>
                <w:rFonts w:hint="eastAsia" w:ascii="宋体" w:hAnsi="宋体"/>
                <w:bCs/>
                <w:color w:val="auto"/>
                <w:kern w:val="2"/>
                <w:highlight w:val="none"/>
              </w:rPr>
              <w:t>4</w:t>
            </w:r>
          </w:p>
        </w:tc>
        <w:tc>
          <w:tcPr>
            <w:tcW w:w="2191" w:type="dxa"/>
            <w:noWrap w:val="0"/>
            <w:vAlign w:val="center"/>
          </w:tcPr>
          <w:p>
            <w:pPr>
              <w:pStyle w:val="22"/>
              <w:widowControl w:val="0"/>
              <w:spacing w:before="0" w:beforeAutospacing="0" w:after="0" w:afterAutospacing="0" w:line="360" w:lineRule="auto"/>
              <w:jc w:val="center"/>
              <w:rPr>
                <w:rFonts w:ascii="宋体" w:hAnsi="宋体"/>
                <w:b w:val="0"/>
                <w:color w:val="auto"/>
                <w:sz w:val="24"/>
                <w:highlight w:val="none"/>
              </w:rPr>
            </w:pPr>
            <w:r>
              <w:rPr>
                <w:rFonts w:hint="eastAsia" w:ascii="宋体" w:hAnsi="宋体"/>
                <w:b w:val="0"/>
                <w:color w:val="auto"/>
                <w:sz w:val="24"/>
                <w:highlight w:val="none"/>
              </w:rPr>
              <w:t>免费质保期</w:t>
            </w:r>
          </w:p>
        </w:tc>
        <w:tc>
          <w:tcPr>
            <w:tcW w:w="5913" w:type="dxa"/>
            <w:noWrap w:val="0"/>
            <w:vAlign w:val="center"/>
          </w:tcPr>
          <w:p>
            <w:pPr>
              <w:pStyle w:val="24"/>
              <w:spacing w:before="0" w:after="0" w:line="360" w:lineRule="auto"/>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一年</w:t>
            </w:r>
          </w:p>
        </w:tc>
      </w:tr>
    </w:tbl>
    <w:p>
      <w:pPr>
        <w:spacing w:line="360" w:lineRule="auto"/>
        <w:rPr>
          <w:rFonts w:hint="eastAsia" w:ascii="宋体" w:hAnsi="宋体"/>
          <w:b/>
          <w:bCs/>
          <w:color w:val="auto"/>
          <w:sz w:val="24"/>
          <w:szCs w:val="18"/>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18"/>
          <w:highlight w:val="none"/>
        </w:rPr>
      </w:pPr>
      <w:bookmarkStart w:id="31" w:name="_Hlk16461016"/>
      <w:bookmarkStart w:id="32" w:name="_Toc7286"/>
      <w:r>
        <w:rPr>
          <w:rFonts w:hint="eastAsia" w:ascii="宋体" w:hAnsi="宋体" w:eastAsia="宋体" w:cs="宋体"/>
          <w:b/>
          <w:color w:val="auto"/>
          <w:sz w:val="24"/>
          <w:szCs w:val="18"/>
          <w:highlight w:val="none"/>
        </w:rPr>
        <w:t>服务需求</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1、人员到岗及履约要求</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（1）中标人为本项目拟配备的项目经理、施工现场技术负责人、各专业负责工程师及施工机械等在整个项目施工期内必须在位，否则招标人有权终止合同，中标人自行承担并赔偿由此可能给招标人造成的损失。</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2）中标人不得擅自更换项目经理及项目部主要管理人员。确需更换时，须报招标人同意，更换后人员不得低于响应文件中所报人员资质和技术水平。另维修工程涉及专业较多，要求中标人具有一定专业水平的技术管理人员，如道排维修工程、室外照明维修工程以及小区内景观绿化等专业性较强的工作，要求投标人须配备具有相应专业能力的技术人员进行专业维修，招标人如认为有必要，可要求对上述人员中的部分人员作出更好的调整。</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3）中标人未能按照要求到岗尽职的，招标人将视情况严重程度对其作出相应处理，给予警告并发出整改通知。如仍未及时整改，招标人有权责令其停工整改直至终止合同。招标人将停止支付工程款项，扣留任何未付的工程款项补偿招标人的有关损失或工期延误的损失，并就此向中标人索赔。</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2、材料要求</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中标人自行采购的材料应满足设计和规范要求的质量等级，并须按有关技术规范要求对材料质量进行检验。中标人选定的材料供应厂家和价格须经招标人和监理单位认可。如招标人和监理单位对某种或某些材料的质量有异议，有权提出停止使用的要求，中标人必须服从该要求。若该材料经权威检验部门鉴定确有质量问题，由此而发生的一切费用由中标人自负。因中标人自行采购的材料质量引起的工程质量问题由中标人承担所造成的一切损失。</w:t>
      </w:r>
    </w:p>
    <w:p>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3、重要说明</w:t>
      </w:r>
    </w:p>
    <w:p>
      <w:pPr>
        <w:keepNext w:val="0"/>
        <w:keepLines w:val="0"/>
        <w:widowControl w:val="0"/>
        <w:suppressLineNumbers w:val="0"/>
        <w:autoSpaceDE w:val="0"/>
        <w:autoSpaceDN/>
        <w:spacing w:before="0" w:beforeAutospacing="0" w:after="0" w:afterAutospacing="0" w:line="360" w:lineRule="auto"/>
        <w:ind w:left="0" w:right="0" w:firstLine="410" w:firstLineChars="171"/>
        <w:jc w:val="both"/>
        <w:rPr>
          <w:rFonts w:hint="eastAsia" w:ascii="Times New Roman" w:hAnsi="Times New Roman"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）注册地不在合肥市行政区域范围（含四县一市）的中标人，应按照《纳税人跨县（市、区）提供建筑服务增值税征收管理暂行办法》（国家税务总局公告</w:t>
      </w:r>
      <w:r>
        <w:rPr>
          <w:rFonts w:hint="default" w:ascii="Times New Roman" w:hAnsi="Times New Roman" w:eastAsia="宋体" w:cs="Times New Roman"/>
          <w:color w:val="auto"/>
          <w:kern w:val="2"/>
          <w:sz w:val="24"/>
          <w:szCs w:val="24"/>
          <w:highlight w:val="none"/>
          <w:lang w:val="en-US" w:eastAsia="zh-CN" w:bidi="ar"/>
        </w:rPr>
        <w:t>2016</w:t>
      </w:r>
      <w:r>
        <w:rPr>
          <w:rFonts w:hint="eastAsia" w:ascii="宋体" w:hAnsi="宋体" w:eastAsia="宋体" w:cs="宋体"/>
          <w:color w:val="auto"/>
          <w:kern w:val="2"/>
          <w:sz w:val="24"/>
          <w:szCs w:val="24"/>
          <w:highlight w:val="none"/>
          <w:lang w:val="en-US" w:eastAsia="zh-CN" w:bidi="ar"/>
        </w:rPr>
        <w:t>年第</w:t>
      </w:r>
      <w:r>
        <w:rPr>
          <w:rFonts w:hint="default" w:ascii="Times New Roman" w:hAnsi="Times New Roman"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号）规定，在建筑服务发生地及时足额预缴增值税。</w:t>
      </w:r>
    </w:p>
    <w:p>
      <w:pPr>
        <w:keepNext w:val="0"/>
        <w:keepLines w:val="0"/>
        <w:widowControl w:val="0"/>
        <w:suppressLineNumbers w:val="0"/>
        <w:autoSpaceDE w:val="0"/>
        <w:autoSpaceDN/>
        <w:spacing w:before="0" w:beforeAutospacing="0" w:after="0" w:afterAutospacing="0" w:line="360" w:lineRule="auto"/>
        <w:ind w:left="0" w:right="0" w:firstLine="410" w:firstLineChars="171"/>
        <w:jc w:val="both"/>
        <w:rPr>
          <w:rFonts w:hint="eastAsia" w:ascii="Times New Roman" w:hAnsi="Times New Roman"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）中标人在工程实施过程中用工行为，必须严格执行国家及地方政府的有关规定，依法签订劳动合同，并按规定及时足额支付工资。</w:t>
      </w:r>
    </w:p>
    <w:p>
      <w:pPr>
        <w:spacing w:line="360" w:lineRule="auto"/>
        <w:ind w:firstLine="437"/>
        <w:rPr>
          <w:rFonts w:hint="eastAsia" w:ascii="宋体" w:hAnsi="宋体" w:eastAsia="宋体" w:cs="宋体"/>
          <w:b/>
          <w:color w:val="auto"/>
          <w:sz w:val="24"/>
          <w:szCs w:val="18"/>
          <w:highlight w:val="none"/>
        </w:rPr>
      </w:pPr>
    </w:p>
    <w:p>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pPr>
        <w:spacing w:line="360" w:lineRule="auto"/>
        <w:ind w:firstLine="480" w:firstLineChars="200"/>
        <w:rPr>
          <w:rFonts w:ascii="宋体" w:hAnsi="宋体" w:eastAsia="宋体"/>
          <w:color w:val="auto"/>
          <w:sz w:val="24"/>
          <w:highlight w:val="none"/>
        </w:rPr>
      </w:pPr>
      <w:r>
        <w:rPr>
          <w:rFonts w:hint="eastAsia" w:ascii="宋体" w:hAnsi="宋体" w:eastAsia="宋体"/>
          <w:bCs/>
          <w:color w:val="auto"/>
          <w:sz w:val="24"/>
          <w:szCs w:val="18"/>
          <w:highlight w:val="none"/>
        </w:rPr>
        <w:t>1、</w:t>
      </w:r>
      <w:r>
        <w:rPr>
          <w:rFonts w:hint="eastAsia" w:ascii="宋体" w:hAnsi="宋体" w:eastAsia="宋体"/>
          <w:b/>
          <w:color w:val="auto"/>
          <w:sz w:val="24"/>
          <w:szCs w:val="18"/>
          <w:highlight w:val="none"/>
        </w:rPr>
        <w:t>本项目采用费率报价的报价方式</w:t>
      </w:r>
      <w:r>
        <w:rPr>
          <w:rFonts w:hint="eastAsia" w:ascii="宋体" w:hAnsi="宋体" w:eastAsia="宋体"/>
          <w:b/>
          <w:color w:val="auto"/>
          <w:sz w:val="24"/>
          <w:highlight w:val="none"/>
        </w:rPr>
        <w:t>，即百分之</w:t>
      </w:r>
      <w:r>
        <w:rPr>
          <w:rFonts w:hint="eastAsia" w:ascii="宋体" w:hAnsi="宋体" w:eastAsia="宋体"/>
          <w:b/>
          <w:color w:val="auto"/>
          <w:sz w:val="24"/>
          <w:highlight w:val="none"/>
          <w:u w:val="single"/>
        </w:rPr>
        <w:t xml:space="preserve">    </w:t>
      </w:r>
      <w:r>
        <w:rPr>
          <w:rFonts w:hint="eastAsia" w:ascii="宋体" w:hAnsi="宋体" w:eastAsia="宋体"/>
          <w:b/>
          <w:color w:val="auto"/>
          <w:sz w:val="24"/>
          <w:highlight w:val="none"/>
        </w:rPr>
        <w:t>；报价费率不得超过100%，否则响应无效。报价费率小数点后保留不超过两位小数（如投标人报价费率为85.356%，小数点后第三位直接舍去，谈判时投标人的评审费率即为85.35%，后期结算时按85.35%进行结算）。</w:t>
      </w:r>
      <w:r>
        <w:rPr>
          <w:rFonts w:hint="eastAsia" w:ascii="宋体" w:hAnsi="宋体" w:eastAsia="宋体"/>
          <w:color w:val="auto"/>
          <w:sz w:val="24"/>
          <w:highlight w:val="none"/>
        </w:rPr>
        <w:t>报价费率包括履行合同所发生的一切费用，包含但不限于</w:t>
      </w:r>
      <w:r>
        <w:rPr>
          <w:rFonts w:hint="eastAsia" w:ascii="宋体" w:hAnsi="宋体" w:eastAsia="宋体"/>
          <w:color w:val="auto"/>
          <w:sz w:val="24"/>
          <w:szCs w:val="18"/>
          <w:highlight w:val="none"/>
        </w:rPr>
        <w:t>施工便道维护修建费、水电维护费、施工及生活废水排放疏通维护费、临时设施（临时房屋及其基础、临时道路、场地硬化、临时围挡、高空作业安全措施、其它未施工服务的临时建筑物和构筑物）的拆除及其拆除后建筑垃圾外运等</w:t>
      </w:r>
      <w:r>
        <w:rPr>
          <w:rFonts w:hint="eastAsia" w:ascii="宋体" w:hAnsi="宋体" w:eastAsia="宋体"/>
          <w:color w:val="auto"/>
          <w:sz w:val="24"/>
          <w:highlight w:val="none"/>
        </w:rPr>
        <w:t>可能存在的各种风险、责任、义务等支出</w:t>
      </w:r>
      <w:r>
        <w:rPr>
          <w:rFonts w:hint="eastAsia" w:ascii="宋体" w:hAnsi="宋体" w:eastAsia="宋体"/>
          <w:color w:val="auto"/>
          <w:sz w:val="24"/>
          <w:szCs w:val="18"/>
          <w:highlight w:val="none"/>
        </w:rPr>
        <w:t>，</w:t>
      </w:r>
      <w:r>
        <w:rPr>
          <w:rFonts w:hint="eastAsia" w:ascii="宋体" w:hAnsi="宋体" w:eastAsia="宋体"/>
          <w:color w:val="auto"/>
          <w:sz w:val="24"/>
          <w:highlight w:val="none"/>
        </w:rPr>
        <w:t>请投标人考虑相关风险并进行综合报价。</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2、结算方式</w:t>
      </w:r>
    </w:p>
    <w:p>
      <w:pPr>
        <w:spacing w:line="360" w:lineRule="auto"/>
        <w:ind w:firstLine="437"/>
        <w:rPr>
          <w:rFonts w:ascii="宋体" w:hAnsi="宋体" w:eastAsia="宋体"/>
          <w:b/>
          <w:color w:val="auto"/>
          <w:sz w:val="24"/>
          <w:szCs w:val="18"/>
          <w:highlight w:val="none"/>
        </w:rPr>
      </w:pPr>
      <w:r>
        <w:rPr>
          <w:rFonts w:ascii="宋体" w:hAnsi="宋体" w:eastAsia="宋体"/>
          <w:b/>
          <w:color w:val="auto"/>
          <w:sz w:val="24"/>
          <w:szCs w:val="18"/>
          <w:highlight w:val="none"/>
        </w:rPr>
        <w:t>单个小额零星工程结算价=依据</w:t>
      </w:r>
      <w:r>
        <w:rPr>
          <w:rFonts w:hint="eastAsia" w:ascii="宋体" w:hAnsi="宋体" w:eastAsia="宋体"/>
          <w:b/>
          <w:color w:val="auto"/>
          <w:sz w:val="24"/>
          <w:szCs w:val="18"/>
          <w:highlight w:val="none"/>
        </w:rPr>
        <w:t>磋商</w:t>
      </w:r>
      <w:r>
        <w:rPr>
          <w:rFonts w:ascii="宋体" w:hAnsi="宋体" w:eastAsia="宋体"/>
          <w:b/>
          <w:color w:val="auto"/>
          <w:sz w:val="24"/>
          <w:szCs w:val="18"/>
          <w:highlight w:val="none"/>
        </w:rPr>
        <w:t>文件规定的方法计算得出的工程竣工审</w:t>
      </w:r>
      <w:r>
        <w:rPr>
          <w:rFonts w:hint="eastAsia" w:ascii="宋体" w:hAnsi="宋体" w:eastAsia="宋体"/>
          <w:b/>
          <w:color w:val="auto"/>
          <w:sz w:val="24"/>
          <w:szCs w:val="18"/>
          <w:highlight w:val="none"/>
          <w:lang w:val="en-US" w:eastAsia="zh-CN"/>
        </w:rPr>
        <w:t>定</w:t>
      </w:r>
      <w:r>
        <w:rPr>
          <w:rFonts w:ascii="宋体" w:hAnsi="宋体" w:eastAsia="宋体"/>
          <w:b/>
          <w:color w:val="auto"/>
          <w:sz w:val="24"/>
          <w:szCs w:val="18"/>
          <w:highlight w:val="none"/>
        </w:rPr>
        <w:t>价×</w:t>
      </w:r>
      <w:r>
        <w:rPr>
          <w:rFonts w:hint="eastAsia" w:ascii="宋体" w:hAnsi="宋体" w:eastAsia="宋体"/>
          <w:b/>
          <w:color w:val="auto"/>
          <w:sz w:val="24"/>
          <w:szCs w:val="18"/>
          <w:highlight w:val="none"/>
          <w:lang w:val="en-US" w:eastAsia="zh-CN"/>
        </w:rPr>
        <w:t>中标</w:t>
      </w:r>
      <w:r>
        <w:rPr>
          <w:rFonts w:ascii="宋体" w:hAnsi="宋体" w:eastAsia="宋体"/>
          <w:b/>
          <w:color w:val="auto"/>
          <w:sz w:val="24"/>
          <w:szCs w:val="18"/>
          <w:highlight w:val="none"/>
        </w:rPr>
        <w:t>费率。其中工程竣工审</w:t>
      </w:r>
      <w:r>
        <w:rPr>
          <w:rFonts w:hint="eastAsia" w:ascii="宋体" w:hAnsi="宋体" w:eastAsia="宋体"/>
          <w:b/>
          <w:color w:val="auto"/>
          <w:sz w:val="24"/>
          <w:szCs w:val="18"/>
          <w:highlight w:val="none"/>
          <w:lang w:val="en-US" w:eastAsia="zh-CN"/>
        </w:rPr>
        <w:t>定</w:t>
      </w:r>
      <w:r>
        <w:rPr>
          <w:rFonts w:ascii="宋体" w:hAnsi="宋体" w:eastAsia="宋体"/>
          <w:b/>
          <w:color w:val="auto"/>
          <w:sz w:val="24"/>
          <w:szCs w:val="18"/>
          <w:highlight w:val="none"/>
        </w:rPr>
        <w:t>价为审</w:t>
      </w:r>
      <w:r>
        <w:rPr>
          <w:rFonts w:hint="eastAsia" w:ascii="宋体" w:hAnsi="宋体" w:eastAsia="宋体"/>
          <w:b/>
          <w:color w:val="auto"/>
          <w:sz w:val="24"/>
          <w:szCs w:val="18"/>
          <w:highlight w:val="none"/>
          <w:lang w:val="en-US" w:eastAsia="zh-CN"/>
        </w:rPr>
        <w:t>核</w:t>
      </w:r>
      <w:r>
        <w:rPr>
          <w:rFonts w:ascii="宋体" w:hAnsi="宋体" w:eastAsia="宋体"/>
          <w:b/>
          <w:color w:val="auto"/>
          <w:sz w:val="24"/>
          <w:szCs w:val="18"/>
          <w:highlight w:val="none"/>
        </w:rPr>
        <w:t>部门依据相关定额，根据实际完成工程量计算得出，该审</w:t>
      </w:r>
      <w:r>
        <w:rPr>
          <w:rFonts w:hint="eastAsia" w:ascii="宋体" w:hAnsi="宋体" w:eastAsia="宋体"/>
          <w:b/>
          <w:color w:val="auto"/>
          <w:sz w:val="24"/>
          <w:szCs w:val="18"/>
          <w:highlight w:val="none"/>
          <w:lang w:val="en-US" w:eastAsia="zh-CN"/>
        </w:rPr>
        <w:t>定</w:t>
      </w:r>
      <w:r>
        <w:rPr>
          <w:rFonts w:ascii="宋体" w:hAnsi="宋体" w:eastAsia="宋体"/>
          <w:b/>
          <w:color w:val="auto"/>
          <w:sz w:val="24"/>
          <w:szCs w:val="18"/>
          <w:highlight w:val="none"/>
        </w:rPr>
        <w:t>价不得下浮。结算价为工程竣工后</w:t>
      </w:r>
      <w:r>
        <w:rPr>
          <w:rFonts w:hint="eastAsia" w:ascii="宋体" w:hAnsi="宋体" w:eastAsia="宋体"/>
          <w:b/>
          <w:color w:val="auto"/>
          <w:sz w:val="24"/>
          <w:szCs w:val="18"/>
          <w:highlight w:val="none"/>
        </w:rPr>
        <w:t>招标人</w:t>
      </w:r>
      <w:r>
        <w:rPr>
          <w:rFonts w:ascii="宋体" w:hAnsi="宋体" w:eastAsia="宋体"/>
          <w:b/>
          <w:color w:val="auto"/>
          <w:sz w:val="24"/>
          <w:szCs w:val="18"/>
          <w:highlight w:val="none"/>
        </w:rPr>
        <w:t>实际应当支付的价款，是在工程竣工审</w:t>
      </w:r>
      <w:r>
        <w:rPr>
          <w:rFonts w:hint="eastAsia" w:ascii="宋体" w:hAnsi="宋体" w:eastAsia="宋体"/>
          <w:b/>
          <w:color w:val="auto"/>
          <w:sz w:val="24"/>
          <w:szCs w:val="18"/>
          <w:highlight w:val="none"/>
          <w:lang w:val="en-US" w:eastAsia="zh-CN"/>
        </w:rPr>
        <w:t>定</w:t>
      </w:r>
      <w:r>
        <w:rPr>
          <w:rFonts w:ascii="宋体" w:hAnsi="宋体" w:eastAsia="宋体"/>
          <w:b/>
          <w:color w:val="auto"/>
          <w:sz w:val="24"/>
          <w:szCs w:val="18"/>
          <w:highlight w:val="none"/>
        </w:rPr>
        <w:t>价</w:t>
      </w:r>
      <w:r>
        <w:rPr>
          <w:rFonts w:hint="eastAsia" w:ascii="宋体" w:hAnsi="宋体" w:eastAsia="宋体"/>
          <w:b/>
          <w:color w:val="auto"/>
          <w:sz w:val="24"/>
          <w:szCs w:val="18"/>
          <w:highlight w:val="none"/>
        </w:rPr>
        <w:t>（</w:t>
      </w:r>
      <w:r>
        <w:rPr>
          <w:rFonts w:ascii="宋体" w:hAnsi="宋体" w:eastAsia="宋体"/>
          <w:b/>
          <w:color w:val="auto"/>
          <w:sz w:val="24"/>
          <w:szCs w:val="18"/>
          <w:highlight w:val="none"/>
        </w:rPr>
        <w:t>包括工程所用大宗主要材料</w:t>
      </w:r>
      <w:r>
        <w:rPr>
          <w:rFonts w:hint="eastAsia" w:ascii="宋体" w:hAnsi="宋体" w:eastAsia="宋体"/>
          <w:b/>
          <w:color w:val="auto"/>
          <w:sz w:val="24"/>
          <w:szCs w:val="18"/>
          <w:highlight w:val="none"/>
        </w:rPr>
        <w:t>）</w:t>
      </w:r>
      <w:r>
        <w:rPr>
          <w:rFonts w:ascii="宋体" w:hAnsi="宋体" w:eastAsia="宋体"/>
          <w:b/>
          <w:color w:val="auto"/>
          <w:sz w:val="24"/>
          <w:szCs w:val="18"/>
          <w:highlight w:val="none"/>
        </w:rPr>
        <w:t>的基础上再乘以</w:t>
      </w:r>
      <w:r>
        <w:rPr>
          <w:rFonts w:hint="eastAsia" w:ascii="宋体" w:hAnsi="宋体" w:eastAsia="宋体"/>
          <w:b/>
          <w:color w:val="auto"/>
          <w:sz w:val="24"/>
          <w:szCs w:val="18"/>
          <w:highlight w:val="none"/>
          <w:lang w:val="en-US" w:eastAsia="zh-CN"/>
        </w:rPr>
        <w:t>中标</w:t>
      </w:r>
      <w:r>
        <w:rPr>
          <w:rFonts w:ascii="宋体" w:hAnsi="宋体" w:eastAsia="宋体"/>
          <w:b/>
          <w:color w:val="auto"/>
          <w:sz w:val="24"/>
          <w:szCs w:val="18"/>
          <w:highlight w:val="none"/>
        </w:rPr>
        <w:t>费率计算得出。</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3、结算依据</w:t>
      </w:r>
    </w:p>
    <w:p>
      <w:pPr>
        <w:spacing w:line="360" w:lineRule="auto"/>
        <w:ind w:firstLine="480" w:firstLineChars="200"/>
        <w:rPr>
          <w:rFonts w:ascii="宋体" w:hAnsi="宋体" w:eastAsia="宋体"/>
          <w:bCs/>
          <w:color w:val="auto"/>
          <w:sz w:val="24"/>
          <w:szCs w:val="18"/>
          <w:highlight w:val="none"/>
        </w:rPr>
      </w:pPr>
      <w:r>
        <w:rPr>
          <w:rFonts w:hint="eastAsia" w:ascii="宋体" w:hAnsi="宋体" w:eastAsia="宋体"/>
          <w:bCs/>
          <w:color w:val="auto"/>
          <w:sz w:val="24"/>
          <w:szCs w:val="18"/>
          <w:highlight w:val="none"/>
        </w:rPr>
        <w:t>单个小额零星项目工程结算和审</w:t>
      </w:r>
      <w:r>
        <w:rPr>
          <w:rFonts w:hint="eastAsia" w:ascii="宋体" w:hAnsi="宋体" w:eastAsia="宋体"/>
          <w:bCs/>
          <w:color w:val="auto"/>
          <w:sz w:val="24"/>
          <w:szCs w:val="18"/>
          <w:highlight w:val="none"/>
          <w:lang w:val="en-US" w:eastAsia="zh-CN"/>
        </w:rPr>
        <w:t>核</w:t>
      </w:r>
      <w:r>
        <w:rPr>
          <w:rFonts w:hint="eastAsia" w:ascii="宋体" w:hAnsi="宋体" w:eastAsia="宋体"/>
          <w:bCs/>
          <w:color w:val="auto"/>
          <w:sz w:val="24"/>
          <w:szCs w:val="18"/>
          <w:highlight w:val="none"/>
        </w:rPr>
        <w:t>采用2018版安徽省建设工程计价依据（以下简称2018版计价依据）配套定额，即《安徽省建设工程费用定额》、《安徽省建设工程施工机械台班费用编制规则》、《安徽省建设工程计价定额（共用册）》、《安徽省装饰装修工程计价定额》、《安徽省安装工程计价定额》、《安徽省市政工程计价定额》、《安徽省园林绿化工程计价定额》、《安徽省仿古建筑工程计价定额》等相关规定。材料价格采用</w:t>
      </w:r>
      <w:r>
        <w:rPr>
          <w:rFonts w:hint="eastAsia" w:ascii="宋体" w:hAnsi="宋体"/>
          <w:bCs/>
          <w:color w:val="auto"/>
          <w:sz w:val="24"/>
          <w:szCs w:val="18"/>
          <w:highlight w:val="none"/>
          <w:lang w:val="en-US" w:eastAsia="zh-CN"/>
        </w:rPr>
        <w:t>2024年11月</w:t>
      </w:r>
      <w:r>
        <w:rPr>
          <w:rFonts w:hint="eastAsia" w:ascii="宋体" w:hAnsi="宋体" w:eastAsia="宋体"/>
          <w:bCs/>
          <w:color w:val="auto"/>
          <w:sz w:val="24"/>
          <w:szCs w:val="18"/>
          <w:highlight w:val="none"/>
        </w:rPr>
        <w:t>合肥市</w:t>
      </w:r>
      <w:r>
        <w:rPr>
          <w:rFonts w:hint="eastAsia" w:ascii="宋体" w:hAnsi="宋体"/>
          <w:bCs/>
          <w:color w:val="auto"/>
          <w:sz w:val="24"/>
          <w:szCs w:val="18"/>
          <w:highlight w:val="none"/>
          <w:lang w:val="en-US" w:eastAsia="zh-CN"/>
        </w:rPr>
        <w:t>城乡建设局</w:t>
      </w:r>
      <w:r>
        <w:rPr>
          <w:rFonts w:hint="eastAsia" w:ascii="宋体" w:hAnsi="宋体" w:eastAsia="宋体"/>
          <w:bCs/>
          <w:color w:val="auto"/>
          <w:sz w:val="24"/>
          <w:szCs w:val="18"/>
          <w:highlight w:val="none"/>
        </w:rPr>
        <w:t>发布的市场价格信息主刊不含进项税价格；信息价没有的材料、设备按照市场询价（不含进项税价格）计入</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人工费调整执行合肥市</w:t>
      </w:r>
      <w:r>
        <w:rPr>
          <w:rFonts w:hint="eastAsia" w:ascii="宋体" w:hAnsi="宋体"/>
          <w:bCs/>
          <w:color w:val="auto"/>
          <w:sz w:val="24"/>
          <w:szCs w:val="18"/>
          <w:highlight w:val="none"/>
          <w:lang w:val="en-US" w:eastAsia="zh-CN"/>
        </w:rPr>
        <w:t>城乡建设局</w:t>
      </w:r>
      <w:r>
        <w:rPr>
          <w:rFonts w:hint="eastAsia" w:ascii="宋体" w:hAnsi="宋体" w:eastAsia="宋体"/>
          <w:bCs/>
          <w:color w:val="auto"/>
          <w:sz w:val="24"/>
          <w:szCs w:val="18"/>
          <w:highlight w:val="none"/>
        </w:rPr>
        <w:t>最新相关文件规定。本项目正式开始之前或者在履约期内，定额标准有调整的，招标人保留调整的权利。</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4、投标人应充分与招标人沟通情况。成交后不得以未到现场和不完全了解现场情况为由，提出异议和任何形式的增加合同外造价或其它要求，而由此发生的一切后果，其责任由中标人自负。</w:t>
      </w:r>
    </w:p>
    <w:p>
      <w:pPr>
        <w:pStyle w:val="15"/>
        <w:spacing w:line="360" w:lineRule="auto"/>
        <w:ind w:left="0" w:leftChars="0" w:firstLine="480" w:firstLineChars="200"/>
        <w:rPr>
          <w:rFonts w:eastAsia="宋体"/>
          <w:color w:val="auto"/>
          <w:sz w:val="24"/>
          <w:szCs w:val="18"/>
          <w:highlight w:val="none"/>
        </w:rPr>
      </w:pPr>
      <w:r>
        <w:rPr>
          <w:rFonts w:hint="eastAsia" w:eastAsia="宋体"/>
          <w:color w:val="auto"/>
          <w:sz w:val="24"/>
          <w:szCs w:val="18"/>
          <w:highlight w:val="none"/>
        </w:rPr>
        <w:t>5、本项目结算价不得超过合同</w:t>
      </w:r>
      <w:r>
        <w:rPr>
          <w:rFonts w:hint="eastAsia" w:eastAsia="宋体"/>
          <w:color w:val="auto"/>
          <w:sz w:val="24"/>
          <w:szCs w:val="18"/>
          <w:highlight w:val="none"/>
          <w:lang w:val="en-US" w:eastAsia="zh-CN"/>
        </w:rPr>
        <w:t>暂定总</w:t>
      </w:r>
      <w:r>
        <w:rPr>
          <w:rFonts w:hint="eastAsia" w:eastAsia="宋体"/>
          <w:color w:val="auto"/>
          <w:sz w:val="24"/>
          <w:szCs w:val="18"/>
          <w:highlight w:val="none"/>
        </w:rPr>
        <w:t>价（项目概算），超出部分招标人不予承担，中标人在维修服务开始前应做好结算预测。</w:t>
      </w:r>
    </w:p>
    <w:p>
      <w:pPr>
        <w:spacing w:line="360" w:lineRule="auto"/>
        <w:ind w:firstLine="437"/>
        <w:rPr>
          <w:rFonts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rPr>
        <w:t>、其他要求</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1、工程施工期间，若发现中标人有挂靠、违法分包、转包等违规行为，招标人有权终止合同，并没收履约保证金，同时进一步追究相关责任，已完合格工程按已完成产值*建安报价下浮比例结算。除在施工总承包合同中有约定外，如需专业分包，分包项目、内容及分包商须经招标人书面同意和认可。</w:t>
      </w:r>
    </w:p>
    <w:p>
      <w:pPr>
        <w:spacing w:line="360" w:lineRule="auto"/>
        <w:ind w:firstLine="480" w:firstLineChars="200"/>
        <w:rPr>
          <w:rFonts w:ascii="宋体" w:hAnsi="宋体" w:eastAsia="宋体"/>
          <w:bCs/>
          <w:color w:val="auto"/>
          <w:sz w:val="24"/>
          <w:szCs w:val="18"/>
          <w:highlight w:val="none"/>
        </w:rPr>
      </w:pPr>
      <w:r>
        <w:rPr>
          <w:rFonts w:hint="eastAsia" w:ascii="宋体" w:hAnsi="宋体" w:eastAsia="宋体"/>
          <w:bCs/>
          <w:color w:val="auto"/>
          <w:sz w:val="24"/>
          <w:szCs w:val="18"/>
          <w:highlight w:val="none"/>
        </w:rPr>
        <w:t>2、中标人应当按质保书相关规定履行维修义务，对于维修不及时的，以招标人的电话、短信或书面通知为准（24小时响应期），招标人可以直接委托有资质的第三方单位代维，产生的费用由中标人承担，并从质保金中扣除，中标人不得拒绝，中标人不因此免除代维部分工程的质量责任。</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Cs/>
          <w:color w:val="auto"/>
          <w:sz w:val="24"/>
          <w:szCs w:val="18"/>
          <w:highlight w:val="none"/>
          <w:lang w:val="en-US" w:eastAsia="zh-CN"/>
        </w:rPr>
        <w:t>合同签订后</w:t>
      </w:r>
      <w:r>
        <w:rPr>
          <w:rFonts w:hint="eastAsia" w:ascii="宋体" w:hAnsi="宋体" w:eastAsia="宋体"/>
          <w:bCs/>
          <w:color w:val="auto"/>
          <w:sz w:val="24"/>
          <w:szCs w:val="18"/>
          <w:highlight w:val="none"/>
        </w:rPr>
        <w:t>3天内，中标人法人（或其授权委托人）、响应文件中约定项目经理须接受招标人约谈。因中标人原因未能在规定时间内履行约谈或中标人擅自更换项目经理，视为违约，由此造成的风险后果由中标人承担</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招标人有权上报处理。</w:t>
      </w:r>
    </w:p>
    <w:p>
      <w:pPr>
        <w:spacing w:line="360" w:lineRule="auto"/>
        <w:ind w:firstLine="437"/>
        <w:rPr>
          <w:rFonts w:ascii="宋体" w:hAnsi="宋体" w:eastAsia="宋体"/>
          <w:color w:val="auto"/>
          <w:sz w:val="24"/>
          <w:szCs w:val="18"/>
          <w:highlight w:val="none"/>
        </w:rPr>
      </w:pPr>
      <w:r>
        <w:rPr>
          <w:rFonts w:hint="eastAsia" w:ascii="宋体" w:hAnsi="宋体" w:eastAsia="宋体"/>
          <w:bCs/>
          <w:color w:val="auto"/>
          <w:sz w:val="24"/>
          <w:szCs w:val="18"/>
          <w:highlight w:val="none"/>
        </w:rPr>
        <w:t>4、</w:t>
      </w:r>
      <w:r>
        <w:rPr>
          <w:rFonts w:hint="eastAsia" w:ascii="宋体" w:hAnsi="宋体" w:eastAsia="宋体"/>
          <w:color w:val="auto"/>
          <w:sz w:val="24"/>
          <w:szCs w:val="18"/>
          <w:highlight w:val="none"/>
        </w:rPr>
        <w:t>本工程受施工场地限制，临时住宿、办公、材料加工、水电及设备堆放场地由中标人自行解决，由此产生的一切费用均包含在报价范围内，招标人不再承担该费用。项目移交时必须无条件按原地貌恢复，所涉及费用含在报价费率中，成交后不予调整。若中标人租用的场地有其他建设需求，涉及构筑物拆除、二次搬运及垃圾清运均由中标人自行承担。</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5、</w:t>
      </w:r>
      <w:r>
        <w:rPr>
          <w:rFonts w:hint="eastAsia" w:ascii="宋体" w:hAnsi="宋体" w:eastAsia="宋体"/>
          <w:color w:val="auto"/>
          <w:sz w:val="24"/>
          <w:szCs w:val="18"/>
          <w:highlight w:val="none"/>
        </w:rPr>
        <w:t>中标人当日施工完成后，应做到“工完、料尽、场清”。若无法做到，招标人将委托其他单位代为清理，产生的费用将从工程款项中扣除</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rPr>
        <w:t>且处以违约金1000元/次。</w:t>
      </w:r>
      <w:r>
        <w:rPr>
          <w:rFonts w:hint="eastAsia" w:ascii="宋体" w:hAnsi="宋体" w:eastAsia="宋体"/>
          <w:bCs/>
          <w:color w:val="auto"/>
          <w:sz w:val="24"/>
          <w:szCs w:val="18"/>
          <w:highlight w:val="none"/>
        </w:rPr>
        <w:t>投标人综合考虑后慎重报价，成交后不予调整。</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6、</w:t>
      </w:r>
      <w:r>
        <w:rPr>
          <w:rFonts w:hint="eastAsia" w:ascii="宋体" w:hAnsi="宋体" w:eastAsia="宋体"/>
          <w:color w:val="auto"/>
          <w:sz w:val="24"/>
          <w:szCs w:val="18"/>
          <w:highlight w:val="none"/>
        </w:rPr>
        <w:t>本工程施工用电、用水</w:t>
      </w:r>
      <w:r>
        <w:rPr>
          <w:rFonts w:hint="eastAsia" w:ascii="宋体" w:hAnsi="宋体"/>
          <w:color w:val="auto"/>
          <w:sz w:val="24"/>
          <w:szCs w:val="18"/>
          <w:highlight w:val="none"/>
          <w:lang w:eastAsia="zh-CN"/>
        </w:rPr>
        <w:t>、</w:t>
      </w:r>
      <w:r>
        <w:rPr>
          <w:rFonts w:hint="eastAsia" w:ascii="宋体" w:hAnsi="宋体"/>
          <w:color w:val="auto"/>
          <w:sz w:val="24"/>
          <w:szCs w:val="18"/>
          <w:highlight w:val="none"/>
          <w:lang w:val="en-US" w:eastAsia="zh-CN"/>
        </w:rPr>
        <w:t>交通费等</w:t>
      </w:r>
      <w:r>
        <w:rPr>
          <w:rFonts w:hint="eastAsia" w:ascii="宋体" w:hAnsi="宋体" w:eastAsia="宋体"/>
          <w:color w:val="auto"/>
          <w:sz w:val="24"/>
          <w:szCs w:val="18"/>
          <w:highlight w:val="none"/>
        </w:rPr>
        <w:t>均由中标人自行负责。</w:t>
      </w:r>
      <w:r>
        <w:rPr>
          <w:rFonts w:hint="eastAsia" w:ascii="宋体" w:hAnsi="宋体" w:eastAsia="宋体"/>
          <w:bCs/>
          <w:color w:val="auto"/>
          <w:sz w:val="24"/>
          <w:szCs w:val="18"/>
          <w:highlight w:val="none"/>
        </w:rPr>
        <w:t>投标人综合考虑后慎重报价，成交后不予调整。</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7、土石方、建筑垃圾等需及时清运，不得现场堆弃。</w:t>
      </w:r>
      <w:r>
        <w:rPr>
          <w:rFonts w:hint="eastAsia" w:ascii="宋体" w:hAnsi="宋体" w:eastAsia="宋体"/>
          <w:color w:val="auto"/>
          <w:sz w:val="24"/>
          <w:szCs w:val="18"/>
          <w:highlight w:val="none"/>
        </w:rPr>
        <w:t>土石方运距、取土点及弃土点、取弃土点平整、保洁费、运输通道、渣土费、市容部门办理证照等一切费用投标人自行考虑报价</w:t>
      </w:r>
      <w:r>
        <w:rPr>
          <w:rFonts w:hint="eastAsia" w:ascii="宋体" w:hAnsi="宋体" w:eastAsia="宋体"/>
          <w:bCs/>
          <w:color w:val="auto"/>
          <w:sz w:val="24"/>
          <w:szCs w:val="18"/>
          <w:highlight w:val="none"/>
        </w:rPr>
        <w:t>，成交后不予调整。</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8、</w:t>
      </w:r>
      <w:r>
        <w:rPr>
          <w:rFonts w:hint="eastAsia" w:ascii="宋体" w:hAnsi="宋体" w:eastAsia="宋体"/>
          <w:color w:val="auto"/>
          <w:sz w:val="24"/>
          <w:szCs w:val="18"/>
          <w:highlight w:val="none"/>
        </w:rPr>
        <w:t>所有涉及本项目施工与其他相关管理部门的协调及配合工作均由中标人负责协调处理，与此有关发生地一切费用含在报价费率中</w:t>
      </w:r>
      <w:r>
        <w:rPr>
          <w:rFonts w:hint="eastAsia" w:ascii="宋体" w:hAnsi="宋体" w:eastAsia="宋体"/>
          <w:bCs/>
          <w:color w:val="auto"/>
          <w:sz w:val="24"/>
          <w:szCs w:val="18"/>
          <w:highlight w:val="none"/>
        </w:rPr>
        <w:t>，招标人不另行支付。</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9、本工程在施工期间，</w:t>
      </w:r>
      <w:r>
        <w:rPr>
          <w:rFonts w:hint="eastAsia" w:ascii="宋体" w:hAnsi="宋体" w:eastAsia="宋体"/>
          <w:color w:val="auto"/>
          <w:sz w:val="24"/>
          <w:szCs w:val="18"/>
          <w:highlight w:val="none"/>
        </w:rPr>
        <w:t>现场可能存在无运输设备或运输设备不允许使用的情况，中标人自行考虑场地内材料运输困难及二次转运可能产生的费用</w:t>
      </w:r>
      <w:r>
        <w:rPr>
          <w:rFonts w:hint="eastAsia" w:ascii="宋体" w:hAnsi="宋体" w:eastAsia="宋体"/>
          <w:bCs/>
          <w:color w:val="auto"/>
          <w:sz w:val="24"/>
          <w:szCs w:val="18"/>
          <w:highlight w:val="none"/>
        </w:rPr>
        <w:t>，中标人就此需采取的生产技术措施、组织措施确保工程按期完成。投标人综合考虑后慎重报价，成交后不予调整。</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10、中标人在收到开工令后，必须严格按照合同工期要求，保质保量按期完成合同全部内容，并通过竣工验收，否则扣除履约保证金。每延误一天处合同价款的1%</w:t>
      </w:r>
      <w:r>
        <w:rPr>
          <w:rFonts w:hint="eastAsia" w:ascii="宋体" w:hAnsi="宋体" w:eastAsia="宋体"/>
          <w:bCs/>
          <w:color w:val="auto"/>
          <w:sz w:val="24"/>
          <w:szCs w:val="18"/>
          <w:highlight w:val="none"/>
          <w:lang w:val="en-US" w:eastAsia="zh-CN"/>
        </w:rPr>
        <w:t>违约金</w:t>
      </w:r>
      <w:r>
        <w:rPr>
          <w:rFonts w:hint="eastAsia" w:ascii="宋体" w:hAnsi="宋体" w:eastAsia="宋体"/>
          <w:bCs/>
          <w:color w:val="auto"/>
          <w:sz w:val="24"/>
          <w:szCs w:val="18"/>
          <w:highlight w:val="none"/>
        </w:rPr>
        <w:t>，后期直接从结算价中扣除。节点工期滞后10日以上，招标人约谈、书面通知后无明显效果的，招标人可以按磋商文件、合同约定要求终止合同，中标人需在接到招标人终止合同通知后10日内退场，由招标人委托造价咨询单位对已完成合格工程进行计量，按审</w:t>
      </w:r>
      <w:r>
        <w:rPr>
          <w:rFonts w:hint="eastAsia" w:ascii="宋体" w:hAnsi="宋体" w:eastAsia="宋体"/>
          <w:bCs/>
          <w:color w:val="auto"/>
          <w:sz w:val="24"/>
          <w:szCs w:val="18"/>
          <w:highlight w:val="none"/>
          <w:lang w:val="en-US" w:eastAsia="zh-CN"/>
        </w:rPr>
        <w:t>核</w:t>
      </w:r>
      <w:r>
        <w:rPr>
          <w:rFonts w:hint="eastAsia" w:ascii="宋体" w:hAnsi="宋体" w:eastAsia="宋体"/>
          <w:bCs/>
          <w:color w:val="auto"/>
          <w:sz w:val="24"/>
          <w:szCs w:val="18"/>
          <w:highlight w:val="none"/>
        </w:rPr>
        <w:t>定案价结算（除不可抗力因素及建设单位影响因素造成的延期除外）。</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11、中标人响应文件中配备的项目经理、技术负责人、其他主要管理人员等在整个项目施工期内必须在岗。若中标人未能按照承诺到岗尽职，招标人有权终止合同。招标人还将停止支付工程款项，扣留任何未付的工程进度款项补偿招标人的有关损失或工期延误损失，并就此向中标人索赔。</w:t>
      </w:r>
    </w:p>
    <w:p>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12、中标人必须在工程竣工验收合格后30日内提供完整的结算资料，并无条件配合招标人的结算备案工作，逾期视为违约，每日按5000元扣除违约金。违约金待结算定案后从结算价款中予以扣除。</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13、中标人须严格按照房屋维修工程管理流程，履行房屋维修相关程序，安排人员常驻现场，及时组织维修。</w:t>
      </w:r>
    </w:p>
    <w:p>
      <w:pPr>
        <w:spacing w:line="360" w:lineRule="auto"/>
        <w:ind w:firstLine="437"/>
        <w:rPr>
          <w:rFonts w:hint="eastAsia" w:ascii="Times New Roman" w:hAnsi="Times New Roman" w:eastAsia="宋体" w:cs="楷体"/>
          <w:bCs/>
          <w:snapToGrid w:val="0"/>
          <w:color w:val="auto"/>
          <w:kern w:val="0"/>
          <w:sz w:val="24"/>
          <w:szCs w:val="24"/>
          <w:highlight w:val="none"/>
          <w:lang w:val="en-US" w:eastAsia="zh-CN"/>
        </w:rPr>
      </w:pPr>
      <w:r>
        <w:rPr>
          <w:rFonts w:hint="eastAsia" w:ascii="宋体" w:hAnsi="宋体" w:eastAsia="宋体"/>
          <w:bCs/>
          <w:color w:val="auto"/>
          <w:sz w:val="24"/>
          <w:szCs w:val="18"/>
          <w:highlight w:val="none"/>
        </w:rPr>
        <w:t>14、本项目主要为</w:t>
      </w:r>
      <w:r>
        <w:rPr>
          <w:rFonts w:hint="eastAsia" w:ascii="Times New Roman" w:hAnsi="Times New Roman" w:eastAsia="宋体" w:cs="楷体"/>
          <w:bCs/>
          <w:snapToGrid w:val="0"/>
          <w:color w:val="auto"/>
          <w:kern w:val="0"/>
          <w:sz w:val="24"/>
          <w:szCs w:val="24"/>
          <w:highlight w:val="none"/>
          <w:lang w:val="en-US" w:eastAsia="zh-CN"/>
        </w:rPr>
        <w:t>合肥滨湖时光空间运营管理有限公司安全隐患排查及维修</w:t>
      </w:r>
      <w:r>
        <w:rPr>
          <w:rFonts w:hint="eastAsia" w:ascii="Times New Roman" w:hAnsi="Times New Roman" w:eastAsia="宋体" w:cs="楷体"/>
          <w:bCs/>
          <w:snapToGrid w:val="0"/>
          <w:color w:val="auto"/>
          <w:kern w:val="0"/>
          <w:sz w:val="24"/>
          <w:szCs w:val="24"/>
          <w:highlight w:val="none"/>
        </w:rPr>
        <w:t>，</w:t>
      </w:r>
      <w:r>
        <w:rPr>
          <w:rFonts w:hint="eastAsia" w:ascii="Times New Roman" w:hAnsi="Times New Roman" w:eastAsia="宋体" w:cs="楷体"/>
          <w:bCs/>
          <w:snapToGrid w:val="0"/>
          <w:color w:val="auto"/>
          <w:kern w:val="0"/>
          <w:sz w:val="24"/>
          <w:szCs w:val="24"/>
          <w:highlight w:val="none"/>
          <w:lang w:val="en-US" w:eastAsia="zh-CN"/>
        </w:rPr>
        <w:t>具体任务：</w:t>
      </w:r>
    </w:p>
    <w:p>
      <w:pPr>
        <w:spacing w:line="360" w:lineRule="auto"/>
        <w:ind w:firstLine="480" w:firstLineChars="20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Times New Roman" w:hAnsi="Times New Roman" w:eastAsia="宋体" w:cs="楷体"/>
          <w:bCs/>
          <w:snapToGrid w:val="0"/>
          <w:color w:val="auto"/>
          <w:kern w:val="0"/>
          <w:sz w:val="24"/>
          <w:szCs w:val="24"/>
          <w:highlight w:val="none"/>
          <w:lang w:val="en-US" w:eastAsia="zh-CN"/>
        </w:rPr>
        <w:t>（1）负责合肥滨湖时光空间运营管理有限公司运营的各场所的消防、用水用电、设施设备等</w:t>
      </w:r>
      <w:r>
        <w:rPr>
          <w:rFonts w:hint="eastAsia" w:ascii="宋体" w:hAnsi="宋体" w:eastAsia="宋体" w:cs="宋体"/>
          <w:b w:val="0"/>
          <w:bCs w:val="0"/>
          <w:i w:val="0"/>
          <w:iCs w:val="0"/>
          <w:color w:val="auto"/>
          <w:kern w:val="0"/>
          <w:sz w:val="24"/>
          <w:szCs w:val="24"/>
          <w:highlight w:val="none"/>
          <w:u w:val="none"/>
          <w:lang w:val="en-US" w:eastAsia="zh-CN" w:bidi="ar"/>
        </w:rPr>
        <w:t>安全隐患排查。每季度至少安排一次覆盖全场所的现场安全隐患排查工作；</w:t>
      </w:r>
    </w:p>
    <w:p>
      <w:pPr>
        <w:spacing w:line="360" w:lineRule="auto"/>
        <w:ind w:firstLine="480" w:firstLineChars="200"/>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（2）负责</w:t>
      </w:r>
      <w:r>
        <w:rPr>
          <w:rFonts w:hint="eastAsia" w:ascii="Times New Roman" w:hAnsi="Times New Roman" w:eastAsia="宋体" w:cs="楷体"/>
          <w:bCs/>
          <w:snapToGrid w:val="0"/>
          <w:color w:val="auto"/>
          <w:kern w:val="0"/>
          <w:sz w:val="24"/>
          <w:szCs w:val="24"/>
          <w:highlight w:val="none"/>
          <w:lang w:val="en-US" w:eastAsia="zh-CN"/>
        </w:rPr>
        <w:t>合肥滨湖时光空间运营管理有限公司运营的各类项目内的资产、设施、设备以及其他附属物维护、维修、改造、提升、应急保障项目等，具体任务以招标人实际下达的任务为准。</w:t>
      </w:r>
    </w:p>
    <w:p>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任务应答及时性、完成任务时效性较高，中标人需成立独立维修站点、维护队伍，并配备常用办公用品（办公电脑、打印机等办公用品），队伍人员不少于3人，包含项目经理1人，专业电工1人（需持电工上岗操作证），装饰维修工1人，以上人员除项目经理外，不做为初审项。</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15、招标人在签订合同后对维修工作站点及人员的配置进行现场核实，若不能满足招标人需求，招标人有权解除合同，并进行相应违约处理，由此造成的风险与后果由中标人承担。</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16、合同签订后招标人将以任务单形式或电话给中标人下达具体工作任务，中标人在接到任务后须在1小时赶到任务工作地点，并针对具体任务类型、规模情况组织施工人员，在招标人要求完成时间内予以完成任务，不得以任何理由拒绝接任务单、拖延任务完成时限；</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17、任务执行前需及时与用户（客户）、物业或业主沟通好具体施工时间，错开业主休息时间施工，不得扰民，施工时必须做好围挡、安全文明施工等工作；</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18、对于施工难度大或技术复杂的项目，中标人施工前须向招标人提供详细完整可实施的施工方案；</w:t>
      </w:r>
    </w:p>
    <w:p>
      <w:pPr>
        <w:spacing w:line="360" w:lineRule="auto"/>
        <w:ind w:firstLine="437"/>
        <w:rPr>
          <w:rFonts w:hint="default" w:ascii="宋体" w:hAnsi="宋体" w:eastAsia="宋体" w:cs="@仿宋_GB2312"/>
          <w:b w:val="0"/>
          <w:bCs/>
          <w:color w:val="auto"/>
          <w:kern w:val="2"/>
          <w:sz w:val="24"/>
          <w:szCs w:val="18"/>
          <w:highlight w:val="none"/>
          <w:lang w:val="en-US" w:eastAsia="zh-CN" w:bidi="ar-SA"/>
        </w:rPr>
      </w:pPr>
      <w:r>
        <w:rPr>
          <w:rFonts w:hint="eastAsia" w:ascii="宋体" w:hAnsi="宋体" w:eastAsia="宋体"/>
          <w:bCs/>
          <w:color w:val="auto"/>
          <w:sz w:val="24"/>
          <w:szCs w:val="18"/>
          <w:highlight w:val="none"/>
        </w:rPr>
        <w:t>19、因施工点位多，施工资料形成工作量大，中标人需安排专人整理每次、每天、关键部位施工记录</w:t>
      </w:r>
      <w:r>
        <w:rPr>
          <w:rFonts w:hint="eastAsia" w:ascii="宋体" w:hAnsi="宋体"/>
          <w:bCs/>
          <w:color w:val="auto"/>
          <w:sz w:val="24"/>
          <w:szCs w:val="18"/>
          <w:highlight w:val="none"/>
          <w:lang w:val="en-US" w:eastAsia="zh-CN"/>
        </w:rPr>
        <w:t>及</w:t>
      </w:r>
      <w:r>
        <w:rPr>
          <w:rFonts w:hint="eastAsia" w:ascii="宋体" w:hAnsi="宋体" w:eastAsia="宋体"/>
          <w:bCs/>
          <w:color w:val="auto"/>
          <w:sz w:val="24"/>
          <w:szCs w:val="18"/>
          <w:highlight w:val="none"/>
        </w:rPr>
        <w:t>照片，单个任务形成闭合的工程施工资料，</w:t>
      </w:r>
      <w:r>
        <w:rPr>
          <w:rFonts w:hint="eastAsia" w:ascii="宋体" w:hAnsi="宋体"/>
          <w:bCs/>
          <w:color w:val="auto"/>
          <w:sz w:val="24"/>
          <w:szCs w:val="18"/>
          <w:highlight w:val="none"/>
          <w:lang w:val="en-US" w:eastAsia="zh-CN"/>
        </w:rPr>
        <w:t>并提供工程验收单（施工单位与使用单位签字确认），</w:t>
      </w:r>
      <w:r>
        <w:rPr>
          <w:rFonts w:hint="eastAsia" w:ascii="宋体" w:hAnsi="宋体" w:eastAsia="宋体"/>
          <w:bCs/>
          <w:color w:val="auto"/>
          <w:sz w:val="24"/>
          <w:szCs w:val="18"/>
          <w:highlight w:val="none"/>
        </w:rPr>
        <w:t>以方便招标人进行审核；</w:t>
      </w:r>
      <w:r>
        <w:rPr>
          <w:rFonts w:hint="eastAsia" w:ascii="宋体" w:hAnsi="宋体" w:eastAsia="宋体" w:cs="@仿宋_GB2312"/>
          <w:b w:val="0"/>
          <w:bCs/>
          <w:color w:val="auto"/>
          <w:kern w:val="2"/>
          <w:sz w:val="24"/>
          <w:szCs w:val="18"/>
          <w:highlight w:val="none"/>
          <w:lang w:val="en-US" w:eastAsia="zh-CN" w:bidi="ar-SA"/>
        </w:rPr>
        <w:t>工程结算</w:t>
      </w:r>
      <w:r>
        <w:rPr>
          <w:rFonts w:hint="eastAsia" w:ascii="宋体" w:hAnsi="宋体" w:cs="@仿宋_GB2312"/>
          <w:b w:val="0"/>
          <w:bCs/>
          <w:color w:val="auto"/>
          <w:kern w:val="2"/>
          <w:sz w:val="24"/>
          <w:szCs w:val="18"/>
          <w:highlight w:val="none"/>
          <w:lang w:val="en-US" w:eastAsia="zh-CN" w:bidi="ar-SA"/>
        </w:rPr>
        <w:t>时，需整理提供工程结算周期内的工程量，并提供工程量确认单附上工程维修照片（有水印）。</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20、施工中所用主要设备、材料、辅材参考招标人推荐品牌（如有），未经监理、建设单位同意的材料设备、材料、辅材严禁擅自使用，招标人有权要求其返工，造成的损失中标人自行承担；</w:t>
      </w:r>
    </w:p>
    <w:p>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21、任务施工期间，因中标人施工处理不当，造成的返修、第三方损失，由中标人自行承担；</w:t>
      </w:r>
    </w:p>
    <w:p>
      <w:pPr>
        <w:spacing w:line="360" w:lineRule="auto"/>
        <w:ind w:firstLine="437"/>
        <w:rPr>
          <w:rFonts w:hint="eastAsia" w:ascii="宋体" w:hAnsi="宋体" w:eastAsia="宋体"/>
          <w:bCs/>
          <w:strike w:val="0"/>
          <w:dstrike w:val="0"/>
          <w:color w:val="auto"/>
          <w:sz w:val="24"/>
          <w:szCs w:val="18"/>
          <w:highlight w:val="none"/>
        </w:rPr>
      </w:pPr>
      <w:r>
        <w:rPr>
          <w:rFonts w:hint="eastAsia" w:ascii="宋体" w:hAnsi="宋体" w:eastAsia="宋体"/>
          <w:bCs/>
          <w:strike w:val="0"/>
          <w:dstrike w:val="0"/>
          <w:color w:val="auto"/>
          <w:sz w:val="24"/>
          <w:szCs w:val="18"/>
          <w:highlight w:val="none"/>
        </w:rPr>
        <w:t>2</w:t>
      </w:r>
      <w:r>
        <w:rPr>
          <w:rFonts w:hint="eastAsia" w:ascii="宋体" w:hAnsi="宋体"/>
          <w:bCs/>
          <w:strike w:val="0"/>
          <w:dstrike w:val="0"/>
          <w:color w:val="auto"/>
          <w:sz w:val="24"/>
          <w:szCs w:val="18"/>
          <w:highlight w:val="none"/>
          <w:lang w:val="en-US" w:eastAsia="zh-CN"/>
        </w:rPr>
        <w:t>2</w:t>
      </w:r>
      <w:r>
        <w:rPr>
          <w:rFonts w:hint="eastAsia" w:ascii="宋体" w:hAnsi="宋体" w:eastAsia="宋体"/>
          <w:bCs/>
          <w:strike w:val="0"/>
          <w:dstrike w:val="0"/>
          <w:color w:val="auto"/>
          <w:sz w:val="24"/>
          <w:szCs w:val="18"/>
          <w:highlight w:val="none"/>
        </w:rPr>
        <w:t>、因任务完成不及时，或施工不当，造成用户投诉的（包含12345政府服务热线及其他形式投诉），招标人将给与中标人2000元/次的违约金，累计超过3次，招标人有权解除合同。</w:t>
      </w:r>
    </w:p>
    <w:p>
      <w:pPr>
        <w:spacing w:line="360" w:lineRule="auto"/>
        <w:ind w:firstLine="437"/>
        <w:rPr>
          <w:rFonts w:hint="eastAsia"/>
          <w:color w:val="auto"/>
          <w:highlight w:val="none"/>
          <w:lang w:val="en-US" w:eastAsia="zh-CN"/>
        </w:rPr>
      </w:pPr>
      <w:r>
        <w:rPr>
          <w:rFonts w:hint="eastAsia" w:ascii="宋体" w:hAnsi="宋体" w:eastAsia="宋体"/>
          <w:bCs/>
          <w:color w:val="auto"/>
          <w:sz w:val="24"/>
          <w:szCs w:val="18"/>
          <w:highlight w:val="none"/>
        </w:rPr>
        <w:t>2</w:t>
      </w:r>
      <w:r>
        <w:rPr>
          <w:rFonts w:hint="eastAsia" w:ascii="宋体" w:hAnsi="宋体"/>
          <w:bCs/>
          <w:color w:val="auto"/>
          <w:sz w:val="24"/>
          <w:szCs w:val="18"/>
          <w:highlight w:val="none"/>
          <w:lang w:val="en-US" w:eastAsia="zh-CN"/>
        </w:rPr>
        <w:t>3</w:t>
      </w:r>
      <w:r>
        <w:rPr>
          <w:rFonts w:hint="eastAsia" w:ascii="宋体" w:hAnsi="宋体" w:eastAsia="宋体"/>
          <w:bCs/>
          <w:color w:val="auto"/>
          <w:sz w:val="24"/>
          <w:szCs w:val="18"/>
          <w:highlight w:val="none"/>
        </w:rPr>
        <w:t>、本项目维修、零星改造场所特殊，所用材料及品牌必须严格经招标人审核，且环保无毒，如招标人或使用方要求，需无条件抽样送检，检测费用含在投标报价内。维修改造期间同时严格遵守招标人及使用方要求，特殊情况下需在夜间及节假日进行施工，所有费用已包含在投标报价内，中标后不于调整。如若中标人不服从招标人或使用方在现场要求，处以违约金2000元/次。</w:t>
      </w:r>
      <w:bookmarkEnd w:id="31"/>
    </w:p>
    <w:p>
      <w:pPr>
        <w:spacing w:line="360" w:lineRule="auto"/>
        <w:jc w:val="center"/>
        <w:outlineLvl w:val="1"/>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第四章  评</w:t>
      </w:r>
      <w:r>
        <w:rPr>
          <w:rFonts w:hint="eastAsia" w:ascii="宋体" w:hAnsi="宋体" w:cs="宋体"/>
          <w:b/>
          <w:color w:val="auto"/>
          <w:sz w:val="28"/>
          <w:highlight w:val="none"/>
          <w:lang w:val="en-US" w:eastAsia="zh-CN"/>
        </w:rPr>
        <w:t>标办法</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16"/>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653" w:type="dxa"/>
            <w:tcBorders>
              <w:bottom w:val="single" w:color="auto" w:sz="4" w:space="0"/>
            </w:tcBorders>
            <w:noWrap w:val="0"/>
            <w:vAlign w:val="center"/>
          </w:tcPr>
          <w:p>
            <w:pPr>
              <w:pStyle w:val="23"/>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评审指标</w:t>
            </w:r>
          </w:p>
        </w:tc>
        <w:tc>
          <w:tcPr>
            <w:tcW w:w="2260"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评审标准</w:t>
            </w:r>
          </w:p>
        </w:tc>
        <w:tc>
          <w:tcPr>
            <w:tcW w:w="3867"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653"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营业执照</w:t>
            </w:r>
          </w:p>
        </w:tc>
        <w:tc>
          <w:tcPr>
            <w:tcW w:w="2260"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653"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税务登记证</w:t>
            </w:r>
          </w:p>
        </w:tc>
        <w:tc>
          <w:tcPr>
            <w:tcW w:w="2260"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3</w:t>
            </w:r>
          </w:p>
        </w:tc>
        <w:tc>
          <w:tcPr>
            <w:tcW w:w="1653"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28"/>
                <w:highlight w:val="none"/>
              </w:rPr>
              <w:t>无不良信用记录声明函</w:t>
            </w:r>
          </w:p>
        </w:tc>
        <w:tc>
          <w:tcPr>
            <w:tcW w:w="2260"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格式、填写要求符合磋商文件规定并加盖投标人电子签章</w:t>
            </w:r>
          </w:p>
        </w:tc>
        <w:tc>
          <w:tcPr>
            <w:tcW w:w="3867"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4</w:t>
            </w:r>
          </w:p>
        </w:tc>
        <w:tc>
          <w:tcPr>
            <w:tcW w:w="1653"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磋商响应函</w:t>
            </w:r>
          </w:p>
        </w:tc>
        <w:tc>
          <w:tcPr>
            <w:tcW w:w="2260"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格式、填写要求符合磋商文件规定并加盖投标人电子签章</w:t>
            </w:r>
          </w:p>
        </w:tc>
        <w:tc>
          <w:tcPr>
            <w:tcW w:w="3867"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653"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磋商授权书</w:t>
            </w:r>
          </w:p>
        </w:tc>
        <w:tc>
          <w:tcPr>
            <w:tcW w:w="2260" w:type="dxa"/>
            <w:tcBorders>
              <w:bottom w:val="single" w:color="auto" w:sz="4" w:space="0"/>
            </w:tcBorders>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格式、填写要求符合磋商文件规定并加盖投标人电子签章</w:t>
            </w:r>
          </w:p>
        </w:tc>
        <w:tc>
          <w:tcPr>
            <w:tcW w:w="3867"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法定代表人参加磋商的无需此件，提供身份证明即可。详见第六章投标文件格式六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653"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投标人资质</w:t>
            </w:r>
          </w:p>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（可编辑）</w:t>
            </w:r>
          </w:p>
        </w:tc>
        <w:tc>
          <w:tcPr>
            <w:tcW w:w="2260"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具有建筑工程施工总承包</w:t>
            </w:r>
            <w:r>
              <w:rPr>
                <w:rFonts w:hint="eastAsia" w:ascii="宋体" w:hAnsi="宋体" w:eastAsia="宋体" w:cs="宋体"/>
                <w:color w:val="auto"/>
                <w:sz w:val="24"/>
                <w:szCs w:val="20"/>
                <w:highlight w:val="none"/>
                <w:lang w:val="en-US" w:eastAsia="zh-CN"/>
              </w:rPr>
              <w:t>三</w:t>
            </w:r>
            <w:r>
              <w:rPr>
                <w:rFonts w:hint="eastAsia" w:ascii="宋体" w:hAnsi="宋体" w:eastAsia="宋体" w:cs="宋体"/>
                <w:color w:val="auto"/>
                <w:sz w:val="24"/>
                <w:szCs w:val="20"/>
                <w:highlight w:val="none"/>
              </w:rPr>
              <w:t>级及以上资质</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且具有</w:t>
            </w:r>
            <w:r>
              <w:rPr>
                <w:rFonts w:hint="eastAsia" w:ascii="宋体" w:hAnsi="宋体" w:eastAsia="宋体" w:cs="宋体"/>
                <w:color w:val="auto"/>
                <w:sz w:val="24"/>
                <w:szCs w:val="20"/>
                <w:highlight w:val="none"/>
              </w:rPr>
              <w:t>有效的安全生产许可证</w:t>
            </w:r>
            <w:r>
              <w:rPr>
                <w:rFonts w:hint="eastAsia" w:ascii="宋体" w:hAnsi="宋体" w:eastAsia="宋体" w:cs="宋体"/>
                <w:color w:val="auto"/>
                <w:sz w:val="24"/>
                <w:szCs w:val="20"/>
                <w:highlight w:val="none"/>
                <w:lang w:eastAsia="zh-CN"/>
              </w:rPr>
              <w:t>。</w:t>
            </w:r>
          </w:p>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r>
              <w:rPr>
                <w:rFonts w:hint="eastAsia" w:ascii="宋体" w:hAnsi="宋体" w:eastAsia="宋体"/>
                <w:b/>
                <w:bCs/>
                <w:color w:val="auto"/>
                <w:sz w:val="24"/>
                <w:szCs w:val="20"/>
                <w:highlight w:val="none"/>
                <w:lang w:val="en-US" w:eastAsia="zh-CN"/>
              </w:rPr>
              <w:t>注：</w:t>
            </w:r>
            <w:r>
              <w:rPr>
                <w:rFonts w:hint="eastAsia" w:ascii="宋体" w:hAnsi="宋体" w:eastAsia="宋体"/>
                <w:b/>
                <w:bCs/>
                <w:color w:val="auto"/>
                <w:sz w:val="24"/>
                <w:szCs w:val="20"/>
                <w:highlight w:val="none"/>
              </w:rPr>
              <w:t>提供</w:t>
            </w:r>
            <w:r>
              <w:rPr>
                <w:rFonts w:hint="eastAsia" w:ascii="宋体" w:hAnsi="宋体" w:eastAsia="宋体"/>
                <w:b/>
                <w:bCs/>
                <w:color w:val="auto"/>
                <w:sz w:val="24"/>
                <w:szCs w:val="20"/>
                <w:highlight w:val="none"/>
                <w:lang w:val="en-US" w:eastAsia="zh-CN"/>
              </w:rPr>
              <w:t>以上</w:t>
            </w:r>
            <w:r>
              <w:rPr>
                <w:rFonts w:hint="eastAsia" w:ascii="宋体" w:hAnsi="宋体" w:eastAsia="宋体"/>
                <w:b/>
                <w:bCs/>
                <w:color w:val="auto"/>
                <w:sz w:val="24"/>
                <w:szCs w:val="20"/>
                <w:highlight w:val="none"/>
              </w:rPr>
              <w:t>资质证书</w:t>
            </w:r>
            <w:r>
              <w:rPr>
                <w:rFonts w:hint="eastAsia" w:ascii="宋体" w:hAnsi="宋体" w:eastAsia="宋体"/>
                <w:b/>
                <w:bCs/>
                <w:color w:val="auto"/>
                <w:sz w:val="24"/>
                <w:szCs w:val="20"/>
                <w:highlight w:val="none"/>
                <w:lang w:val="en-US" w:eastAsia="zh-CN"/>
              </w:rPr>
              <w:t>和安全生产许可证</w:t>
            </w:r>
            <w:r>
              <w:rPr>
                <w:rFonts w:hint="eastAsia" w:ascii="宋体" w:hAnsi="宋体" w:eastAsia="宋体"/>
                <w:b/>
                <w:bCs/>
                <w:color w:val="auto"/>
                <w:sz w:val="24"/>
                <w:szCs w:val="20"/>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653"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初审业绩</w:t>
            </w:r>
          </w:p>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（可编辑）</w:t>
            </w:r>
          </w:p>
        </w:tc>
        <w:tc>
          <w:tcPr>
            <w:tcW w:w="2260"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szCs w:val="20"/>
                <w:highlight w:val="none"/>
              </w:rPr>
              <w:t>业绩要求的合同扫描件（可编辑）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8</w:t>
            </w:r>
          </w:p>
        </w:tc>
        <w:tc>
          <w:tcPr>
            <w:tcW w:w="1653"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磋商报价</w:t>
            </w:r>
          </w:p>
        </w:tc>
        <w:tc>
          <w:tcPr>
            <w:tcW w:w="2260"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szCs w:val="20"/>
                <w:highlight w:val="none"/>
              </w:rPr>
              <w:t>文件投标人须知正文第12、22条要求</w:t>
            </w:r>
          </w:p>
        </w:tc>
        <w:tc>
          <w:tcPr>
            <w:tcW w:w="3867" w:type="dxa"/>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9</w:t>
            </w:r>
          </w:p>
        </w:tc>
        <w:tc>
          <w:tcPr>
            <w:tcW w:w="1653"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15" w:type="dxa"/>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10</w:t>
            </w:r>
          </w:p>
        </w:tc>
        <w:tc>
          <w:tcPr>
            <w:tcW w:w="1653" w:type="dxa"/>
            <w:noWrap w:val="0"/>
            <w:vAlign w:val="center"/>
          </w:tcPr>
          <w:p>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lang w:val="en-US" w:eastAsia="zh-CN"/>
              </w:rPr>
              <w:t>文件获取情况</w:t>
            </w:r>
          </w:p>
        </w:tc>
        <w:tc>
          <w:tcPr>
            <w:tcW w:w="2260"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在磋商文件获取截 </w:t>
            </w:r>
          </w:p>
          <w:p>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止时间前完成磋商 </w:t>
            </w:r>
          </w:p>
          <w:p>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文件获取</w:t>
            </w:r>
          </w:p>
        </w:tc>
        <w:tc>
          <w:tcPr>
            <w:tcW w:w="3867" w:type="dxa"/>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15" w:type="dxa"/>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11</w:t>
            </w:r>
          </w:p>
        </w:tc>
        <w:tc>
          <w:tcPr>
            <w:tcW w:w="1653"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未出现异常情形</w:t>
            </w:r>
          </w:p>
        </w:tc>
        <w:tc>
          <w:tcPr>
            <w:tcW w:w="2260"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不同投标人未出现使用相同的机器识别码进行投标的情形</w:t>
            </w:r>
          </w:p>
        </w:tc>
        <w:tc>
          <w:tcPr>
            <w:tcW w:w="3867" w:type="dxa"/>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12</w:t>
            </w:r>
          </w:p>
        </w:tc>
        <w:tc>
          <w:tcPr>
            <w:tcW w:w="1653"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noWrap w:val="0"/>
            <w:vAlign w:val="center"/>
          </w:tcPr>
          <w:p>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noWrap w:val="0"/>
            <w:vAlign w:val="center"/>
          </w:tcPr>
          <w:p>
            <w:pPr>
              <w:keepNext w:val="0"/>
              <w:keepLines w:val="0"/>
              <w:suppressLineNumbers w:val="0"/>
              <w:adjustRightInd w:val="0"/>
              <w:snapToGrid w:val="0"/>
              <w:spacing w:before="0" w:beforeAutospacing="0" w:after="0" w:afterAutospacing="0" w:line="360" w:lineRule="auto"/>
              <w:ind w:left="0" w:right="-10"/>
              <w:jc w:val="left"/>
              <w:rPr>
                <w:rFonts w:hint="eastAsia" w:ascii="宋体" w:hAnsi="宋体" w:eastAsia="宋体" w:cs="宋体"/>
                <w:color w:val="auto"/>
                <w:sz w:val="24"/>
                <w:szCs w:val="20"/>
                <w:highlight w:val="none"/>
              </w:rPr>
            </w:pPr>
          </w:p>
        </w:tc>
      </w:tr>
    </w:tbl>
    <w:p>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pPr>
        <w:spacing w:line="360" w:lineRule="auto"/>
        <w:ind w:firstLine="435"/>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2.2</w:t>
      </w:r>
      <w:r>
        <w:rPr>
          <w:rFonts w:hint="eastAsia" w:ascii="宋体" w:hAnsi="宋体" w:cs="宋体"/>
          <w:b/>
          <w:color w:val="auto"/>
          <w:sz w:val="24"/>
          <w:highlight w:val="none"/>
          <w:lang w:val="en-US" w:eastAsia="zh-CN"/>
        </w:rPr>
        <w:t>评标方法</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磋商小组按照</w:t>
      </w:r>
      <w:r>
        <w:rPr>
          <w:rFonts w:hint="eastAsia" w:ascii="宋体" w:hAnsi="宋体" w:cs="宋体"/>
          <w:color w:val="auto"/>
          <w:sz w:val="24"/>
          <w:highlight w:val="none"/>
          <w:lang w:val="en-US" w:eastAsia="zh-CN"/>
        </w:rPr>
        <w:t>最低评标价法</w:t>
      </w:r>
      <w:r>
        <w:rPr>
          <w:rFonts w:hint="eastAsia" w:ascii="宋体" w:hAnsi="宋体" w:eastAsia="宋体" w:cs="宋体"/>
          <w:color w:val="auto"/>
          <w:sz w:val="24"/>
          <w:highlight w:val="none"/>
        </w:rPr>
        <w:t>对所有投标人的响应文件进行</w:t>
      </w:r>
      <w:r>
        <w:rPr>
          <w:rFonts w:hint="eastAsia" w:ascii="宋体" w:hAnsi="宋体" w:cs="宋体"/>
          <w:color w:val="auto"/>
          <w:sz w:val="24"/>
          <w:highlight w:val="none"/>
          <w:lang w:val="en-US" w:eastAsia="zh-CN"/>
        </w:rPr>
        <w:t>评标</w:t>
      </w:r>
      <w:r>
        <w:rPr>
          <w:rFonts w:hint="eastAsia" w:ascii="宋体" w:hAnsi="宋体" w:eastAsia="宋体" w:cs="宋体"/>
          <w:color w:val="auto"/>
          <w:sz w:val="24"/>
          <w:highlight w:val="none"/>
        </w:rPr>
        <w:t>。</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default" w:ascii="宋体" w:hAnsi="宋体" w:eastAsia="宋体" w:cs="宋体"/>
          <w:b/>
          <w:color w:val="auto"/>
          <w:sz w:val="28"/>
          <w:highlight w:val="none"/>
          <w:lang w:val="en-US" w:eastAsia="zh-CN"/>
        </w:rPr>
      </w:pPr>
      <w:bookmarkStart w:id="33" w:name="_Toc47026336"/>
      <w:r>
        <w:rPr>
          <w:rFonts w:hint="eastAsia" w:ascii="宋体" w:hAnsi="宋体" w:eastAsia="宋体" w:cs="宋体"/>
          <w:b/>
          <w:color w:val="auto"/>
          <w:sz w:val="28"/>
          <w:highlight w:val="none"/>
        </w:rPr>
        <w:t>第五章  合同</w:t>
      </w:r>
      <w:bookmarkEnd w:id="33"/>
      <w:r>
        <w:rPr>
          <w:rFonts w:hint="eastAsia" w:ascii="宋体" w:hAnsi="宋体" w:cs="宋体"/>
          <w:b/>
          <w:color w:val="auto"/>
          <w:sz w:val="28"/>
          <w:highlight w:val="none"/>
          <w:lang w:val="en-US" w:eastAsia="zh-CN"/>
        </w:rPr>
        <w:t>条款及格式</w:t>
      </w:r>
    </w:p>
    <w:p>
      <w:pPr>
        <w:spacing w:line="480" w:lineRule="auto"/>
        <w:jc w:val="center"/>
        <w:rPr>
          <w:rFonts w:hint="eastAsia" w:ascii="宋体" w:hAnsi="宋体" w:eastAsia="宋体" w:cs="宋体"/>
          <w:b/>
          <w:color w:val="auto"/>
          <w:sz w:val="24"/>
          <w:highlight w:val="none"/>
        </w:rPr>
      </w:pPr>
    </w:p>
    <w:p>
      <w:pPr>
        <w:spacing w:line="480" w:lineRule="auto"/>
        <w:jc w:val="center"/>
        <w:rPr>
          <w:rFonts w:hint="eastAsia" w:ascii="宋体" w:hAnsi="宋体" w:eastAsia="宋体" w:cs="宋体"/>
          <w:b/>
          <w:color w:val="auto"/>
          <w:sz w:val="24"/>
          <w:highlight w:val="none"/>
        </w:rPr>
      </w:pPr>
    </w:p>
    <w:p>
      <w:pPr>
        <w:spacing w:line="480" w:lineRule="auto"/>
        <w:jc w:val="center"/>
        <w:rPr>
          <w:rFonts w:hint="eastAsia" w:ascii="宋体" w:hAnsi="宋体" w:eastAsia="宋体" w:cs="宋体"/>
          <w:b/>
          <w:color w:val="auto"/>
          <w:sz w:val="24"/>
          <w:highlight w:val="none"/>
        </w:rPr>
      </w:pPr>
    </w:p>
    <w:p>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合同参考范本</w:t>
      </w:r>
    </w:p>
    <w:p>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pPr>
        <w:spacing w:line="480" w:lineRule="auto"/>
        <w:jc w:val="both"/>
        <w:rPr>
          <w:rFonts w:hint="eastAsia" w:ascii="宋体" w:hAnsi="宋体" w:eastAsia="宋体" w:cs="宋体"/>
          <w:b/>
          <w:color w:val="auto"/>
          <w:sz w:val="24"/>
          <w:highlight w:val="none"/>
        </w:rPr>
      </w:pPr>
    </w:p>
    <w:p>
      <w:pPr>
        <w:spacing w:line="480" w:lineRule="auto"/>
        <w:jc w:val="center"/>
        <w:rPr>
          <w:rFonts w:hint="eastAsia" w:ascii="宋体" w:hAnsi="宋体" w:eastAsia="宋体" w:cs="宋体"/>
          <w:b/>
          <w:color w:val="auto"/>
          <w:sz w:val="24"/>
          <w:highlight w:val="none"/>
        </w:rPr>
      </w:pP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pPr>
        <w:spacing w:line="480" w:lineRule="auto"/>
        <w:jc w:val="center"/>
        <w:rPr>
          <w:rFonts w:hint="eastAsia" w:ascii="宋体" w:hAnsi="宋体" w:eastAsia="宋体" w:cs="宋体"/>
          <w:b/>
          <w:color w:val="auto"/>
          <w:sz w:val="24"/>
          <w:highlight w:val="none"/>
        </w:rPr>
      </w:pPr>
    </w:p>
    <w:p>
      <w:pPr>
        <w:spacing w:line="480" w:lineRule="auto"/>
        <w:jc w:val="center"/>
        <w:rPr>
          <w:rFonts w:hint="eastAsia" w:ascii="宋体" w:hAnsi="宋体" w:eastAsia="宋体" w:cs="宋体"/>
          <w:b/>
          <w:color w:val="auto"/>
          <w:sz w:val="24"/>
          <w:highlight w:val="none"/>
        </w:rPr>
      </w:pPr>
    </w:p>
    <w:p>
      <w:pPr>
        <w:spacing w:line="480" w:lineRule="auto"/>
        <w:jc w:val="center"/>
        <w:rPr>
          <w:rFonts w:hint="eastAsia" w:ascii="宋体" w:hAnsi="宋体" w:eastAsia="宋体" w:cs="宋体"/>
          <w:b/>
          <w:color w:val="auto"/>
          <w:sz w:val="24"/>
          <w:highlight w:val="none"/>
        </w:rPr>
      </w:pPr>
    </w:p>
    <w:p>
      <w:pPr>
        <w:spacing w:before="120" w:line="480" w:lineRule="auto"/>
        <w:ind w:left="2160" w:leftChars="457" w:hanging="1200" w:hangingChars="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合肥</w:t>
      </w:r>
      <w:r>
        <w:rPr>
          <w:rFonts w:hint="eastAsia" w:ascii="宋体" w:hAnsi="宋体" w:eastAsia="宋体" w:cs="宋体"/>
          <w:color w:val="auto"/>
          <w:sz w:val="24"/>
          <w:highlight w:val="none"/>
          <w:u w:val="single"/>
        </w:rPr>
        <w:t>滨湖时光</w:t>
      </w:r>
      <w:r>
        <w:rPr>
          <w:rFonts w:hint="eastAsia" w:ascii="宋体" w:hAnsi="宋体" w:eastAsia="宋体" w:cs="宋体"/>
          <w:color w:val="auto"/>
          <w:sz w:val="24"/>
          <w:highlight w:val="none"/>
          <w:u w:val="single"/>
          <w:lang w:val="en-US" w:eastAsia="zh-CN"/>
        </w:rPr>
        <w:t>运营管理</w:t>
      </w:r>
      <w:r>
        <w:rPr>
          <w:rFonts w:hint="eastAsia" w:ascii="宋体" w:hAnsi="宋体" w:eastAsia="宋体" w:cs="宋体"/>
          <w:color w:val="auto"/>
          <w:sz w:val="24"/>
          <w:highlight w:val="none"/>
          <w:u w:val="single"/>
        </w:rPr>
        <w:t>空间公司2024年</w:t>
      </w:r>
      <w:r>
        <w:rPr>
          <w:rFonts w:hint="eastAsia" w:ascii="宋体" w:hAnsi="宋体" w:eastAsia="宋体" w:cs="宋体"/>
          <w:color w:val="auto"/>
          <w:sz w:val="24"/>
          <w:highlight w:val="none"/>
          <w:u w:val="single"/>
          <w:lang w:val="en-US" w:eastAsia="zh-CN"/>
        </w:rPr>
        <w:t>场地及设施安全隐患排查和维修工程</w:t>
      </w:r>
    </w:p>
    <w:p>
      <w:pPr>
        <w:spacing w:before="120" w:line="480" w:lineRule="auto"/>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BHSG-ZTB-2024-09</w:t>
      </w:r>
    </w:p>
    <w:p>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合肥滨湖时光空间运营管理有限公司</w:t>
      </w:r>
      <w:r>
        <w:rPr>
          <w:rFonts w:hint="eastAsia" w:ascii="宋体" w:hAnsi="宋体" w:eastAsia="宋体" w:cs="宋体"/>
          <w:color w:val="auto"/>
          <w:sz w:val="24"/>
          <w:highlight w:val="none"/>
          <w:u w:val="single"/>
        </w:rPr>
        <w:t xml:space="preserve">  </w:t>
      </w:r>
    </w:p>
    <w:p>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合肥市包河区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6" w:type="default"/>
          <w:pgSz w:w="11907" w:h="16840"/>
          <w:pgMar w:top="1474" w:right="1814" w:bottom="1474" w:left="1814" w:header="851" w:footer="992" w:gutter="0"/>
          <w:pgNumType w:fmt="decimal"/>
          <w:cols w:space="720" w:num="1"/>
          <w:docGrid w:linePitch="462" w:charSpace="0"/>
        </w:sect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合肥滨湖时光空间运营管理有限公司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u w:val="single"/>
        </w:rPr>
        <w:t>合肥包河公共资源交易有限公司</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i/>
          <w:iCs/>
          <w:color w:val="auto"/>
          <w:sz w:val="24"/>
          <w:highlight w:val="none"/>
          <w:u w:val="single"/>
        </w:rPr>
        <w:t>（中标人名称）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）为本项目中标人，现按照磋商文件确定的事项签订本合同。</w:t>
      </w:r>
    </w:p>
    <w:p>
      <w:pPr>
        <w:spacing w:line="360" w:lineRule="auto"/>
        <w:ind w:firstLine="435"/>
        <w:rPr>
          <w:rFonts w:hint="eastAsia" w:ascii="宋体" w:hAnsi="宋体" w:eastAsia="宋体" w:cs="宋体"/>
          <w:color w:val="auto"/>
          <w:sz w:val="24"/>
          <w:highlight w:val="none"/>
          <w:lang w:val="zh-CN"/>
        </w:rPr>
      </w:pPr>
      <w:bookmarkStart w:id="34" w:name="_Toc24059"/>
      <w:bookmarkStart w:id="35" w:name="_Toc2232"/>
      <w:bookmarkStart w:id="36" w:name="_Toc3029"/>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34"/>
      <w:bookmarkEnd w:id="35"/>
      <w:bookmarkEnd w:id="36"/>
    </w:p>
    <w:p>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pPr>
        <w:spacing w:line="360" w:lineRule="auto"/>
        <w:ind w:firstLine="437"/>
        <w:outlineLvl w:val="3"/>
        <w:rPr>
          <w:rFonts w:hint="eastAsia" w:ascii="宋体" w:hAnsi="宋体" w:eastAsia="宋体" w:cs="宋体"/>
          <w:b/>
          <w:bCs/>
          <w:color w:val="auto"/>
          <w:sz w:val="24"/>
          <w:highlight w:val="none"/>
          <w:lang w:val="zh-CN"/>
        </w:rPr>
      </w:pPr>
      <w:bookmarkStart w:id="37" w:name="_Toc18585"/>
      <w:bookmarkStart w:id="38" w:name="_Toc2918"/>
      <w:bookmarkStart w:id="39" w:name="_Toc22185"/>
      <w:bookmarkStart w:id="40" w:name="_Toc6773"/>
      <w:bookmarkStart w:id="41" w:name="_Toc6311"/>
      <w:r>
        <w:rPr>
          <w:rFonts w:hint="eastAsia" w:ascii="宋体" w:hAnsi="宋体" w:eastAsia="宋体" w:cs="宋体"/>
          <w:b/>
          <w:bCs/>
          <w:color w:val="auto"/>
          <w:sz w:val="24"/>
          <w:highlight w:val="none"/>
          <w:lang w:val="zh-CN"/>
        </w:rPr>
        <w:t xml:space="preserve">1.2 </w:t>
      </w:r>
      <w:bookmarkEnd w:id="37"/>
      <w:bookmarkEnd w:id="38"/>
      <w:bookmarkEnd w:id="39"/>
      <w:bookmarkEnd w:id="40"/>
      <w:bookmarkEnd w:id="41"/>
      <w:r>
        <w:rPr>
          <w:rFonts w:hint="eastAsia" w:ascii="宋体" w:hAnsi="宋体" w:eastAsia="宋体" w:cs="宋体"/>
          <w:b/>
          <w:bCs/>
          <w:color w:val="auto"/>
          <w:sz w:val="24"/>
          <w:highlight w:val="none"/>
          <w:lang w:val="zh-CN"/>
        </w:rPr>
        <w:t>服务</w:t>
      </w: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7"/>
        <w:outlineLvl w:val="3"/>
        <w:rPr>
          <w:rFonts w:hint="eastAsia" w:ascii="宋体" w:hAnsi="宋体" w:eastAsia="宋体" w:cs="宋体"/>
          <w:b/>
          <w:bCs/>
          <w:color w:val="auto"/>
          <w:sz w:val="24"/>
          <w:highlight w:val="none"/>
          <w:lang w:val="zh-CN"/>
        </w:rPr>
      </w:pPr>
      <w:bookmarkStart w:id="42" w:name="_Toc21551"/>
      <w:bookmarkStart w:id="43" w:name="_Toc21631"/>
      <w:bookmarkStart w:id="44" w:name="_Toc23292"/>
      <w:r>
        <w:rPr>
          <w:rFonts w:hint="eastAsia" w:ascii="宋体" w:hAnsi="宋体" w:eastAsia="宋体" w:cs="宋体"/>
          <w:b/>
          <w:bCs/>
          <w:color w:val="auto"/>
          <w:sz w:val="24"/>
          <w:highlight w:val="none"/>
          <w:lang w:val="zh-CN"/>
        </w:rPr>
        <w:t>1.3 价款</w:t>
      </w:r>
      <w:bookmarkEnd w:id="42"/>
      <w:bookmarkEnd w:id="43"/>
      <w:bookmarkEnd w:id="4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序号</w:t>
            </w:r>
          </w:p>
        </w:tc>
        <w:tc>
          <w:tcPr>
            <w:tcW w:w="4316" w:type="dxa"/>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noWrap w:val="0"/>
            <w:vAlign w:val="center"/>
          </w:tcPr>
          <w:p>
            <w:pPr>
              <w:pStyle w:val="25"/>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1</w:t>
            </w:r>
          </w:p>
        </w:tc>
        <w:tc>
          <w:tcPr>
            <w:tcW w:w="4316" w:type="dxa"/>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c>
          <w:tcPr>
            <w:tcW w:w="3237" w:type="dxa"/>
            <w:gridSpan w:val="2"/>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2</w:t>
            </w:r>
          </w:p>
        </w:tc>
        <w:tc>
          <w:tcPr>
            <w:tcW w:w="4316" w:type="dxa"/>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c>
          <w:tcPr>
            <w:tcW w:w="3237" w:type="dxa"/>
            <w:gridSpan w:val="2"/>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3</w:t>
            </w:r>
          </w:p>
        </w:tc>
        <w:tc>
          <w:tcPr>
            <w:tcW w:w="4316" w:type="dxa"/>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c>
          <w:tcPr>
            <w:tcW w:w="3237" w:type="dxa"/>
            <w:gridSpan w:val="2"/>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w:t>
            </w:r>
          </w:p>
        </w:tc>
        <w:tc>
          <w:tcPr>
            <w:tcW w:w="4316" w:type="dxa"/>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c>
          <w:tcPr>
            <w:tcW w:w="3237" w:type="dxa"/>
            <w:gridSpan w:val="2"/>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noWrap w:val="0"/>
            <w:vAlign w:val="center"/>
          </w:tcPr>
          <w:p>
            <w:pPr>
              <w:pStyle w:val="25"/>
              <w:keepNext w:val="0"/>
              <w:keepLines w:val="0"/>
              <w:suppressLineNumbers w:val="0"/>
              <w:spacing w:before="0" w:beforeAutospacing="0" w:after="0" w:afterAutospacing="0"/>
              <w:ind w:left="0" w:right="0" w:firstLine="200"/>
              <w:jc w:val="center"/>
              <w:rPr>
                <w:rFonts w:hint="eastAsia" w:ascii="宋体" w:hAnsi="宋体" w:eastAsia="宋体" w:cs="宋体"/>
                <w:color w:val="auto"/>
                <w:sz w:val="24"/>
                <w:szCs w:val="24"/>
                <w:highlight w:val="none"/>
              </w:rPr>
            </w:pPr>
          </w:p>
        </w:tc>
      </w:tr>
    </w:tbl>
    <w:p>
      <w:pPr>
        <w:spacing w:line="360" w:lineRule="auto"/>
        <w:ind w:firstLine="437"/>
        <w:outlineLvl w:val="3"/>
        <w:rPr>
          <w:rFonts w:hint="eastAsia" w:ascii="宋体" w:hAnsi="宋体" w:eastAsia="宋体" w:cs="宋体"/>
          <w:b/>
          <w:bCs/>
          <w:color w:val="auto"/>
          <w:sz w:val="24"/>
          <w:highlight w:val="none"/>
          <w:lang w:val="zh-CN"/>
        </w:rPr>
      </w:pPr>
      <w:bookmarkStart w:id="45" w:name="_Toc22618"/>
      <w:bookmarkStart w:id="46" w:name="_Toc10340"/>
      <w:bookmarkStart w:id="47" w:name="_Toc1814"/>
      <w:r>
        <w:rPr>
          <w:rFonts w:hint="eastAsia" w:ascii="宋体" w:hAnsi="宋体" w:eastAsia="宋体" w:cs="宋体"/>
          <w:b/>
          <w:bCs/>
          <w:color w:val="auto"/>
          <w:sz w:val="24"/>
          <w:highlight w:val="none"/>
          <w:lang w:val="zh-CN"/>
        </w:rPr>
        <w:t>1.4 付款方式和发票开具方式</w:t>
      </w:r>
      <w:bookmarkEnd w:id="45"/>
      <w:bookmarkEnd w:id="46"/>
      <w:bookmarkEnd w:id="47"/>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7"/>
        <w:outlineLvl w:val="3"/>
        <w:rPr>
          <w:rFonts w:hint="eastAsia" w:ascii="宋体" w:hAnsi="宋体" w:eastAsia="宋体" w:cs="宋体"/>
          <w:b/>
          <w:bCs/>
          <w:color w:val="auto"/>
          <w:sz w:val="24"/>
          <w:highlight w:val="none"/>
          <w:lang w:val="zh-CN"/>
        </w:rPr>
      </w:pPr>
      <w:bookmarkStart w:id="48" w:name="_Toc19304"/>
      <w:bookmarkStart w:id="49" w:name="_Toc32071"/>
      <w:bookmarkStart w:id="50" w:name="_Toc2846"/>
      <w:r>
        <w:rPr>
          <w:rFonts w:hint="eastAsia" w:ascii="宋体" w:hAnsi="宋体" w:eastAsia="宋体" w:cs="宋体"/>
          <w:b/>
          <w:bCs/>
          <w:color w:val="auto"/>
          <w:sz w:val="24"/>
          <w:highlight w:val="none"/>
          <w:lang w:val="zh-CN"/>
        </w:rPr>
        <w:t>1.5 服务期限、地点和方式</w:t>
      </w:r>
      <w:bookmarkEnd w:id="48"/>
      <w:bookmarkEnd w:id="49"/>
      <w:bookmarkEnd w:id="50"/>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7"/>
        <w:outlineLvl w:val="3"/>
        <w:rPr>
          <w:rFonts w:hint="eastAsia" w:ascii="宋体" w:hAnsi="宋体" w:eastAsia="宋体" w:cs="宋体"/>
          <w:b/>
          <w:bCs/>
          <w:color w:val="auto"/>
          <w:sz w:val="24"/>
          <w:highlight w:val="none"/>
          <w:lang w:val="zh-CN"/>
        </w:rPr>
      </w:pPr>
      <w:bookmarkStart w:id="51" w:name="_Toc19554"/>
      <w:bookmarkStart w:id="52" w:name="_Toc21423"/>
      <w:bookmarkStart w:id="53" w:name="_Toc27250"/>
      <w:r>
        <w:rPr>
          <w:rFonts w:hint="eastAsia" w:ascii="宋体" w:hAnsi="宋体" w:eastAsia="宋体" w:cs="宋体"/>
          <w:b/>
          <w:bCs/>
          <w:color w:val="auto"/>
          <w:sz w:val="24"/>
          <w:highlight w:val="none"/>
          <w:lang w:val="zh-CN"/>
        </w:rPr>
        <w:t>1.6 违约责任</w:t>
      </w:r>
      <w:bookmarkEnd w:id="51"/>
      <w:bookmarkEnd w:id="52"/>
      <w:bookmarkEnd w:id="53"/>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pPr>
        <w:spacing w:line="360" w:lineRule="auto"/>
        <w:ind w:firstLine="437"/>
        <w:outlineLvl w:val="3"/>
        <w:rPr>
          <w:rFonts w:hint="eastAsia" w:ascii="宋体" w:hAnsi="宋体" w:eastAsia="宋体" w:cs="宋体"/>
          <w:b/>
          <w:bCs/>
          <w:color w:val="auto"/>
          <w:sz w:val="24"/>
          <w:highlight w:val="none"/>
          <w:lang w:val="zh-CN"/>
        </w:rPr>
      </w:pPr>
      <w:bookmarkStart w:id="54" w:name="_Toc15583"/>
      <w:bookmarkStart w:id="55" w:name="_Toc28375"/>
      <w:bookmarkStart w:id="56" w:name="_Toc16021"/>
      <w:r>
        <w:rPr>
          <w:rFonts w:hint="eastAsia" w:ascii="宋体" w:hAnsi="宋体" w:eastAsia="宋体" w:cs="宋体"/>
          <w:b/>
          <w:bCs/>
          <w:color w:val="auto"/>
          <w:sz w:val="24"/>
          <w:highlight w:val="none"/>
          <w:lang w:val="zh-CN"/>
        </w:rPr>
        <w:t>1.7 合同争议的解决</w:t>
      </w:r>
      <w:bookmarkEnd w:id="54"/>
      <w:bookmarkEnd w:id="55"/>
      <w:bookmarkEnd w:id="56"/>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人民法院起诉。</w:t>
      </w:r>
    </w:p>
    <w:p>
      <w:pPr>
        <w:spacing w:line="360" w:lineRule="auto"/>
        <w:ind w:firstLine="437"/>
        <w:outlineLvl w:val="3"/>
        <w:rPr>
          <w:rFonts w:hint="eastAsia" w:ascii="宋体" w:hAnsi="宋体" w:eastAsia="宋体" w:cs="宋体"/>
          <w:b/>
          <w:bCs/>
          <w:color w:val="auto"/>
          <w:sz w:val="24"/>
          <w:highlight w:val="none"/>
          <w:lang w:val="zh-CN"/>
        </w:rPr>
      </w:pPr>
      <w:bookmarkStart w:id="57" w:name="_Toc11173"/>
      <w:bookmarkStart w:id="58" w:name="_Toc15322"/>
      <w:bookmarkStart w:id="59" w:name="_Toc7245"/>
      <w:r>
        <w:rPr>
          <w:rFonts w:hint="eastAsia" w:ascii="宋体" w:hAnsi="宋体" w:eastAsia="宋体" w:cs="宋体"/>
          <w:b/>
          <w:bCs/>
          <w:color w:val="auto"/>
          <w:sz w:val="24"/>
          <w:highlight w:val="none"/>
          <w:lang w:val="zh-CN"/>
        </w:rPr>
        <w:t>1.8 合同生效</w:t>
      </w:r>
      <w:bookmarkEnd w:id="57"/>
      <w:bookmarkEnd w:id="58"/>
      <w:bookmarkEnd w:id="59"/>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本合同自双方当事人盖章时生效。</w:t>
      </w:r>
    </w:p>
    <w:p>
      <w:pPr>
        <w:autoSpaceDE w:val="0"/>
        <w:autoSpaceDN w:val="0"/>
        <w:adjustRightInd w:val="0"/>
        <w:spacing w:line="560" w:lineRule="exact"/>
        <w:rPr>
          <w:rFonts w:hint="eastAsia" w:ascii="宋体" w:hAnsi="宋体" w:eastAsia="宋体" w:cs="宋体"/>
          <w:color w:val="auto"/>
          <w:sz w:val="24"/>
          <w:highlight w:val="none"/>
          <w:lang w:val="zh-CN"/>
        </w:rPr>
      </w:pPr>
    </w:p>
    <w:p>
      <w:pPr>
        <w:autoSpaceDE w:val="0"/>
        <w:autoSpaceDN w:val="0"/>
        <w:adjustRightInd w:val="0"/>
        <w:spacing w:line="560" w:lineRule="exact"/>
        <w:rPr>
          <w:rFonts w:hint="eastAsia" w:ascii="宋体" w:hAnsi="宋体" w:eastAsia="宋体" w:cs="宋体"/>
          <w:color w:val="auto"/>
          <w:sz w:val="24"/>
          <w:highlight w:val="none"/>
          <w:lang w:val="zh-CN"/>
        </w:rPr>
      </w:pPr>
    </w:p>
    <w:p>
      <w:pPr>
        <w:autoSpaceDE w:val="0"/>
        <w:autoSpaceDN w:val="0"/>
        <w:adjustRightInd w:val="0"/>
        <w:spacing w:line="560" w:lineRule="exact"/>
        <w:rPr>
          <w:rFonts w:hint="eastAsia" w:ascii="宋体" w:hAnsi="宋体" w:eastAsia="宋体" w:cs="宋体"/>
          <w:color w:val="auto"/>
          <w:sz w:val="24"/>
          <w:highlight w:val="none"/>
          <w:lang w:val="zh-CN"/>
        </w:rPr>
      </w:pPr>
    </w:p>
    <w:p>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（单位盖章）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（单位盖章）     </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pPr>
        <w:widowControl/>
        <w:spacing w:line="560" w:lineRule="exact"/>
        <w:jc w:val="left"/>
        <w:rPr>
          <w:rFonts w:hint="eastAsia" w:ascii="宋体" w:hAnsi="宋体" w:eastAsia="宋体" w:cs="宋体"/>
          <w:bCs/>
          <w:color w:val="auto"/>
          <w:sz w:val="24"/>
          <w:highlight w:val="none"/>
        </w:rPr>
      </w:pPr>
      <w:bookmarkStart w:id="60" w:name="_Toc331685783"/>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bookmarkEnd w:id="60"/>
    </w:p>
    <w:p>
      <w:pPr>
        <w:spacing w:line="360" w:lineRule="auto"/>
        <w:ind w:firstLine="437"/>
        <w:outlineLvl w:val="3"/>
        <w:rPr>
          <w:rFonts w:hint="eastAsia" w:ascii="宋体" w:hAnsi="宋体" w:eastAsia="宋体" w:cs="宋体"/>
          <w:b/>
          <w:bCs/>
          <w:color w:val="auto"/>
          <w:sz w:val="24"/>
          <w:highlight w:val="none"/>
          <w:lang w:val="zh-CN"/>
        </w:rPr>
      </w:pPr>
      <w:bookmarkStart w:id="61" w:name="_Ref467379101"/>
      <w:bookmarkStart w:id="62" w:name="_Ref467379109"/>
      <w:bookmarkStart w:id="63" w:name="_Toc16917"/>
      <w:bookmarkStart w:id="64" w:name="_Ref467378404"/>
      <w:bookmarkStart w:id="65" w:name="_Ref467378463"/>
      <w:bookmarkStart w:id="66" w:name="_Ref467379195"/>
      <w:bookmarkStart w:id="67" w:name="_Toc279701240"/>
      <w:bookmarkStart w:id="68" w:name="_Toc259093669"/>
      <w:bookmarkStart w:id="69" w:name="_Ref467379214"/>
      <w:bookmarkStart w:id="70" w:name="_Toc19614"/>
      <w:bookmarkStart w:id="71" w:name="_Ref467379205"/>
      <w:bookmarkStart w:id="72" w:name="_Ref467378499"/>
      <w:bookmarkStart w:id="73" w:name="_Toc487900349"/>
      <w:bookmarkStart w:id="74" w:name="_Ref467379094"/>
      <w:bookmarkStart w:id="75" w:name="_Ref467379225"/>
      <w:bookmarkStart w:id="76" w:name="_Toc28763"/>
      <w:r>
        <w:rPr>
          <w:rFonts w:hint="eastAsia" w:ascii="宋体" w:hAnsi="宋体" w:eastAsia="宋体" w:cs="宋体"/>
          <w:b/>
          <w:bCs/>
          <w:color w:val="auto"/>
          <w:sz w:val="24"/>
          <w:highlight w:val="none"/>
          <w:lang w:val="zh-CN"/>
        </w:rPr>
        <w:t>2.1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2.1.1“合同”系指招标人和中标人签订的载明双方当事人所达成的协议，并包括所有的附件、附录和构成合同的其他文件。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2.1.2“合同价”系指根据合同约定，中标人在完全履行合同义务后，招标人应支付给中标人的价格。</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hint="eastAsia" w:ascii="宋体" w:hAnsi="宋体" w:eastAsia="宋体" w:cs="宋体"/>
          <w:color w:val="auto"/>
          <w:sz w:val="24"/>
          <w:highlight w:val="none"/>
        </w:rPr>
      </w:pPr>
      <w:bookmarkStart w:id="77" w:name="_Ref467378840"/>
      <w:r>
        <w:rPr>
          <w:rFonts w:hint="eastAsia" w:ascii="宋体" w:hAnsi="宋体" w:eastAsia="宋体" w:cs="宋体"/>
          <w:color w:val="auto"/>
          <w:sz w:val="24"/>
          <w:highlight w:val="none"/>
        </w:rPr>
        <w:t>2.1.4“甲方”系指与中标人签署合同的招标人</w:t>
      </w:r>
      <w:bookmarkEnd w:id="77"/>
      <w:r>
        <w:rPr>
          <w:rFonts w:hint="eastAsia" w:ascii="宋体" w:hAnsi="宋体" w:eastAsia="宋体" w:cs="宋体"/>
          <w:color w:val="auto"/>
          <w:sz w:val="24"/>
          <w:highlight w:val="none"/>
        </w:rPr>
        <w:t>；招标人委托招标代理机构代表其与乙方签订合同的，招标人的授权委托书作为合同附件。</w:t>
      </w:r>
    </w:p>
    <w:p>
      <w:pPr>
        <w:spacing w:line="360" w:lineRule="auto"/>
        <w:ind w:firstLine="435"/>
        <w:rPr>
          <w:rFonts w:hint="eastAsia" w:ascii="宋体" w:hAnsi="宋体" w:eastAsia="宋体" w:cs="宋体"/>
          <w:color w:val="auto"/>
          <w:sz w:val="24"/>
          <w:highlight w:val="none"/>
        </w:rPr>
      </w:pPr>
      <w:bookmarkStart w:id="78" w:name="_Ref467379400"/>
      <w:r>
        <w:rPr>
          <w:rFonts w:hint="eastAsia" w:ascii="宋体" w:hAnsi="宋体" w:eastAsia="宋体" w:cs="宋体"/>
          <w:color w:val="auto"/>
          <w:sz w:val="24"/>
          <w:highlight w:val="none"/>
        </w:rPr>
        <w:t>2.1.5“乙方”系指根据合同约定提供服务的中标人</w:t>
      </w:r>
      <w:bookmarkEnd w:id="78"/>
      <w:r>
        <w:rPr>
          <w:rFonts w:hint="eastAsia" w:ascii="宋体" w:hAnsi="宋体" w:eastAsia="宋体" w:cs="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pPr>
        <w:spacing w:line="360" w:lineRule="auto"/>
        <w:ind w:firstLine="435"/>
        <w:rPr>
          <w:rFonts w:hint="eastAsia" w:ascii="宋体" w:hAnsi="宋体" w:eastAsia="宋体" w:cs="宋体"/>
          <w:color w:val="auto"/>
          <w:sz w:val="24"/>
          <w:highlight w:val="none"/>
        </w:rPr>
      </w:pPr>
      <w:bookmarkStart w:id="79" w:name="_Ref467379436"/>
      <w:r>
        <w:rPr>
          <w:rFonts w:hint="eastAsia" w:ascii="宋体" w:hAnsi="宋体" w:eastAsia="宋体" w:cs="宋体"/>
          <w:color w:val="auto"/>
          <w:sz w:val="24"/>
          <w:highlight w:val="none"/>
        </w:rPr>
        <w:t>2.1.6“现场”系指合同约定提供服务的地点。</w:t>
      </w:r>
      <w:bookmarkEnd w:id="79"/>
    </w:p>
    <w:p>
      <w:pPr>
        <w:spacing w:line="360" w:lineRule="auto"/>
        <w:ind w:firstLine="437"/>
        <w:outlineLvl w:val="3"/>
        <w:rPr>
          <w:rFonts w:hint="eastAsia" w:ascii="宋体" w:hAnsi="宋体" w:eastAsia="宋体" w:cs="宋体"/>
          <w:b/>
          <w:bCs/>
          <w:color w:val="auto"/>
          <w:sz w:val="24"/>
          <w:highlight w:val="none"/>
          <w:lang w:val="zh-CN"/>
        </w:rPr>
      </w:pPr>
      <w:bookmarkStart w:id="80" w:name="_Toc259093670"/>
      <w:bookmarkStart w:id="81" w:name="_Toc279701241"/>
      <w:bookmarkStart w:id="82" w:name="_Toc27635"/>
      <w:bookmarkStart w:id="83" w:name="_Toc32504"/>
      <w:bookmarkStart w:id="84" w:name="_Toc13336"/>
      <w:bookmarkStart w:id="85" w:name="_Toc487900350"/>
      <w:r>
        <w:rPr>
          <w:rFonts w:hint="eastAsia" w:ascii="宋体" w:hAnsi="宋体" w:eastAsia="宋体" w:cs="宋体"/>
          <w:b/>
          <w:bCs/>
          <w:color w:val="auto"/>
          <w:sz w:val="24"/>
          <w:highlight w:val="none"/>
          <w:lang w:val="zh-CN"/>
        </w:rPr>
        <w:t>2.2 技术规范</w:t>
      </w:r>
      <w:bookmarkEnd w:id="80"/>
      <w:bookmarkEnd w:id="81"/>
      <w:bookmarkEnd w:id="82"/>
      <w:bookmarkEnd w:id="83"/>
      <w:bookmarkEnd w:id="84"/>
      <w:bookmarkEnd w:id="85"/>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37"/>
        <w:outlineLvl w:val="3"/>
        <w:rPr>
          <w:rFonts w:hint="eastAsia" w:ascii="宋体" w:hAnsi="宋体" w:eastAsia="宋体" w:cs="宋体"/>
          <w:b/>
          <w:bCs/>
          <w:color w:val="auto"/>
          <w:sz w:val="24"/>
          <w:highlight w:val="none"/>
          <w:lang w:val="zh-CN"/>
        </w:rPr>
      </w:pPr>
      <w:bookmarkStart w:id="86" w:name="_Toc259093671"/>
      <w:bookmarkStart w:id="87" w:name="_Toc31634"/>
      <w:bookmarkStart w:id="88" w:name="_Toc279701242"/>
      <w:bookmarkStart w:id="89" w:name="_Toc27853"/>
      <w:bookmarkStart w:id="90" w:name="_Toc9829"/>
      <w:bookmarkStart w:id="91" w:name="_Toc487900351"/>
      <w:r>
        <w:rPr>
          <w:rFonts w:hint="eastAsia" w:ascii="宋体" w:hAnsi="宋体" w:eastAsia="宋体" w:cs="宋体"/>
          <w:b/>
          <w:bCs/>
          <w:color w:val="auto"/>
          <w:sz w:val="24"/>
          <w:highlight w:val="none"/>
          <w:lang w:val="zh-CN"/>
        </w:rPr>
        <w:t>2.3 知识产权</w:t>
      </w:r>
      <w:bookmarkEnd w:id="86"/>
      <w:bookmarkEnd w:id="87"/>
      <w:bookmarkEnd w:id="88"/>
      <w:bookmarkEnd w:id="89"/>
      <w:bookmarkEnd w:id="90"/>
      <w:bookmarkEnd w:id="91"/>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360" w:lineRule="auto"/>
        <w:ind w:firstLine="437"/>
        <w:outlineLvl w:val="3"/>
        <w:rPr>
          <w:rFonts w:hint="eastAsia" w:ascii="宋体" w:hAnsi="宋体" w:eastAsia="宋体" w:cs="宋体"/>
          <w:b/>
          <w:bCs/>
          <w:color w:val="auto"/>
          <w:sz w:val="24"/>
          <w:highlight w:val="none"/>
          <w:lang w:val="zh-CN"/>
        </w:rPr>
      </w:pPr>
      <w:bookmarkStart w:id="92" w:name="_Toc279701245"/>
      <w:bookmarkStart w:id="93" w:name="_Ref467379542"/>
      <w:bookmarkStart w:id="94" w:name="_Ref467378591"/>
      <w:bookmarkStart w:id="95" w:name="_Ref467378541"/>
      <w:bookmarkStart w:id="96" w:name="_Toc487900354"/>
      <w:bookmarkStart w:id="97" w:name="_Ref467379536"/>
      <w:bookmarkStart w:id="98" w:name="_Ref467379527"/>
      <w:bookmarkStart w:id="99" w:name="_Toc259093674"/>
      <w:bookmarkStart w:id="100" w:name="_Toc26182"/>
      <w:bookmarkStart w:id="101" w:name="_Toc19074"/>
      <w:bookmarkStart w:id="102" w:name="_Toc30272"/>
      <w:r>
        <w:rPr>
          <w:rFonts w:hint="eastAsia" w:ascii="宋体" w:hAnsi="宋体" w:eastAsia="宋体" w:cs="宋体"/>
          <w:b/>
          <w:bCs/>
          <w:color w:val="auto"/>
          <w:sz w:val="24"/>
          <w:highlight w:val="none"/>
          <w:lang w:val="zh-CN"/>
        </w:rPr>
        <w:t>2.</w:t>
      </w:r>
      <w:bookmarkEnd w:id="92"/>
      <w:bookmarkEnd w:id="93"/>
      <w:bookmarkEnd w:id="94"/>
      <w:bookmarkEnd w:id="95"/>
      <w:bookmarkEnd w:id="96"/>
      <w:bookmarkEnd w:id="97"/>
      <w:bookmarkEnd w:id="98"/>
      <w:bookmarkEnd w:id="99"/>
      <w:r>
        <w:rPr>
          <w:rFonts w:hint="eastAsia" w:ascii="宋体" w:hAnsi="宋体" w:eastAsia="宋体" w:cs="宋体"/>
          <w:b/>
          <w:bCs/>
          <w:color w:val="auto"/>
          <w:sz w:val="24"/>
          <w:highlight w:val="none"/>
          <w:lang w:val="zh-CN"/>
        </w:rPr>
        <w:t>4 履约检查和问题反馈</w:t>
      </w:r>
      <w:bookmarkEnd w:id="100"/>
      <w:bookmarkEnd w:id="101"/>
      <w:bookmarkEnd w:id="102"/>
    </w:p>
    <w:p>
      <w:pPr>
        <w:spacing w:line="360" w:lineRule="auto"/>
        <w:ind w:firstLine="435"/>
        <w:rPr>
          <w:rFonts w:hint="eastAsia" w:ascii="宋体" w:hAnsi="宋体" w:eastAsia="宋体" w:cs="宋体"/>
          <w:color w:val="auto"/>
          <w:sz w:val="24"/>
          <w:highlight w:val="none"/>
        </w:rPr>
      </w:pPr>
      <w:bookmarkStart w:id="103" w:name="_Toc186431854"/>
      <w:bookmarkStart w:id="104" w:name="_Ref467379793"/>
      <w:bookmarkStart w:id="105" w:name="_Toc279701247"/>
      <w:bookmarkStart w:id="106" w:name="_Toc259093676"/>
      <w:bookmarkStart w:id="107" w:name="_Ref467379807"/>
      <w:bookmarkStart w:id="108" w:name="_Toc48790035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103"/>
      <w:bookmarkStart w:id="109" w:name="_Toc186431855"/>
      <w:r>
        <w:rPr>
          <w:rFonts w:hint="eastAsia" w:ascii="宋体" w:hAnsi="宋体" w:eastAsia="宋体" w:cs="宋体"/>
          <w:color w:val="auto"/>
          <w:sz w:val="24"/>
          <w:highlight w:val="none"/>
        </w:rPr>
        <w:t>。</w:t>
      </w:r>
    </w:p>
    <w:bookmarkEnd w:id="109"/>
    <w:p>
      <w:pPr>
        <w:spacing w:line="360" w:lineRule="auto"/>
        <w:ind w:firstLine="437"/>
        <w:outlineLvl w:val="3"/>
        <w:rPr>
          <w:rFonts w:hint="eastAsia" w:ascii="宋体" w:hAnsi="宋体" w:eastAsia="宋体" w:cs="宋体"/>
          <w:b/>
          <w:bCs/>
          <w:color w:val="auto"/>
          <w:sz w:val="24"/>
          <w:highlight w:val="none"/>
          <w:lang w:val="zh-CN"/>
        </w:rPr>
      </w:pPr>
      <w:bookmarkStart w:id="110" w:name="_Toc28451"/>
      <w:bookmarkStart w:id="111" w:name="_Toc19219"/>
      <w:bookmarkStart w:id="112" w:name="_Toc7836"/>
      <w:r>
        <w:rPr>
          <w:rFonts w:hint="eastAsia" w:ascii="宋体" w:hAnsi="宋体" w:eastAsia="宋体" w:cs="宋体"/>
          <w:b/>
          <w:bCs/>
          <w:color w:val="auto"/>
          <w:sz w:val="24"/>
          <w:highlight w:val="none"/>
          <w:lang w:val="zh-CN"/>
        </w:rPr>
        <w:t>2.5 结算方式和付款条件</w:t>
      </w:r>
      <w:bookmarkEnd w:id="104"/>
      <w:bookmarkEnd w:id="105"/>
      <w:bookmarkEnd w:id="106"/>
      <w:bookmarkEnd w:id="107"/>
      <w:bookmarkEnd w:id="108"/>
      <w:bookmarkEnd w:id="110"/>
      <w:bookmarkEnd w:id="111"/>
      <w:bookmarkEnd w:id="112"/>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360" w:lineRule="auto"/>
        <w:ind w:firstLine="437"/>
        <w:outlineLvl w:val="3"/>
        <w:rPr>
          <w:rFonts w:hint="eastAsia" w:ascii="宋体" w:hAnsi="宋体" w:eastAsia="宋体" w:cs="宋体"/>
          <w:b/>
          <w:bCs/>
          <w:color w:val="auto"/>
          <w:sz w:val="24"/>
          <w:highlight w:val="none"/>
          <w:lang w:val="zh-CN"/>
        </w:rPr>
      </w:pPr>
      <w:bookmarkStart w:id="113" w:name="_Toc487900358"/>
      <w:bookmarkStart w:id="114" w:name="_Toc279701248"/>
      <w:bookmarkStart w:id="115" w:name="_Ref467379852"/>
      <w:bookmarkStart w:id="116" w:name="_Toc259093677"/>
      <w:bookmarkStart w:id="117" w:name="_Ref467379923"/>
      <w:bookmarkStart w:id="118" w:name="_Ref467379863"/>
      <w:bookmarkStart w:id="119" w:name="_Toc16110"/>
      <w:bookmarkStart w:id="120" w:name="_Toc3225"/>
      <w:bookmarkStart w:id="121" w:name="_Toc774"/>
      <w:r>
        <w:rPr>
          <w:rFonts w:hint="eastAsia" w:ascii="宋体" w:hAnsi="宋体" w:eastAsia="宋体" w:cs="宋体"/>
          <w:b/>
          <w:bCs/>
          <w:color w:val="auto"/>
          <w:sz w:val="24"/>
          <w:highlight w:val="none"/>
          <w:lang w:val="zh-CN"/>
        </w:rPr>
        <w:t>2.6 技术资料</w:t>
      </w:r>
      <w:bookmarkEnd w:id="113"/>
      <w:bookmarkEnd w:id="114"/>
      <w:bookmarkEnd w:id="115"/>
      <w:bookmarkEnd w:id="116"/>
      <w:bookmarkEnd w:id="117"/>
      <w:bookmarkEnd w:id="118"/>
      <w:r>
        <w:rPr>
          <w:rFonts w:hint="eastAsia" w:ascii="宋体" w:hAnsi="宋体" w:eastAsia="宋体" w:cs="宋体"/>
          <w:b/>
          <w:bCs/>
          <w:color w:val="auto"/>
          <w:sz w:val="24"/>
          <w:highlight w:val="none"/>
          <w:lang w:val="zh-CN"/>
        </w:rPr>
        <w:t>和保密义务</w:t>
      </w:r>
      <w:bookmarkEnd w:id="119"/>
      <w:bookmarkEnd w:id="120"/>
      <w:bookmarkEnd w:id="121"/>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hint="eastAsia" w:ascii="宋体" w:hAnsi="宋体" w:eastAsia="宋体" w:cs="宋体"/>
          <w:b/>
          <w:bCs/>
          <w:color w:val="auto"/>
          <w:sz w:val="24"/>
          <w:highlight w:val="none"/>
          <w:lang w:val="zh-CN"/>
        </w:rPr>
      </w:pPr>
      <w:bookmarkStart w:id="122" w:name="_Toc7860"/>
      <w:r>
        <w:rPr>
          <w:rFonts w:hint="eastAsia" w:ascii="宋体" w:hAnsi="宋体" w:eastAsia="宋体" w:cs="宋体"/>
          <w:b/>
          <w:bCs/>
          <w:color w:val="auto"/>
          <w:sz w:val="24"/>
          <w:highlight w:val="none"/>
          <w:lang w:val="zh-CN"/>
        </w:rPr>
        <w:t>2.7 质量保证</w:t>
      </w:r>
      <w:bookmarkEnd w:id="122"/>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hint="eastAsia" w:ascii="宋体" w:hAnsi="宋体" w:eastAsia="宋体" w:cs="宋体"/>
          <w:b/>
          <w:color w:val="auto"/>
          <w:sz w:val="24"/>
          <w:highlight w:val="none"/>
        </w:rPr>
      </w:pPr>
      <w:bookmarkStart w:id="123" w:name="_Toc22267"/>
      <w:r>
        <w:rPr>
          <w:rFonts w:hint="eastAsia" w:ascii="宋体" w:hAnsi="宋体" w:eastAsia="宋体" w:cs="宋体"/>
          <w:b/>
          <w:color w:val="auto"/>
          <w:sz w:val="24"/>
          <w:highlight w:val="none"/>
        </w:rPr>
        <w:t>2.8 延迟履行</w:t>
      </w:r>
      <w:bookmarkEnd w:id="123"/>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hint="eastAsia" w:ascii="宋体" w:hAnsi="宋体" w:eastAsia="宋体" w:cs="宋体"/>
          <w:b/>
          <w:bCs/>
          <w:color w:val="auto"/>
          <w:sz w:val="24"/>
          <w:highlight w:val="none"/>
          <w:lang w:val="zh-CN"/>
        </w:rPr>
      </w:pPr>
      <w:bookmarkStart w:id="124" w:name="_Toc7502"/>
      <w:bookmarkStart w:id="125" w:name="_Ref467378121"/>
      <w:bookmarkStart w:id="126" w:name="_Toc279701254"/>
      <w:bookmarkStart w:id="127" w:name="_Toc487900364"/>
      <w:bookmarkStart w:id="128" w:name="_Toc259093683"/>
      <w:r>
        <w:rPr>
          <w:rFonts w:hint="eastAsia" w:ascii="宋体" w:hAnsi="宋体" w:eastAsia="宋体" w:cs="宋体"/>
          <w:b/>
          <w:bCs/>
          <w:color w:val="auto"/>
          <w:sz w:val="24"/>
          <w:highlight w:val="none"/>
          <w:lang w:val="zh-CN"/>
        </w:rPr>
        <w:t>2.9 合同变更</w:t>
      </w:r>
      <w:bookmarkEnd w:id="12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29" w:name="_Toc279701259"/>
      <w:bookmarkStart w:id="130" w:name="_Toc487900369"/>
      <w:bookmarkStart w:id="131" w:name="_Toc259093688"/>
    </w:p>
    <w:p>
      <w:pPr>
        <w:spacing w:line="360" w:lineRule="auto"/>
        <w:ind w:firstLine="437"/>
        <w:outlineLvl w:val="3"/>
        <w:rPr>
          <w:rFonts w:hint="eastAsia" w:ascii="宋体" w:hAnsi="宋体" w:eastAsia="宋体" w:cs="宋体"/>
          <w:b/>
          <w:bCs/>
          <w:color w:val="auto"/>
          <w:sz w:val="24"/>
          <w:highlight w:val="none"/>
          <w:lang w:val="zh-CN"/>
        </w:rPr>
      </w:pPr>
      <w:bookmarkStart w:id="132" w:name="_Toc22955"/>
      <w:bookmarkStart w:id="133" w:name="_Toc10366"/>
      <w:bookmarkStart w:id="134" w:name="_Toc15237"/>
      <w:r>
        <w:rPr>
          <w:rFonts w:hint="eastAsia" w:ascii="宋体" w:hAnsi="宋体" w:eastAsia="宋体" w:cs="宋体"/>
          <w:b/>
          <w:bCs/>
          <w:color w:val="auto"/>
          <w:sz w:val="24"/>
          <w:highlight w:val="none"/>
          <w:lang w:val="zh-CN"/>
        </w:rPr>
        <w:t>2.10 合同转让</w:t>
      </w:r>
      <w:bookmarkEnd w:id="129"/>
      <w:bookmarkEnd w:id="130"/>
      <w:bookmarkEnd w:id="131"/>
      <w:r>
        <w:rPr>
          <w:rFonts w:hint="eastAsia" w:ascii="宋体" w:hAnsi="宋体" w:eastAsia="宋体" w:cs="宋体"/>
          <w:b/>
          <w:bCs/>
          <w:color w:val="auto"/>
          <w:sz w:val="24"/>
          <w:highlight w:val="none"/>
          <w:lang w:val="zh-CN"/>
        </w:rPr>
        <w:t>和分包</w:t>
      </w:r>
      <w:bookmarkEnd w:id="132"/>
      <w:bookmarkEnd w:id="133"/>
      <w:bookmarkEnd w:id="13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360" w:lineRule="auto"/>
        <w:ind w:firstLine="437"/>
        <w:outlineLvl w:val="3"/>
        <w:rPr>
          <w:rFonts w:hint="eastAsia" w:ascii="宋体" w:hAnsi="宋体" w:eastAsia="宋体" w:cs="宋体"/>
          <w:b/>
          <w:bCs/>
          <w:color w:val="auto"/>
          <w:sz w:val="24"/>
          <w:highlight w:val="none"/>
          <w:lang w:val="zh-CN"/>
        </w:rPr>
      </w:pPr>
      <w:bookmarkStart w:id="135" w:name="_Toc14066"/>
      <w:bookmarkStart w:id="136" w:name="_Toc13566"/>
      <w:bookmarkStart w:id="137" w:name="_Toc16508"/>
      <w:r>
        <w:rPr>
          <w:rFonts w:hint="eastAsia" w:ascii="宋体" w:hAnsi="宋体" w:eastAsia="宋体" w:cs="宋体"/>
          <w:b/>
          <w:bCs/>
          <w:color w:val="auto"/>
          <w:sz w:val="24"/>
          <w:highlight w:val="none"/>
          <w:lang w:val="zh-CN"/>
        </w:rPr>
        <w:t>2.11 不可抗力</w:t>
      </w:r>
      <w:bookmarkEnd w:id="135"/>
      <w:bookmarkEnd w:id="136"/>
      <w:bookmarkEnd w:id="137"/>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360" w:lineRule="auto"/>
        <w:ind w:firstLine="437"/>
        <w:outlineLvl w:val="3"/>
        <w:rPr>
          <w:rFonts w:hint="eastAsia" w:ascii="宋体" w:hAnsi="宋体" w:eastAsia="宋体" w:cs="宋体"/>
          <w:b/>
          <w:bCs/>
          <w:color w:val="auto"/>
          <w:sz w:val="24"/>
          <w:highlight w:val="none"/>
          <w:lang w:val="zh-CN"/>
        </w:rPr>
      </w:pPr>
      <w:bookmarkStart w:id="138" w:name="_Toc6969"/>
      <w:bookmarkStart w:id="139" w:name="_Toc487900365"/>
      <w:bookmarkStart w:id="140" w:name="_Toc279701255"/>
      <w:bookmarkStart w:id="141" w:name="_Toc259093684"/>
      <w:bookmarkStart w:id="142" w:name="_Toc30676"/>
      <w:bookmarkStart w:id="143" w:name="_Toc689"/>
      <w:r>
        <w:rPr>
          <w:rFonts w:hint="eastAsia" w:ascii="宋体" w:hAnsi="宋体" w:eastAsia="宋体" w:cs="宋体"/>
          <w:b/>
          <w:bCs/>
          <w:color w:val="auto"/>
          <w:sz w:val="24"/>
          <w:highlight w:val="none"/>
          <w:lang w:val="zh-CN"/>
        </w:rPr>
        <w:t>2.12 税费</w:t>
      </w:r>
      <w:bookmarkEnd w:id="138"/>
      <w:bookmarkEnd w:id="139"/>
      <w:bookmarkEnd w:id="140"/>
      <w:bookmarkEnd w:id="141"/>
      <w:bookmarkEnd w:id="142"/>
      <w:bookmarkEnd w:id="143"/>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360" w:lineRule="auto"/>
        <w:ind w:firstLine="437"/>
        <w:outlineLvl w:val="3"/>
        <w:rPr>
          <w:rFonts w:hint="eastAsia" w:ascii="宋体" w:hAnsi="宋体" w:eastAsia="宋体" w:cs="宋体"/>
          <w:b/>
          <w:bCs/>
          <w:color w:val="auto"/>
          <w:sz w:val="24"/>
          <w:highlight w:val="none"/>
          <w:lang w:val="zh-CN"/>
        </w:rPr>
      </w:pPr>
      <w:bookmarkStart w:id="144" w:name="_Toc259093687"/>
      <w:bookmarkStart w:id="145" w:name="_Toc16959"/>
      <w:bookmarkStart w:id="146" w:name="_Toc7102"/>
      <w:bookmarkStart w:id="147" w:name="_Toc8298"/>
      <w:bookmarkStart w:id="148" w:name="_Toc279701258"/>
      <w:bookmarkStart w:id="149" w:name="_Toc487900368"/>
      <w:r>
        <w:rPr>
          <w:rFonts w:hint="eastAsia" w:ascii="宋体" w:hAnsi="宋体" w:eastAsia="宋体" w:cs="宋体"/>
          <w:b/>
          <w:bCs/>
          <w:color w:val="auto"/>
          <w:sz w:val="24"/>
          <w:highlight w:val="none"/>
          <w:lang w:val="zh-CN"/>
        </w:rPr>
        <w:t>2.13 乙方破产</w:t>
      </w:r>
      <w:bookmarkEnd w:id="144"/>
      <w:bookmarkEnd w:id="145"/>
      <w:bookmarkEnd w:id="146"/>
      <w:bookmarkEnd w:id="147"/>
      <w:bookmarkEnd w:id="148"/>
      <w:bookmarkEnd w:id="149"/>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hint="eastAsia" w:ascii="宋体" w:hAnsi="宋体" w:eastAsia="宋体" w:cs="宋体"/>
          <w:b/>
          <w:color w:val="auto"/>
          <w:sz w:val="24"/>
          <w:highlight w:val="none"/>
        </w:rPr>
      </w:pPr>
      <w:bookmarkStart w:id="150" w:name="_Toc6134"/>
      <w:bookmarkStart w:id="151" w:name="_Toc29333"/>
      <w:bookmarkStart w:id="152" w:name="_Toc15387"/>
      <w:r>
        <w:rPr>
          <w:rFonts w:hint="eastAsia" w:ascii="宋体" w:hAnsi="宋体" w:eastAsia="宋体" w:cs="宋体"/>
          <w:b/>
          <w:bCs/>
          <w:color w:val="auto"/>
          <w:sz w:val="24"/>
          <w:highlight w:val="none"/>
          <w:lang w:val="zh-CN"/>
        </w:rPr>
        <w:t>2.14 合同中止、终止</w:t>
      </w:r>
      <w:bookmarkEnd w:id="150"/>
      <w:bookmarkEnd w:id="151"/>
      <w:bookmarkEnd w:id="152"/>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hint="eastAsia" w:ascii="宋体" w:hAnsi="宋体" w:eastAsia="宋体" w:cs="宋体"/>
          <w:b/>
          <w:bCs/>
          <w:color w:val="auto"/>
          <w:sz w:val="24"/>
          <w:highlight w:val="none"/>
          <w:lang w:val="zh-CN"/>
        </w:rPr>
      </w:pPr>
      <w:bookmarkStart w:id="153" w:name="_Toc14563"/>
      <w:bookmarkStart w:id="154" w:name="_Toc6596"/>
      <w:bookmarkStart w:id="155" w:name="_Toc1125"/>
      <w:r>
        <w:rPr>
          <w:rFonts w:hint="eastAsia" w:ascii="宋体" w:hAnsi="宋体" w:eastAsia="宋体" w:cs="宋体"/>
          <w:b/>
          <w:bCs/>
          <w:color w:val="auto"/>
          <w:sz w:val="24"/>
          <w:highlight w:val="none"/>
          <w:lang w:val="zh-CN"/>
        </w:rPr>
        <w:t>2.15 检验和验收</w:t>
      </w:r>
      <w:bookmarkEnd w:id="153"/>
      <w:bookmarkEnd w:id="154"/>
      <w:bookmarkEnd w:id="155"/>
    </w:p>
    <w:p>
      <w:pPr>
        <w:spacing w:line="360" w:lineRule="auto"/>
        <w:ind w:firstLine="435"/>
        <w:rPr>
          <w:rFonts w:hint="eastAsia"/>
          <w:color w:val="auto"/>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25"/>
    <w:bookmarkEnd w:id="126"/>
    <w:bookmarkEnd w:id="127"/>
    <w:bookmarkEnd w:id="128"/>
    <w:p>
      <w:pPr>
        <w:spacing w:line="360" w:lineRule="auto"/>
        <w:ind w:firstLine="437"/>
        <w:outlineLvl w:val="3"/>
        <w:rPr>
          <w:rFonts w:hint="eastAsia" w:ascii="宋体" w:hAnsi="宋体" w:eastAsia="宋体" w:cs="宋体"/>
          <w:b/>
          <w:bCs/>
          <w:color w:val="auto"/>
          <w:sz w:val="24"/>
          <w:highlight w:val="none"/>
        </w:rPr>
      </w:pPr>
      <w:bookmarkStart w:id="156" w:name="_Toc12773"/>
      <w:bookmarkStart w:id="157" w:name="_Toc487900373"/>
      <w:bookmarkStart w:id="158" w:name="_Toc259093692"/>
      <w:bookmarkStart w:id="159" w:name="_Toc18567"/>
      <w:bookmarkStart w:id="160" w:name="_Toc10330"/>
      <w:bookmarkStart w:id="161" w:name="_Toc279701263"/>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56"/>
      <w:bookmarkEnd w:id="157"/>
      <w:bookmarkEnd w:id="158"/>
      <w:bookmarkEnd w:id="159"/>
      <w:bookmarkEnd w:id="160"/>
      <w:bookmarkEnd w:id="161"/>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pPr>
        <w:spacing w:line="360" w:lineRule="auto"/>
        <w:ind w:firstLine="437"/>
        <w:outlineLvl w:val="3"/>
        <w:rPr>
          <w:rFonts w:hint="eastAsia" w:ascii="宋体" w:hAnsi="宋体" w:eastAsia="宋体" w:cs="宋体"/>
          <w:b/>
          <w:color w:val="auto"/>
          <w:sz w:val="24"/>
          <w:highlight w:val="none"/>
        </w:rPr>
      </w:pPr>
      <w:bookmarkStart w:id="162" w:name="_Toc3148"/>
      <w:bookmarkStart w:id="163" w:name="_Toc279701264"/>
      <w:bookmarkStart w:id="164" w:name="_Toc259093693"/>
      <w:bookmarkStart w:id="165" w:name="_Toc16673"/>
      <w:bookmarkStart w:id="166" w:name="_Toc12004"/>
      <w:bookmarkStart w:id="167" w:name="_Toc487900374"/>
      <w:r>
        <w:rPr>
          <w:rFonts w:hint="eastAsia" w:ascii="宋体" w:hAnsi="宋体" w:eastAsia="宋体" w:cs="宋体"/>
          <w:b/>
          <w:bCs/>
          <w:color w:val="auto"/>
          <w:sz w:val="24"/>
          <w:highlight w:val="none"/>
          <w:lang w:val="zh-CN"/>
        </w:rPr>
        <w:t>2.17 履约保证金</w:t>
      </w:r>
      <w:bookmarkEnd w:id="162"/>
      <w:bookmarkEnd w:id="163"/>
      <w:bookmarkEnd w:id="164"/>
      <w:bookmarkEnd w:id="165"/>
      <w:bookmarkEnd w:id="166"/>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7"/>
    <w:p>
      <w:pPr>
        <w:spacing w:line="360" w:lineRule="auto"/>
        <w:ind w:firstLine="437"/>
        <w:outlineLvl w:val="3"/>
        <w:rPr>
          <w:rFonts w:hint="eastAsia" w:ascii="宋体" w:hAnsi="宋体" w:eastAsia="宋体" w:cs="宋体"/>
          <w:b/>
          <w:color w:val="auto"/>
          <w:sz w:val="24"/>
          <w:highlight w:val="none"/>
        </w:rPr>
      </w:pPr>
      <w:bookmarkStart w:id="168" w:name="_Toc6885"/>
      <w:bookmarkStart w:id="169" w:name="_Toc19890"/>
      <w:bookmarkStart w:id="170" w:name="_Toc14001"/>
      <w:r>
        <w:rPr>
          <w:rFonts w:hint="eastAsia" w:ascii="宋体" w:hAnsi="宋体" w:eastAsia="宋体" w:cs="宋体"/>
          <w:b/>
          <w:bCs/>
          <w:color w:val="auto"/>
          <w:sz w:val="24"/>
          <w:highlight w:val="none"/>
          <w:lang w:val="zh-CN"/>
        </w:rPr>
        <w:t>2.18 合同份数</w:t>
      </w:r>
      <w:bookmarkEnd w:id="168"/>
      <w:bookmarkEnd w:id="169"/>
      <w:bookmarkEnd w:id="170"/>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71" w:name="_Toc331685784"/>
      <w:r>
        <w:rPr>
          <w:rFonts w:hint="eastAsia" w:ascii="宋体" w:hAnsi="宋体" w:eastAsia="宋体" w:cs="宋体"/>
          <w:b/>
          <w:color w:val="auto"/>
          <w:sz w:val="24"/>
          <w:highlight w:val="none"/>
        </w:rPr>
        <w:t>第三部分 合同专用条款</w:t>
      </w:r>
      <w:bookmarkEnd w:id="171"/>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条款号</w:t>
            </w:r>
          </w:p>
        </w:tc>
        <w:tc>
          <w:tcPr>
            <w:tcW w:w="7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0"/>
                <w:highlight w:val="none"/>
              </w:rPr>
            </w:pPr>
          </w:p>
        </w:tc>
      </w:tr>
      <w:bookmarkEnd w:id="32"/>
    </w:tbl>
    <w:p>
      <w:pPr>
        <w:widowControl/>
        <w:jc w:val="left"/>
        <w:rPr>
          <w:rFonts w:ascii="Times New Roman" w:hAnsi="Times New Roman" w:cs="Times New Roman"/>
          <w:color w:val="auto"/>
          <w:sz w:val="24"/>
          <w:highlight w:val="none"/>
        </w:rPr>
      </w:pPr>
    </w:p>
    <w:p>
      <w:pPr>
        <w:pStyle w:val="2"/>
        <w:rPr>
          <w:rFonts w:ascii="Times New Roman" w:hAnsi="Times New Roman" w:cs="Times New Roman"/>
          <w:color w:val="auto"/>
          <w:sz w:val="24"/>
          <w:highlight w:val="none"/>
        </w:rPr>
      </w:pPr>
    </w:p>
    <w:p>
      <w:pPr>
        <w:rPr>
          <w:rFonts w:ascii="Times New Roman" w:hAnsi="Times New Roman" w:cs="Times New Roman"/>
          <w:color w:val="auto"/>
          <w:sz w:val="24"/>
          <w:highlight w:val="none"/>
        </w:rPr>
      </w:pPr>
    </w:p>
    <w:p>
      <w:pPr>
        <w:pStyle w:val="2"/>
        <w:rPr>
          <w:rFonts w:ascii="Times New Roman" w:hAnsi="Times New Roman" w:cs="Times New Roman"/>
          <w:color w:val="auto"/>
          <w:sz w:val="24"/>
          <w:highlight w:val="none"/>
        </w:rPr>
      </w:pPr>
    </w:p>
    <w:p>
      <w:pPr>
        <w:rPr>
          <w:rFonts w:ascii="Times New Roman" w:hAnsi="Times New Roman" w:cs="Times New Roman"/>
          <w:color w:val="auto"/>
          <w:sz w:val="24"/>
          <w:highlight w:val="none"/>
        </w:rPr>
      </w:pPr>
    </w:p>
    <w:p>
      <w:pPr>
        <w:pStyle w:val="2"/>
        <w:rPr>
          <w:rFonts w:ascii="Times New Roman" w:hAnsi="Times New Roman" w:cs="Times New Roman"/>
          <w:color w:val="auto"/>
          <w:sz w:val="24"/>
          <w:highlight w:val="none"/>
        </w:rPr>
      </w:pPr>
    </w:p>
    <w:p>
      <w:pPr>
        <w:rPr>
          <w:rFonts w:ascii="Times New Roman" w:hAnsi="Times New Roman" w:cs="Times New Roman"/>
          <w:color w:val="auto"/>
          <w:sz w:val="24"/>
          <w:highlight w:val="none"/>
        </w:rPr>
      </w:pPr>
    </w:p>
    <w:p>
      <w:pPr>
        <w:pStyle w:val="4"/>
        <w:spacing w:before="101" w:line="222" w:lineRule="auto"/>
        <w:jc w:val="center"/>
        <w:rPr>
          <w:rFonts w:hint="eastAsia"/>
          <w:color w:val="auto"/>
          <w:spacing w:val="10"/>
          <w:highlight w:val="none"/>
          <w:lang w:val="en-US" w:eastAsia="zh-CN"/>
        </w:rPr>
      </w:pPr>
    </w:p>
    <w:p>
      <w:pPr>
        <w:pStyle w:val="4"/>
        <w:spacing w:before="101" w:line="222" w:lineRule="auto"/>
        <w:jc w:val="center"/>
        <w:rPr>
          <w:rFonts w:hint="eastAsia"/>
          <w:color w:val="auto"/>
          <w:spacing w:val="10"/>
          <w:highlight w:val="none"/>
          <w:lang w:val="en-US" w:eastAsia="zh-CN"/>
        </w:rPr>
      </w:pPr>
    </w:p>
    <w:p>
      <w:pPr>
        <w:pStyle w:val="4"/>
        <w:spacing w:before="101" w:line="222" w:lineRule="auto"/>
        <w:jc w:val="center"/>
        <w:rPr>
          <w:rFonts w:hint="eastAsia"/>
          <w:color w:val="auto"/>
          <w:spacing w:val="10"/>
          <w:highlight w:val="none"/>
          <w:lang w:val="en-US" w:eastAsia="zh-CN"/>
        </w:rPr>
      </w:pPr>
    </w:p>
    <w:p>
      <w:pPr>
        <w:pStyle w:val="4"/>
        <w:spacing w:before="101" w:line="222" w:lineRule="auto"/>
        <w:jc w:val="center"/>
        <w:rPr>
          <w:rFonts w:hint="eastAsia"/>
          <w:color w:val="auto"/>
          <w:spacing w:val="10"/>
          <w:highlight w:val="none"/>
          <w:lang w:val="en-US" w:eastAsia="zh-CN"/>
        </w:rPr>
      </w:pP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工程</w:t>
      </w:r>
      <w:r>
        <w:rPr>
          <w:rFonts w:hint="eastAsia" w:ascii="宋体" w:hAnsi="宋体" w:eastAsia="宋体" w:cs="宋体"/>
          <w:b/>
          <w:color w:val="auto"/>
          <w:sz w:val="24"/>
          <w:highlight w:val="none"/>
        </w:rPr>
        <w:t>派工单</w:t>
      </w:r>
    </w:p>
    <w:p>
      <w:pPr>
        <w:pStyle w:val="4"/>
        <w:spacing w:before="289" w:line="217" w:lineRule="auto"/>
        <w:ind w:firstLine="232" w:firstLineChars="1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编号：</w:t>
      </w:r>
      <w:r>
        <w:rPr>
          <w:rFonts w:hint="eastAsia" w:ascii="宋体" w:hAnsi="宋体" w:eastAsia="宋体" w:cs="宋体"/>
          <w:color w:val="auto"/>
          <w:spacing w:val="-4"/>
          <w:sz w:val="24"/>
          <w:szCs w:val="24"/>
          <w:highlight w:val="none"/>
          <w:lang w:val="en-US" w:eastAsia="zh-CN"/>
        </w:rPr>
        <w:t>YYGS-20240XX</w:t>
      </w:r>
    </w:p>
    <w:p>
      <w:pPr>
        <w:spacing w:line="56" w:lineRule="exact"/>
        <w:rPr>
          <w:rFonts w:hint="eastAsia" w:ascii="宋体" w:hAnsi="宋体" w:eastAsia="宋体" w:cs="宋体"/>
          <w:color w:val="auto"/>
          <w:highlight w:val="none"/>
        </w:rPr>
      </w:pPr>
    </w:p>
    <w:tbl>
      <w:tblPr>
        <w:tblStyle w:val="27"/>
        <w:tblW w:w="9149"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6"/>
        <w:gridCol w:w="1563"/>
        <w:gridCol w:w="1454"/>
        <w:gridCol w:w="68"/>
        <w:gridCol w:w="1500"/>
        <w:gridCol w:w="1278"/>
        <w:gridCol w:w="1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86" w:type="dxa"/>
            <w:noWrap w:val="0"/>
            <w:vAlign w:val="top"/>
          </w:tcPr>
          <w:p>
            <w:pPr>
              <w:pStyle w:val="26"/>
              <w:spacing w:before="196" w:line="217" w:lineRule="auto"/>
              <w:ind w:firstLine="234"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工程名称</w:t>
            </w:r>
          </w:p>
        </w:tc>
        <w:tc>
          <w:tcPr>
            <w:tcW w:w="7563" w:type="dxa"/>
            <w:gridSpan w:val="6"/>
            <w:noWrap w:val="0"/>
            <w:vAlign w:val="top"/>
          </w:tcPr>
          <w:p>
            <w:pPr>
              <w:pStyle w:val="26"/>
              <w:spacing w:before="197" w:line="217"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586" w:type="dxa"/>
            <w:noWrap w:val="0"/>
            <w:vAlign w:val="top"/>
          </w:tcPr>
          <w:p>
            <w:pPr>
              <w:pStyle w:val="26"/>
              <w:spacing w:before="259" w:line="220" w:lineRule="auto"/>
              <w:jc w:val="center"/>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经办人</w:t>
            </w:r>
          </w:p>
        </w:tc>
        <w:tc>
          <w:tcPr>
            <w:tcW w:w="1563" w:type="dxa"/>
            <w:noWrap w:val="0"/>
            <w:vAlign w:val="top"/>
          </w:tcPr>
          <w:p>
            <w:pPr>
              <w:rPr>
                <w:rFonts w:hint="eastAsia" w:ascii="宋体" w:hAnsi="宋体" w:eastAsia="宋体" w:cs="宋体"/>
                <w:b w:val="0"/>
                <w:bCs w:val="0"/>
                <w:color w:val="auto"/>
                <w:sz w:val="24"/>
                <w:szCs w:val="24"/>
                <w:highlight w:val="none"/>
              </w:rPr>
            </w:pPr>
          </w:p>
        </w:tc>
        <w:tc>
          <w:tcPr>
            <w:tcW w:w="1454" w:type="dxa"/>
            <w:noWrap w:val="0"/>
            <w:vAlign w:val="center"/>
          </w:tcPr>
          <w:p>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派单时间</w:t>
            </w:r>
          </w:p>
        </w:tc>
        <w:tc>
          <w:tcPr>
            <w:tcW w:w="1568" w:type="dxa"/>
            <w:gridSpan w:val="2"/>
            <w:noWrap w:val="0"/>
            <w:vAlign w:val="top"/>
          </w:tcPr>
          <w:p>
            <w:pPr>
              <w:pStyle w:val="26"/>
              <w:spacing w:before="258" w:line="217" w:lineRule="auto"/>
              <w:ind w:left="440"/>
              <w:rPr>
                <w:rFonts w:hint="default" w:ascii="宋体" w:hAnsi="宋体" w:eastAsia="宋体" w:cs="宋体"/>
                <w:b w:val="0"/>
                <w:bCs w:val="0"/>
                <w:color w:val="auto"/>
                <w:spacing w:val="-4"/>
                <w:sz w:val="24"/>
                <w:szCs w:val="24"/>
                <w:highlight w:val="none"/>
                <w:lang w:val="en-US" w:eastAsia="zh-CN"/>
              </w:rPr>
            </w:pPr>
          </w:p>
        </w:tc>
        <w:tc>
          <w:tcPr>
            <w:tcW w:w="1278" w:type="dxa"/>
            <w:noWrap w:val="0"/>
            <w:vAlign w:val="center"/>
          </w:tcPr>
          <w:p>
            <w:pPr>
              <w:jc w:val="center"/>
              <w:rPr>
                <w:rFonts w:hint="default" w:ascii="宋体" w:hAnsi="宋体" w:eastAsia="宋体" w:cs="宋体"/>
                <w:b/>
                <w:bCs/>
                <w:color w:val="auto"/>
                <w:sz w:val="21"/>
                <w:highlight w:val="none"/>
                <w:lang w:val="en-US" w:eastAsia="zh-CN"/>
              </w:rPr>
            </w:pPr>
            <w:r>
              <w:rPr>
                <w:rFonts w:hint="eastAsia" w:ascii="宋体" w:hAnsi="宋体" w:eastAsia="宋体" w:cs="宋体"/>
                <w:b w:val="0"/>
                <w:bCs w:val="0"/>
                <w:color w:val="auto"/>
                <w:spacing w:val="-4"/>
                <w:sz w:val="24"/>
                <w:szCs w:val="24"/>
                <w:highlight w:val="none"/>
                <w:lang w:val="en-US" w:eastAsia="zh-CN"/>
              </w:rPr>
              <w:t>预算金额</w:t>
            </w:r>
          </w:p>
        </w:tc>
        <w:tc>
          <w:tcPr>
            <w:tcW w:w="1700" w:type="dxa"/>
            <w:noWrap w:val="0"/>
            <w:vAlign w:val="top"/>
          </w:tcPr>
          <w:p>
            <w:pPr>
              <w:rPr>
                <w:rFonts w:hint="eastAsia" w:ascii="宋体" w:hAnsi="宋体" w:eastAsia="宋体" w:cs="宋体"/>
                <w:b/>
                <w:bCs/>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586" w:type="dxa"/>
            <w:noWrap w:val="0"/>
            <w:vAlign w:val="top"/>
          </w:tcPr>
          <w:p>
            <w:pPr>
              <w:pStyle w:val="26"/>
              <w:spacing w:before="260" w:line="218"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lang w:val="en-US" w:eastAsia="zh-CN"/>
              </w:rPr>
              <w:t>计划</w:t>
            </w:r>
            <w:r>
              <w:rPr>
                <w:rFonts w:hint="eastAsia" w:ascii="宋体" w:hAnsi="宋体" w:eastAsia="宋体" w:cs="宋体"/>
                <w:b w:val="0"/>
                <w:bCs w:val="0"/>
                <w:color w:val="auto"/>
                <w:spacing w:val="-4"/>
                <w:sz w:val="24"/>
                <w:szCs w:val="24"/>
                <w:highlight w:val="none"/>
              </w:rPr>
              <w:t>开工时间</w:t>
            </w:r>
          </w:p>
        </w:tc>
        <w:tc>
          <w:tcPr>
            <w:tcW w:w="3017" w:type="dxa"/>
            <w:gridSpan w:val="2"/>
            <w:noWrap w:val="0"/>
            <w:vAlign w:val="top"/>
          </w:tcPr>
          <w:p>
            <w:pPr>
              <w:rPr>
                <w:rFonts w:hint="eastAsia" w:ascii="宋体" w:hAnsi="宋体" w:eastAsia="宋体" w:cs="宋体"/>
                <w:b w:val="0"/>
                <w:bCs w:val="0"/>
                <w:color w:val="auto"/>
                <w:sz w:val="24"/>
                <w:szCs w:val="24"/>
                <w:highlight w:val="none"/>
              </w:rPr>
            </w:pPr>
          </w:p>
        </w:tc>
        <w:tc>
          <w:tcPr>
            <w:tcW w:w="1568" w:type="dxa"/>
            <w:gridSpan w:val="2"/>
            <w:noWrap w:val="0"/>
            <w:vAlign w:val="top"/>
          </w:tcPr>
          <w:p>
            <w:pPr>
              <w:pStyle w:val="26"/>
              <w:spacing w:before="259" w:line="219"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5"/>
                <w:sz w:val="24"/>
                <w:szCs w:val="24"/>
                <w:highlight w:val="none"/>
                <w:lang w:val="en-US" w:eastAsia="zh-CN"/>
              </w:rPr>
              <w:t>计划</w:t>
            </w:r>
            <w:r>
              <w:rPr>
                <w:rFonts w:hint="eastAsia" w:ascii="宋体" w:hAnsi="宋体" w:eastAsia="宋体" w:cs="宋体"/>
                <w:b w:val="0"/>
                <w:bCs w:val="0"/>
                <w:color w:val="auto"/>
                <w:spacing w:val="-5"/>
                <w:sz w:val="24"/>
                <w:szCs w:val="24"/>
                <w:highlight w:val="none"/>
              </w:rPr>
              <w:t>完工时间</w:t>
            </w:r>
          </w:p>
        </w:tc>
        <w:tc>
          <w:tcPr>
            <w:tcW w:w="2978" w:type="dxa"/>
            <w:gridSpan w:val="2"/>
            <w:noWrap w:val="0"/>
            <w:vAlign w:val="top"/>
          </w:tcPr>
          <w:p>
            <w:pPr>
              <w:rPr>
                <w:rFonts w:hint="default" w:ascii="宋体" w:hAnsi="宋体" w:eastAsia="宋体" w:cs="宋体"/>
                <w:b/>
                <w:bCs/>
                <w:color w:val="auto"/>
                <w:sz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7" w:hRule="atLeast"/>
        </w:trPr>
        <w:tc>
          <w:tcPr>
            <w:tcW w:w="1586" w:type="dxa"/>
            <w:noWrap w:val="0"/>
            <w:vAlign w:val="top"/>
          </w:tcPr>
          <w:p>
            <w:pPr>
              <w:spacing w:line="250" w:lineRule="auto"/>
              <w:rPr>
                <w:rFonts w:hint="eastAsia" w:ascii="宋体" w:hAnsi="宋体" w:eastAsia="宋体" w:cs="宋体"/>
                <w:b w:val="0"/>
                <w:bCs w:val="0"/>
                <w:color w:val="auto"/>
                <w:sz w:val="21"/>
                <w:szCs w:val="21"/>
                <w:highlight w:val="none"/>
              </w:rPr>
            </w:pPr>
          </w:p>
          <w:p>
            <w:pPr>
              <w:spacing w:line="250" w:lineRule="auto"/>
              <w:rPr>
                <w:rFonts w:hint="eastAsia" w:ascii="宋体" w:hAnsi="宋体" w:eastAsia="宋体" w:cs="宋体"/>
                <w:b w:val="0"/>
                <w:bCs w:val="0"/>
                <w:color w:val="auto"/>
                <w:sz w:val="21"/>
                <w:szCs w:val="21"/>
                <w:highlight w:val="none"/>
              </w:rPr>
            </w:pPr>
          </w:p>
          <w:p>
            <w:pPr>
              <w:spacing w:line="250" w:lineRule="auto"/>
              <w:rPr>
                <w:rFonts w:hint="eastAsia" w:ascii="宋体" w:hAnsi="宋体" w:eastAsia="宋体" w:cs="宋体"/>
                <w:b w:val="0"/>
                <w:bCs w:val="0"/>
                <w:color w:val="auto"/>
                <w:sz w:val="21"/>
                <w:szCs w:val="21"/>
                <w:highlight w:val="none"/>
              </w:rPr>
            </w:pPr>
          </w:p>
          <w:p>
            <w:pPr>
              <w:spacing w:line="251" w:lineRule="auto"/>
              <w:rPr>
                <w:rFonts w:hint="eastAsia" w:ascii="宋体" w:hAnsi="宋体" w:eastAsia="宋体" w:cs="宋体"/>
                <w:b w:val="0"/>
                <w:bCs w:val="0"/>
                <w:color w:val="auto"/>
                <w:sz w:val="21"/>
                <w:szCs w:val="21"/>
                <w:highlight w:val="none"/>
              </w:rPr>
            </w:pPr>
          </w:p>
          <w:p>
            <w:pPr>
              <w:pStyle w:val="26"/>
              <w:spacing w:before="78" w:line="217" w:lineRule="auto"/>
              <w:ind w:left="376"/>
              <w:rPr>
                <w:rFonts w:hint="eastAsia" w:ascii="宋体" w:hAnsi="宋体" w:eastAsia="宋体" w:cs="宋体"/>
                <w:b w:val="0"/>
                <w:bCs w:val="0"/>
                <w:color w:val="auto"/>
                <w:spacing w:val="-4"/>
                <w:sz w:val="21"/>
                <w:szCs w:val="21"/>
                <w:highlight w:val="none"/>
              </w:rPr>
            </w:pPr>
          </w:p>
          <w:p>
            <w:pPr>
              <w:pStyle w:val="26"/>
              <w:spacing w:before="78" w:line="217" w:lineRule="auto"/>
              <w:ind w:left="376"/>
              <w:rPr>
                <w:rFonts w:hint="eastAsia" w:ascii="宋体" w:hAnsi="宋体" w:eastAsia="宋体" w:cs="宋体"/>
                <w:b w:val="0"/>
                <w:bCs w:val="0"/>
                <w:color w:val="auto"/>
                <w:spacing w:val="-4"/>
                <w:sz w:val="21"/>
                <w:szCs w:val="21"/>
                <w:highlight w:val="none"/>
              </w:rPr>
            </w:pPr>
          </w:p>
          <w:p>
            <w:pPr>
              <w:pStyle w:val="26"/>
              <w:spacing w:before="78" w:line="217" w:lineRule="auto"/>
              <w:ind w:left="376"/>
              <w:rPr>
                <w:rFonts w:hint="eastAsia" w:ascii="宋体" w:hAnsi="宋体" w:eastAsia="宋体" w:cs="宋体"/>
                <w:b w:val="0"/>
                <w:bCs w:val="0"/>
                <w:color w:val="auto"/>
                <w:spacing w:val="-4"/>
                <w:sz w:val="21"/>
                <w:szCs w:val="21"/>
                <w:highlight w:val="none"/>
              </w:rPr>
            </w:pPr>
          </w:p>
          <w:p>
            <w:pPr>
              <w:pStyle w:val="26"/>
              <w:spacing w:before="78" w:line="217"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维修内容</w:t>
            </w:r>
          </w:p>
        </w:tc>
        <w:tc>
          <w:tcPr>
            <w:tcW w:w="7563" w:type="dxa"/>
            <w:gridSpan w:val="6"/>
            <w:noWrap w:val="0"/>
            <w:vAlign w:val="top"/>
          </w:tcPr>
          <w:p>
            <w:pPr>
              <w:rPr>
                <w:rFonts w:hint="eastAsia" w:ascii="宋体" w:hAnsi="宋体" w:eastAsia="宋体" w:cs="宋体"/>
                <w:b w:val="0"/>
                <w:bCs w:val="0"/>
                <w:color w:val="auto"/>
                <w:sz w:val="21"/>
                <w:szCs w:val="21"/>
                <w:highlight w:val="none"/>
                <w:lang w:val="en-US" w:eastAsia="zh-CN"/>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586" w:type="dxa"/>
            <w:noWrap w:val="0"/>
            <w:vAlign w:val="top"/>
          </w:tcPr>
          <w:p>
            <w:pPr>
              <w:pStyle w:val="26"/>
              <w:spacing w:before="263"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施工地点</w:t>
            </w:r>
          </w:p>
        </w:tc>
        <w:tc>
          <w:tcPr>
            <w:tcW w:w="7563" w:type="dxa"/>
            <w:gridSpan w:val="6"/>
            <w:noWrap w:val="0"/>
            <w:vAlign w:val="top"/>
          </w:tcPr>
          <w:p>
            <w:pPr>
              <w:bidi w:val="0"/>
              <w:spacing w:line="240" w:lineRule="auto"/>
              <w:ind w:firstLine="240" w:firstLineChars="100"/>
              <w:jc w:val="center"/>
              <w:rPr>
                <w:rFonts w:hint="default"/>
                <w:b w:val="0"/>
                <w:bCs w:val="0"/>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586" w:type="dxa"/>
            <w:noWrap w:val="0"/>
            <w:vAlign w:val="top"/>
          </w:tcPr>
          <w:p>
            <w:pPr>
              <w:pStyle w:val="26"/>
              <w:spacing w:before="261" w:line="217"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施工单位</w:t>
            </w:r>
          </w:p>
        </w:tc>
        <w:tc>
          <w:tcPr>
            <w:tcW w:w="3085" w:type="dxa"/>
            <w:gridSpan w:val="3"/>
            <w:noWrap w:val="0"/>
            <w:vAlign w:val="top"/>
          </w:tcPr>
          <w:p>
            <w:pPr>
              <w:jc w:val="center"/>
              <w:rPr>
                <w:rFonts w:hint="eastAsia" w:ascii="宋体" w:hAnsi="宋体" w:eastAsia="宋体" w:cs="宋体"/>
                <w:b w:val="0"/>
                <w:bCs w:val="0"/>
                <w:color w:val="auto"/>
                <w:sz w:val="24"/>
                <w:szCs w:val="24"/>
                <w:highlight w:val="none"/>
              </w:rPr>
            </w:pPr>
          </w:p>
          <w:p>
            <w:pPr>
              <w:jc w:val="center"/>
              <w:rPr>
                <w:rFonts w:hint="default" w:ascii="宋体" w:hAnsi="宋体" w:eastAsia="宋体" w:cs="宋体"/>
                <w:b w:val="0"/>
                <w:bCs w:val="0"/>
                <w:color w:val="auto"/>
                <w:sz w:val="24"/>
                <w:szCs w:val="24"/>
                <w:highlight w:val="none"/>
                <w:lang w:val="en-US" w:eastAsia="zh-CN"/>
              </w:rPr>
            </w:pPr>
          </w:p>
        </w:tc>
        <w:tc>
          <w:tcPr>
            <w:tcW w:w="1500" w:type="dxa"/>
            <w:noWrap w:val="0"/>
            <w:vAlign w:val="top"/>
          </w:tcPr>
          <w:p>
            <w:pPr>
              <w:pStyle w:val="26"/>
              <w:spacing w:before="261" w:line="22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施工负责人</w:t>
            </w:r>
          </w:p>
        </w:tc>
        <w:tc>
          <w:tcPr>
            <w:tcW w:w="2978" w:type="dxa"/>
            <w:gridSpan w:val="2"/>
            <w:noWrap w:val="0"/>
            <w:vAlign w:val="top"/>
          </w:tcPr>
          <w:p>
            <w:pPr>
              <w:jc w:val="center"/>
              <w:rPr>
                <w:rFonts w:hint="eastAsia" w:ascii="宋体" w:hAnsi="宋体" w:eastAsia="宋体" w:cs="宋体"/>
                <w:b w:val="0"/>
                <w:bCs w:val="0"/>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1586" w:type="dxa"/>
            <w:noWrap w:val="0"/>
            <w:vAlign w:val="top"/>
          </w:tcPr>
          <w:p>
            <w:pPr>
              <w:spacing w:line="270" w:lineRule="auto"/>
              <w:rPr>
                <w:rFonts w:hint="eastAsia" w:ascii="宋体" w:hAnsi="宋体" w:eastAsia="宋体" w:cs="宋体"/>
                <w:b w:val="0"/>
                <w:bCs w:val="0"/>
                <w:color w:val="auto"/>
                <w:sz w:val="24"/>
                <w:szCs w:val="24"/>
                <w:highlight w:val="none"/>
              </w:rPr>
            </w:pPr>
          </w:p>
          <w:p>
            <w:pPr>
              <w:spacing w:line="271" w:lineRule="auto"/>
              <w:rPr>
                <w:rFonts w:hint="eastAsia" w:ascii="宋体" w:hAnsi="宋体" w:eastAsia="宋体" w:cs="宋体"/>
                <w:b w:val="0"/>
                <w:bCs w:val="0"/>
                <w:color w:val="auto"/>
                <w:sz w:val="24"/>
                <w:szCs w:val="24"/>
                <w:highlight w:val="none"/>
              </w:rPr>
            </w:pPr>
          </w:p>
          <w:p>
            <w:pPr>
              <w:spacing w:line="271" w:lineRule="auto"/>
              <w:rPr>
                <w:rFonts w:hint="eastAsia" w:ascii="宋体" w:hAnsi="宋体" w:eastAsia="宋体" w:cs="宋体"/>
                <w:b w:val="0"/>
                <w:bCs w:val="0"/>
                <w:color w:val="auto"/>
                <w:sz w:val="24"/>
                <w:szCs w:val="24"/>
                <w:highlight w:val="none"/>
              </w:rPr>
            </w:pPr>
          </w:p>
          <w:p>
            <w:pPr>
              <w:pStyle w:val="26"/>
              <w:spacing w:before="78" w:line="22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备</w:t>
            </w:r>
            <w:r>
              <w:rPr>
                <w:rFonts w:hint="eastAsia" w:ascii="宋体" w:hAnsi="宋体" w:eastAsia="宋体" w:cs="宋体"/>
                <w:b w:val="0"/>
                <w:bCs w:val="0"/>
                <w:color w:val="auto"/>
                <w:spacing w:val="-4"/>
                <w:sz w:val="24"/>
                <w:szCs w:val="24"/>
                <w:highlight w:val="none"/>
                <w:lang w:val="en-US" w:eastAsia="zh-CN"/>
              </w:rPr>
              <w:t xml:space="preserve"> </w:t>
            </w:r>
            <w:r>
              <w:rPr>
                <w:rFonts w:hint="eastAsia" w:ascii="宋体" w:hAnsi="宋体" w:eastAsia="宋体" w:cs="宋体"/>
                <w:b w:val="0"/>
                <w:bCs w:val="0"/>
                <w:color w:val="auto"/>
                <w:spacing w:val="-4"/>
                <w:sz w:val="24"/>
                <w:szCs w:val="24"/>
                <w:highlight w:val="none"/>
              </w:rPr>
              <w:t>注</w:t>
            </w:r>
          </w:p>
        </w:tc>
        <w:tc>
          <w:tcPr>
            <w:tcW w:w="7563" w:type="dxa"/>
            <w:gridSpan w:val="6"/>
            <w:noWrap w:val="0"/>
            <w:vAlign w:val="top"/>
          </w:tcPr>
          <w:p>
            <w:pPr>
              <w:spacing w:line="464" w:lineRule="auto"/>
              <w:rPr>
                <w:rFonts w:hint="eastAsia" w:ascii="宋体" w:hAnsi="宋体" w:eastAsia="宋体" w:cs="宋体"/>
                <w:b w:val="0"/>
                <w:bCs w:val="0"/>
                <w:color w:val="auto"/>
                <w:sz w:val="24"/>
                <w:szCs w:val="24"/>
                <w:highlight w:val="none"/>
              </w:rPr>
            </w:pPr>
          </w:p>
          <w:p>
            <w:pPr>
              <w:pStyle w:val="26"/>
              <w:spacing w:before="78" w:line="232" w:lineRule="auto"/>
              <w:ind w:right="152"/>
              <w:jc w:val="both"/>
              <w:rPr>
                <w:rFonts w:hint="default" w:ascii="宋体" w:hAnsi="宋体" w:eastAsia="宋体" w:cs="宋体"/>
                <w:b w:val="0"/>
                <w:bCs w:val="0"/>
                <w:color w:val="auto"/>
                <w:sz w:val="24"/>
                <w:szCs w:val="24"/>
                <w:highlight w:val="none"/>
                <w:lang w:val="en-US" w:eastAsia="zh-CN"/>
              </w:rPr>
            </w:pPr>
          </w:p>
        </w:tc>
      </w:tr>
    </w:tbl>
    <w:p>
      <w:pPr>
        <w:rPr>
          <w:rFonts w:ascii="Arial" w:hAnsi="Arial" w:eastAsia="Arial" w:cs="Arial"/>
          <w:color w:val="auto"/>
          <w:sz w:val="21"/>
          <w:szCs w:val="21"/>
          <w:highlight w:val="none"/>
        </w:rPr>
        <w:sectPr>
          <w:pgSz w:w="11907" w:h="16839"/>
          <w:pgMar w:top="1431" w:right="1263" w:bottom="0" w:left="1204" w:header="0" w:footer="0" w:gutter="0"/>
          <w:pgBorders>
            <w:top w:val="none" w:sz="0" w:space="0"/>
            <w:left w:val="none" w:sz="0" w:space="0"/>
            <w:bottom w:val="none" w:sz="0" w:space="0"/>
            <w:right w:val="none" w:sz="0" w:space="0"/>
          </w:pgBorders>
          <w:cols w:space="720" w:num="1"/>
        </w:sectPr>
      </w:pPr>
    </w:p>
    <w:p>
      <w:pPr>
        <w:spacing w:line="360" w:lineRule="auto"/>
        <w:jc w:val="center"/>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工程验收单</w:t>
      </w:r>
    </w:p>
    <w:p>
      <w:pPr>
        <w:pStyle w:val="4"/>
        <w:spacing w:before="289" w:line="217" w:lineRule="auto"/>
        <w:ind w:firstLine="234" w:firstLineChars="1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编号：</w:t>
      </w:r>
      <w:r>
        <w:rPr>
          <w:rFonts w:hint="eastAsia" w:ascii="宋体" w:hAnsi="宋体" w:eastAsia="宋体" w:cs="宋体"/>
          <w:color w:val="auto"/>
          <w:spacing w:val="-4"/>
          <w:sz w:val="24"/>
          <w:szCs w:val="24"/>
          <w:highlight w:val="none"/>
          <w:lang w:val="en-US" w:eastAsia="zh-CN"/>
        </w:rPr>
        <w:t>YYGS-20240XX</w:t>
      </w:r>
    </w:p>
    <w:p>
      <w:pPr>
        <w:spacing w:line="56" w:lineRule="exact"/>
        <w:rPr>
          <w:rFonts w:hint="eastAsia" w:ascii="宋体" w:hAnsi="宋体" w:eastAsia="宋体" w:cs="宋体"/>
          <w:color w:val="auto"/>
          <w:sz w:val="24"/>
          <w:szCs w:val="24"/>
          <w:highlight w:val="none"/>
        </w:rPr>
      </w:pPr>
    </w:p>
    <w:tbl>
      <w:tblPr>
        <w:tblStyle w:val="27"/>
        <w:tblW w:w="919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7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30" w:type="dxa"/>
            <w:noWrap w:val="0"/>
            <w:vAlign w:val="top"/>
          </w:tcPr>
          <w:p>
            <w:pPr>
              <w:pStyle w:val="26"/>
              <w:spacing w:before="280" w:line="217" w:lineRule="auto"/>
              <w:ind w:left="4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工程名称</w:t>
            </w:r>
          </w:p>
        </w:tc>
        <w:tc>
          <w:tcPr>
            <w:tcW w:w="7665" w:type="dxa"/>
            <w:noWrap w:val="0"/>
            <w:vAlign w:val="top"/>
          </w:tcPr>
          <w:p>
            <w:pPr>
              <w:jc w:val="center"/>
              <w:rPr>
                <w:rFonts w:hint="eastAsia" w:ascii="宋体" w:hAnsi="宋体" w:eastAsia="宋体" w:cs="宋体"/>
                <w:b w:val="0"/>
                <w:bCs w:val="0"/>
                <w:color w:val="auto"/>
                <w:sz w:val="24"/>
                <w:szCs w:val="24"/>
                <w:highlight w:val="none"/>
                <w:lang w:val="en-US" w:eastAsia="zh-CN"/>
              </w:rPr>
            </w:pPr>
          </w:p>
          <w:p>
            <w:pPr>
              <w:jc w:val="cente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1530" w:type="dxa"/>
            <w:noWrap w:val="0"/>
            <w:vAlign w:val="center"/>
          </w:tcPr>
          <w:p>
            <w:pPr>
              <w:pStyle w:val="26"/>
              <w:keepNext/>
              <w:keepLines w:val="0"/>
              <w:pageBreakBefore w:val="0"/>
              <w:widowControl w:val="0"/>
              <w:kinsoku w:val="0"/>
              <w:wordWrap/>
              <w:overflowPunct/>
              <w:topLinePunct w:val="0"/>
              <w:autoSpaceDE w:val="0"/>
              <w:autoSpaceDN w:val="0"/>
              <w:bidi w:val="0"/>
              <w:adjustRightInd w:val="0"/>
              <w:snapToGrid w:val="0"/>
              <w:spacing w:before="282" w:line="15" w:lineRule="auto"/>
              <w:jc w:val="center"/>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维修内容</w:t>
            </w:r>
          </w:p>
        </w:tc>
        <w:tc>
          <w:tcPr>
            <w:tcW w:w="7665" w:type="dxa"/>
            <w:noWrap w:val="0"/>
            <w:vAlign w:val="top"/>
          </w:tcPr>
          <w:p>
            <w:pPr>
              <w:numPr>
                <w:ilvl w:val="0"/>
                <w:numId w:val="0"/>
              </w:numPr>
              <w:spacing w:line="140" w:lineRule="atLeast"/>
              <w:ind w:right="743" w:rightChars="0"/>
              <w:jc w:val="left"/>
              <w:rPr>
                <w:rFonts w:hint="eastAsia" w:ascii="宋体" w:hAnsi="宋体" w:eastAsia="宋体" w:cs="宋体"/>
                <w:b w:val="0"/>
                <w:bCs w:val="0"/>
                <w:color w:val="auto"/>
                <w:sz w:val="24"/>
                <w:szCs w:val="24"/>
                <w:highlight w:val="none"/>
                <w:lang w:val="en-US" w:eastAsia="zh-CN"/>
              </w:rPr>
            </w:pPr>
          </w:p>
          <w:p>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pPr>
              <w:pStyle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p>
            <w:pPr>
              <w:pStyle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p>
            <w:pPr>
              <w:pStyle w:val="2"/>
              <w:rPr>
                <w:rFonts w:hint="default"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具体见附件《验收明细单》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30" w:type="dxa"/>
            <w:noWrap w:val="0"/>
            <w:vAlign w:val="top"/>
          </w:tcPr>
          <w:p>
            <w:pPr>
              <w:spacing w:line="277" w:lineRule="auto"/>
              <w:jc w:val="center"/>
              <w:rPr>
                <w:rFonts w:hint="eastAsia" w:ascii="宋体" w:hAnsi="宋体" w:eastAsia="宋体" w:cs="宋体"/>
                <w:color w:val="auto"/>
                <w:sz w:val="24"/>
                <w:szCs w:val="24"/>
                <w:highlight w:val="none"/>
              </w:rPr>
            </w:pPr>
          </w:p>
          <w:p>
            <w:pPr>
              <w:pStyle w:val="26"/>
              <w:spacing w:before="78"/>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施工单位</w:t>
            </w:r>
          </w:p>
          <w:p>
            <w:pPr>
              <w:pStyle w:val="26"/>
              <w:spacing w:before="78"/>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自检情况</w:t>
            </w:r>
          </w:p>
        </w:tc>
        <w:tc>
          <w:tcPr>
            <w:tcW w:w="7665" w:type="dxa"/>
            <w:noWrap w:val="0"/>
            <w:vAlign w:val="top"/>
          </w:tcPr>
          <w:p>
            <w:pPr>
              <w:spacing w:line="291" w:lineRule="auto"/>
              <w:rPr>
                <w:rFonts w:hint="eastAsia" w:ascii="宋体" w:hAnsi="宋体" w:eastAsia="宋体" w:cs="宋体"/>
                <w:color w:val="auto"/>
                <w:sz w:val="24"/>
                <w:szCs w:val="24"/>
                <w:highlight w:val="none"/>
              </w:rPr>
            </w:pPr>
          </w:p>
          <w:p>
            <w:pPr>
              <w:spacing w:line="291" w:lineRule="auto"/>
              <w:rPr>
                <w:rFonts w:hint="eastAsia" w:ascii="宋体" w:hAnsi="宋体" w:eastAsia="宋体" w:cs="宋体"/>
                <w:color w:val="auto"/>
                <w:sz w:val="24"/>
                <w:szCs w:val="24"/>
                <w:highlight w:val="none"/>
              </w:rPr>
            </w:pPr>
          </w:p>
          <w:p>
            <w:pPr>
              <w:pStyle w:val="26"/>
              <w:spacing w:before="78" w:line="218" w:lineRule="auto"/>
              <w:ind w:left="1086"/>
              <w:rPr>
                <w:rFonts w:hint="eastAsia" w:ascii="宋体" w:hAnsi="宋体" w:eastAsia="宋体" w:cs="宋体"/>
                <w:color w:val="auto"/>
                <w:sz w:val="24"/>
                <w:szCs w:val="24"/>
                <w:highlight w:val="none"/>
              </w:rPr>
            </w:pPr>
            <w:r>
              <w:rPr>
                <w:rFonts w:hint="eastAsia" w:ascii="宋体" w:hAnsi="宋体" w:eastAsia="宋体" w:cs="宋体"/>
                <w:color w:val="auto"/>
                <w:spacing w:val="-39"/>
                <w:sz w:val="24"/>
                <w:szCs w:val="24"/>
                <w:highlight w:val="none"/>
              </w:rPr>
              <w:t>负责人</w:t>
            </w:r>
            <w:r>
              <w:rPr>
                <w:rFonts w:hint="eastAsia" w:ascii="宋体" w:hAnsi="宋体" w:eastAsia="宋体" w:cs="宋体"/>
                <w:color w:val="auto"/>
                <w:spacing w:val="-39"/>
                <w:sz w:val="24"/>
                <w:szCs w:val="24"/>
                <w:highlight w:val="none"/>
                <w:lang w:eastAsia="zh-CN"/>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39"/>
                <w:sz w:val="24"/>
                <w:szCs w:val="24"/>
                <w:highlight w:val="none"/>
              </w:rPr>
              <w:t>章）</w:t>
            </w:r>
          </w:p>
          <w:p>
            <w:pPr>
              <w:pStyle w:val="26"/>
              <w:spacing w:before="28" w:line="218" w:lineRule="auto"/>
              <w:ind w:left="4797" w:firstLine="21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2"/>
                <w:sz w:val="24"/>
                <w:szCs w:val="24"/>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530" w:type="dxa"/>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before="219" w:line="120" w:lineRule="auto"/>
              <w:ind w:left="113" w:right="108" w:firstLine="0"/>
              <w:jc w:val="center"/>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使用单位</w:t>
            </w:r>
          </w:p>
          <w:p>
            <w:pPr>
              <w:pStyle w:val="26"/>
              <w:keepNext w:val="0"/>
              <w:keepLines w:val="0"/>
              <w:pageBreakBefore w:val="0"/>
              <w:widowControl/>
              <w:kinsoku w:val="0"/>
              <w:wordWrap/>
              <w:overflowPunct/>
              <w:topLinePunct w:val="0"/>
              <w:autoSpaceDE w:val="0"/>
              <w:autoSpaceDN w:val="0"/>
              <w:bidi w:val="0"/>
              <w:adjustRightInd w:val="0"/>
              <w:snapToGrid w:val="0"/>
              <w:spacing w:before="219" w:line="120" w:lineRule="auto"/>
              <w:ind w:left="113" w:right="108" w:firstLine="0"/>
              <w:jc w:val="center"/>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18"/>
                <w:sz w:val="24"/>
                <w:szCs w:val="24"/>
                <w:highlight w:val="none"/>
              </w:rPr>
              <w:t>申</w:t>
            </w:r>
            <w:r>
              <w:rPr>
                <w:rFonts w:hint="eastAsia" w:ascii="宋体" w:hAnsi="宋体" w:eastAsia="宋体" w:cs="宋体"/>
                <w:color w:val="auto"/>
                <w:spacing w:val="8"/>
                <w:sz w:val="24"/>
                <w:szCs w:val="24"/>
                <w:highlight w:val="none"/>
              </w:rPr>
              <w:t>请部门</w:t>
            </w:r>
          </w:p>
          <w:p>
            <w:pPr>
              <w:pStyle w:val="26"/>
              <w:keepNext w:val="0"/>
              <w:keepLines w:val="0"/>
              <w:pageBreakBefore w:val="0"/>
              <w:widowControl/>
              <w:kinsoku w:val="0"/>
              <w:wordWrap/>
              <w:overflowPunct/>
              <w:topLinePunct w:val="0"/>
              <w:autoSpaceDE w:val="0"/>
              <w:autoSpaceDN w:val="0"/>
              <w:bidi w:val="0"/>
              <w:adjustRightInd w:val="0"/>
              <w:snapToGrid w:val="0"/>
              <w:spacing w:before="219" w:line="120" w:lineRule="auto"/>
              <w:ind w:left="113" w:right="108"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验收</w:t>
            </w:r>
            <w:r>
              <w:rPr>
                <w:rFonts w:hint="eastAsia" w:ascii="宋体" w:hAnsi="宋体" w:eastAsia="宋体" w:cs="宋体"/>
                <w:color w:val="auto"/>
                <w:spacing w:val="-3"/>
                <w:sz w:val="24"/>
                <w:szCs w:val="24"/>
                <w:highlight w:val="none"/>
              </w:rPr>
              <w:t>意见</w:t>
            </w:r>
          </w:p>
        </w:tc>
        <w:tc>
          <w:tcPr>
            <w:tcW w:w="7665" w:type="dxa"/>
            <w:noWrap w:val="0"/>
            <w:vAlign w:val="top"/>
          </w:tcPr>
          <w:p>
            <w:pPr>
              <w:spacing w:line="290" w:lineRule="auto"/>
              <w:rPr>
                <w:rFonts w:hint="eastAsia" w:ascii="宋体" w:hAnsi="宋体" w:eastAsia="宋体" w:cs="宋体"/>
                <w:color w:val="auto"/>
                <w:sz w:val="24"/>
                <w:szCs w:val="24"/>
                <w:highlight w:val="none"/>
              </w:rPr>
            </w:pPr>
          </w:p>
          <w:p>
            <w:pPr>
              <w:pStyle w:val="26"/>
              <w:spacing w:before="78" w:line="218" w:lineRule="auto"/>
              <w:ind w:left="1086"/>
              <w:rPr>
                <w:rFonts w:hint="eastAsia" w:ascii="宋体" w:hAnsi="宋体" w:eastAsia="宋体" w:cs="宋体"/>
                <w:color w:val="auto"/>
                <w:spacing w:val="-39"/>
                <w:sz w:val="24"/>
                <w:szCs w:val="24"/>
                <w:highlight w:val="none"/>
              </w:rPr>
            </w:pPr>
          </w:p>
          <w:p>
            <w:pPr>
              <w:pStyle w:val="26"/>
              <w:spacing w:before="78" w:line="218" w:lineRule="auto"/>
              <w:ind w:left="1086"/>
              <w:rPr>
                <w:rFonts w:hint="eastAsia" w:ascii="宋体" w:hAnsi="宋体" w:eastAsia="宋体" w:cs="宋体"/>
                <w:color w:val="auto"/>
                <w:sz w:val="24"/>
                <w:szCs w:val="24"/>
                <w:highlight w:val="none"/>
              </w:rPr>
            </w:pPr>
            <w:r>
              <w:rPr>
                <w:rFonts w:hint="eastAsia" w:ascii="宋体" w:hAnsi="宋体" w:eastAsia="宋体" w:cs="宋体"/>
                <w:color w:val="auto"/>
                <w:spacing w:val="-39"/>
                <w:sz w:val="24"/>
                <w:szCs w:val="24"/>
                <w:highlight w:val="none"/>
              </w:rPr>
              <w:t>负责人</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 xml:space="preserve">                         </w:t>
            </w:r>
          </w:p>
          <w:p>
            <w:pPr>
              <w:pStyle w:val="26"/>
              <w:spacing w:before="28" w:line="218" w:lineRule="auto"/>
              <w:ind w:left="4797" w:firstLine="216" w:firstLineChars="1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2"/>
                <w:sz w:val="24"/>
                <w:szCs w:val="24"/>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1530" w:type="dxa"/>
            <w:noWrap w:val="0"/>
            <w:vAlign w:val="top"/>
          </w:tcPr>
          <w:p>
            <w:pPr>
              <w:spacing w:line="456" w:lineRule="auto"/>
              <w:rPr>
                <w:rFonts w:hint="eastAsia" w:ascii="宋体" w:hAnsi="宋体" w:eastAsia="宋体" w:cs="宋体"/>
                <w:color w:val="auto"/>
                <w:sz w:val="24"/>
                <w:szCs w:val="24"/>
                <w:highlight w:val="none"/>
              </w:rPr>
            </w:pPr>
          </w:p>
          <w:p>
            <w:pPr>
              <w:pStyle w:val="26"/>
              <w:spacing w:before="1" w:line="218" w:lineRule="auto"/>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物管部</w:t>
            </w:r>
          </w:p>
          <w:p>
            <w:pPr>
              <w:pStyle w:val="26"/>
              <w:spacing w:before="1" w:line="21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意见</w:t>
            </w:r>
          </w:p>
        </w:tc>
        <w:tc>
          <w:tcPr>
            <w:tcW w:w="7665" w:type="dxa"/>
            <w:noWrap w:val="0"/>
            <w:vAlign w:val="top"/>
          </w:tcPr>
          <w:p>
            <w:pPr>
              <w:pStyle w:val="26"/>
              <w:spacing w:before="78" w:line="218" w:lineRule="auto"/>
              <w:rPr>
                <w:rFonts w:hint="eastAsia" w:ascii="宋体" w:hAnsi="宋体" w:eastAsia="宋体" w:cs="宋体"/>
                <w:color w:val="auto"/>
                <w:spacing w:val="-39"/>
                <w:sz w:val="24"/>
                <w:szCs w:val="24"/>
                <w:highlight w:val="none"/>
              </w:rPr>
            </w:pPr>
          </w:p>
          <w:p>
            <w:pPr>
              <w:pStyle w:val="26"/>
              <w:spacing w:before="78" w:line="218" w:lineRule="auto"/>
              <w:ind w:left="1086"/>
              <w:rPr>
                <w:rFonts w:hint="eastAsia" w:ascii="宋体" w:hAnsi="宋体" w:eastAsia="宋体" w:cs="宋体"/>
                <w:color w:val="auto"/>
                <w:sz w:val="24"/>
                <w:szCs w:val="24"/>
                <w:highlight w:val="none"/>
              </w:rPr>
            </w:pPr>
            <w:r>
              <w:rPr>
                <w:rFonts w:hint="eastAsia" w:ascii="宋体" w:hAnsi="宋体" w:eastAsia="宋体" w:cs="宋体"/>
                <w:color w:val="auto"/>
                <w:spacing w:val="-39"/>
                <w:sz w:val="24"/>
                <w:szCs w:val="24"/>
                <w:highlight w:val="none"/>
              </w:rPr>
              <w:t>负责人</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val="en-US" w:eastAsia="zh-CN"/>
              </w:rPr>
              <w:t xml:space="preserve"> </w:t>
            </w:r>
          </w:p>
          <w:p>
            <w:pPr>
              <w:pStyle w:val="26"/>
              <w:spacing w:before="28" w:line="218" w:lineRule="auto"/>
              <w:ind w:left="4797" w:firstLine="216" w:firstLineChars="1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2"/>
                <w:sz w:val="24"/>
                <w:szCs w:val="24"/>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30" w:type="dxa"/>
            <w:tcBorders>
              <w:bottom w:val="single" w:color="000000" w:sz="2" w:space="0"/>
            </w:tcBorders>
            <w:noWrap w:val="0"/>
            <w:vAlign w:val="top"/>
          </w:tcPr>
          <w:p>
            <w:pPr>
              <w:spacing w:line="261" w:lineRule="auto"/>
              <w:jc w:val="center"/>
              <w:rPr>
                <w:rFonts w:hint="eastAsia" w:ascii="宋体" w:hAnsi="宋体" w:eastAsia="宋体" w:cs="宋体"/>
                <w:color w:val="auto"/>
                <w:sz w:val="24"/>
                <w:szCs w:val="24"/>
                <w:highlight w:val="none"/>
              </w:rPr>
            </w:pPr>
          </w:p>
          <w:p>
            <w:pPr>
              <w:spacing w:line="261" w:lineRule="auto"/>
              <w:jc w:val="center"/>
              <w:rPr>
                <w:rFonts w:hint="eastAsia" w:ascii="宋体" w:hAnsi="宋体" w:eastAsia="宋体" w:cs="宋体"/>
                <w:color w:val="auto"/>
                <w:sz w:val="24"/>
                <w:szCs w:val="24"/>
                <w:highlight w:val="none"/>
              </w:rPr>
            </w:pPr>
          </w:p>
          <w:p>
            <w:pPr>
              <w:pStyle w:val="26"/>
              <w:spacing w:before="78"/>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建设单位</w:t>
            </w:r>
          </w:p>
          <w:p>
            <w:pPr>
              <w:pStyle w:val="26"/>
              <w:spacing w:before="1" w:line="21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验收意见</w:t>
            </w:r>
          </w:p>
        </w:tc>
        <w:tc>
          <w:tcPr>
            <w:tcW w:w="7665" w:type="dxa"/>
            <w:tcBorders>
              <w:bottom w:val="single" w:color="000000" w:sz="2" w:space="0"/>
            </w:tcBorders>
            <w:noWrap w:val="0"/>
            <w:vAlign w:val="top"/>
          </w:tcPr>
          <w:p>
            <w:pPr>
              <w:spacing w:line="271" w:lineRule="auto"/>
              <w:jc w:val="left"/>
              <w:rPr>
                <w:rFonts w:hint="eastAsia" w:ascii="宋体" w:hAnsi="宋体" w:eastAsia="宋体" w:cs="宋体"/>
                <w:color w:val="auto"/>
                <w:sz w:val="24"/>
                <w:szCs w:val="24"/>
                <w:highlight w:val="none"/>
              </w:rPr>
            </w:pPr>
          </w:p>
          <w:p>
            <w:pPr>
              <w:pStyle w:val="26"/>
              <w:spacing w:before="78" w:line="218" w:lineRule="auto"/>
              <w:ind w:firstLine="5280" w:firstLineChars="2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p>
            <w:pPr>
              <w:pStyle w:val="26"/>
              <w:spacing w:before="28" w:line="218" w:lineRule="auto"/>
              <w:ind w:left="127" w:firstLine="93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负责人：</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7"/>
                <w:sz w:val="24"/>
                <w:szCs w:val="24"/>
                <w:highlight w:val="none"/>
              </w:rPr>
              <w:t>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7"/>
                <w:sz w:val="24"/>
                <w:szCs w:val="24"/>
                <w:highlight w:val="no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27"/>
                <w:sz w:val="24"/>
                <w:szCs w:val="24"/>
                <w:highlight w:val="none"/>
              </w:rPr>
              <w:t>日</w:t>
            </w:r>
          </w:p>
          <w:p>
            <w:pPr>
              <w:spacing w:line="298" w:lineRule="auto"/>
              <w:jc w:val="left"/>
              <w:rPr>
                <w:rFonts w:hint="eastAsia" w:ascii="宋体" w:hAnsi="宋体" w:eastAsia="宋体" w:cs="宋体"/>
                <w:color w:val="auto"/>
                <w:sz w:val="24"/>
                <w:szCs w:val="24"/>
                <w:highlight w:val="none"/>
              </w:rPr>
            </w:pPr>
          </w:p>
          <w:p>
            <w:pPr>
              <w:pStyle w:val="26"/>
              <w:spacing w:before="78" w:line="218" w:lineRule="auto"/>
              <w:ind w:left="3238"/>
              <w:jc w:val="left"/>
              <w:rPr>
                <w:rFonts w:hint="eastAsia" w:ascii="宋体" w:hAnsi="宋体" w:eastAsia="宋体" w:cs="宋体"/>
                <w:color w:val="auto"/>
                <w:sz w:val="24"/>
                <w:szCs w:val="24"/>
                <w:highlight w:val="none"/>
              </w:rPr>
            </w:pPr>
          </w:p>
        </w:tc>
      </w:tr>
    </w:tbl>
    <w:p>
      <w:pPr>
        <w:pStyle w:val="2"/>
        <w:jc w:val="left"/>
        <w:rPr>
          <w:rFonts w:hint="eastAsia" w:eastAsia="宋体"/>
          <w:color w:val="auto"/>
          <w:sz w:val="24"/>
          <w:szCs w:val="18"/>
          <w:highlight w:val="none"/>
          <w:lang w:val="en-US" w:eastAsia="zh-CN"/>
        </w:rPr>
      </w:pPr>
    </w:p>
    <w:p>
      <w:pPr>
        <w:pStyle w:val="2"/>
        <w:jc w:val="left"/>
        <w:rPr>
          <w:rFonts w:hint="default" w:eastAsia="宋体"/>
          <w:color w:val="auto"/>
          <w:sz w:val="24"/>
          <w:szCs w:val="18"/>
          <w:highlight w:val="none"/>
          <w:lang w:val="en-US" w:eastAsia="zh-CN"/>
        </w:rPr>
      </w:pPr>
      <w:r>
        <w:rPr>
          <w:rFonts w:hint="eastAsia" w:eastAsia="宋体"/>
          <w:color w:val="auto"/>
          <w:sz w:val="24"/>
          <w:szCs w:val="18"/>
          <w:highlight w:val="none"/>
          <w:lang w:val="en-US" w:eastAsia="zh-CN"/>
        </w:rPr>
        <w:t>附件：验收单明细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3089"/>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57"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3510"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项目</w:t>
            </w:r>
          </w:p>
        </w:tc>
        <w:tc>
          <w:tcPr>
            <w:tcW w:w="4789"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357" w:type="dxa"/>
            <w:noWrap w:val="0"/>
            <w:vAlign w:val="center"/>
          </w:tcPr>
          <w:p>
            <w:pPr>
              <w:widowControl w:val="0"/>
              <w:bidi w:val="0"/>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510" w:type="dxa"/>
            <w:noWrap w:val="0"/>
            <w:vAlign w:val="center"/>
          </w:tcPr>
          <w:p>
            <w:pPr>
              <w:widowControl w:val="0"/>
              <w:bidi w:val="0"/>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XXX维修</w:t>
            </w:r>
          </w:p>
        </w:tc>
        <w:tc>
          <w:tcPr>
            <w:tcW w:w="4789"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水印照片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1357"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2</w:t>
            </w:r>
          </w:p>
        </w:tc>
        <w:tc>
          <w:tcPr>
            <w:tcW w:w="351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XXX维修</w:t>
            </w:r>
          </w:p>
        </w:tc>
        <w:tc>
          <w:tcPr>
            <w:tcW w:w="4789"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水印照片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357"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3</w:t>
            </w:r>
          </w:p>
        </w:tc>
        <w:tc>
          <w:tcPr>
            <w:tcW w:w="3510"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lang w:val="en-US" w:eastAsia="zh-CN"/>
              </w:rPr>
              <w:t>XXX维修</w:t>
            </w:r>
          </w:p>
        </w:tc>
        <w:tc>
          <w:tcPr>
            <w:tcW w:w="4789"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57"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w:t>
            </w:r>
          </w:p>
        </w:tc>
        <w:tc>
          <w:tcPr>
            <w:tcW w:w="351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w:t>
            </w:r>
          </w:p>
        </w:tc>
        <w:tc>
          <w:tcPr>
            <w:tcW w:w="4789"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w:t>
            </w:r>
          </w:p>
        </w:tc>
      </w:tr>
    </w:tbl>
    <w:p>
      <w:pPr>
        <w:pStyle w:val="2"/>
        <w:rPr>
          <w:color w:val="auto"/>
          <w:highlight w:val="none"/>
        </w:rPr>
      </w:pPr>
    </w:p>
    <w:p>
      <w:pPr>
        <w:rPr>
          <w:rFonts w:ascii="Times New Roman" w:hAnsi="Times New Roman" w:cs="Times New Roman"/>
          <w:color w:val="auto"/>
          <w:sz w:val="24"/>
          <w:highlight w:val="none"/>
        </w:rPr>
      </w:pPr>
    </w:p>
    <w:p>
      <w:pPr>
        <w:jc w:val="center"/>
        <w:rPr>
          <w:rFonts w:hint="eastAsia" w:eastAsia="黑体"/>
          <w:b/>
          <w:bCs/>
          <w:color w:val="auto"/>
          <w:sz w:val="44"/>
          <w:highlight w:val="none"/>
        </w:rPr>
      </w:pPr>
    </w:p>
    <w:p>
      <w:pPr>
        <w:jc w:val="center"/>
        <w:rPr>
          <w:rFonts w:hint="eastAsia" w:eastAsia="黑体"/>
          <w:b/>
          <w:bCs/>
          <w:color w:val="auto"/>
          <w:sz w:val="44"/>
          <w:highlight w:val="none"/>
        </w:rPr>
      </w:pPr>
    </w:p>
    <w:p>
      <w:pPr>
        <w:jc w:val="center"/>
        <w:rPr>
          <w:rFonts w:hint="eastAsia" w:eastAsia="黑体"/>
          <w:b/>
          <w:bCs/>
          <w:color w:val="auto"/>
          <w:sz w:val="44"/>
          <w:highlight w:val="none"/>
        </w:rPr>
      </w:pPr>
    </w:p>
    <w:p>
      <w:pPr>
        <w:jc w:val="center"/>
        <w:rPr>
          <w:rFonts w:hint="eastAsia" w:eastAsia="黑体"/>
          <w:b/>
          <w:bCs/>
          <w:color w:val="auto"/>
          <w:sz w:val="44"/>
          <w:highlight w:val="none"/>
        </w:rPr>
      </w:pPr>
    </w:p>
    <w:p>
      <w:pPr>
        <w:jc w:val="center"/>
        <w:rPr>
          <w:rFonts w:hint="eastAsia" w:eastAsia="黑体"/>
          <w:b/>
          <w:bCs/>
          <w:color w:val="auto"/>
          <w:sz w:val="44"/>
          <w:highlight w:val="none"/>
        </w:rPr>
      </w:pPr>
    </w:p>
    <w:p>
      <w:pPr>
        <w:jc w:val="center"/>
        <w:rPr>
          <w:rFonts w:hint="eastAsia" w:eastAsia="黑体"/>
          <w:b/>
          <w:bCs/>
          <w:color w:val="auto"/>
          <w:sz w:val="44"/>
          <w:highlight w:val="none"/>
        </w:rPr>
      </w:pPr>
    </w:p>
    <w:p>
      <w:pPr>
        <w:pStyle w:val="2"/>
        <w:rPr>
          <w:rFonts w:hint="eastAsia" w:eastAsia="黑体"/>
          <w:b/>
          <w:bCs/>
          <w:color w:val="auto"/>
          <w:sz w:val="44"/>
          <w:highlight w:val="none"/>
        </w:rPr>
      </w:pPr>
    </w:p>
    <w:p>
      <w:pPr>
        <w:rPr>
          <w:rFonts w:hint="eastAsia" w:eastAsia="黑体"/>
          <w:b/>
          <w:bCs/>
          <w:color w:val="auto"/>
          <w:sz w:val="44"/>
          <w:highlight w:val="none"/>
        </w:rPr>
      </w:pPr>
    </w:p>
    <w:p>
      <w:pPr>
        <w:rPr>
          <w:rFonts w:hint="eastAsia"/>
          <w:color w:val="auto"/>
          <w:highlight w:val="none"/>
        </w:rPr>
      </w:pPr>
    </w:p>
    <w:p>
      <w:pPr>
        <w:spacing w:line="360" w:lineRule="auto"/>
        <w:jc w:val="center"/>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工程量确认单</w:t>
      </w:r>
    </w:p>
    <w:p>
      <w:pPr>
        <w:spacing w:line="360" w:lineRule="auto"/>
        <w:jc w:val="center"/>
        <w:outlineLvl w:val="2"/>
        <w:rPr>
          <w:rFonts w:hint="eastAsia" w:ascii="宋体" w:hAnsi="宋体" w:eastAsia="宋体" w:cs="宋体"/>
          <w:b/>
          <w:color w:val="auto"/>
          <w:sz w:val="24"/>
          <w:highlight w:val="none"/>
          <w:lang w:val="en-US" w:eastAsia="zh-CN"/>
        </w:rPr>
      </w:pPr>
    </w:p>
    <w:p>
      <w:pPr>
        <w:spacing w:line="100" w:lineRule="atLeast"/>
        <w:jc w:val="left"/>
        <w:rPr>
          <w:rFonts w:hint="eastAsia" w:ascii="宋体" w:hAnsi="宋体"/>
          <w:bCs/>
          <w:color w:val="auto"/>
          <w:sz w:val="24"/>
          <w:highlight w:val="none"/>
        </w:rPr>
      </w:pPr>
      <w:r>
        <w:rPr>
          <w:rFonts w:hint="eastAsia" w:ascii="宋体" w:hAnsi="宋体"/>
          <w:bCs/>
          <w:color w:val="auto"/>
          <w:sz w:val="24"/>
          <w:highlight w:val="none"/>
        </w:rPr>
        <w:t>工程名称：</w:t>
      </w:r>
    </w:p>
    <w:p>
      <w:pPr>
        <w:spacing w:line="100" w:lineRule="atLeast"/>
        <w:jc w:val="left"/>
        <w:rPr>
          <w:rFonts w:hint="default" w:ascii="宋体" w:hAnsi="宋体"/>
          <w:bCs/>
          <w:color w:val="auto"/>
          <w:sz w:val="24"/>
          <w:highlight w:val="none"/>
          <w:lang w:val="en-US"/>
        </w:rPr>
      </w:pPr>
      <w:r>
        <w:rPr>
          <w:rFonts w:hint="eastAsia" w:ascii="宋体" w:hAnsi="宋体"/>
          <w:color w:val="auto"/>
          <w:sz w:val="24"/>
          <w:highlight w:val="none"/>
          <w:lang w:eastAsia="zh-CN"/>
        </w:rPr>
        <w:t>编号：</w:t>
      </w:r>
      <w:r>
        <w:rPr>
          <w:rFonts w:hint="eastAsia" w:ascii="宋体" w:hAnsi="宋体" w:eastAsia="宋体" w:cs="宋体"/>
          <w:color w:val="auto"/>
          <w:spacing w:val="-4"/>
          <w:sz w:val="24"/>
          <w:szCs w:val="24"/>
          <w:highlight w:val="none"/>
          <w:lang w:val="en-US" w:eastAsia="zh-CN"/>
        </w:rPr>
        <w:t>YYGS-20240XX</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9" w:hRule="atLeast"/>
        </w:trPr>
        <w:tc>
          <w:tcPr>
            <w:tcW w:w="9747" w:type="dxa"/>
            <w:noWrap w:val="0"/>
            <w:vAlign w:val="top"/>
          </w:tcPr>
          <w:p>
            <w:pPr>
              <w:numPr>
                <w:ilvl w:val="0"/>
                <w:numId w:val="0"/>
              </w:numPr>
              <w:spacing w:line="360" w:lineRule="auto"/>
              <w:ind w:right="622" w:rightChars="296"/>
              <w:jc w:val="left"/>
              <w:rPr>
                <w:rFonts w:hint="default" w:ascii="宋体" w:hAnsi="宋体" w:eastAsia="宋体" w:cs="宋体"/>
                <w:b w:val="0"/>
                <w:bCs w:val="0"/>
                <w:color w:val="auto"/>
                <w:sz w:val="24"/>
                <w:szCs w:val="24"/>
                <w:highlight w:val="none"/>
                <w:lang w:val="en-US" w:eastAsia="zh-CN"/>
              </w:rPr>
            </w:pPr>
          </w:p>
          <w:p>
            <w:pPr>
              <w:pStyle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p>
            <w:pPr>
              <w:pStyle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p>
            <w:pPr>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4.</w:t>
            </w:r>
          </w:p>
          <w:p>
            <w:pPr>
              <w:rPr>
                <w:rFonts w:hint="default" w:ascii="宋体" w:hAnsi="宋体" w:eastAsia="宋体" w:cs="宋体"/>
                <w:b w:val="0"/>
                <w:bCs w:val="0"/>
                <w:color w:val="auto"/>
                <w:sz w:val="24"/>
                <w:szCs w:val="24"/>
                <w:highlight w:val="none"/>
                <w:lang w:val="en-US" w:eastAsia="zh-CN"/>
              </w:rPr>
            </w:pPr>
          </w:p>
          <w:p>
            <w:pPr>
              <w:bidi w:val="0"/>
              <w:rPr>
                <w:rFonts w:hint="eastAsia"/>
                <w:color w:val="auto"/>
                <w:highlight w:val="none"/>
                <w:lang w:val="en-US" w:eastAsia="zh-CN"/>
              </w:rPr>
            </w:pPr>
          </w:p>
          <w:p>
            <w:pPr>
              <w:bidi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具体见附件《工程量明细单》</w:t>
            </w:r>
          </w:p>
          <w:p>
            <w:pPr>
              <w:pStyle w:val="2"/>
              <w:rPr>
                <w:rFonts w:hint="default"/>
                <w:color w:val="auto"/>
                <w:highlight w:val="none"/>
                <w:lang w:val="en-US" w:eastAsia="zh-CN"/>
              </w:rPr>
            </w:pPr>
          </w:p>
          <w:p>
            <w:pPr>
              <w:spacing w:line="140" w:lineRule="atLeast"/>
              <w:ind w:left="4530" w:leftChars="2157" w:right="743"/>
              <w:jc w:val="left"/>
              <w:rPr>
                <w:rStyle w:val="28"/>
                <w:rFonts w:hint="eastAsia" w:ascii="宋体" w:hAnsi="宋体"/>
                <w:b/>
                <w:bCs/>
                <w:i w:val="0"/>
                <w:color w:val="auto"/>
                <w:sz w:val="24"/>
                <w:highlight w:val="none"/>
              </w:rPr>
            </w:pPr>
          </w:p>
          <w:p>
            <w:pPr>
              <w:spacing w:line="140" w:lineRule="atLeast"/>
              <w:ind w:left="4530" w:leftChars="2157" w:right="743"/>
              <w:jc w:val="left"/>
              <w:rPr>
                <w:rStyle w:val="28"/>
                <w:rFonts w:hint="eastAsia" w:ascii="宋体" w:hAnsi="宋体"/>
                <w:b/>
                <w:bCs/>
                <w:i w:val="0"/>
                <w:color w:val="auto"/>
                <w:sz w:val="24"/>
                <w:highlight w:val="none"/>
              </w:rPr>
            </w:pPr>
            <w:r>
              <w:rPr>
                <w:rStyle w:val="28"/>
                <w:rFonts w:hint="eastAsia" w:ascii="宋体" w:hAnsi="宋体"/>
                <w:b/>
                <w:bCs/>
                <w:i w:val="0"/>
                <w:color w:val="auto"/>
                <w:sz w:val="24"/>
                <w:highlight w:val="none"/>
              </w:rPr>
              <w:t>施工单位</w:t>
            </w:r>
            <w:r>
              <w:rPr>
                <w:rStyle w:val="28"/>
                <w:rFonts w:hint="eastAsia" w:ascii="宋体" w:hAnsi="宋体" w:eastAsia="宋体"/>
                <w:b/>
                <w:bCs/>
                <w:i w:val="0"/>
                <w:color w:val="auto"/>
                <w:sz w:val="24"/>
                <w:highlight w:val="none"/>
                <w:lang w:eastAsia="zh-CN"/>
              </w:rPr>
              <w:t>（</w:t>
            </w:r>
            <w:r>
              <w:rPr>
                <w:rStyle w:val="28"/>
                <w:rFonts w:hint="eastAsia" w:ascii="宋体" w:hAnsi="宋体" w:eastAsia="宋体"/>
                <w:b/>
                <w:bCs/>
                <w:i w:val="0"/>
                <w:color w:val="auto"/>
                <w:sz w:val="24"/>
                <w:highlight w:val="none"/>
                <w:lang w:val="en-US" w:eastAsia="zh-CN"/>
              </w:rPr>
              <w:t>章</w:t>
            </w:r>
            <w:r>
              <w:rPr>
                <w:rStyle w:val="28"/>
                <w:rFonts w:hint="eastAsia" w:ascii="宋体" w:hAnsi="宋体" w:eastAsia="宋体"/>
                <w:b/>
                <w:bCs/>
                <w:i w:val="0"/>
                <w:color w:val="auto"/>
                <w:sz w:val="24"/>
                <w:highlight w:val="none"/>
                <w:lang w:eastAsia="zh-CN"/>
              </w:rPr>
              <w:t>）</w:t>
            </w:r>
            <w:r>
              <w:rPr>
                <w:rStyle w:val="28"/>
                <w:rFonts w:hint="eastAsia" w:ascii="宋体" w:hAnsi="宋体"/>
                <w:b/>
                <w:bCs/>
                <w:i w:val="0"/>
                <w:color w:val="auto"/>
                <w:sz w:val="24"/>
                <w:highlight w:val="none"/>
              </w:rPr>
              <w:t xml:space="preserve">： </w:t>
            </w:r>
          </w:p>
          <w:p>
            <w:pPr>
              <w:spacing w:line="140" w:lineRule="atLeast"/>
              <w:ind w:left="4530" w:leftChars="2157" w:right="743"/>
              <w:jc w:val="left"/>
              <w:rPr>
                <w:rStyle w:val="28"/>
                <w:rFonts w:ascii="宋体" w:hAnsi="宋体"/>
                <w:b/>
                <w:bCs/>
                <w:i w:val="0"/>
                <w:color w:val="auto"/>
                <w:sz w:val="24"/>
                <w:highlight w:val="none"/>
              </w:rPr>
            </w:pPr>
            <w:r>
              <w:rPr>
                <w:rStyle w:val="28"/>
                <w:rFonts w:hint="eastAsia" w:ascii="宋体" w:hAnsi="宋体"/>
                <w:b/>
                <w:bCs/>
                <w:i w:val="0"/>
                <w:color w:val="auto"/>
                <w:sz w:val="24"/>
                <w:highlight w:val="none"/>
              </w:rPr>
              <w:t xml:space="preserve">                                                         </w:t>
            </w:r>
            <w:r>
              <w:rPr>
                <w:rStyle w:val="28"/>
                <w:rFonts w:ascii="宋体" w:hAnsi="宋体"/>
                <w:b/>
                <w:bCs/>
                <w:i w:val="0"/>
                <w:color w:val="auto"/>
                <w:sz w:val="24"/>
                <w:highlight w:val="none"/>
              </w:rPr>
              <w:t xml:space="preserve">  </w:t>
            </w:r>
            <w:r>
              <w:rPr>
                <w:rStyle w:val="28"/>
                <w:rFonts w:hint="eastAsia" w:ascii="宋体" w:hAnsi="宋体"/>
                <w:b/>
                <w:bCs/>
                <w:i w:val="0"/>
                <w:color w:val="auto"/>
                <w:sz w:val="24"/>
                <w:highlight w:val="none"/>
              </w:rPr>
              <w:t xml:space="preserve"> </w:t>
            </w:r>
            <w:r>
              <w:rPr>
                <w:rStyle w:val="28"/>
                <w:rFonts w:ascii="宋体" w:hAnsi="宋体"/>
                <w:b/>
                <w:bCs/>
                <w:i w:val="0"/>
                <w:color w:val="auto"/>
                <w:sz w:val="24"/>
                <w:highlight w:val="none"/>
              </w:rPr>
              <w:t xml:space="preserve">        </w:t>
            </w:r>
          </w:p>
          <w:p>
            <w:pPr>
              <w:spacing w:line="140" w:lineRule="atLeast"/>
              <w:ind w:right="743"/>
              <w:jc w:val="left"/>
              <w:rPr>
                <w:rStyle w:val="28"/>
                <w:rFonts w:ascii="宋体" w:hAnsi="宋体"/>
                <w:b/>
                <w:bCs/>
                <w:i w:val="0"/>
                <w:color w:val="auto"/>
                <w:sz w:val="24"/>
                <w:highlight w:val="none"/>
              </w:rPr>
            </w:pPr>
          </w:p>
          <w:p>
            <w:pPr>
              <w:spacing w:line="140" w:lineRule="atLeast"/>
              <w:ind w:left="4530" w:leftChars="2157" w:right="743"/>
              <w:jc w:val="left"/>
              <w:rPr>
                <w:rStyle w:val="28"/>
                <w:rFonts w:hint="eastAsia" w:ascii="宋体" w:hAnsi="宋体"/>
                <w:b/>
                <w:bCs/>
                <w:i w:val="0"/>
                <w:color w:val="auto"/>
                <w:sz w:val="24"/>
                <w:highlight w:val="none"/>
              </w:rPr>
            </w:pPr>
            <w:r>
              <w:rPr>
                <w:rStyle w:val="28"/>
                <w:rFonts w:hint="eastAsia" w:ascii="宋体" w:hAnsi="宋体"/>
                <w:b/>
                <w:bCs/>
                <w:i w:val="0"/>
                <w:color w:val="auto"/>
                <w:sz w:val="24"/>
                <w:highlight w:val="none"/>
              </w:rPr>
              <w:t xml:space="preserve">日    期：  </w:t>
            </w:r>
            <w:r>
              <w:rPr>
                <w:rStyle w:val="28"/>
                <w:rFonts w:hint="eastAsia" w:ascii="宋体" w:hAnsi="宋体"/>
                <w:b/>
                <w:bCs/>
                <w:i w:val="0"/>
                <w:color w:val="auto"/>
                <w:sz w:val="24"/>
                <w:highlight w:val="none"/>
                <w:lang w:val="en-US" w:eastAsia="zh-CN"/>
              </w:rPr>
              <w:t xml:space="preserve">        </w:t>
            </w:r>
            <w:r>
              <w:rPr>
                <w:rStyle w:val="28"/>
                <w:rFonts w:hint="eastAsia" w:ascii="宋体" w:hAnsi="宋体"/>
                <w:b/>
                <w:bCs/>
                <w:i w:val="0"/>
                <w:color w:val="auto"/>
                <w:sz w:val="24"/>
                <w:highlight w:val="none"/>
              </w:rPr>
              <w:t xml:space="preserve">年 </w:t>
            </w:r>
            <w:r>
              <w:rPr>
                <w:rStyle w:val="28"/>
                <w:rFonts w:hint="eastAsia" w:ascii="宋体" w:hAnsi="宋体"/>
                <w:b/>
                <w:bCs/>
                <w:i w:val="0"/>
                <w:color w:val="auto"/>
                <w:sz w:val="24"/>
                <w:highlight w:val="none"/>
                <w:lang w:val="en-US" w:eastAsia="zh-CN"/>
              </w:rPr>
              <w:t xml:space="preserve">  </w:t>
            </w:r>
            <w:r>
              <w:rPr>
                <w:rStyle w:val="28"/>
                <w:rFonts w:hint="eastAsia" w:ascii="宋体" w:hAnsi="宋体"/>
                <w:b/>
                <w:bCs/>
                <w:i w:val="0"/>
                <w:color w:val="auto"/>
                <w:sz w:val="24"/>
                <w:highlight w:val="none"/>
              </w:rPr>
              <w:t xml:space="preserve"> 月  </w:t>
            </w:r>
            <w:r>
              <w:rPr>
                <w:rStyle w:val="28"/>
                <w:rFonts w:hint="eastAsia" w:ascii="宋体" w:hAnsi="宋体"/>
                <w:b/>
                <w:bCs/>
                <w:i w:val="0"/>
                <w:color w:val="auto"/>
                <w:sz w:val="24"/>
                <w:highlight w:val="none"/>
                <w:lang w:val="en-US" w:eastAsia="zh-CN"/>
              </w:rPr>
              <w:t xml:space="preserve"> </w:t>
            </w:r>
            <w:r>
              <w:rPr>
                <w:rStyle w:val="28"/>
                <w:rFonts w:hint="eastAsia" w:ascii="宋体" w:hAnsi="宋体"/>
                <w:b/>
                <w:bCs/>
                <w:i w:val="0"/>
                <w:color w:val="auto"/>
                <w:sz w:val="24"/>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747" w:type="dxa"/>
            <w:noWrap w:val="0"/>
            <w:vAlign w:val="top"/>
          </w:tcPr>
          <w:p>
            <w:pPr>
              <w:ind w:right="840"/>
              <w:rPr>
                <w:rFonts w:ascii="仿宋_GB2312" w:eastAsia="仿宋_GB2312"/>
                <w:b/>
                <w:color w:val="auto"/>
                <w:sz w:val="24"/>
                <w:highlight w:val="none"/>
              </w:rPr>
            </w:pPr>
            <w:r>
              <w:rPr>
                <w:rFonts w:hint="eastAsia" w:ascii="仿宋_GB2312" w:eastAsia="仿宋_GB2312"/>
                <w:b/>
                <w:color w:val="auto"/>
                <w:sz w:val="24"/>
                <w:highlight w:val="none"/>
              </w:rPr>
              <w:t>审计单位意见：</w:t>
            </w:r>
          </w:p>
          <w:p>
            <w:pPr>
              <w:ind w:right="840"/>
              <w:rPr>
                <w:rFonts w:ascii="仿宋_GB2312" w:eastAsia="仿宋_GB2312"/>
                <w:b/>
                <w:color w:val="auto"/>
                <w:sz w:val="24"/>
                <w:highlight w:val="none"/>
              </w:rPr>
            </w:pPr>
          </w:p>
          <w:p>
            <w:pPr>
              <w:ind w:right="840"/>
              <w:rPr>
                <w:rFonts w:ascii="仿宋_GB2312" w:eastAsia="仿宋_GB2312"/>
                <w:b/>
                <w:color w:val="auto"/>
                <w:sz w:val="24"/>
                <w:highlight w:val="none"/>
              </w:rPr>
            </w:pPr>
          </w:p>
          <w:p>
            <w:pPr>
              <w:ind w:right="840"/>
              <w:rPr>
                <w:rFonts w:ascii="仿宋_GB2312" w:eastAsia="仿宋_GB2312"/>
                <w:b/>
                <w:color w:val="auto"/>
                <w:sz w:val="24"/>
                <w:highlight w:val="none"/>
              </w:rPr>
            </w:pPr>
          </w:p>
          <w:p>
            <w:pPr>
              <w:ind w:right="840"/>
              <w:rPr>
                <w:rFonts w:ascii="仿宋_GB2312" w:eastAsia="仿宋_GB2312"/>
                <w:b/>
                <w:color w:val="auto"/>
                <w:sz w:val="24"/>
                <w:highlight w:val="none"/>
              </w:rPr>
            </w:pPr>
          </w:p>
          <w:p>
            <w:pPr>
              <w:ind w:right="840"/>
              <w:rPr>
                <w:rFonts w:hint="eastAsia" w:ascii="仿宋_GB2312" w:eastAsia="仿宋_GB2312"/>
                <w:b/>
                <w:color w:val="auto"/>
                <w:sz w:val="24"/>
                <w:highlight w:val="none"/>
                <w:lang w:val="en-US" w:eastAsia="zh-CN"/>
              </w:rPr>
            </w:pPr>
            <w:r>
              <w:rPr>
                <w:rFonts w:hint="eastAsia" w:ascii="仿宋_GB2312" w:eastAsia="仿宋_GB2312"/>
                <w:b/>
                <w:color w:val="auto"/>
                <w:sz w:val="24"/>
                <w:highlight w:val="none"/>
                <w:lang w:val="en-US" w:eastAsia="zh-CN"/>
              </w:rPr>
              <w:t xml:space="preserve"> </w:t>
            </w:r>
          </w:p>
          <w:p>
            <w:pPr>
              <w:ind w:right="840" w:firstLine="843" w:firstLineChars="350"/>
              <w:rPr>
                <w:rFonts w:ascii="仿宋_GB2312" w:eastAsia="仿宋_GB2312"/>
                <w:b/>
                <w:color w:val="auto"/>
                <w:sz w:val="24"/>
                <w:highlight w:val="none"/>
              </w:rPr>
            </w:pPr>
            <w:r>
              <w:rPr>
                <w:rFonts w:hint="eastAsia" w:ascii="仿宋_GB2312" w:eastAsia="仿宋_GB2312"/>
                <w:b/>
                <w:color w:val="auto"/>
                <w:sz w:val="24"/>
                <w:highlight w:val="none"/>
              </w:rPr>
              <w:t xml:space="preserve">   （章）                     负责人：     </w:t>
            </w:r>
            <w:r>
              <w:rPr>
                <w:rFonts w:hint="eastAsia" w:ascii="仿宋_GB2312" w:eastAsia="仿宋_GB2312"/>
                <w:b/>
                <w:color w:val="auto"/>
                <w:sz w:val="24"/>
                <w:highlight w:val="none"/>
                <w:lang w:val="en-US" w:eastAsia="zh-CN"/>
              </w:rPr>
              <w:t xml:space="preserve">    </w:t>
            </w:r>
            <w:r>
              <w:rPr>
                <w:rFonts w:hint="eastAsia" w:ascii="仿宋_GB2312" w:eastAsia="仿宋_GB2312"/>
                <w:b/>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9747" w:type="dxa"/>
            <w:tcBorders>
              <w:top w:val="single" w:color="auto" w:sz="4" w:space="0"/>
              <w:bottom w:val="single" w:color="auto" w:sz="4" w:space="0"/>
              <w:right w:val="single" w:color="auto" w:sz="4" w:space="0"/>
            </w:tcBorders>
            <w:noWrap w:val="0"/>
            <w:vAlign w:val="top"/>
          </w:tcPr>
          <w:p>
            <w:pPr>
              <w:wordWrap w:val="0"/>
              <w:ind w:right="480"/>
              <w:rPr>
                <w:rFonts w:ascii="仿宋_GB2312" w:eastAsia="仿宋_GB2312"/>
                <w:b/>
                <w:color w:val="auto"/>
                <w:sz w:val="24"/>
                <w:highlight w:val="none"/>
              </w:rPr>
            </w:pPr>
            <w:r>
              <w:rPr>
                <w:rFonts w:hint="eastAsia" w:ascii="仿宋_GB2312" w:eastAsia="仿宋_GB2312"/>
                <w:b/>
                <w:color w:val="auto"/>
                <w:sz w:val="24"/>
                <w:highlight w:val="none"/>
              </w:rPr>
              <w:t>建设单位</w:t>
            </w:r>
            <w:r>
              <w:rPr>
                <w:rFonts w:ascii="仿宋_GB2312" w:eastAsia="仿宋_GB2312"/>
                <w:b/>
                <w:color w:val="auto"/>
                <w:sz w:val="24"/>
                <w:highlight w:val="none"/>
              </w:rPr>
              <w:t xml:space="preserve">意见：  </w:t>
            </w:r>
            <w:r>
              <w:rPr>
                <w:rFonts w:hint="eastAsia" w:ascii="仿宋_GB2312" w:eastAsia="仿宋_GB2312"/>
                <w:b/>
                <w:color w:val="auto"/>
                <w:sz w:val="24"/>
                <w:highlight w:val="none"/>
              </w:rPr>
              <w:t xml:space="preserve"> </w:t>
            </w:r>
          </w:p>
          <w:p>
            <w:pPr>
              <w:wordWrap w:val="0"/>
              <w:ind w:right="480"/>
              <w:rPr>
                <w:rFonts w:ascii="仿宋_GB2312" w:eastAsia="仿宋_GB2312"/>
                <w:b/>
                <w:color w:val="auto"/>
                <w:sz w:val="24"/>
                <w:highlight w:val="none"/>
              </w:rPr>
            </w:pPr>
          </w:p>
          <w:p>
            <w:pPr>
              <w:wordWrap w:val="0"/>
              <w:ind w:right="480"/>
              <w:rPr>
                <w:rFonts w:ascii="仿宋_GB2312" w:eastAsia="仿宋_GB2312"/>
                <w:b/>
                <w:color w:val="auto"/>
                <w:sz w:val="24"/>
                <w:highlight w:val="none"/>
              </w:rPr>
            </w:pPr>
          </w:p>
          <w:p>
            <w:pPr>
              <w:wordWrap w:val="0"/>
              <w:ind w:right="480"/>
              <w:rPr>
                <w:rFonts w:ascii="仿宋_GB2312" w:eastAsia="仿宋_GB2312"/>
                <w:b/>
                <w:color w:val="auto"/>
                <w:sz w:val="24"/>
                <w:highlight w:val="none"/>
              </w:rPr>
            </w:pPr>
          </w:p>
          <w:p>
            <w:pPr>
              <w:wordWrap w:val="0"/>
              <w:ind w:right="480"/>
              <w:rPr>
                <w:rFonts w:ascii="仿宋_GB2312" w:eastAsia="仿宋_GB2312"/>
                <w:b/>
                <w:color w:val="auto"/>
                <w:sz w:val="24"/>
                <w:highlight w:val="none"/>
              </w:rPr>
            </w:pPr>
          </w:p>
          <w:p>
            <w:pPr>
              <w:wordWrap w:val="0"/>
              <w:ind w:right="480"/>
              <w:rPr>
                <w:rFonts w:ascii="仿宋_GB2312" w:eastAsia="仿宋_GB2312"/>
                <w:b/>
                <w:color w:val="auto"/>
                <w:sz w:val="24"/>
                <w:highlight w:val="none"/>
              </w:rPr>
            </w:pPr>
          </w:p>
          <w:p>
            <w:pPr>
              <w:wordWrap w:val="0"/>
              <w:ind w:right="480" w:firstLine="1197" w:firstLineChars="497"/>
              <w:rPr>
                <w:rFonts w:ascii="仿宋_GB2312" w:eastAsia="仿宋_GB2312"/>
                <w:b/>
                <w:color w:val="auto"/>
                <w:sz w:val="24"/>
                <w:highlight w:val="none"/>
              </w:rPr>
            </w:pPr>
            <w:r>
              <w:rPr>
                <w:rFonts w:hint="eastAsia" w:ascii="仿宋_GB2312" w:eastAsia="仿宋_GB2312"/>
                <w:b/>
                <w:color w:val="auto"/>
                <w:sz w:val="24"/>
                <w:highlight w:val="none"/>
              </w:rPr>
              <w:t xml:space="preserve">（章）       </w:t>
            </w:r>
            <w:r>
              <w:rPr>
                <w:rFonts w:hint="eastAsia" w:ascii="仿宋_GB2312" w:eastAsia="仿宋_GB2312"/>
                <w:b/>
                <w:color w:val="auto"/>
                <w:sz w:val="24"/>
                <w:highlight w:val="none"/>
                <w:lang w:val="en-US" w:eastAsia="zh-CN"/>
              </w:rPr>
              <w:t>经办人：</w:t>
            </w:r>
            <w:r>
              <w:rPr>
                <w:rFonts w:hint="eastAsia" w:ascii="仿宋_GB2312" w:eastAsia="仿宋_GB2312"/>
                <w:b/>
                <w:color w:val="auto"/>
                <w:sz w:val="24"/>
                <w:highlight w:val="none"/>
              </w:rPr>
              <w:t xml:space="preserve">       负责人：     </w:t>
            </w:r>
            <w:r>
              <w:rPr>
                <w:rFonts w:hint="eastAsia" w:ascii="仿宋_GB2312" w:eastAsia="仿宋_GB2312"/>
                <w:b/>
                <w:color w:val="auto"/>
                <w:sz w:val="24"/>
                <w:highlight w:val="none"/>
                <w:lang w:val="en-US" w:eastAsia="zh-CN"/>
              </w:rPr>
              <w:t xml:space="preserve">      </w:t>
            </w:r>
            <w:r>
              <w:rPr>
                <w:rFonts w:hint="eastAsia" w:ascii="仿宋_GB2312" w:eastAsia="仿宋_GB2312"/>
                <w:b/>
                <w:color w:val="auto"/>
                <w:sz w:val="24"/>
                <w:highlight w:val="none"/>
              </w:rPr>
              <w:t xml:space="preserve">  年    月    日</w:t>
            </w:r>
          </w:p>
        </w:tc>
      </w:tr>
    </w:tbl>
    <w:p>
      <w:pPr>
        <w:bidi w:val="0"/>
        <w:rPr>
          <w:rFonts w:hint="eastAsia" w:ascii="宋体" w:hAnsi="宋体" w:eastAsia="宋体" w:cs="宋体"/>
          <w:b w:val="0"/>
          <w:bCs w:val="0"/>
          <w:color w:val="auto"/>
          <w:sz w:val="24"/>
          <w:szCs w:val="24"/>
          <w:highlight w:val="none"/>
          <w:lang w:val="en-US" w:eastAsia="zh-CN"/>
        </w:rPr>
      </w:pPr>
    </w:p>
    <w:p>
      <w:pPr>
        <w:pStyle w:val="2"/>
        <w:jc w:val="left"/>
        <w:rPr>
          <w:rFonts w:hint="eastAsia"/>
          <w:color w:val="auto"/>
          <w:highlight w:val="none"/>
          <w:lang w:val="en-US" w:eastAsia="zh-CN"/>
        </w:rPr>
      </w:pPr>
      <w:r>
        <w:rPr>
          <w:rFonts w:hint="eastAsia" w:eastAsia="宋体"/>
          <w:color w:val="auto"/>
          <w:sz w:val="24"/>
          <w:szCs w:val="18"/>
          <w:highlight w:val="none"/>
          <w:lang w:val="en-US" w:eastAsia="zh-CN"/>
        </w:rPr>
        <w:t>附件：工程量明细单</w:t>
      </w:r>
    </w:p>
    <w:p>
      <w:pPr>
        <w:bidi w:val="0"/>
        <w:rPr>
          <w:rFonts w:hint="eastAsia"/>
          <w:color w:val="auto"/>
          <w:highlight w:val="none"/>
          <w:lang w:val="en-US" w:eastAsia="zh-CN"/>
        </w:rPr>
      </w:pPr>
    </w:p>
    <w:tbl>
      <w:tblPr>
        <w:tblStyle w:val="17"/>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250"/>
        <w:gridCol w:w="1850"/>
        <w:gridCol w:w="1200"/>
        <w:gridCol w:w="1100"/>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4"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250"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项目</w:t>
            </w:r>
          </w:p>
        </w:tc>
        <w:tc>
          <w:tcPr>
            <w:tcW w:w="1850"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照片</w:t>
            </w:r>
          </w:p>
        </w:tc>
        <w:tc>
          <w:tcPr>
            <w:tcW w:w="1200"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100"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1350"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明细</w:t>
            </w:r>
          </w:p>
        </w:tc>
        <w:tc>
          <w:tcPr>
            <w:tcW w:w="1350" w:type="dxa"/>
            <w:noWrap w:val="0"/>
            <w:vAlign w:val="center"/>
          </w:tcPr>
          <w:p>
            <w:pPr>
              <w:widowControl w:val="0"/>
              <w:bidi w:val="0"/>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934" w:type="dxa"/>
            <w:noWrap w:val="0"/>
            <w:vAlign w:val="center"/>
          </w:tcPr>
          <w:p>
            <w:pPr>
              <w:widowControl w:val="0"/>
              <w:bidi w:val="0"/>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250" w:type="dxa"/>
            <w:noWrap w:val="0"/>
            <w:vAlign w:val="center"/>
          </w:tcPr>
          <w:p>
            <w:pPr>
              <w:widowControl w:val="0"/>
              <w:bidi w:val="0"/>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XXX维修</w:t>
            </w:r>
          </w:p>
        </w:tc>
        <w:tc>
          <w:tcPr>
            <w:tcW w:w="1850"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水印照片</w:t>
            </w:r>
          </w:p>
        </w:tc>
        <w:tc>
          <w:tcPr>
            <w:tcW w:w="120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10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3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3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934"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2</w:t>
            </w:r>
          </w:p>
        </w:tc>
        <w:tc>
          <w:tcPr>
            <w:tcW w:w="12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XXX维修</w:t>
            </w:r>
          </w:p>
        </w:tc>
        <w:tc>
          <w:tcPr>
            <w:tcW w:w="18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水印照片</w:t>
            </w:r>
          </w:p>
        </w:tc>
        <w:tc>
          <w:tcPr>
            <w:tcW w:w="120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10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350"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p>
        </w:tc>
        <w:tc>
          <w:tcPr>
            <w:tcW w:w="1350"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934"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3</w:t>
            </w:r>
          </w:p>
        </w:tc>
        <w:tc>
          <w:tcPr>
            <w:tcW w:w="1250" w:type="dxa"/>
            <w:noWrap w:val="0"/>
            <w:vAlign w:val="center"/>
          </w:tcPr>
          <w:p>
            <w:pPr>
              <w:widowControl w:val="0"/>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lang w:val="en-US" w:eastAsia="zh-CN"/>
              </w:rPr>
              <w:t>XXX维修</w:t>
            </w:r>
          </w:p>
        </w:tc>
        <w:tc>
          <w:tcPr>
            <w:tcW w:w="18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XXX</w:t>
            </w:r>
          </w:p>
        </w:tc>
        <w:tc>
          <w:tcPr>
            <w:tcW w:w="120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10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3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3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4"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w:t>
            </w:r>
          </w:p>
        </w:tc>
        <w:tc>
          <w:tcPr>
            <w:tcW w:w="12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w:t>
            </w:r>
          </w:p>
        </w:tc>
        <w:tc>
          <w:tcPr>
            <w:tcW w:w="18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w:t>
            </w:r>
          </w:p>
        </w:tc>
        <w:tc>
          <w:tcPr>
            <w:tcW w:w="120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10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3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c>
          <w:tcPr>
            <w:tcW w:w="1350" w:type="dxa"/>
            <w:noWrap w:val="0"/>
            <w:vAlign w:val="center"/>
          </w:tcPr>
          <w:p>
            <w:pPr>
              <w:widowControl w:val="0"/>
              <w:bidi w:val="0"/>
              <w:jc w:val="center"/>
              <w:rPr>
                <w:rFonts w:hint="eastAsia" w:ascii="宋体" w:hAnsi="宋体" w:eastAsia="宋体" w:cs="宋体"/>
                <w:b w:val="0"/>
                <w:bCs w:val="0"/>
                <w:color w:val="auto"/>
                <w:highlight w:val="none"/>
                <w:vertAlign w:val="baseline"/>
                <w:lang w:val="en-US" w:eastAsia="zh-CN"/>
              </w:rPr>
            </w:pPr>
          </w:p>
        </w:tc>
      </w:tr>
    </w:tbl>
    <w:p>
      <w:pPr>
        <w:spacing w:line="242" w:lineRule="auto"/>
        <w:rPr>
          <w:rFonts w:ascii="Arial"/>
          <w:color w:val="auto"/>
          <w:sz w:val="21"/>
          <w:highlight w:val="none"/>
        </w:rPr>
      </w:pPr>
    </w:p>
    <w:p>
      <w:pPr>
        <w:pStyle w:val="2"/>
        <w:rPr>
          <w:rFonts w:hint="eastAsia"/>
          <w:color w:val="auto"/>
          <w:highlight w:val="none"/>
          <w:lang w:val="en-US" w:eastAsia="zh-CN"/>
        </w:rPr>
      </w:pPr>
    </w:p>
    <w:p>
      <w:pPr>
        <w:pStyle w:val="2"/>
        <w:rPr>
          <w:rFonts w:ascii="Times New Roman" w:hAnsi="Times New Roman" w:cs="Times New Roman"/>
          <w:color w:val="auto"/>
          <w:sz w:val="24"/>
          <w:highlight w:val="none"/>
        </w:rPr>
      </w:pPr>
    </w:p>
    <w:p>
      <w:pPr>
        <w:rPr>
          <w:rFonts w:ascii="Times New Roman" w:hAnsi="Times New Roman" w:cs="Times New Roman"/>
          <w:color w:val="auto"/>
          <w:sz w:val="24"/>
          <w:highlight w:val="none"/>
        </w:rPr>
      </w:pPr>
    </w:p>
    <w:p>
      <w:pPr>
        <w:pStyle w:val="2"/>
        <w:rPr>
          <w:rFonts w:ascii="Times New Roman" w:hAnsi="Times New Roman" w:cs="Times New Roman"/>
          <w:color w:val="auto"/>
          <w:sz w:val="24"/>
          <w:highlight w:val="none"/>
        </w:rPr>
      </w:pPr>
    </w:p>
    <w:p>
      <w:pPr>
        <w:rPr>
          <w:rFonts w:ascii="Times New Roman" w:hAnsi="Times New Roman" w:cs="Times New Roman"/>
          <w:color w:val="auto"/>
          <w:sz w:val="24"/>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spacing w:line="360" w:lineRule="auto"/>
        <w:jc w:val="center"/>
        <w:outlineLvl w:val="1"/>
        <w:rPr>
          <w:rFonts w:hint="eastAsia" w:ascii="宋体" w:hAnsi="宋体" w:eastAsia="宋体" w:cs="宋体"/>
          <w:b/>
          <w:color w:val="auto"/>
          <w:sz w:val="28"/>
          <w:highlight w:val="none"/>
        </w:rPr>
      </w:pPr>
      <w:bookmarkStart w:id="172" w:name="_Toc47026337"/>
    </w:p>
    <w:p>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第六章  </w:t>
      </w:r>
      <w:r>
        <w:rPr>
          <w:rFonts w:hint="eastAsia" w:ascii="宋体" w:hAnsi="宋体" w:cs="宋体"/>
          <w:b/>
          <w:color w:val="auto"/>
          <w:sz w:val="28"/>
          <w:highlight w:val="none"/>
          <w:lang w:val="en-US" w:eastAsia="zh-CN"/>
        </w:rPr>
        <w:t>招标</w:t>
      </w:r>
      <w:r>
        <w:rPr>
          <w:rFonts w:hint="eastAsia" w:ascii="宋体" w:hAnsi="宋体" w:eastAsia="宋体" w:cs="宋体"/>
          <w:b/>
          <w:color w:val="auto"/>
          <w:sz w:val="28"/>
          <w:highlight w:val="none"/>
        </w:rPr>
        <w:t>文件格式</w:t>
      </w:r>
      <w:bookmarkEnd w:id="172"/>
    </w:p>
    <w:p>
      <w:pPr>
        <w:spacing w:line="500" w:lineRule="exact"/>
        <w:jc w:val="center"/>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合肥滨湖时光空间运营管理有限公司2024年场地及设施安全隐患排查和维修工程</w:t>
      </w:r>
    </w:p>
    <w:p>
      <w:pPr>
        <w:spacing w:line="900" w:lineRule="exact"/>
        <w:jc w:val="center"/>
        <w:rPr>
          <w:rFonts w:hint="eastAsia" w:ascii="宋体" w:hAnsi="宋体" w:eastAsia="宋体" w:cs="宋体"/>
          <w:b/>
          <w:color w:val="auto"/>
          <w:sz w:val="72"/>
          <w:highlight w:val="none"/>
        </w:rPr>
      </w:pPr>
    </w:p>
    <w:p>
      <w:pPr>
        <w:spacing w:line="900" w:lineRule="exact"/>
        <w:jc w:val="center"/>
        <w:rPr>
          <w:rFonts w:hint="eastAsia" w:ascii="宋体" w:hAnsi="宋体" w:eastAsia="宋体" w:cs="宋体"/>
          <w:b/>
          <w:color w:val="auto"/>
          <w:sz w:val="72"/>
          <w:highlight w:val="none"/>
          <w:lang w:val="en-US" w:eastAsia="zh-CN"/>
        </w:rPr>
      </w:pPr>
      <w:r>
        <w:rPr>
          <w:rFonts w:hint="eastAsia" w:ascii="宋体" w:hAnsi="宋体" w:cs="宋体"/>
          <w:b/>
          <w:color w:val="auto"/>
          <w:sz w:val="72"/>
          <w:highlight w:val="none"/>
          <w:lang w:val="en-US" w:eastAsia="zh-CN"/>
        </w:rPr>
        <w:t>招</w:t>
      </w:r>
    </w:p>
    <w:p>
      <w:pPr>
        <w:spacing w:line="900" w:lineRule="exact"/>
        <w:jc w:val="center"/>
        <w:rPr>
          <w:rFonts w:hint="eastAsia" w:ascii="宋体" w:hAnsi="宋体" w:eastAsia="宋体" w:cs="宋体"/>
          <w:b/>
          <w:color w:val="auto"/>
          <w:sz w:val="72"/>
          <w:highlight w:val="none"/>
        </w:rPr>
      </w:pPr>
    </w:p>
    <w:p>
      <w:pPr>
        <w:spacing w:line="900" w:lineRule="exact"/>
        <w:jc w:val="center"/>
        <w:rPr>
          <w:rFonts w:hint="eastAsia" w:ascii="宋体" w:hAnsi="宋体" w:eastAsia="宋体" w:cs="宋体"/>
          <w:b/>
          <w:color w:val="auto"/>
          <w:sz w:val="72"/>
          <w:highlight w:val="none"/>
          <w:lang w:val="en-US" w:eastAsia="zh-CN"/>
        </w:rPr>
      </w:pPr>
      <w:r>
        <w:rPr>
          <w:rFonts w:hint="eastAsia" w:ascii="宋体" w:hAnsi="宋体" w:cs="宋体"/>
          <w:b/>
          <w:color w:val="auto"/>
          <w:sz w:val="72"/>
          <w:highlight w:val="none"/>
          <w:lang w:val="en-US" w:eastAsia="zh-CN"/>
        </w:rPr>
        <w:t>标</w:t>
      </w:r>
    </w:p>
    <w:p>
      <w:pPr>
        <w:spacing w:line="900" w:lineRule="exact"/>
        <w:jc w:val="center"/>
        <w:rPr>
          <w:rFonts w:hint="eastAsia" w:ascii="宋体" w:hAnsi="宋体" w:eastAsia="宋体" w:cs="宋体"/>
          <w:b/>
          <w:color w:val="auto"/>
          <w:sz w:val="72"/>
          <w:highlight w:val="none"/>
        </w:rPr>
      </w:pPr>
    </w:p>
    <w:p>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pPr>
        <w:spacing w:line="900" w:lineRule="exact"/>
        <w:jc w:val="center"/>
        <w:rPr>
          <w:rFonts w:hint="eastAsia" w:ascii="宋体" w:hAnsi="宋体" w:eastAsia="宋体" w:cs="宋体"/>
          <w:b/>
          <w:color w:val="auto"/>
          <w:sz w:val="72"/>
          <w:highlight w:val="none"/>
        </w:rPr>
      </w:pPr>
    </w:p>
    <w:p>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pPr>
        <w:spacing w:afterLines="50" w:line="500" w:lineRule="exact"/>
        <w:jc w:val="both"/>
        <w:rPr>
          <w:rFonts w:hint="eastAsia" w:ascii="宋体" w:hAnsi="宋体" w:eastAsia="宋体" w:cs="宋体"/>
          <w:b/>
          <w:color w:val="auto"/>
          <w:sz w:val="28"/>
          <w:szCs w:val="28"/>
          <w:highlight w:val="none"/>
        </w:rPr>
      </w:pPr>
    </w:p>
    <w:p>
      <w:pPr>
        <w:spacing w:afterLines="50" w:line="500" w:lineRule="exact"/>
        <w:jc w:val="center"/>
        <w:rPr>
          <w:rFonts w:hint="eastAsia" w:ascii="宋体" w:hAnsi="宋体" w:eastAsia="宋体" w:cs="宋体"/>
          <w:b/>
          <w:color w:val="auto"/>
          <w:sz w:val="72"/>
          <w:highlight w:val="none"/>
        </w:rPr>
      </w:pPr>
    </w:p>
    <w:p>
      <w:pPr>
        <w:spacing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pPr>
        <w:spacing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jc w:val="center"/>
        <w:outlineLvl w:val="2"/>
        <w:rPr>
          <w:rFonts w:hint="eastAsia" w:ascii="宋体" w:hAnsi="宋体" w:eastAsia="宋体" w:cs="宋体"/>
          <w:b/>
          <w:color w:val="auto"/>
          <w:sz w:val="24"/>
          <w:highlight w:val="none"/>
        </w:rPr>
      </w:pPr>
      <w:bookmarkStart w:id="173" w:name="_Toc461056631"/>
      <w:bookmarkStart w:id="174" w:name="_Toc461053086"/>
      <w:bookmarkStart w:id="175" w:name="_Toc520983587"/>
      <w:r>
        <w:rPr>
          <w:rFonts w:hint="eastAsia" w:ascii="宋体" w:hAnsi="宋体" w:eastAsia="宋体" w:cs="宋体"/>
          <w:b/>
          <w:color w:val="auto"/>
          <w:sz w:val="24"/>
          <w:highlight w:val="none"/>
        </w:rPr>
        <w:t>一</w:t>
      </w:r>
      <w:bookmarkEnd w:id="173"/>
      <w:bookmarkEnd w:id="174"/>
      <w:r>
        <w:rPr>
          <w:rFonts w:hint="eastAsia" w:ascii="宋体" w:hAnsi="宋体" w:eastAsia="宋体" w:cs="宋体"/>
          <w:b/>
          <w:color w:val="auto"/>
          <w:sz w:val="24"/>
          <w:highlight w:val="none"/>
        </w:rPr>
        <w:t>、报价表格式</w:t>
      </w:r>
      <w:bookmarkEnd w:id="175"/>
    </w:p>
    <w:p>
      <w:pPr>
        <w:spacing w:beforeLines="50"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pPr>
        <w:snapToGrid w:val="0"/>
        <w:spacing w:line="360" w:lineRule="auto"/>
        <w:jc w:val="left"/>
        <w:rPr>
          <w:rFonts w:hint="eastAsia" w:ascii="宋体" w:hAnsi="宋体" w:eastAsia="宋体" w:cs="宋体"/>
          <w:b/>
          <w:color w:val="auto"/>
          <w:sz w:val="24"/>
          <w:szCs w:val="28"/>
          <w:highlight w:val="none"/>
          <w:u w:val="singl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合肥滨湖时光空间运营管理有限公司</w:t>
      </w:r>
      <w:r>
        <w:rPr>
          <w:rFonts w:hint="eastAsia" w:ascii="宋体" w:hAnsi="宋体" w:eastAsia="宋体" w:cs="宋体"/>
          <w:b/>
          <w:color w:val="auto"/>
          <w:sz w:val="24"/>
          <w:szCs w:val="28"/>
          <w:highlight w:val="none"/>
          <w:u w:val="single"/>
          <w:lang w:val="en-US" w:eastAsia="zh-CN"/>
        </w:rPr>
        <w:t>2024年场地及设施安全隐患排查和维修工程</w:t>
      </w:r>
    </w:p>
    <w:p>
      <w:pPr>
        <w:snapToGrid w:val="0"/>
        <w:spacing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BHSG-ZTB-2024-09       </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投标人名称</w:t>
            </w:r>
          </w:p>
        </w:tc>
        <w:tc>
          <w:tcPr>
            <w:tcW w:w="6063" w:type="dxa"/>
            <w:tcBorders>
              <w:lef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磋商范围</w:t>
            </w:r>
          </w:p>
        </w:tc>
        <w:tc>
          <w:tcPr>
            <w:tcW w:w="6063" w:type="dxa"/>
            <w:tcBorders>
              <w:lef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b/>
                <w:color w:val="auto"/>
                <w:sz w:val="24"/>
                <w:szCs w:val="20"/>
                <w:highlight w:val="none"/>
              </w:rPr>
            </w:pPr>
            <w:r>
              <w:rPr>
                <w:rFonts w:hint="eastAsia" w:ascii="宋体" w:hAnsi="宋体" w:eastAsia="宋体" w:cs="宋体"/>
                <w:color w:val="auto"/>
                <w:sz w:val="24"/>
                <w:szCs w:val="28"/>
                <w:highlight w:val="none"/>
              </w:rPr>
              <w:t>全部 / 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报价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（详见备注说明）</w:t>
            </w:r>
          </w:p>
        </w:tc>
        <w:tc>
          <w:tcPr>
            <w:tcW w:w="6063"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8"/>
                <w:highlight w:val="none"/>
              </w:rPr>
            </w:pPr>
          </w:p>
          <w:p>
            <w:pPr>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人民币大写：</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元</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备注说明</w:t>
            </w:r>
          </w:p>
        </w:tc>
        <w:tc>
          <w:tcPr>
            <w:tcW w:w="606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0"/>
                <w:highlight w:val="none"/>
              </w:rPr>
            </w:pPr>
          </w:p>
        </w:tc>
      </w:tr>
    </w:tbl>
    <w:p>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投标人电子签章：             </w:t>
      </w:r>
    </w:p>
    <w:p>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3.投标人应根据其响应文件中报价表的内容填写唱标信息，唱标信息不作为评审的依据。唱标信息与报价表不一致的，以报价表为准。</w:t>
      </w:r>
    </w:p>
    <w:p>
      <w:pPr>
        <w:spacing w:beforeLines="50"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1-2 分项报价明细表</w:t>
      </w:r>
    </w:p>
    <w:p>
      <w:pPr>
        <w:spacing w:line="360" w:lineRule="auto"/>
        <w:ind w:firstLine="435"/>
        <w:jc w:val="center"/>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（仅供参考，投标人可自行制作格式）</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序号</w:t>
            </w:r>
          </w:p>
        </w:tc>
        <w:tc>
          <w:tcPr>
            <w:tcW w:w="31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服务内容</w:t>
            </w:r>
          </w:p>
        </w:tc>
        <w:tc>
          <w:tcPr>
            <w:tcW w:w="135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w:t>
            </w:r>
          </w:p>
        </w:tc>
        <w:tc>
          <w:tcPr>
            <w:tcW w:w="16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tc>
        <w:tc>
          <w:tcPr>
            <w:tcW w:w="1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31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31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31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31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3109" w:type="dxa"/>
            <w:noWrap w:val="0"/>
            <w:vAlign w:val="center"/>
          </w:tcPr>
          <w:p>
            <w:pPr>
              <w:pStyle w:val="29"/>
              <w:keepNext w:val="0"/>
              <w:keepLines w:val="0"/>
              <w:suppressLineNumbers w:val="0"/>
              <w:spacing w:before="0" w:beforeAutospacing="0" w:after="0" w:afterAutospacing="0"/>
              <w:ind w:left="-108"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135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31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35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0"/>
                <w:highlight w:val="none"/>
              </w:rPr>
              <w:t>合计金额（元）</w:t>
            </w:r>
          </w:p>
        </w:tc>
        <w:tc>
          <w:tcPr>
            <w:tcW w:w="15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pPr>
        <w:spacing w:line="44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投标人电子签章：             </w:t>
      </w:r>
    </w:p>
    <w:p>
      <w:pPr>
        <w:spacing w:line="44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表中所列服务为对应本项目需求的全部服务内容。如有漏项或缺项，投标人承担全部责任。</w:t>
      </w:r>
    </w:p>
    <w:p>
      <w:pPr>
        <w:widowControl/>
        <w:jc w:val="lef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pPr>
        <w:spacing w:line="360" w:lineRule="auto"/>
        <w:jc w:val="center"/>
        <w:outlineLvl w:val="2"/>
        <w:rPr>
          <w:rFonts w:hint="eastAsia" w:ascii="宋体" w:hAnsi="宋体" w:eastAsia="宋体" w:cs="宋体"/>
          <w:b/>
          <w:color w:val="auto"/>
          <w:sz w:val="24"/>
          <w:highlight w:val="none"/>
        </w:rPr>
      </w:pPr>
      <w:bookmarkStart w:id="176" w:name="_Toc461056632"/>
      <w:bookmarkStart w:id="177" w:name="_Toc461053087"/>
      <w:bookmarkStart w:id="178" w:name="_Toc520983588"/>
      <w:r>
        <w:rPr>
          <w:rFonts w:hint="eastAsia" w:ascii="宋体" w:hAnsi="宋体" w:eastAsia="宋体" w:cs="宋体"/>
          <w:b/>
          <w:color w:val="auto"/>
          <w:sz w:val="24"/>
          <w:highlight w:val="none"/>
        </w:rPr>
        <w:t>二</w:t>
      </w:r>
      <w:bookmarkEnd w:id="176"/>
      <w:bookmarkEnd w:id="177"/>
      <w:r>
        <w:rPr>
          <w:rFonts w:hint="eastAsia" w:ascii="宋体" w:hAnsi="宋体" w:eastAsia="宋体" w:cs="宋体"/>
          <w:b/>
          <w:color w:val="auto"/>
          <w:sz w:val="24"/>
          <w:highlight w:val="none"/>
        </w:rPr>
        <w:t>、最后承诺报价表</w:t>
      </w:r>
      <w:bookmarkEnd w:id="178"/>
    </w:p>
    <w:p>
      <w:pPr>
        <w:spacing w:beforeLines="50" w:afterLines="50" w:line="360" w:lineRule="auto"/>
        <w:ind w:firstLine="236" w:firstLineChars="98"/>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（合肥滨湖时光空间运营管理有限公司小额零星工程第</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color w:val="auto"/>
          <w:sz w:val="24"/>
          <w:szCs w:val="28"/>
          <w:highlight w:val="none"/>
        </w:rPr>
        <w:t>次报价书）</w:t>
      </w:r>
    </w:p>
    <w:p>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合肥滨湖时光空间运营管理有限公司</w:t>
      </w:r>
      <w:r>
        <w:rPr>
          <w:rFonts w:hint="eastAsia" w:ascii="宋体" w:hAnsi="宋体" w:eastAsia="宋体" w:cs="宋体"/>
          <w:b/>
          <w:color w:val="auto"/>
          <w:sz w:val="24"/>
          <w:szCs w:val="28"/>
          <w:highlight w:val="none"/>
          <w:u w:val="single"/>
          <w:lang w:val="en-US" w:eastAsia="zh-CN"/>
        </w:rPr>
        <w:t>2024年场地及设施安全隐患排查和维修工程</w:t>
      </w:r>
      <w:r>
        <w:rPr>
          <w:rFonts w:hint="eastAsia" w:ascii="宋体" w:hAnsi="宋体" w:eastAsia="宋体" w:cs="宋体"/>
          <w:b/>
          <w:color w:val="auto"/>
          <w:sz w:val="24"/>
          <w:szCs w:val="28"/>
          <w:highlight w:val="none"/>
          <w:u w:val="single"/>
        </w:rPr>
        <w:t xml:space="preserve">   </w:t>
      </w:r>
    </w:p>
    <w:p>
      <w:pPr>
        <w:snapToGrid w:val="0"/>
        <w:spacing w:afterLines="50" w:line="360" w:lineRule="auto"/>
        <w:jc w:val="left"/>
        <w:rPr>
          <w:rFonts w:hint="eastAsia" w:ascii="宋体" w:hAnsi="宋体" w:eastAsia="宋体" w:cs="宋体"/>
          <w:b/>
          <w:bCs/>
          <w:color w:val="auto"/>
          <w:sz w:val="24"/>
          <w:szCs w:val="28"/>
          <w:highlight w:val="non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BHSG-ZTB-2024-09    </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投标人名称</w:t>
            </w:r>
          </w:p>
        </w:tc>
        <w:tc>
          <w:tcPr>
            <w:tcW w:w="6063" w:type="dxa"/>
            <w:tcBorders>
              <w:lef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bCs/>
                <w:color w:val="auto"/>
                <w:sz w:val="24"/>
                <w:szCs w:val="28"/>
                <w:highlight w:val="none"/>
              </w:rPr>
              <w:t>磋商</w:t>
            </w:r>
            <w:r>
              <w:rPr>
                <w:rFonts w:hint="eastAsia" w:ascii="宋体" w:hAnsi="宋体" w:eastAsia="宋体" w:cs="宋体"/>
                <w:b/>
                <w:color w:val="auto"/>
                <w:sz w:val="24"/>
                <w:szCs w:val="20"/>
                <w:highlight w:val="none"/>
              </w:rPr>
              <w:t>范围</w:t>
            </w:r>
          </w:p>
        </w:tc>
        <w:tc>
          <w:tcPr>
            <w:tcW w:w="6063" w:type="dxa"/>
            <w:tcBorders>
              <w:lef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b/>
                <w:color w:val="auto"/>
                <w:sz w:val="24"/>
                <w:szCs w:val="20"/>
                <w:highlight w:val="none"/>
              </w:rPr>
            </w:pPr>
            <w:r>
              <w:rPr>
                <w:rFonts w:hint="eastAsia" w:ascii="宋体" w:hAnsi="宋体" w:eastAsia="宋体" w:cs="宋体"/>
                <w:color w:val="auto"/>
                <w:sz w:val="24"/>
                <w:szCs w:val="28"/>
                <w:highlight w:val="none"/>
              </w:rPr>
              <w:t>全部 / 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bCs/>
                <w:color w:val="auto"/>
                <w:sz w:val="24"/>
                <w:szCs w:val="28"/>
                <w:highlight w:val="none"/>
              </w:rPr>
              <w:t>最后报价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（详见备注说明）</w:t>
            </w:r>
          </w:p>
        </w:tc>
        <w:tc>
          <w:tcPr>
            <w:tcW w:w="6063"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8"/>
                <w:highlight w:val="none"/>
              </w:rPr>
            </w:pPr>
          </w:p>
          <w:p>
            <w:pPr>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人民币大写：</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 xml:space="preserve"> 元</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24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备注说明</w:t>
            </w:r>
          </w:p>
        </w:tc>
        <w:tc>
          <w:tcPr>
            <w:tcW w:w="606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0"/>
                <w:highlight w:val="none"/>
              </w:rPr>
            </w:pPr>
            <w:r>
              <w:rPr>
                <w:rFonts w:hint="eastAsia" w:ascii="宋体" w:hAnsi="宋体" w:eastAsia="宋体" w:cs="宋体"/>
                <w:b/>
                <w:i/>
                <w:color w:val="auto"/>
                <w:sz w:val="24"/>
                <w:szCs w:val="20"/>
                <w:highlight w:val="none"/>
              </w:rPr>
              <w:t>（此处可补充磋商小组根据与投标人磋商情况变动的磋商文件的内容，包括招标需求中的技术、服务要求以及合同草案条款。）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4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bCs/>
                <w:color w:val="auto"/>
                <w:sz w:val="24"/>
                <w:szCs w:val="28"/>
                <w:highlight w:val="none"/>
              </w:rPr>
              <w:t>磋商小组签字</w:t>
            </w:r>
          </w:p>
        </w:tc>
        <w:tc>
          <w:tcPr>
            <w:tcW w:w="606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0"/>
                <w:highlight w:val="none"/>
              </w:rPr>
            </w:pPr>
          </w:p>
        </w:tc>
      </w:tr>
    </w:tbl>
    <w:p>
      <w:pPr>
        <w:spacing w:line="360" w:lineRule="auto"/>
        <w:ind w:firstLine="1680" w:firstLineChars="7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投标人公章或授权代表签字：</w:t>
      </w:r>
    </w:p>
    <w:p>
      <w:pPr>
        <w:spacing w:line="360" w:lineRule="auto"/>
        <w:ind w:firstLine="5040" w:firstLineChars="21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日      期：                    </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注：本页《报价表》由投标人在接到报价通知后依据磋商情况填写,并在规定时间内上传。</w:t>
      </w:r>
      <w:r>
        <w:rPr>
          <w:rFonts w:hint="eastAsia" w:ascii="宋体" w:hAnsi="宋体" w:eastAsia="宋体" w:cs="宋体"/>
          <w:color w:val="auto"/>
          <w:sz w:val="24"/>
          <w:highlight w:val="none"/>
        </w:rPr>
        <w:t>考虑磋商报价的方便，投标人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cs="宋体"/>
          <w:bCs/>
          <w:color w:val="auto"/>
          <w:sz w:val="24"/>
          <w:highlight w:val="none"/>
        </w:rPr>
        <w:t>此优惠率调整原则适用于合同内价格的计算及项目增减、变更时价格的计算。</w:t>
      </w:r>
    </w:p>
    <w:p>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pPr>
        <w:spacing w:line="360" w:lineRule="auto"/>
        <w:jc w:val="center"/>
        <w:outlineLvl w:val="2"/>
        <w:rPr>
          <w:rFonts w:hint="eastAsia" w:ascii="宋体" w:hAnsi="宋体" w:eastAsia="宋体" w:cs="宋体"/>
          <w:b/>
          <w:color w:val="auto"/>
          <w:sz w:val="24"/>
          <w:highlight w:val="none"/>
        </w:rPr>
      </w:pPr>
      <w:bookmarkStart w:id="179" w:name="_Toc520983591"/>
      <w:r>
        <w:rPr>
          <w:rFonts w:hint="eastAsia" w:ascii="宋体" w:hAnsi="宋体" w:eastAsia="宋体" w:cs="宋体"/>
          <w:b/>
          <w:color w:val="auto"/>
          <w:sz w:val="24"/>
          <w:highlight w:val="none"/>
        </w:rPr>
        <w:t>三、磋商响应函</w:t>
      </w:r>
      <w:bookmarkEnd w:id="179"/>
    </w:p>
    <w:p>
      <w:pPr>
        <w:pStyle w:val="9"/>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致：合肥滨湖时光空间运营管理有限公司</w:t>
      </w:r>
    </w:p>
    <w:p>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1.如我公司中标，我公司承诺愿意按磋商文件规定缴纳履约保证金和中标服务费。按本次磋商文件规定及最后报价承诺</w:t>
      </w:r>
      <w:r>
        <w:rPr>
          <w:rFonts w:hint="eastAsia" w:ascii="宋体" w:hAnsi="宋体" w:eastAsia="宋体" w:cs="宋体"/>
          <w:color w:val="auto"/>
          <w:sz w:val="24"/>
          <w:highlight w:val="none"/>
          <w:lang w:val="en-US" w:eastAsia="zh-CN"/>
        </w:rPr>
        <w:t>提供服务</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.我方同意按贵方要求在磋商规定时间内向贵方提供与其磋商有关的任何证据或补充资料，否则，我方的响应文件可被贵方拒绝。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.我方完全理解贵方不一定接受最低报价的磋商。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.我方同意磋商文件规定的付款方式、服务期限。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.我方对响应文件中所提供资料、文件、证书及证件的真实性和有效性负责。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.若因我方联系不上或未在磋商小组规定时间内进行二轮报价的（不限于二轮报价）的，视同我方上一轮投标报价为最终报价。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.我方同意磋商文件规定的付款方式及结算方式。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人员及主要机械设备，经你方审批后作为派驻本标段的项目管理机构主要人员和主要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.与本磋商有关的通讯地址：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u w:val="single"/>
        </w:rPr>
      </w:pPr>
    </w:p>
    <w:p>
      <w:pPr>
        <w:spacing w:line="360" w:lineRule="auto"/>
        <w:ind w:firstLine="480" w:firstLineChars="200"/>
        <w:rPr>
          <w:rFonts w:hint="eastAsia" w:ascii="宋体" w:hAnsi="宋体" w:eastAsia="宋体" w:cs="宋体"/>
          <w:color w:val="auto"/>
          <w:sz w:val="24"/>
          <w:highlight w:val="none"/>
          <w:u w:val="single"/>
        </w:rPr>
      </w:pPr>
    </w:p>
    <w:p>
      <w:pPr>
        <w:spacing w:line="360" w:lineRule="auto"/>
        <w:ind w:firstLine="480" w:firstLineChars="200"/>
        <w:rPr>
          <w:rFonts w:hint="eastAsia" w:ascii="宋体" w:hAnsi="宋体" w:eastAsia="宋体" w:cs="宋体"/>
          <w:color w:val="auto"/>
          <w:sz w:val="24"/>
          <w:highlight w:val="none"/>
          <w:u w:val="singl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2"/>
        <w:spacing w:before="0" w:after="0" w:line="360" w:lineRule="auto"/>
        <w:ind w:firstLine="482" w:firstLineChars="200"/>
        <w:jc w:val="center"/>
        <w:rPr>
          <w:rFonts w:hint="eastAsia" w:ascii="宋体" w:hAnsi="宋体" w:eastAsia="宋体" w:cs="宋体"/>
          <w:bCs w:val="0"/>
          <w:color w:val="auto"/>
          <w:sz w:val="21"/>
          <w:szCs w:val="21"/>
          <w:highlight w:val="none"/>
          <w:lang w:eastAsia="zh-CN"/>
        </w:rPr>
      </w:pPr>
      <w:r>
        <w:rPr>
          <w:rFonts w:hint="eastAsia" w:ascii="宋体" w:hAnsi="宋体" w:eastAsia="宋体" w:cs="宋体"/>
          <w:color w:val="auto"/>
          <w:sz w:val="24"/>
          <w:highlight w:val="none"/>
        </w:rPr>
        <w:t>四、</w:t>
      </w:r>
      <w:r>
        <w:rPr>
          <w:rFonts w:hint="eastAsia" w:ascii="宋体" w:hAnsi="宋体" w:eastAsia="宋体" w:cs="宋体"/>
          <w:color w:val="auto"/>
          <w:sz w:val="28"/>
          <w:highlight w:val="none"/>
        </w:rPr>
        <w:t>磋商保证金</w:t>
      </w:r>
      <w:r>
        <w:rPr>
          <w:rFonts w:hint="eastAsia" w:ascii="宋体" w:hAnsi="宋体" w:eastAsia="宋体" w:cs="宋体"/>
          <w:color w:val="auto"/>
          <w:sz w:val="28"/>
          <w:highlight w:val="none"/>
          <w:lang w:eastAsia="zh-CN"/>
        </w:rPr>
        <w:t>（</w:t>
      </w:r>
      <w:r>
        <w:rPr>
          <w:rFonts w:hint="eastAsia" w:ascii="宋体" w:hAnsi="宋体" w:eastAsia="宋体" w:cs="宋体"/>
          <w:color w:val="auto"/>
          <w:sz w:val="28"/>
          <w:highlight w:val="none"/>
          <w:lang w:val="en-US" w:eastAsia="zh-CN"/>
        </w:rPr>
        <w:t>不采用删除</w:t>
      </w:r>
      <w:r>
        <w:rPr>
          <w:rFonts w:hint="eastAsia" w:ascii="宋体" w:hAnsi="宋体" w:eastAsia="宋体" w:cs="宋体"/>
          <w:color w:val="auto"/>
          <w:sz w:val="28"/>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如采用前附表中第一类形式的投标担保，投标人应在此提供银行回单的扫描件、账户开户许可证扫描件（或基本存款账户编号）。</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如采用前附表中第二类形式的银行保函，投标人应在此提供账户开户许可证扫描件，同时将银行保函扫描件提供在响应文件中，格式见投标保函示范文本。</w:t>
      </w:r>
    </w:p>
    <w:p>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如采用前附表中第二类形式的担保机构担保或保证保险，担保机构担保或保证保险扫描件提供在响应文件中，格式见投标保函示范文本。</w:t>
      </w:r>
    </w:p>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投标保函示范文本</w:t>
      </w:r>
    </w:p>
    <w:p>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编号：           </w:t>
      </w:r>
    </w:p>
    <w:p>
      <w:pPr>
        <w:spacing w:line="360" w:lineRule="auto"/>
        <w:ind w:firstLine="420" w:firstLineChars="200"/>
        <w:jc w:val="right"/>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受益人（招标人）名称</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开立人获得通知，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（投标人）于</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日参加编号为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color w:val="auto"/>
          <w:szCs w:val="21"/>
          <w:highlight w:val="none"/>
        </w:rPr>
        <w:t>某招标项目标段编号</w:t>
      </w:r>
      <w:r>
        <w:rPr>
          <w:rFonts w:hint="eastAsia" w:ascii="宋体" w:hAnsi="宋体" w:eastAsia="宋体" w:cs="宋体"/>
          <w:snapToGrid w:val="0"/>
          <w:color w:val="auto"/>
          <w:kern w:val="0"/>
          <w:szCs w:val="21"/>
          <w:highlight w:val="none"/>
        </w:rPr>
        <w:t>）的</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color w:val="auto"/>
          <w:szCs w:val="21"/>
          <w:highlight w:val="none"/>
        </w:rPr>
        <w:t>某招标项目标段名称</w:t>
      </w:r>
      <w:r>
        <w:rPr>
          <w:rFonts w:hint="eastAsia" w:ascii="宋体" w:hAnsi="宋体" w:eastAsia="宋体" w:cs="宋体"/>
          <w:snapToGrid w:val="0"/>
          <w:color w:val="auto"/>
          <w:kern w:val="0"/>
          <w:szCs w:val="21"/>
          <w:highlight w:val="none"/>
        </w:rPr>
        <w:t>）投标</w:t>
      </w:r>
      <w:r>
        <w:rPr>
          <w:rFonts w:hint="eastAsia" w:ascii="宋体" w:hAnsi="宋体" w:eastAsia="宋体" w:cs="宋体"/>
          <w:color w:val="auto"/>
          <w:szCs w:val="21"/>
          <w:highlight w:val="none"/>
        </w:rPr>
        <w:t>（即“基础交易”）。</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二、开立人在投标人发生以下情形时承担保证担保责任： </w:t>
      </w:r>
    </w:p>
    <w:p>
      <w:pPr>
        <w:spacing w:line="360" w:lineRule="auto"/>
        <w:ind w:firstLine="275" w:firstLineChars="131"/>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（1）</w:t>
      </w:r>
      <w:r>
        <w:rPr>
          <w:rFonts w:hint="eastAsia" w:ascii="宋体" w:hAnsi="宋体" w:eastAsia="宋体" w:cs="宋体"/>
          <w:snapToGrid w:val="0"/>
          <w:color w:val="auto"/>
          <w:kern w:val="0"/>
          <w:szCs w:val="21"/>
          <w:highlight w:val="none"/>
        </w:rPr>
        <w:t>投标人在投标有效期内撤销投标文件；</w:t>
      </w:r>
    </w:p>
    <w:p>
      <w:pPr>
        <w:spacing w:line="360" w:lineRule="auto"/>
        <w:ind w:firstLine="275" w:firstLineChars="131"/>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（2）投标人在中标后无正当理由不与招标人订立合同；</w:t>
      </w:r>
    </w:p>
    <w:p>
      <w:pPr>
        <w:spacing w:line="360" w:lineRule="auto"/>
        <w:ind w:firstLine="275" w:firstLineChars="131"/>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（3）投标人在签订合同时向招标人提出附加条件；</w:t>
      </w:r>
    </w:p>
    <w:p>
      <w:pPr>
        <w:spacing w:line="360" w:lineRule="auto"/>
        <w:ind w:firstLine="275" w:firstLineChars="131"/>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（4）投标人不按照招标文件要求提交履约保证金；</w:t>
      </w:r>
    </w:p>
    <w:p>
      <w:pPr>
        <w:spacing w:line="360" w:lineRule="auto"/>
        <w:ind w:firstLine="275" w:firstLineChars="131"/>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（5）发生招标文件明确规定可以不予退还投标保证金的其他情形。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三、本保函为不可撤销、不可转让的见索即付独立保函。本保函有效期自开立之日起至投标有效期届满之日止。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四、开立人承诺，在收到受益人发来的书面付款通知后的七日内无条件支付，前述书面付款通知即为付款要求之单据，且应满足以下要求：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（1）付款通知到达的日期在本保函的有效期内；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（3）载明申请人违反招投标文件规定的义务内容和具体条款；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bookmarkStart w:id="180" w:name="_Hlk40354839"/>
      <w:r>
        <w:rPr>
          <w:rFonts w:hint="eastAsia" w:ascii="宋体" w:hAnsi="宋体" w:eastAsia="宋体" w:cs="宋体"/>
          <w:color w:val="auto"/>
          <w:szCs w:val="21"/>
          <w:highlight w:val="none"/>
        </w:rPr>
        <w:t>声明不存在招标文件规定或我国法律规定免除申请人或我方支付责任的情形；</w:t>
      </w:r>
      <w:bookmarkEnd w:id="18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（5）书面付款通知应在本保函有效期内到达的地址是：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受益人发出的书面付款通知应由其法定代表人（负责人）或授权代理人签字并加盖公章。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五、本保函项下的权利不得转让，不得设定担保。受益人未经开立人书面同意转让本保函或其项下任何权利，对开立人不发生法律效力。 </w:t>
      </w:r>
    </w:p>
    <w:p>
      <w:pPr>
        <w:spacing w:line="360" w:lineRule="auto"/>
        <w:ind w:firstLine="420" w:firstLineChars="200"/>
        <w:rPr>
          <w:rStyle w:val="19"/>
          <w:rFonts w:hint="eastAsia" w:ascii="宋体" w:hAnsi="宋体" w:eastAsia="宋体" w:cs="宋体"/>
          <w:color w:val="auto"/>
          <w:highlight w:val="none"/>
        </w:rPr>
      </w:pPr>
      <w:r>
        <w:rPr>
          <w:rFonts w:hint="eastAsia" w:ascii="宋体" w:hAnsi="宋体" w:eastAsia="宋体" w:cs="宋体"/>
          <w:color w:val="auto"/>
          <w:szCs w:val="21"/>
          <w:highlight w:val="none"/>
        </w:rPr>
        <w:t>六、本保函项下的基础交易不成立、不生效、无效、被撤销、被解除，不影响本保函的独立有效。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七、本保函项下的义务和责任均在保函有效期到期后自动消灭。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八、本保函适用的法律为中华人民共和国法律，因本保函产生的纠纷案件，由受益人所在地人民法院管辖。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九、本保函自我方法定代表人或授权代表签字并加盖公章之日起生效。 </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开立人：                                （公章）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法定代表人（或授权代表）：               （签字）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允许投标人实际开具的银行保函或担保机构或保证保险机构出具的担保的格式与本文件提供的格式有所不同，但不得更改本文件提供的银行保函或担保格式中的实质性内容。2、投标人开具的银行保函（或担保机构担保或保证保险）必须具有明确有效的查询途径（网址链接及查询方式）。</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pStyle w:val="2"/>
        <w:rPr>
          <w:rFonts w:hint="eastAsia"/>
          <w:color w:val="auto"/>
          <w:highlight w:val="none"/>
        </w:rPr>
      </w:pP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五、无不良信用记录声明函</w:t>
      </w:r>
    </w:p>
    <w:p>
      <w:pPr>
        <w:spacing w:line="360" w:lineRule="auto"/>
        <w:jc w:val="center"/>
        <w:rPr>
          <w:rFonts w:hint="eastAsia" w:ascii="宋体" w:hAnsi="宋体" w:eastAsia="宋体" w:cs="宋体"/>
          <w:b/>
          <w:i/>
          <w:color w:val="auto"/>
          <w:sz w:val="24"/>
          <w:highlight w:val="none"/>
        </w:rPr>
      </w:pPr>
      <w:r>
        <w:rPr>
          <w:rFonts w:hint="eastAsia" w:ascii="宋体" w:hAnsi="宋体" w:eastAsia="宋体" w:cs="宋体"/>
          <w:b/>
          <w:i/>
          <w:color w:val="auto"/>
          <w:sz w:val="24"/>
          <w:highlight w:val="none"/>
        </w:rPr>
        <w:t>(联合体参加磋商的，联合体双方均须提供）</w:t>
      </w:r>
    </w:p>
    <w:p>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lang w:val="en-US" w:eastAsia="zh-CN"/>
        </w:rPr>
        <w:t xml:space="preserve">未被合肥市及其所辖县（市）、区（开发区）公共资源交易监督管理部门记不良行为记录的；或被记不良行为记录（以公布日期为准），但同时符合下列情形的：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 xml:space="preserve">（1）开标日前（含当日）6个月内记分累计未满10分的；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 xml:space="preserve">（2）开标日前（含当日）12个月内记分累计未满15分的；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 xml:space="preserve">（3）开标日前（含当日）18个月内记分累计未满20分的； </w:t>
      </w:r>
    </w:p>
    <w:p>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lang w:val="en-US" w:eastAsia="zh-CN"/>
        </w:rPr>
        <w:t>（4）开标日前（含当日）24个月内记分累计未满25分的。</w:t>
      </w:r>
    </w:p>
    <w:p>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pacing w:line="360" w:lineRule="auto"/>
        <w:jc w:val="center"/>
        <w:outlineLvl w:val="2"/>
        <w:rPr>
          <w:rFonts w:hint="eastAsia" w:ascii="宋体" w:hAnsi="宋体" w:eastAsia="宋体" w:cs="宋体"/>
          <w:b/>
          <w:color w:val="auto"/>
          <w:sz w:val="24"/>
          <w:highlight w:val="none"/>
        </w:rPr>
      </w:pPr>
      <w:bookmarkStart w:id="181" w:name="_Toc204594911"/>
      <w:bookmarkStart w:id="182" w:name="_Toc121626298"/>
      <w:bookmarkStart w:id="183" w:name="_Toc516969106"/>
      <w:bookmarkStart w:id="184" w:name="_Toc520983594"/>
    </w:p>
    <w:p>
      <w:pPr>
        <w:spacing w:line="360" w:lineRule="auto"/>
        <w:jc w:val="center"/>
        <w:outlineLvl w:val="2"/>
        <w:rPr>
          <w:rFonts w:hint="eastAsia" w:ascii="宋体" w:hAnsi="宋体" w:eastAsia="宋体" w:cs="宋体"/>
          <w:b/>
          <w:color w:val="auto"/>
          <w:sz w:val="24"/>
          <w:highlight w:val="none"/>
        </w:rPr>
      </w:pPr>
    </w:p>
    <w:p>
      <w:pPr>
        <w:spacing w:line="360" w:lineRule="auto"/>
        <w:jc w:val="center"/>
        <w:outlineLvl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color w:val="auto"/>
          <w:highlight w:val="none"/>
        </w:rPr>
      </w:pPr>
    </w:p>
    <w:p>
      <w:pPr>
        <w:spacing w:line="360" w:lineRule="auto"/>
        <w:jc w:val="center"/>
        <w:outlineLvl w:val="2"/>
        <w:rPr>
          <w:rFonts w:hint="eastAsia" w:ascii="宋体" w:hAnsi="宋体" w:eastAsia="宋体" w:cs="宋体"/>
          <w:b/>
          <w:color w:val="auto"/>
          <w:sz w:val="24"/>
          <w:highlight w:val="none"/>
        </w:rPr>
      </w:pP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六、授权书</w:t>
      </w:r>
      <w:bookmarkEnd w:id="181"/>
      <w:bookmarkEnd w:id="182"/>
      <w:bookmarkEnd w:id="183"/>
      <w:bookmarkEnd w:id="184"/>
    </w:p>
    <w:p>
      <w:pPr>
        <w:spacing w:line="360" w:lineRule="auto"/>
        <w:jc w:val="center"/>
        <w:rPr>
          <w:rFonts w:hint="eastAsia" w:ascii="宋体" w:hAnsi="宋体" w:eastAsia="宋体" w:cs="宋体"/>
          <w:b/>
          <w:color w:val="auto"/>
          <w:sz w:val="24"/>
          <w:highlight w:val="none"/>
        </w:rPr>
      </w:pPr>
    </w:p>
    <w:p>
      <w:pPr>
        <w:pStyle w:val="8"/>
        <w:snapToGrid w:val="0"/>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招标活动</w:t>
      </w:r>
      <w:r>
        <w:rPr>
          <w:rFonts w:hint="eastAsia" w:ascii="宋体" w:hAnsi="宋体" w:eastAsia="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pPr>
        <w:pStyle w:val="8"/>
        <w:snapToGrid w:val="0"/>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pPr>
        <w:pStyle w:val="8"/>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授权代表</w:t>
      </w:r>
      <w:r>
        <w:rPr>
          <w:rFonts w:hint="eastAsia" w:ascii="宋体" w:hAnsi="宋体" w:eastAsia="宋体" w:cs="宋体"/>
          <w:color w:val="auto"/>
          <w:sz w:val="24"/>
          <w:highlight w:val="none"/>
        </w:rPr>
        <w:t>身份证明扫描件或影印件：</w:t>
      </w:r>
    </w:p>
    <w:p>
      <w:pPr>
        <w:pStyle w:val="8"/>
        <w:snapToGrid w:val="0"/>
        <w:spacing w:line="360" w:lineRule="auto"/>
        <w:ind w:firstLine="480" w:firstLineChars="200"/>
        <w:jc w:val="left"/>
        <w:rPr>
          <w:rFonts w:hint="eastAsia" w:ascii="宋体" w:hAnsi="宋体" w:eastAsia="宋体" w:cs="宋体"/>
          <w:color w:val="auto"/>
          <w:sz w:val="24"/>
          <w:highlight w:val="none"/>
        </w:rPr>
      </w:pPr>
    </w:p>
    <w:p>
      <w:pPr>
        <w:pStyle w:val="8"/>
        <w:snapToGrid w:val="0"/>
        <w:spacing w:line="360" w:lineRule="auto"/>
        <w:ind w:firstLine="480" w:firstLineChars="200"/>
        <w:jc w:val="left"/>
        <w:rPr>
          <w:rFonts w:hint="eastAsia" w:ascii="宋体" w:hAnsi="宋体" w:eastAsia="宋体" w:cs="宋体"/>
          <w:color w:val="auto"/>
          <w:sz w:val="24"/>
          <w:highlight w:val="none"/>
        </w:rPr>
      </w:pPr>
    </w:p>
    <w:p>
      <w:pPr>
        <w:pStyle w:val="8"/>
        <w:snapToGrid w:val="0"/>
        <w:spacing w:line="360" w:lineRule="auto"/>
        <w:ind w:firstLine="480" w:firstLineChars="200"/>
        <w:jc w:val="left"/>
        <w:rPr>
          <w:rFonts w:hint="eastAsia" w:ascii="宋体" w:hAnsi="宋体" w:eastAsia="宋体" w:cs="宋体"/>
          <w:color w:val="auto"/>
          <w:sz w:val="24"/>
          <w:highlight w:val="none"/>
        </w:rPr>
      </w:pPr>
    </w:p>
    <w:p>
      <w:pPr>
        <w:pStyle w:val="8"/>
        <w:snapToGrid w:val="0"/>
        <w:spacing w:line="360" w:lineRule="auto"/>
        <w:ind w:firstLine="480" w:firstLineChars="200"/>
        <w:jc w:val="left"/>
        <w:rPr>
          <w:rFonts w:hint="eastAsia" w:ascii="宋体" w:hAnsi="宋体" w:eastAsia="宋体" w:cs="宋体"/>
          <w:color w:val="auto"/>
          <w:sz w:val="24"/>
          <w:highlight w:val="none"/>
        </w:rPr>
      </w:pPr>
    </w:p>
    <w:p>
      <w:pPr>
        <w:pStyle w:val="8"/>
        <w:snapToGrid w:val="0"/>
        <w:spacing w:line="360" w:lineRule="auto"/>
        <w:ind w:firstLine="480" w:firstLineChars="200"/>
        <w:jc w:val="left"/>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pPr>
        <w:pStyle w:val="8"/>
        <w:snapToGrid w:val="0"/>
        <w:spacing w:line="360" w:lineRule="auto"/>
        <w:ind w:firstLine="480" w:firstLineChars="200"/>
        <w:jc w:val="left"/>
        <w:rPr>
          <w:rFonts w:hint="eastAsia" w:ascii="宋体" w:hAnsi="宋体" w:eastAsia="宋体" w:cs="宋体"/>
          <w:color w:val="auto"/>
          <w:sz w:val="24"/>
          <w:szCs w:val="28"/>
          <w:highlight w:val="none"/>
        </w:rPr>
      </w:pPr>
    </w:p>
    <w:p>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投标人电子签章：</w:t>
      </w:r>
      <w:r>
        <w:rPr>
          <w:rFonts w:hint="eastAsia" w:ascii="宋体" w:hAnsi="宋体" w:eastAsia="宋体" w:cs="宋体"/>
          <w:bCs/>
          <w:color w:val="auto"/>
          <w:sz w:val="24"/>
          <w:szCs w:val="28"/>
          <w:highlight w:val="none"/>
          <w:u w:val="single"/>
        </w:rPr>
        <w:t xml:space="preserve">                    </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p>
    <w:p>
      <w:pPr>
        <w:pStyle w:val="8"/>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p>
    <w:p>
      <w:pPr>
        <w:pStyle w:val="8"/>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1.本项目只允许有唯一的投标人授权代表，提供身份证明扫描件或影印件；</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七、商务响应表</w:t>
      </w:r>
    </w:p>
    <w:p>
      <w:pPr>
        <w:spacing w:line="360" w:lineRule="auto"/>
        <w:ind w:firstLine="435"/>
        <w:rPr>
          <w:rFonts w:hint="eastAsia" w:ascii="宋体" w:hAnsi="宋体" w:eastAsia="宋体" w:cs="宋体"/>
          <w:b/>
          <w:color w:val="auto"/>
          <w:sz w:val="24"/>
          <w:highlight w:val="none"/>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63"/>
        <w:gridCol w:w="3528"/>
        <w:gridCol w:w="1897"/>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pPr>
              <w:pStyle w:val="8"/>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63" w:type="dxa"/>
            <w:noWrap w:val="0"/>
            <w:vAlign w:val="center"/>
          </w:tcPr>
          <w:p>
            <w:pPr>
              <w:pStyle w:val="8"/>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3528" w:type="dxa"/>
            <w:noWrap w:val="0"/>
            <w:vAlign w:val="center"/>
          </w:tcPr>
          <w:p>
            <w:pPr>
              <w:pStyle w:val="8"/>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磋商文件要求</w:t>
            </w:r>
          </w:p>
        </w:tc>
        <w:tc>
          <w:tcPr>
            <w:tcW w:w="1897" w:type="dxa"/>
            <w:noWrap w:val="0"/>
            <w:vAlign w:val="center"/>
          </w:tcPr>
          <w:p>
            <w:pPr>
              <w:pStyle w:val="8"/>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810" w:type="dxa"/>
            <w:noWrap w:val="0"/>
            <w:vAlign w:val="center"/>
          </w:tcPr>
          <w:p>
            <w:pPr>
              <w:pStyle w:val="8"/>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56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3528" w:type="dxa"/>
            <w:noWrap w:val="0"/>
            <w:vAlign w:val="center"/>
          </w:tcPr>
          <w:p>
            <w:pPr>
              <w:keepNext w:val="0"/>
              <w:keepLines w:val="0"/>
              <w:widowControl/>
              <w:suppressLineNumbers w:val="0"/>
              <w:spacing w:before="0" w:beforeAutospacing="0" w:after="0" w:afterAutospacing="0"/>
              <w:ind w:left="0" w:right="0"/>
              <w:jc w:val="left"/>
              <w:rPr>
                <w:rFonts w:hint="default"/>
                <w:color w:val="auto"/>
                <w:szCs w:val="20"/>
                <w:highlight w:val="none"/>
              </w:rPr>
            </w:pPr>
            <w:r>
              <w:rPr>
                <w:rFonts w:hint="eastAsia" w:ascii="宋体" w:hAnsi="宋体" w:eastAsia="宋体" w:cs="宋体"/>
                <w:color w:val="auto"/>
                <w:kern w:val="0"/>
                <w:sz w:val="24"/>
                <w:szCs w:val="24"/>
                <w:highlight w:val="none"/>
                <w:lang w:val="en-US" w:eastAsia="zh-CN" w:bidi="ar"/>
              </w:rPr>
              <w:t xml:space="preserve">（1）进度款支付：承包人每月工程款资料经建设单位组织审 核后，30 天内支付当月已完合格工程量的 80%； （2）竣工款支付：工程竣工验收合格后，30 天内支付至已完 合格工程量的 90%； （3）结算款支付：项目审核结算后再付至工程结算价的 97%； 剩余 3％留作质保金，待质保期满后一次性付清。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4"/>
                <w:highlight w:val="none"/>
                <w:lang w:val="en-US" w:eastAsia="zh-CN" w:bidi="ar"/>
              </w:rPr>
              <w:t>注：如中标人采用“银行保函或保证保险等方式”提交等额 工程质量保证金，则在工程竣工结算完成后招标人应付至最 终结算价款的 100%。质量保证金可采用以下任意一种方式： （1）由银行业金融机构、工程担保公司、保险机构出具银行 保函、工程质量保险等担保方式，担保/保证金额为：3%的合 同价款； （2）3%的工程款； （3）其他方式：采用现金形式提交的（含从工程款中扣留）。</w:t>
            </w:r>
          </w:p>
        </w:tc>
        <w:tc>
          <w:tcPr>
            <w:tcW w:w="189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56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服务地点</w:t>
            </w:r>
          </w:p>
        </w:tc>
        <w:tc>
          <w:tcPr>
            <w:tcW w:w="3528" w:type="dxa"/>
            <w:noWrap w:val="0"/>
            <w:vAlign w:val="center"/>
          </w:tcPr>
          <w:p>
            <w:pPr>
              <w:pStyle w:val="22"/>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b w:val="0"/>
                <w:color w:val="auto"/>
                <w:sz w:val="24"/>
                <w:highlight w:val="none"/>
                <w:lang w:eastAsia="zh-CN"/>
              </w:rPr>
              <w:t>合肥市包河区，招标人指定地点</w:t>
            </w:r>
          </w:p>
        </w:tc>
        <w:tc>
          <w:tcPr>
            <w:tcW w:w="189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56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服务期限</w:t>
            </w:r>
          </w:p>
        </w:tc>
        <w:tc>
          <w:tcPr>
            <w:tcW w:w="3528" w:type="dxa"/>
            <w:noWrap w:val="0"/>
            <w:vAlign w:val="center"/>
          </w:tcPr>
          <w:p>
            <w:pPr>
              <w:pStyle w:val="22"/>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rPr>
            </w:pPr>
            <w:r>
              <w:rPr>
                <w:rFonts w:hint="eastAsia" w:ascii="宋体" w:hAnsi="宋体" w:eastAsia="宋体"/>
                <w:b w:val="0"/>
                <w:color w:val="auto"/>
                <w:sz w:val="24"/>
                <w:highlight w:val="none"/>
                <w:u w:val="none"/>
              </w:rPr>
              <w:t>自合同签订之日起</w:t>
            </w:r>
            <w:r>
              <w:rPr>
                <w:rFonts w:hint="eastAsia" w:ascii="宋体" w:hAnsi="宋体" w:eastAsia="宋体"/>
                <w:b w:val="0"/>
                <w:color w:val="auto"/>
                <w:sz w:val="24"/>
                <w:highlight w:val="none"/>
                <w:u w:val="none"/>
                <w:lang w:eastAsia="zh-CN"/>
              </w:rPr>
              <w:t>一年，合同期内承接的项目未完成的直至项目结束。</w:t>
            </w:r>
          </w:p>
        </w:tc>
        <w:tc>
          <w:tcPr>
            <w:tcW w:w="1897" w:type="dxa"/>
            <w:noWrap w:val="0"/>
            <w:vAlign w:val="center"/>
          </w:tcPr>
          <w:p>
            <w:pPr>
              <w:pStyle w:val="29"/>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8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pPr>
        <w:pStyle w:val="9"/>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八、人员配备</w:t>
      </w:r>
    </w:p>
    <w:p>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pPr>
        <w:keepNext w:val="0"/>
        <w:keepLines w:val="0"/>
        <w:widowControl w:val="0"/>
        <w:suppressLineNumbers w:val="0"/>
        <w:spacing w:before="240" w:beforeLines="100" w:beforeAutospacing="0" w:after="240" w:afterLines="100" w:afterAutospacing="0"/>
        <w:ind w:left="0" w:right="0"/>
        <w:jc w:val="center"/>
        <w:outlineLvl w:val="2"/>
        <w:rPr>
          <w:rFonts w:hint="eastAsia" w:ascii="Times New Roman" w:hAnsi="Calibri" w:eastAsia="黑体" w:cs="黑体"/>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其他主要管理人员和技术人员最低要求</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035"/>
        <w:gridCol w:w="5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Times New Roman" w:hAnsi="Calibri"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人员岗位</w:t>
            </w:r>
          </w:p>
        </w:tc>
        <w:tc>
          <w:tcPr>
            <w:tcW w:w="607"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Times New Roman" w:hAnsi="Calibri"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数量</w:t>
            </w:r>
          </w:p>
        </w:tc>
        <w:tc>
          <w:tcPr>
            <w:tcW w:w="324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imes New Roman" w:hAnsi="Calibri" w:eastAsia="宋体" w:cs="宋体"/>
                <w:b/>
                <w:b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Times New Roman" w:hAnsi="Calibri"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项目负责人</w:t>
            </w:r>
          </w:p>
        </w:tc>
        <w:tc>
          <w:tcPr>
            <w:tcW w:w="607"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imes New Roman" w:hAnsi="Calibri" w:eastAsia="宋体" w:cs="宋体"/>
                <w:b/>
                <w:bCs w:val="0"/>
                <w:color w:val="auto"/>
                <w:kern w:val="2"/>
                <w:sz w:val="21"/>
                <w:szCs w:val="21"/>
                <w:highlight w:val="none"/>
              </w:rPr>
            </w:pPr>
            <w:r>
              <w:rPr>
                <w:rFonts w:hint="default" w:ascii="Times New Roman" w:hAnsi="Times New Roman" w:eastAsia="宋体" w:cs="Times New Roman"/>
                <w:b/>
                <w:bCs w:val="0"/>
                <w:color w:val="auto"/>
                <w:kern w:val="2"/>
                <w:sz w:val="21"/>
                <w:szCs w:val="21"/>
                <w:highlight w:val="none"/>
                <w:lang w:val="en-US" w:eastAsia="zh-CN" w:bidi="ar"/>
              </w:rPr>
              <w:t>1</w:t>
            </w:r>
          </w:p>
        </w:tc>
        <w:tc>
          <w:tcPr>
            <w:tcW w:w="324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Times New Roman" w:hAnsi="Calibri"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初审项，资格要求详见招标公告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Times New Roman"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技术负责人</w:t>
            </w:r>
          </w:p>
        </w:tc>
        <w:tc>
          <w:tcPr>
            <w:tcW w:w="607"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imes New Roman" w:hAnsi="Calibri" w:eastAsia="宋体" w:cs="宋体"/>
                <w:b w:val="0"/>
                <w:bCs/>
                <w:color w:val="auto"/>
                <w:kern w:val="2"/>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
              </w:rPr>
              <w:t>1</w:t>
            </w:r>
          </w:p>
        </w:tc>
        <w:tc>
          <w:tcPr>
            <w:tcW w:w="3248" w:type="pct"/>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Times New Roman" w:hAnsi="Calibri"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非初审项，投标文件中可不体现相关证明材料。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Calibri"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施工员</w:t>
            </w:r>
          </w:p>
        </w:tc>
        <w:tc>
          <w:tcPr>
            <w:tcW w:w="607"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Calibri" w:eastAsia="宋体" w:cs="宋体"/>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p>
        </w:tc>
        <w:tc>
          <w:tcPr>
            <w:tcW w:w="3248" w:type="pct"/>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Calibri"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质量员</w:t>
            </w:r>
            <w:r>
              <w:rPr>
                <w:rFonts w:hint="default" w:ascii="Times New Roman" w:hAnsi="Times New Roman" w:eastAsia="宋体" w:cs="Times New Roman"/>
                <w:bCs/>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质检员</w:t>
            </w:r>
          </w:p>
        </w:tc>
        <w:tc>
          <w:tcPr>
            <w:tcW w:w="607"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imes New Roman" w:hAnsi="Calibri" w:eastAsia="宋体" w:cs="宋体"/>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p>
        </w:tc>
        <w:tc>
          <w:tcPr>
            <w:tcW w:w="3248" w:type="pct"/>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Calibri"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安全员</w:t>
            </w:r>
          </w:p>
        </w:tc>
        <w:tc>
          <w:tcPr>
            <w:tcW w:w="607"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imes New Roman" w:hAnsi="Calibri" w:eastAsia="宋体" w:cs="宋体"/>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p>
        </w:tc>
        <w:tc>
          <w:tcPr>
            <w:tcW w:w="3248" w:type="pct"/>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Calibri"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资料员</w:t>
            </w:r>
          </w:p>
        </w:tc>
        <w:tc>
          <w:tcPr>
            <w:tcW w:w="607"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imes New Roman" w:hAnsi="Calibri" w:eastAsia="宋体" w:cs="宋体"/>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p>
        </w:tc>
        <w:tc>
          <w:tcPr>
            <w:tcW w:w="3248" w:type="pct"/>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Times New Roman" w:hAnsi="Calibri"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劳资专管员</w:t>
            </w:r>
          </w:p>
        </w:tc>
        <w:tc>
          <w:tcPr>
            <w:tcW w:w="607"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imes New Roman" w:hAnsi="Calibri" w:eastAsia="宋体" w:cs="宋体"/>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p>
        </w:tc>
        <w:tc>
          <w:tcPr>
            <w:tcW w:w="3248" w:type="pct"/>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pPr>
        <w:pStyle w:val="30"/>
        <w:widowControl/>
        <w:adjustRightInd w:val="0"/>
        <w:snapToGrid w:val="0"/>
        <w:spacing w:line="400" w:lineRule="exact"/>
        <w:ind w:left="0" w:firstLine="480" w:firstLineChars="200"/>
        <w:jc w:val="left"/>
        <w:rPr>
          <w:rFonts w:hint="eastAsia" w:ascii="Times New Roman" w:hAnsi="Times New Roman"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w:t>
      </w:r>
    </w:p>
    <w:p>
      <w:pPr>
        <w:pStyle w:val="30"/>
        <w:widowControl/>
        <w:adjustRightInd w:val="0"/>
        <w:snapToGrid w:val="0"/>
        <w:spacing w:line="400" w:lineRule="exact"/>
        <w:ind w:left="0" w:firstLine="480" w:firstLineChars="200"/>
        <w:jc w:val="left"/>
        <w:rPr>
          <w:rFonts w:hint="eastAsia"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eastAsia" w:ascii="宋体" w:hAnsi="宋体" w:eastAsia="宋体" w:cs="宋体"/>
          <w:color w:val="auto"/>
          <w:kern w:val="0"/>
          <w:sz w:val="24"/>
          <w:szCs w:val="24"/>
          <w:highlight w:val="none"/>
        </w:rPr>
        <w:t>本表为招标人按照住房和城乡建设部及安徽省相关标准规定要求投标人中标后需要配备其他主要管理人员和技术人员数量的最低要求。</w:t>
      </w:r>
    </w:p>
    <w:p>
      <w:pPr>
        <w:pStyle w:val="30"/>
        <w:widowControl/>
        <w:adjustRightInd w:val="0"/>
        <w:snapToGrid w:val="0"/>
        <w:spacing w:line="400" w:lineRule="exact"/>
        <w:ind w:left="0" w:firstLine="480" w:firstLineChars="200"/>
        <w:jc w:val="left"/>
        <w:rPr>
          <w:rFonts w:hint="eastAsia"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w:t>
      </w:r>
      <w:r>
        <w:rPr>
          <w:rFonts w:hint="eastAsia" w:ascii="宋体" w:hAnsi="宋体" w:eastAsia="宋体" w:cs="宋体"/>
          <w:color w:val="auto"/>
          <w:kern w:val="0"/>
          <w:sz w:val="24"/>
          <w:szCs w:val="24"/>
          <w:highlight w:val="none"/>
        </w:rPr>
        <w:t>项目实施时，中标人和招标人在签订合同时应按照不低于本表人员配置的要求填写承包人主要施工管理人员表（人员配置符合住房和城乡建设部及安徽省相关标准），并作为合同的附件之一。</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九、服务方案</w:t>
      </w:r>
    </w:p>
    <w:p>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十、服务承诺</w:t>
      </w:r>
    </w:p>
    <w:p>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十一、磋商业绩承诺函</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pPr>
        <w:spacing w:line="360" w:lineRule="auto"/>
        <w:ind w:firstLine="435"/>
        <w:rPr>
          <w:rFonts w:hint="eastAsia" w:ascii="宋体" w:hAnsi="宋体" w:eastAsia="宋体" w:cs="宋体"/>
          <w:color w:val="auto"/>
          <w:sz w:val="24"/>
          <w:highlight w:val="none"/>
        </w:rPr>
      </w:pPr>
    </w:p>
    <w:p>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tabs>
          <w:tab w:val="left" w:pos="630"/>
        </w:tabs>
        <w:spacing w:line="360" w:lineRule="auto"/>
        <w:ind w:firstLine="3700" w:firstLineChars="1762"/>
        <w:rPr>
          <w:rFonts w:hint="eastAsia" w:ascii="宋体" w:hAnsi="宋体" w:eastAsia="宋体" w:cs="宋体"/>
          <w:color w:val="auto"/>
          <w:highlight w:val="none"/>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9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9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9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9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9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9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b/>
          <w:bCs/>
          <w:color w:val="auto"/>
          <w:sz w:val="24"/>
          <w:szCs w:val="28"/>
          <w:highlight w:val="none"/>
        </w:rPr>
      </w:pPr>
    </w:p>
    <w:p>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十二、联合体协议</w:t>
      </w:r>
    </w:p>
    <w:p>
      <w:pPr>
        <w:pStyle w:val="14"/>
        <w:spacing w:line="360" w:lineRule="auto"/>
        <w:rPr>
          <w:rFonts w:hint="eastAsia" w:ascii="宋体" w:hAnsi="宋体" w:eastAsia="宋体" w:cs="宋体"/>
          <w:b w:val="0"/>
          <w:i/>
          <w:color w:val="auto"/>
          <w:sz w:val="24"/>
          <w:highlight w:val="none"/>
        </w:rPr>
      </w:pPr>
      <w:r>
        <w:rPr>
          <w:rFonts w:hint="eastAsia" w:ascii="宋体" w:hAnsi="宋体" w:eastAsia="宋体" w:cs="宋体"/>
          <w:b w:val="0"/>
          <w:i/>
          <w:color w:val="auto"/>
          <w:sz w:val="24"/>
          <w:highlight w:val="none"/>
        </w:rPr>
        <w:t>（不允许联合体参加磋商或未组成联合体的，不需此件；允许联合体参加磋商且投标人为联合体参加磋商的，请将此件加盖公章后制成扫描件上传）</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联合体成员一名称：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联合体成员二名称：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上述各成员单位经过友好协商，自愿组成联合体，共同参加本项目的磋商，现就联合体参加磋商事宜订立如下协议：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（某成员单位名称）为联合体牵头人。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中标后，联合体各方共同与招标人签订合同，就本项目对招标人承担连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3.联合体各成员单位内部的职责分工及各方负责内容的合同金额占总合同金额的百分比如下：</w:t>
      </w: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联合体成员一名称：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工作，负责内容的合同金额占总合同金额的百分比：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联合体成员二名称：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工作，负责内容的合同金额占总合同金额的百分比：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4．磋商工作和联合体在中标后项目实施过程中的有关费用按各自承担的工作量分摊。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5．联合体中标后，本联合体协议是合同的附件，对联合体各成员单位有合同约束力。</w:t>
      </w:r>
    </w:p>
    <w:p>
      <w:pPr>
        <w:spacing w:line="360" w:lineRule="auto"/>
        <w:ind w:firstLine="435"/>
        <w:rPr>
          <w:rFonts w:hint="eastAsia"/>
          <w:color w:val="auto"/>
          <w:highlight w:val="none"/>
        </w:rPr>
      </w:pPr>
      <w:r>
        <w:rPr>
          <w:rFonts w:hint="eastAsia" w:ascii="宋体" w:hAnsi="宋体" w:eastAsia="宋体" w:cs="宋体"/>
          <w:color w:val="auto"/>
          <w:sz w:val="24"/>
          <w:highlight w:val="none"/>
        </w:rPr>
        <w:t>6．本协议书自签署之日起生效，联合体未中标或者合同履行完毕后自动失效。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pStyle w:val="14"/>
        <w:spacing w:line="360" w:lineRule="auto"/>
        <w:rPr>
          <w:rFonts w:hint="eastAsia" w:ascii="宋体" w:hAnsi="宋体" w:eastAsia="宋体" w:cs="宋体"/>
          <w:color w:val="auto"/>
          <w:sz w:val="24"/>
          <w:highlight w:val="none"/>
        </w:rPr>
      </w:pPr>
    </w:p>
    <w:p>
      <w:pPr>
        <w:spacing w:line="360" w:lineRule="auto"/>
        <w:ind w:right="480" w:firstLine="4680" w:firstLineChars="1950"/>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ind w:right="480" w:firstLine="4680" w:firstLineChars="1950"/>
        <w:rPr>
          <w:rFonts w:hint="eastAsia" w:ascii="宋体" w:hAnsi="宋体" w:eastAsia="宋体" w:cs="宋体"/>
          <w:color w:val="auto"/>
          <w:sz w:val="24"/>
          <w:highlight w:val="none"/>
        </w:rPr>
      </w:pPr>
    </w:p>
    <w:p>
      <w:pPr>
        <w:spacing w:line="360" w:lineRule="auto"/>
        <w:ind w:right="480" w:firstLine="5460" w:firstLineChars="1950"/>
        <w:rPr>
          <w:rFonts w:hint="eastAsia" w:ascii="宋体" w:hAnsi="宋体" w:eastAsia="宋体" w:cs="宋体"/>
          <w:color w:val="auto"/>
          <w:sz w:val="28"/>
          <w:highlight w:val="none"/>
        </w:rPr>
      </w:pPr>
    </w:p>
    <w:p>
      <w:pPr>
        <w:widowControl/>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br w:type="page"/>
      </w:r>
    </w:p>
    <w:p>
      <w:pPr>
        <w:spacing w:line="360" w:lineRule="auto"/>
        <w:jc w:val="center"/>
        <w:outlineLvl w:val="2"/>
        <w:rPr>
          <w:rFonts w:hint="eastAsia" w:ascii="宋体" w:hAnsi="宋体" w:eastAsia="宋体" w:cs="宋体"/>
          <w:b/>
          <w:color w:val="auto"/>
          <w:sz w:val="24"/>
          <w:szCs w:val="24"/>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、其他相关证明材料</w:t>
      </w:r>
    </w:p>
    <w:p>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pPr>
        <w:spacing w:line="360" w:lineRule="auto"/>
        <w:ind w:firstLine="435"/>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pPr>
        <w:spacing w:line="360" w:lineRule="auto"/>
        <w:jc w:val="center"/>
        <w:rPr>
          <w:rFonts w:hint="eastAsia" w:ascii="宋体" w:hAnsi="宋体" w:eastAsia="宋体" w:cs="宋体"/>
          <w:b/>
          <w:color w:val="auto"/>
          <w:sz w:val="24"/>
          <w:highlight w:val="none"/>
        </w:rPr>
      </w:pPr>
    </w:p>
    <w:p>
      <w:pPr>
        <w:spacing w:line="360" w:lineRule="auto"/>
        <w:rPr>
          <w:rFonts w:hint="eastAsia" w:ascii="宋体" w:hAnsi="宋体" w:eastAsia="宋体" w:cs="宋体"/>
          <w:bCs/>
          <w:color w:val="auto"/>
          <w:sz w:val="24"/>
          <w:highlight w:val="none"/>
        </w:rPr>
      </w:pPr>
    </w:p>
    <w:p>
      <w:pPr>
        <w:rPr>
          <w:color w:val="auto"/>
          <w:highlight w:val="none"/>
        </w:rPr>
      </w:pPr>
    </w:p>
    <w:p>
      <w:pPr>
        <w:rPr>
          <w:color w:val="auto"/>
          <w:highlight w:val="none"/>
        </w:rPr>
      </w:pPr>
    </w:p>
    <w:sectPr>
      <w:headerReference r:id="rId9" w:type="default"/>
      <w:footerReference r:id="rId10"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8AA0CC-CD5C-49AC-8F70-4408E4D09CD3}"/>
  </w:font>
  <w:font w:name="黑体">
    <w:panose1 w:val="02010609060101010101"/>
    <w:charset w:val="86"/>
    <w:family w:val="auto"/>
    <w:pitch w:val="default"/>
    <w:sig w:usb0="800002BF" w:usb1="38CF7CFA" w:usb2="00000016" w:usb3="00000000" w:csb0="00040001" w:csb1="00000000"/>
    <w:embedRegular r:id="rId2" w:fontKey="{F2771749-B110-4C2B-9A2D-FADD015C72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2474378-5226-41DD-8CF8-FF2933323EA7}"/>
  </w:font>
  <w:font w:name="仿宋_GB2312">
    <w:panose1 w:val="02010609030101010101"/>
    <w:charset w:val="86"/>
    <w:family w:val="modern"/>
    <w:pitch w:val="default"/>
    <w:sig w:usb0="00000001" w:usb1="080E0000" w:usb2="00000000" w:usb3="00000000" w:csb0="00040000" w:csb1="00000000"/>
    <w:embedRegular r:id="rId4" w:fontKey="{3BC938C5-3712-4A1F-9841-33CBC171657D}"/>
  </w:font>
  <w:font w:name="@仿宋_GB2312">
    <w:panose1 w:val="02010609030101010101"/>
    <w:charset w:val="86"/>
    <w:family w:val="modern"/>
    <w:pitch w:val="default"/>
    <w:sig w:usb0="00000001" w:usb1="080E0000" w:usb2="00000000" w:usb3="00000000" w:csb0="00040000" w:csb1="00000000"/>
    <w:embedRegular r:id="rId5" w:fontKey="{A98CF815-CAE5-4DA8-B4DE-F14AFE925FC4}"/>
  </w:font>
  <w:font w:name="仿宋">
    <w:panose1 w:val="02010609060101010101"/>
    <w:charset w:val="86"/>
    <w:family w:val="auto"/>
    <w:pitch w:val="default"/>
    <w:sig w:usb0="800002BF" w:usb1="38CF7CFA" w:usb2="00000016" w:usb3="00000000" w:csb0="00040001" w:csb1="00000000"/>
    <w:embedRegular r:id="rId6" w:fontKey="{A6984C94-FB14-425C-914B-D269233A216B}"/>
  </w:font>
  <w:font w:name="方正小标宋简体">
    <w:panose1 w:val="02000000000000000000"/>
    <w:charset w:val="86"/>
    <w:family w:val="auto"/>
    <w:pitch w:val="default"/>
    <w:sig w:usb0="00000001" w:usb1="08000000" w:usb2="00000000" w:usb3="00000000" w:csb0="00040000" w:csb1="00000000"/>
    <w:embedRegular r:id="rId7" w:fontKey="{C6FB5837-B4F2-4305-B358-3A6928227E5B}"/>
  </w:font>
  <w:font w:name="楷体">
    <w:panose1 w:val="02010609060101010101"/>
    <w:charset w:val="86"/>
    <w:family w:val="modern"/>
    <w:pitch w:val="default"/>
    <w:sig w:usb0="800002BF" w:usb1="38CF7CFA" w:usb2="00000016" w:usb3="00000000" w:csb0="00040001" w:csb1="00000000"/>
    <w:embedRegular r:id="rId8" w:fontKey="{B80A15E7-815E-4108-827D-29699738428E}"/>
  </w:font>
  <w:font w:name="Wingdings 2">
    <w:panose1 w:val="05020102010507070707"/>
    <w:charset w:val="02"/>
    <w:family w:val="auto"/>
    <w:pitch w:val="default"/>
    <w:sig w:usb0="00000000" w:usb1="00000000" w:usb2="00000000" w:usb3="00000000" w:csb0="80000000" w:csb1="00000000"/>
    <w:embedRegular r:id="rId9" w:fontKey="{7590C36B-4949-4C2F-A204-F0515792A3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Dz4655AEAAM8DAAAO&#10;AAAAAAAAAAEAIAAAAB4BAABkcnMvZTJvRG9jLnhtbFBLBQYAAAAABgAGAFkBAAB0BQAAAAA=&#10;">
              <v:fill on="f" focussize="0,0"/>
              <v:stroke on="f"/>
              <v:imagedata o:title=""/>
              <o:lock v:ext="edit" aspectratio="f"/>
              <v:textbox inset="0mm,0mm,0mm,0mm" style="mso-fit-shape-to-text:t;">
                <w:txbxContent>
                  <w:p>
                    <w:pPr>
                      <w:pStyle w:val="10"/>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pPr>
                      <w:pStyle w:val="10"/>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3DD92"/>
    <w:multiLevelType w:val="singleLevel"/>
    <w:tmpl w:val="8843DD92"/>
    <w:lvl w:ilvl="0" w:tentative="0">
      <w:start w:val="3"/>
      <w:numFmt w:val="decimal"/>
      <w:suff w:val="nothing"/>
      <w:lvlText w:val="（%1）"/>
      <w:lvlJc w:val="left"/>
    </w:lvl>
  </w:abstractNum>
  <w:abstractNum w:abstractNumId="1">
    <w:nsid w:val="C6D939D0"/>
    <w:multiLevelType w:val="singleLevel"/>
    <w:tmpl w:val="C6D939D0"/>
    <w:lvl w:ilvl="0" w:tentative="0">
      <w:start w:val="2"/>
      <w:numFmt w:val="chineseCounting"/>
      <w:suff w:val="nothing"/>
      <w:lvlText w:val="%1、"/>
      <w:lvlJc w:val="left"/>
      <w:rPr>
        <w:rFonts w:hint="eastAsia"/>
      </w:rPr>
    </w:lvl>
  </w:abstractNum>
  <w:abstractNum w:abstractNumId="2">
    <w:nsid w:val="C8AD724D"/>
    <w:multiLevelType w:val="singleLevel"/>
    <w:tmpl w:val="C8AD724D"/>
    <w:lvl w:ilvl="0" w:tentative="0">
      <w:start w:val="13"/>
      <w:numFmt w:val="decimal"/>
      <w:lvlText w:val="%1."/>
      <w:lvlJc w:val="left"/>
      <w:pPr>
        <w:tabs>
          <w:tab w:val="left" w:pos="312"/>
        </w:tabs>
      </w:pPr>
    </w:lvl>
  </w:abstractNum>
  <w:abstractNum w:abstractNumId="3">
    <w:nsid w:val="EFB76FA9"/>
    <w:multiLevelType w:val="singleLevel"/>
    <w:tmpl w:val="EFB76FA9"/>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3c1e828d-396b-425c-ad65-a14326cc9da3"/>
  </w:docVars>
  <w:rsids>
    <w:rsidRoot w:val="00000000"/>
    <w:rsid w:val="2BAD24DE"/>
    <w:rsid w:val="6E515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3">
    <w:name w:val="Body Text 3"/>
    <w:basedOn w:val="1"/>
    <w:unhideWhenUsed/>
    <w:qFormat/>
    <w:uiPriority w:val="0"/>
    <w:pPr>
      <w:spacing w:after="120"/>
    </w:pPr>
    <w:rPr>
      <w:sz w:val="16"/>
    </w:rPr>
  </w:style>
  <w:style w:type="paragraph" w:styleId="4">
    <w:name w:val="Body Text"/>
    <w:basedOn w:val="1"/>
    <w:next w:val="5"/>
    <w:qFormat/>
    <w:uiPriority w:val="0"/>
    <w:rPr>
      <w:rFonts w:ascii="宋体" w:hAnsi="Arial" w:cs="Times New Roman"/>
      <w:sz w:val="28"/>
    </w:rPr>
  </w:style>
  <w:style w:type="paragraph" w:styleId="5">
    <w:name w:val="List Bullet 5"/>
    <w:basedOn w:val="1"/>
    <w:uiPriority w:val="0"/>
    <w:pPr>
      <w:numPr>
        <w:ilvl w:val="0"/>
        <w:numId w:val="1"/>
      </w:numPr>
    </w:pPr>
  </w:style>
  <w:style w:type="paragraph" w:styleId="6">
    <w:name w:val="Body Text Indent"/>
    <w:basedOn w:val="1"/>
    <w:next w:val="7"/>
    <w:qFormat/>
    <w:uiPriority w:val="0"/>
    <w:pPr>
      <w:spacing w:after="120"/>
      <w:ind w:left="420" w:leftChars="200"/>
    </w:pPr>
  </w:style>
  <w:style w:type="paragraph" w:styleId="7">
    <w:name w:val="envelope return"/>
    <w:basedOn w:val="1"/>
    <w:next w:val="1"/>
    <w:qFormat/>
    <w:uiPriority w:val="0"/>
    <w:pPr>
      <w:snapToGrid w:val="0"/>
    </w:pPr>
    <w:rPr>
      <w:rFonts w:ascii="Arial" w:hAnsi="Arial"/>
    </w:rPr>
  </w:style>
  <w:style w:type="paragraph" w:styleId="8">
    <w:name w:val="Plain Text"/>
    <w:basedOn w:val="1"/>
    <w:qFormat/>
    <w:uiPriority w:val="99"/>
    <w:rPr>
      <w:rFonts w:ascii="宋体" w:hAnsi="Courier New" w:cs="黑体"/>
      <w:szCs w:val="22"/>
    </w:rPr>
  </w:style>
  <w:style w:type="paragraph" w:styleId="9">
    <w:name w:val="Date"/>
    <w:basedOn w:val="1"/>
    <w:next w:val="1"/>
    <w:qFormat/>
    <w:uiPriority w:val="0"/>
    <w:rPr>
      <w:rFonts w:ascii="Arial" w:hAnsi="Arial" w:cs="Arial"/>
      <w:b/>
      <w:sz w:val="2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rFonts w:ascii="Calibri" w:hAnsi="Calibri"/>
      <w:szCs w:val="22"/>
    </w:rPr>
  </w:style>
  <w:style w:type="paragraph" w:styleId="13">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14">
    <w:name w:val="index 1"/>
    <w:basedOn w:val="1"/>
    <w:next w:val="1"/>
    <w:qFormat/>
    <w:uiPriority w:val="0"/>
    <w:pPr>
      <w:jc w:val="center"/>
    </w:pPr>
    <w:rPr>
      <w:rFonts w:ascii="Arial" w:hAnsi="Arial" w:eastAsia="Arial" w:cs="Arial"/>
      <w:b/>
      <w:bCs/>
      <w:sz w:val="28"/>
    </w:rPr>
  </w:style>
  <w:style w:type="paragraph" w:styleId="15">
    <w:name w:val="Body Text First Indent 2"/>
    <w:basedOn w:val="6"/>
    <w:next w:val="12"/>
    <w:qFormat/>
    <w:uiPriority w:val="0"/>
    <w:pPr>
      <w:ind w:firstLine="420" w:firstLineChars="200"/>
    </w:pPr>
  </w:style>
  <w:style w:type="table" w:styleId="17">
    <w:name w:val="Table Grid"/>
    <w:basedOn w:val="16"/>
    <w:unhideWhenUsed/>
    <w:qFormat/>
    <w:uiPriority w:val="59"/>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unhideWhenUsed/>
    <w:qFormat/>
    <w:uiPriority w:val="99"/>
    <w:rPr>
      <w:sz w:val="21"/>
      <w:szCs w:val="21"/>
    </w:rPr>
  </w:style>
  <w:style w:type="character" w:customStyle="1" w:styleId="20">
    <w:name w:val="font11"/>
    <w:basedOn w:val="18"/>
    <w:qFormat/>
    <w:uiPriority w:val="0"/>
    <w:rPr>
      <w:rFonts w:hint="eastAsia" w:ascii="宋体" w:hAnsi="宋体" w:eastAsia="宋体" w:cs="宋体"/>
      <w:b/>
      <w:bCs/>
      <w:color w:val="000000"/>
      <w:sz w:val="24"/>
      <w:szCs w:val="24"/>
      <w:u w:val="none"/>
    </w:rPr>
  </w:style>
  <w:style w:type="paragraph" w:customStyle="1" w:styleId="21">
    <w:name w:val="正文（缩进）"/>
    <w:basedOn w:val="1"/>
    <w:qFormat/>
    <w:uiPriority w:val="0"/>
    <w:pPr>
      <w:widowControl/>
      <w:spacing w:before="156" w:after="156"/>
      <w:ind w:firstLine="480" w:firstLineChars="200"/>
      <w:jc w:val="left"/>
    </w:pPr>
    <w:rPr>
      <w:kern w:val="0"/>
      <w:sz w:val="24"/>
      <w:szCs w:val="24"/>
    </w:rPr>
  </w:style>
  <w:style w:type="paragraph" w:customStyle="1" w:styleId="22">
    <w:name w:val="xl31"/>
    <w:basedOn w:val="1"/>
    <w:qFormat/>
    <w:uiPriority w:val="0"/>
    <w:pPr>
      <w:widowControl/>
      <w:spacing w:before="100" w:beforeAutospacing="1" w:after="100" w:afterAutospacing="1"/>
      <w:jc w:val="center"/>
    </w:pPr>
    <w:rPr>
      <w:b/>
      <w:bCs/>
      <w:kern w:val="0"/>
      <w:sz w:val="28"/>
      <w:szCs w:val="28"/>
    </w:rPr>
  </w:style>
  <w:style w:type="paragraph" w:customStyle="1" w:styleId="23">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4">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25">
    <w:name w:val="纯文本1"/>
    <w:basedOn w:val="1"/>
    <w:qFormat/>
    <w:uiPriority w:val="0"/>
    <w:rPr>
      <w:rFonts w:ascii="Arial" w:hAnsi="Arial" w:eastAsia="Arial" w:cs="Times New Roman"/>
    </w:rPr>
  </w:style>
  <w:style w:type="paragraph" w:customStyle="1" w:styleId="26">
    <w:name w:val="Table Text"/>
    <w:basedOn w:val="1"/>
    <w:semiHidden/>
    <w:qFormat/>
    <w:uiPriority w:val="0"/>
    <w:rPr>
      <w:rFonts w:ascii="仿宋" w:hAnsi="仿宋" w:eastAsia="仿宋" w:cs="仿宋"/>
      <w:sz w:val="28"/>
      <w:szCs w:val="28"/>
      <w:lang w:val="en-US" w:eastAsia="en-US" w:bidi="ar-SA"/>
    </w:rPr>
  </w:style>
  <w:style w:type="table" w:customStyle="1" w:styleId="27">
    <w:name w:val="Table Normal"/>
    <w:unhideWhenUsed/>
    <w:qFormat/>
    <w:uiPriority w:val="0"/>
    <w:tblPr>
      <w:tblStyle w:val="16"/>
      <w:tblCellMar>
        <w:top w:w="0" w:type="dxa"/>
        <w:left w:w="0" w:type="dxa"/>
        <w:bottom w:w="0" w:type="dxa"/>
        <w:right w:w="0" w:type="dxa"/>
      </w:tblCellMar>
    </w:tblPr>
  </w:style>
  <w:style w:type="character" w:customStyle="1" w:styleId="28">
    <w:name w:val="Subtle Emphasis"/>
    <w:qFormat/>
    <w:uiPriority w:val="19"/>
    <w:rPr>
      <w:i/>
      <w:iCs/>
      <w:color w:val="404040"/>
    </w:rPr>
  </w:style>
  <w:style w:type="paragraph" w:customStyle="1" w:styleId="29">
    <w:name w:val="Char Char Char Char Char Char Char1 Char"/>
    <w:basedOn w:val="1"/>
    <w:qFormat/>
    <w:uiPriority w:val="0"/>
    <w:rPr>
      <w:rFonts w:ascii="Arial" w:hAnsi="Arial" w:cs="Arial"/>
      <w:sz w:val="24"/>
    </w:rPr>
  </w:style>
  <w:style w:type="paragraph" w:customStyle="1" w:styleId="30">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26990</Words>
  <Characters>28125</Characters>
  <Lines>0</Lines>
  <Paragraphs>0</Paragraphs>
  <TotalTime>0</TotalTime>
  <ScaleCrop>false</ScaleCrop>
  <LinksUpToDate>false</LinksUpToDate>
  <CharactersWithSpaces>30491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2024-11-20T11:11:15Z</dcterms:created>
  <dc:creator>LENOVO</dc:creator>
  <cp:lastModifiedBy>Summer</cp:lastModifiedBy>
  <dcterms:modified xsi:type="dcterms:W3CDTF">2024-11-21T03:20:59Z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3D34692160E14CCBA32BC771C42B2525_13</vt:lpwstr>
  </property>
</Properties>
</file>