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D6ADA">
      <w:pPr>
        <w:widowControl/>
        <w:jc w:val="center"/>
        <w:rPr>
          <w:rFonts w:ascii="Times New Roman" w:hAnsi="Times New Roman" w:eastAsia="方正小标宋简体" w:cs="Times New Roman"/>
          <w:sz w:val="32"/>
          <w:szCs w:val="32"/>
          <w:highlight w:val="none"/>
        </w:rPr>
      </w:pPr>
      <w:bookmarkStart w:id="0" w:name="_Hlk9544796"/>
    </w:p>
    <w:p w14:paraId="05C57612">
      <w:pPr>
        <w:widowControl/>
        <w:jc w:val="center"/>
        <w:rPr>
          <w:rFonts w:ascii="Times New Roman" w:hAnsi="Times New Roman" w:eastAsia="方正小标宋简体" w:cs="Times New Roman"/>
          <w:sz w:val="32"/>
          <w:szCs w:val="32"/>
          <w:highlight w:val="none"/>
        </w:rPr>
      </w:pPr>
    </w:p>
    <w:p w14:paraId="470FBBF4">
      <w:pPr>
        <w:pStyle w:val="2"/>
        <w:ind w:firstLine="560"/>
        <w:rPr>
          <w:rFonts w:ascii="Times New Roman" w:hAnsi="Times New Roman" w:eastAsia="方正小标宋简体" w:cs="Times New Roman"/>
          <w:snapToGrid w:val="0"/>
          <w:kern w:val="0"/>
          <w:sz w:val="28"/>
          <w:szCs w:val="28"/>
          <w:highlight w:val="none"/>
        </w:rPr>
      </w:pPr>
    </w:p>
    <w:p w14:paraId="27DD58B5">
      <w:pPr>
        <w:rPr>
          <w:rFonts w:ascii="Times New Roman" w:hAnsi="Times New Roman" w:cs="Times New Roman"/>
          <w:highlight w:val="none"/>
        </w:rPr>
      </w:pPr>
    </w:p>
    <w:p w14:paraId="3D6956A9">
      <w:pPr>
        <w:tabs>
          <w:tab w:val="left" w:pos="315"/>
          <w:tab w:val="left" w:pos="8820"/>
        </w:tabs>
        <w:spacing w:before="156" w:beforeLines="50" w:after="156" w:afterLines="50"/>
        <w:ind w:right="265" w:rightChars="126"/>
        <w:jc w:val="center"/>
        <w:rPr>
          <w:rFonts w:ascii="Times New Roman" w:hAnsi="Times New Roman" w:cs="Times New Roman"/>
          <w:b/>
          <w:bCs/>
          <w:sz w:val="96"/>
          <w:szCs w:val="96"/>
          <w:highlight w:val="none"/>
        </w:rPr>
      </w:pPr>
      <w:r>
        <w:rPr>
          <w:rFonts w:ascii="Times New Roman" w:hAnsi="Times New Roman" w:eastAsia="黑体" w:cs="Times New Roman"/>
          <w:sz w:val="72"/>
          <w:szCs w:val="72"/>
          <w:highlight w:val="none"/>
        </w:rPr>
        <w:t>招标文件</w:t>
      </w:r>
    </w:p>
    <w:p w14:paraId="63F9AE50">
      <w:pPr>
        <w:tabs>
          <w:tab w:val="left" w:pos="315"/>
          <w:tab w:val="left" w:pos="8820"/>
        </w:tabs>
        <w:spacing w:before="312" w:beforeLines="100" w:after="156" w:afterLines="50" w:line="500" w:lineRule="exact"/>
        <w:ind w:right="267" w:rightChars="127"/>
        <w:jc w:val="center"/>
        <w:rPr>
          <w:rFonts w:ascii="Times New Roman" w:hAnsi="Times New Roman" w:cs="Times New Roman"/>
          <w:b/>
          <w:bCs/>
          <w:sz w:val="52"/>
          <w:szCs w:val="52"/>
          <w:highlight w:val="none"/>
        </w:rPr>
      </w:pPr>
      <w:r>
        <w:rPr>
          <w:rFonts w:ascii="Times New Roman" w:hAnsi="Times New Roman" w:cs="Times New Roman"/>
          <w:b/>
          <w:bCs/>
          <w:sz w:val="52"/>
          <w:szCs w:val="52"/>
          <w:highlight w:val="none"/>
        </w:rPr>
        <w:t>（</w:t>
      </w:r>
      <w:r>
        <w:rPr>
          <w:rFonts w:hint="eastAsia" w:ascii="Times New Roman" w:hAnsi="Times New Roman" w:cs="Times New Roman"/>
          <w:b/>
          <w:bCs/>
          <w:sz w:val="52"/>
          <w:szCs w:val="52"/>
          <w:highlight w:val="none"/>
        </w:rPr>
        <w:t>货物</w:t>
      </w:r>
      <w:r>
        <w:rPr>
          <w:rFonts w:ascii="Times New Roman" w:hAnsi="Times New Roman" w:cs="Times New Roman"/>
          <w:b/>
          <w:bCs/>
          <w:sz w:val="52"/>
          <w:szCs w:val="52"/>
          <w:highlight w:val="none"/>
        </w:rPr>
        <w:t>类）</w:t>
      </w:r>
    </w:p>
    <w:p w14:paraId="69E83136">
      <w:pPr>
        <w:tabs>
          <w:tab w:val="left" w:pos="315"/>
          <w:tab w:val="left" w:pos="8820"/>
        </w:tabs>
        <w:spacing w:before="312" w:beforeLines="100" w:after="156" w:afterLines="50" w:line="500" w:lineRule="exact"/>
        <w:ind w:right="267" w:rightChars="127"/>
        <w:jc w:val="center"/>
        <w:rPr>
          <w:rFonts w:ascii="Times New Roman" w:hAnsi="Times New Roman" w:cs="Times New Roman"/>
          <w:b/>
          <w:bCs/>
          <w:sz w:val="52"/>
          <w:szCs w:val="52"/>
          <w:highlight w:val="none"/>
        </w:rPr>
      </w:pPr>
    </w:p>
    <w:p w14:paraId="72EE91BB">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highlight w:val="none"/>
        </w:rPr>
      </w:pPr>
    </w:p>
    <w:p w14:paraId="05C97C44">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highlight w:val="none"/>
        </w:rPr>
      </w:pPr>
    </w:p>
    <w:p w14:paraId="390DDCE5">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highlight w:val="none"/>
        </w:rPr>
      </w:pPr>
    </w:p>
    <w:p w14:paraId="06C36D82">
      <w:pPr>
        <w:tabs>
          <w:tab w:val="left" w:pos="2410"/>
        </w:tabs>
        <w:autoSpaceDE w:val="0"/>
        <w:autoSpaceDN w:val="0"/>
        <w:adjustRightInd w:val="0"/>
        <w:snapToGrid w:val="0"/>
        <w:spacing w:line="360" w:lineRule="auto"/>
        <w:ind w:firstLine="723" w:firstLineChars="200"/>
        <w:rPr>
          <w:rFonts w:hint="eastAsia" w:ascii="Times New Roman" w:hAnsi="Times New Roman" w:eastAsia="宋体" w:cs="Times New Roman"/>
          <w:b/>
          <w:spacing w:val="20"/>
          <w:kern w:val="0"/>
          <w:sz w:val="32"/>
          <w:szCs w:val="32"/>
          <w:highlight w:val="none"/>
          <w:lang w:eastAsia="zh-CN"/>
        </w:rPr>
      </w:pPr>
      <w:r>
        <w:rPr>
          <w:rFonts w:ascii="Times New Roman" w:hAnsi="Times New Roman" w:cs="Times New Roman"/>
          <w:b/>
          <w:spacing w:val="20"/>
          <w:kern w:val="0"/>
          <w:sz w:val="32"/>
          <w:szCs w:val="32"/>
          <w:highlight w:val="none"/>
        </w:rPr>
        <w:t>项目名称：</w:t>
      </w:r>
      <w:r>
        <w:rPr>
          <w:rFonts w:hint="eastAsia" w:ascii="Times New Roman" w:hAnsi="Times New Roman" w:cs="Times New Roman"/>
          <w:b/>
          <w:spacing w:val="20"/>
          <w:kern w:val="0"/>
          <w:sz w:val="32"/>
          <w:szCs w:val="32"/>
          <w:highlight w:val="none"/>
          <w:u w:val="single"/>
          <w:lang w:eastAsia="zh-CN"/>
        </w:rPr>
        <w:t>合肥维尔健医学检验实验室有限公司试剂耗材采购</w:t>
      </w:r>
    </w:p>
    <w:p w14:paraId="4EFD138C">
      <w:pPr>
        <w:tabs>
          <w:tab w:val="left" w:pos="2410"/>
        </w:tabs>
        <w:autoSpaceDE w:val="0"/>
        <w:autoSpaceDN w:val="0"/>
        <w:adjustRightInd w:val="0"/>
        <w:snapToGrid w:val="0"/>
        <w:spacing w:line="360" w:lineRule="auto"/>
        <w:ind w:firstLine="723" w:firstLineChars="200"/>
        <w:rPr>
          <w:rFonts w:hint="eastAsia" w:ascii="Times New Roman" w:hAnsi="Times New Roman" w:eastAsia="宋体" w:cs="Times New Roman"/>
          <w:b/>
          <w:spacing w:val="20"/>
          <w:kern w:val="0"/>
          <w:sz w:val="32"/>
          <w:szCs w:val="32"/>
          <w:highlight w:val="none"/>
          <w:u w:val="single"/>
          <w:lang w:eastAsia="zh-CN"/>
        </w:rPr>
      </w:pPr>
      <w:r>
        <w:rPr>
          <w:rFonts w:ascii="Times New Roman" w:hAnsi="Times New Roman" w:cs="Times New Roman"/>
          <w:b/>
          <w:spacing w:val="20"/>
          <w:kern w:val="0"/>
          <w:sz w:val="32"/>
          <w:szCs w:val="32"/>
          <w:highlight w:val="none"/>
        </w:rPr>
        <w:t>项目编号：</w:t>
      </w:r>
      <w:r>
        <w:rPr>
          <w:rFonts w:hint="eastAsia" w:ascii="Times New Roman" w:hAnsi="Times New Roman" w:cs="Times New Roman"/>
          <w:b/>
          <w:spacing w:val="20"/>
          <w:kern w:val="0"/>
          <w:sz w:val="32"/>
          <w:szCs w:val="32"/>
          <w:highlight w:val="none"/>
          <w:u w:val="single"/>
          <w:lang w:val="en-US" w:eastAsia="zh-CN"/>
        </w:rPr>
        <w:t>BHSG-ZTB-2024-10</w:t>
      </w:r>
    </w:p>
    <w:p w14:paraId="4FF6E7B3">
      <w:pPr>
        <w:tabs>
          <w:tab w:val="left" w:pos="2410"/>
        </w:tabs>
        <w:autoSpaceDE w:val="0"/>
        <w:autoSpaceDN w:val="0"/>
        <w:adjustRightInd w:val="0"/>
        <w:snapToGrid w:val="0"/>
        <w:spacing w:line="360" w:lineRule="auto"/>
        <w:ind w:firstLine="723" w:firstLineChars="200"/>
        <w:rPr>
          <w:rFonts w:hint="eastAsia" w:ascii="Times New Roman" w:hAnsi="Times New Roman" w:eastAsia="宋体" w:cs="Times New Roman"/>
          <w:b/>
          <w:spacing w:val="20"/>
          <w:kern w:val="0"/>
          <w:sz w:val="32"/>
          <w:szCs w:val="32"/>
          <w:highlight w:val="none"/>
          <w:u w:val="single"/>
          <w:lang w:eastAsia="zh-CN"/>
        </w:rPr>
      </w:pPr>
      <w:r>
        <w:rPr>
          <w:rFonts w:ascii="Times New Roman" w:hAnsi="Times New Roman" w:cs="Times New Roman"/>
          <w:b/>
          <w:spacing w:val="20"/>
          <w:kern w:val="0"/>
          <w:sz w:val="32"/>
          <w:szCs w:val="32"/>
          <w:highlight w:val="none"/>
        </w:rPr>
        <w:t>招标人：</w:t>
      </w:r>
      <w:r>
        <w:rPr>
          <w:rFonts w:hint="eastAsia" w:ascii="Times New Roman" w:hAnsi="Times New Roman" w:cs="Times New Roman"/>
          <w:b/>
          <w:spacing w:val="20"/>
          <w:kern w:val="0"/>
          <w:sz w:val="32"/>
          <w:szCs w:val="32"/>
          <w:highlight w:val="none"/>
          <w:u w:val="single"/>
          <w:lang w:eastAsia="zh-CN"/>
        </w:rPr>
        <w:t>合肥</w:t>
      </w:r>
      <w:r>
        <w:rPr>
          <w:rFonts w:hint="eastAsia" w:ascii="Times New Roman" w:hAnsi="Times New Roman" w:cs="Times New Roman"/>
          <w:b/>
          <w:spacing w:val="20"/>
          <w:kern w:val="0"/>
          <w:sz w:val="32"/>
          <w:szCs w:val="32"/>
          <w:highlight w:val="none"/>
          <w:u w:val="single"/>
          <w:lang w:val="en-US" w:eastAsia="zh-CN"/>
        </w:rPr>
        <w:t>维尔健医学检验实验室</w:t>
      </w:r>
      <w:r>
        <w:rPr>
          <w:rFonts w:hint="eastAsia" w:ascii="Times New Roman" w:hAnsi="Times New Roman" w:cs="Times New Roman"/>
          <w:b/>
          <w:spacing w:val="20"/>
          <w:kern w:val="0"/>
          <w:sz w:val="32"/>
          <w:szCs w:val="32"/>
          <w:highlight w:val="none"/>
          <w:u w:val="single"/>
          <w:lang w:eastAsia="zh-CN"/>
        </w:rPr>
        <w:t>有限公司</w:t>
      </w:r>
    </w:p>
    <w:p w14:paraId="335A6229">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highlight w:val="none"/>
          <w:u w:val="single"/>
        </w:rPr>
      </w:pPr>
    </w:p>
    <w:p w14:paraId="6FEAAE2C">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highlight w:val="none"/>
          <w:u w:val="single"/>
        </w:rPr>
      </w:pPr>
    </w:p>
    <w:p w14:paraId="6EEC13C8">
      <w:pPr>
        <w:tabs>
          <w:tab w:val="left" w:pos="315"/>
          <w:tab w:val="left" w:pos="8820"/>
        </w:tabs>
        <w:spacing w:before="312" w:beforeLines="100" w:after="156" w:afterLines="50" w:line="500" w:lineRule="exact"/>
        <w:ind w:right="267" w:rightChars="127"/>
        <w:jc w:val="center"/>
        <w:rPr>
          <w:rFonts w:ascii="Times New Roman" w:hAnsi="Times New Roman" w:cs="Times New Roman"/>
          <w:b/>
          <w:sz w:val="36"/>
          <w:highlight w:val="none"/>
        </w:rPr>
      </w:pPr>
      <w:r>
        <w:rPr>
          <w:rFonts w:ascii="Times New Roman" w:hAnsi="Times New Roman" w:cs="Times New Roman"/>
          <w:b/>
          <w:sz w:val="36"/>
          <w:highlight w:val="none"/>
          <w:u w:val="single"/>
        </w:rPr>
        <w:t>202</w:t>
      </w:r>
      <w:r>
        <w:rPr>
          <w:rFonts w:hint="eastAsia" w:ascii="Times New Roman" w:hAnsi="Times New Roman" w:cs="Times New Roman"/>
          <w:b/>
          <w:sz w:val="36"/>
          <w:highlight w:val="none"/>
          <w:u w:val="single"/>
          <w:lang w:val="en-US" w:eastAsia="zh-CN"/>
        </w:rPr>
        <w:t>4</w:t>
      </w:r>
      <w:r>
        <w:rPr>
          <w:rFonts w:ascii="Times New Roman" w:hAnsi="Times New Roman" w:cs="Times New Roman"/>
          <w:b/>
          <w:sz w:val="36"/>
          <w:highlight w:val="none"/>
        </w:rPr>
        <w:t>年</w:t>
      </w:r>
      <w:r>
        <w:rPr>
          <w:rFonts w:hint="eastAsia" w:ascii="Times New Roman" w:hAnsi="Times New Roman" w:cs="Times New Roman"/>
          <w:b/>
          <w:sz w:val="36"/>
          <w:highlight w:val="none"/>
          <w:u w:val="single"/>
          <w:lang w:val="en-US" w:eastAsia="zh-CN"/>
        </w:rPr>
        <w:t>11</w:t>
      </w:r>
      <w:r>
        <w:rPr>
          <w:rFonts w:ascii="Times New Roman" w:hAnsi="Times New Roman" w:cs="Times New Roman"/>
          <w:b/>
          <w:sz w:val="36"/>
          <w:highlight w:val="none"/>
        </w:rPr>
        <w:t>月</w:t>
      </w:r>
    </w:p>
    <w:bookmarkEnd w:id="0"/>
    <w:p w14:paraId="46A33F47">
      <w:pPr>
        <w:tabs>
          <w:tab w:val="left" w:pos="315"/>
          <w:tab w:val="left" w:pos="8820"/>
        </w:tabs>
        <w:spacing w:before="312" w:beforeLines="100" w:after="156" w:afterLines="50" w:line="500" w:lineRule="exact"/>
        <w:ind w:right="267" w:rightChars="127"/>
        <w:rPr>
          <w:rFonts w:ascii="Times New Roman" w:hAnsi="Times New Roman" w:cs="Times New Roman"/>
          <w:b/>
          <w:sz w:val="28"/>
          <w:highlight w:val="none"/>
        </w:rPr>
        <w:sectPr>
          <w:footerReference r:id="rId3" w:type="default"/>
          <w:pgSz w:w="11906" w:h="16838"/>
          <w:pgMar w:top="1417" w:right="1417" w:bottom="1417" w:left="1417" w:header="851" w:footer="992" w:gutter="0"/>
          <w:pgNumType w:start="1"/>
          <w:cols w:space="720" w:num="1"/>
          <w:docGrid w:type="lines" w:linePitch="312" w:charSpace="0"/>
        </w:sectPr>
      </w:pPr>
    </w:p>
    <w:p w14:paraId="0215A37D">
      <w:pPr>
        <w:tabs>
          <w:tab w:val="left" w:pos="2410"/>
        </w:tabs>
        <w:autoSpaceDE w:val="0"/>
        <w:autoSpaceDN w:val="0"/>
        <w:adjustRightInd w:val="0"/>
        <w:snapToGrid w:val="0"/>
        <w:spacing w:line="360" w:lineRule="auto"/>
        <w:jc w:val="center"/>
        <w:rPr>
          <w:rFonts w:ascii="Times New Roman" w:hAnsi="Times New Roman" w:cs="Times New Roman"/>
          <w:b/>
          <w:sz w:val="28"/>
          <w:highlight w:val="none"/>
        </w:rPr>
      </w:pPr>
      <w:r>
        <w:rPr>
          <w:rFonts w:ascii="Times New Roman" w:hAnsi="Times New Roman" w:cs="Times New Roman"/>
          <w:b/>
          <w:sz w:val="28"/>
          <w:highlight w:val="none"/>
        </w:rPr>
        <w:t>目录</w:t>
      </w:r>
    </w:p>
    <w:p w14:paraId="4FF65C2B">
      <w:pPr>
        <w:pStyle w:val="13"/>
        <w:tabs>
          <w:tab w:val="right" w:leader="dot" w:pos="9072"/>
        </w:tabs>
        <w:rPr>
          <w:rFonts w:ascii="Times New Roman" w:hAnsi="Times New Roman" w:cs="Times New Roman"/>
          <w:highlight w:val="none"/>
        </w:rPr>
      </w:pPr>
      <w:r>
        <w:rPr>
          <w:rFonts w:ascii="Times New Roman" w:hAnsi="Times New Roman" w:cs="Times New Roman"/>
          <w:b/>
          <w:sz w:val="24"/>
          <w:szCs w:val="24"/>
          <w:highlight w:val="none"/>
        </w:rPr>
        <w:fldChar w:fldCharType="begin"/>
      </w:r>
      <w:r>
        <w:rPr>
          <w:rFonts w:ascii="Times New Roman" w:hAnsi="Times New Roman" w:cs="Times New Roman"/>
          <w:b/>
          <w:sz w:val="24"/>
          <w:szCs w:val="24"/>
          <w:highlight w:val="none"/>
        </w:rPr>
        <w:instrText xml:space="preserve"> TOC \o "1-2" \h \z \u </w:instrText>
      </w:r>
      <w:r>
        <w:rPr>
          <w:rFonts w:ascii="Times New Roman" w:hAnsi="Times New Roman" w:cs="Times New Roman"/>
          <w:b/>
          <w:sz w:val="24"/>
          <w:szCs w:val="24"/>
          <w:highlight w:val="none"/>
        </w:rPr>
        <w:fldChar w:fldCharType="separate"/>
      </w:r>
      <w:r>
        <w:rPr>
          <w:highlight w:val="none"/>
        </w:rPr>
        <w:fldChar w:fldCharType="begin"/>
      </w:r>
      <w:r>
        <w:rPr>
          <w:highlight w:val="none"/>
        </w:rPr>
        <w:instrText xml:space="preserve"> HYPERLINK \l "_Toc13708" </w:instrText>
      </w:r>
      <w:r>
        <w:rPr>
          <w:highlight w:val="none"/>
        </w:rPr>
        <w:fldChar w:fldCharType="separate"/>
      </w:r>
      <w:r>
        <w:rPr>
          <w:rFonts w:ascii="Times New Roman" w:hAnsi="Times New Roman" w:cs="Times New Roman"/>
          <w:highlight w:val="none"/>
        </w:rPr>
        <w:t>第一章投标邀请（招标公告）</w:t>
      </w:r>
      <w:r>
        <w:rPr>
          <w:rFonts w:ascii="Times New Roman" w:hAnsi="Times New Roman" w:cs="Times New Roman"/>
          <w:highlight w:val="none"/>
        </w:rPr>
        <w:tab/>
      </w:r>
      <w:r>
        <w:rPr>
          <w:rFonts w:ascii="Times New Roman" w:hAnsi="Times New Roman" w:cs="Times New Roman"/>
          <w:highlight w:val="none"/>
        </w:rPr>
        <w:fldChar w:fldCharType="end"/>
      </w:r>
    </w:p>
    <w:p w14:paraId="0A4D5F49">
      <w:pPr>
        <w:pStyle w:val="13"/>
        <w:tabs>
          <w:tab w:val="right" w:leader="dot" w:pos="9072"/>
        </w:tabs>
        <w:rPr>
          <w:rFonts w:ascii="Times New Roman" w:hAnsi="Times New Roman" w:cs="Times New Roman"/>
          <w:highlight w:val="none"/>
        </w:rPr>
      </w:pPr>
      <w:r>
        <w:rPr>
          <w:highlight w:val="none"/>
        </w:rPr>
        <w:fldChar w:fldCharType="begin"/>
      </w:r>
      <w:r>
        <w:rPr>
          <w:highlight w:val="none"/>
        </w:rPr>
        <w:instrText xml:space="preserve"> HYPERLINK \l "_Toc13708" </w:instrText>
      </w:r>
      <w:r>
        <w:rPr>
          <w:highlight w:val="none"/>
        </w:rPr>
        <w:fldChar w:fldCharType="separate"/>
      </w:r>
      <w:r>
        <w:rPr>
          <w:rFonts w:ascii="Times New Roman" w:hAnsi="Times New Roman" w:cs="Times New Roman"/>
          <w:highlight w:val="none"/>
        </w:rPr>
        <w:t>第</w:t>
      </w:r>
      <w:r>
        <w:rPr>
          <w:rFonts w:hint="eastAsia" w:ascii="Times New Roman" w:hAnsi="Times New Roman" w:cs="Times New Roman"/>
          <w:highlight w:val="none"/>
          <w:lang w:val="en-US" w:eastAsia="zh-CN"/>
        </w:rPr>
        <w:t>二</w:t>
      </w:r>
      <w:r>
        <w:rPr>
          <w:rFonts w:ascii="Times New Roman" w:hAnsi="Times New Roman" w:cs="Times New Roman"/>
          <w:highlight w:val="none"/>
        </w:rPr>
        <w:t>章</w:t>
      </w:r>
      <w:r>
        <w:rPr>
          <w:rFonts w:hint="eastAsia" w:ascii="Times New Roman" w:hAnsi="Times New Roman" w:cs="Times New Roman"/>
          <w:highlight w:val="none"/>
          <w:lang w:val="en-US" w:eastAsia="zh-CN"/>
        </w:rPr>
        <w:t>投标人须知</w:t>
      </w:r>
      <w:r>
        <w:rPr>
          <w:rFonts w:ascii="Times New Roman" w:hAnsi="Times New Roman" w:cs="Times New Roman"/>
          <w:highlight w:val="none"/>
        </w:rPr>
        <w:tab/>
      </w:r>
      <w:r>
        <w:rPr>
          <w:rFonts w:ascii="Times New Roman" w:hAnsi="Times New Roman" w:cs="Times New Roman"/>
          <w:highlight w:val="none"/>
        </w:rPr>
        <w:fldChar w:fldCharType="end"/>
      </w:r>
    </w:p>
    <w:p w14:paraId="0AAE357C">
      <w:pPr>
        <w:pStyle w:val="13"/>
        <w:tabs>
          <w:tab w:val="right" w:leader="dot" w:pos="9072"/>
        </w:tabs>
        <w:rPr>
          <w:rFonts w:ascii="Times New Roman" w:hAnsi="Times New Roman" w:cs="Times New Roman"/>
          <w:highlight w:val="none"/>
        </w:rPr>
      </w:pPr>
      <w:r>
        <w:rPr>
          <w:highlight w:val="none"/>
        </w:rPr>
        <w:fldChar w:fldCharType="begin"/>
      </w:r>
      <w:r>
        <w:rPr>
          <w:highlight w:val="none"/>
        </w:rPr>
        <w:instrText xml:space="preserve"> HYPERLINK \l "_Toc19060" </w:instrText>
      </w:r>
      <w:r>
        <w:rPr>
          <w:highlight w:val="none"/>
        </w:rPr>
        <w:fldChar w:fldCharType="separate"/>
      </w:r>
      <w:r>
        <w:rPr>
          <w:rFonts w:ascii="Times New Roman" w:hAnsi="Times New Roman" w:cs="Times New Roman"/>
          <w:highlight w:val="none"/>
        </w:rPr>
        <w:t>第</w:t>
      </w:r>
      <w:r>
        <w:rPr>
          <w:rFonts w:hint="eastAsia" w:ascii="Times New Roman" w:hAnsi="Times New Roman" w:cs="Times New Roman"/>
          <w:highlight w:val="none"/>
          <w:lang w:val="en-US" w:eastAsia="zh-CN"/>
        </w:rPr>
        <w:t>三</w:t>
      </w:r>
      <w:r>
        <w:rPr>
          <w:rFonts w:ascii="Times New Roman" w:hAnsi="Times New Roman" w:cs="Times New Roman"/>
          <w:highlight w:val="none"/>
        </w:rPr>
        <w:t>章</w:t>
      </w:r>
      <w:r>
        <w:rPr>
          <w:rFonts w:hint="eastAsia" w:ascii="Times New Roman" w:hAnsi="Times New Roman" w:cs="Times New Roman"/>
          <w:highlight w:val="none"/>
          <w:lang w:val="en-US" w:eastAsia="zh-CN"/>
        </w:rPr>
        <w:t>招标需求</w:t>
      </w:r>
      <w:r>
        <w:rPr>
          <w:rFonts w:ascii="Times New Roman" w:hAnsi="Times New Roman" w:cs="Times New Roman"/>
          <w:highlight w:val="none"/>
        </w:rPr>
        <w:tab/>
      </w:r>
      <w:r>
        <w:rPr>
          <w:rFonts w:ascii="Times New Roman" w:hAnsi="Times New Roman" w:cs="Times New Roman"/>
          <w:highlight w:val="none"/>
        </w:rPr>
        <w:fldChar w:fldCharType="end"/>
      </w:r>
    </w:p>
    <w:p w14:paraId="1A3BA9DD">
      <w:pPr>
        <w:pStyle w:val="13"/>
        <w:tabs>
          <w:tab w:val="right" w:leader="dot" w:pos="9072"/>
        </w:tabs>
        <w:rPr>
          <w:rFonts w:ascii="Times New Roman" w:hAnsi="Times New Roman" w:cs="Times New Roman"/>
          <w:szCs w:val="24"/>
          <w:highlight w:val="none"/>
        </w:rPr>
      </w:pPr>
      <w:r>
        <w:rPr>
          <w:highlight w:val="none"/>
        </w:rPr>
        <w:fldChar w:fldCharType="begin"/>
      </w:r>
      <w:r>
        <w:rPr>
          <w:highlight w:val="none"/>
        </w:rPr>
        <w:instrText xml:space="preserve"> HYPERLINK \l "_Toc27373" </w:instrText>
      </w:r>
      <w:r>
        <w:rPr>
          <w:highlight w:val="none"/>
        </w:rPr>
        <w:fldChar w:fldCharType="separate"/>
      </w:r>
      <w:r>
        <w:rPr>
          <w:rFonts w:ascii="Times New Roman" w:hAnsi="Times New Roman" w:cs="Times New Roman"/>
          <w:highlight w:val="none"/>
        </w:rPr>
        <w:t>第</w:t>
      </w:r>
      <w:r>
        <w:rPr>
          <w:rFonts w:hint="eastAsia" w:ascii="Times New Roman" w:hAnsi="Times New Roman" w:cs="Times New Roman"/>
          <w:highlight w:val="none"/>
          <w:lang w:val="en-US" w:eastAsia="zh-CN"/>
        </w:rPr>
        <w:t>四</w:t>
      </w:r>
      <w:r>
        <w:rPr>
          <w:rFonts w:ascii="Times New Roman" w:hAnsi="Times New Roman" w:cs="Times New Roman"/>
          <w:highlight w:val="none"/>
        </w:rPr>
        <w:t>章</w:t>
      </w:r>
      <w:r>
        <w:rPr>
          <w:rFonts w:hint="eastAsia" w:ascii="Times New Roman" w:hAnsi="Times New Roman" w:cs="Times New Roman"/>
          <w:highlight w:val="none"/>
          <w:lang w:val="en-US" w:eastAsia="zh-CN"/>
        </w:rPr>
        <w:t>评标办法</w:t>
      </w:r>
      <w:r>
        <w:rPr>
          <w:rFonts w:ascii="Times New Roman" w:hAnsi="Times New Roman" w:cs="Times New Roman"/>
          <w:highlight w:val="none"/>
        </w:rPr>
        <w:tab/>
      </w:r>
      <w:r>
        <w:rPr>
          <w:rFonts w:ascii="Times New Roman" w:hAnsi="Times New Roman" w:cs="Times New Roman"/>
          <w:highlight w:val="none"/>
        </w:rPr>
        <w:fldChar w:fldCharType="end"/>
      </w:r>
    </w:p>
    <w:p w14:paraId="74745C23">
      <w:pPr>
        <w:pStyle w:val="13"/>
        <w:tabs>
          <w:tab w:val="right" w:leader="dot" w:pos="9072"/>
        </w:tabs>
        <w:rPr>
          <w:rFonts w:ascii="Times New Roman" w:hAnsi="Times New Roman" w:cs="Times New Roman"/>
          <w:highlight w:val="none"/>
        </w:rPr>
      </w:pPr>
      <w:r>
        <w:rPr>
          <w:highlight w:val="none"/>
        </w:rPr>
        <w:fldChar w:fldCharType="begin"/>
      </w:r>
      <w:r>
        <w:rPr>
          <w:highlight w:val="none"/>
        </w:rPr>
        <w:instrText xml:space="preserve"> HYPERLINK \l "_Toc15352" </w:instrText>
      </w:r>
      <w:r>
        <w:rPr>
          <w:highlight w:val="none"/>
        </w:rPr>
        <w:fldChar w:fldCharType="separate"/>
      </w:r>
      <w:r>
        <w:rPr>
          <w:rFonts w:ascii="Times New Roman" w:hAnsi="Times New Roman" w:eastAsia="宋体" w:cs="Times New Roman"/>
          <w:highlight w:val="none"/>
        </w:rPr>
        <w:t>第</w:t>
      </w:r>
      <w:r>
        <w:rPr>
          <w:rFonts w:hint="eastAsia" w:ascii="Times New Roman" w:hAnsi="Times New Roman" w:eastAsia="宋体" w:cs="Times New Roman"/>
          <w:highlight w:val="none"/>
          <w:lang w:val="en-US" w:eastAsia="zh-CN"/>
        </w:rPr>
        <w:t>五</w:t>
      </w:r>
      <w:r>
        <w:rPr>
          <w:rFonts w:ascii="Times New Roman" w:hAnsi="Times New Roman" w:eastAsia="宋体" w:cs="Times New Roman"/>
          <w:highlight w:val="none"/>
        </w:rPr>
        <w:t>章</w:t>
      </w:r>
      <w:r>
        <w:rPr>
          <w:rFonts w:hint="eastAsia" w:ascii="Times New Roman" w:hAnsi="Times New Roman" w:cs="Times New Roman"/>
          <w:highlight w:val="none"/>
        </w:rPr>
        <w:t>合同条款及格式</w:t>
      </w:r>
      <w:r>
        <w:rPr>
          <w:rFonts w:ascii="Times New Roman" w:hAnsi="Times New Roman" w:cs="Times New Roman"/>
          <w:highlight w:val="none"/>
        </w:rPr>
        <w:tab/>
      </w:r>
      <w:r>
        <w:rPr>
          <w:rFonts w:ascii="Times New Roman" w:hAnsi="Times New Roman" w:cs="Times New Roman"/>
          <w:highlight w:val="none"/>
        </w:rPr>
        <w:fldChar w:fldCharType="end"/>
      </w:r>
    </w:p>
    <w:p w14:paraId="17D9229E">
      <w:pPr>
        <w:pStyle w:val="13"/>
        <w:tabs>
          <w:tab w:val="right" w:leader="dot" w:pos="9072"/>
        </w:tabs>
        <w:ind w:left="0" w:leftChars="0" w:firstLine="0" w:firstLineChars="0"/>
        <w:rPr>
          <w:rFonts w:ascii="Times New Roman" w:hAnsi="Times New Roman" w:cs="Times New Roman"/>
          <w:highlight w:val="none"/>
        </w:rPr>
      </w:pPr>
      <w:r>
        <w:rPr>
          <w:rFonts w:ascii="Times New Roman" w:hAnsi="Times New Roman" w:cs="Times New Roman"/>
          <w:szCs w:val="24"/>
          <w:highlight w:val="none"/>
        </w:rPr>
        <w:fldChar w:fldCharType="end"/>
      </w:r>
      <w:r>
        <w:rPr>
          <w:rFonts w:hint="eastAsia" w:ascii="Times New Roman" w:hAnsi="Times New Roman" w:cs="Times New Roman"/>
          <w:szCs w:val="24"/>
          <w:highlight w:val="none"/>
          <w:lang w:val="en-US" w:eastAsia="zh-CN"/>
        </w:rPr>
        <w:t xml:space="preserve">  </w:t>
      </w:r>
      <w:r>
        <w:rPr>
          <w:highlight w:val="none"/>
        </w:rPr>
        <w:fldChar w:fldCharType="begin"/>
      </w:r>
      <w:r>
        <w:rPr>
          <w:highlight w:val="none"/>
        </w:rPr>
        <w:instrText xml:space="preserve"> HYPERLINK \l "_Toc15352" </w:instrText>
      </w:r>
      <w:r>
        <w:rPr>
          <w:highlight w:val="none"/>
        </w:rPr>
        <w:fldChar w:fldCharType="separate"/>
      </w:r>
      <w:r>
        <w:rPr>
          <w:rFonts w:ascii="Times New Roman" w:hAnsi="Times New Roman" w:eastAsia="宋体" w:cs="Times New Roman"/>
          <w:highlight w:val="none"/>
        </w:rPr>
        <w:t>第</w:t>
      </w:r>
      <w:r>
        <w:rPr>
          <w:rFonts w:hint="eastAsia" w:ascii="Times New Roman" w:hAnsi="Times New Roman" w:eastAsia="宋体" w:cs="Times New Roman"/>
          <w:highlight w:val="none"/>
          <w:lang w:val="en-US" w:eastAsia="zh-CN"/>
        </w:rPr>
        <w:t>六</w:t>
      </w:r>
      <w:r>
        <w:rPr>
          <w:rFonts w:ascii="Times New Roman" w:hAnsi="Times New Roman" w:eastAsia="宋体" w:cs="Times New Roman"/>
          <w:highlight w:val="none"/>
        </w:rPr>
        <w:t>章</w:t>
      </w:r>
      <w:r>
        <w:rPr>
          <w:rFonts w:ascii="Times New Roman" w:hAnsi="Times New Roman" w:cs="Times New Roman"/>
          <w:highlight w:val="none"/>
        </w:rPr>
        <w:t>投标文件格式</w:t>
      </w:r>
      <w:r>
        <w:rPr>
          <w:rFonts w:ascii="Times New Roman" w:hAnsi="Times New Roman" w:cs="Times New Roman"/>
          <w:highlight w:val="none"/>
        </w:rPr>
        <w:tab/>
      </w:r>
      <w:r>
        <w:rPr>
          <w:rFonts w:ascii="Times New Roman" w:hAnsi="Times New Roman" w:cs="Times New Roman"/>
          <w:highlight w:val="none"/>
        </w:rPr>
        <w:fldChar w:fldCharType="end"/>
      </w:r>
    </w:p>
    <w:p w14:paraId="78225559">
      <w:pPr>
        <w:rPr>
          <w:rFonts w:ascii="Times New Roman" w:hAnsi="Times New Roman" w:cs="Times New Roman"/>
          <w:highlight w:val="none"/>
        </w:rPr>
        <w:sectPr>
          <w:headerReference r:id="rId4" w:type="default"/>
          <w:footerReference r:id="rId5" w:type="default"/>
          <w:pgSz w:w="11906" w:h="16838"/>
          <w:pgMar w:top="1417" w:right="1417" w:bottom="1417" w:left="1417" w:header="851" w:footer="992" w:gutter="0"/>
          <w:cols w:space="720" w:num="1"/>
          <w:docGrid w:type="lines" w:linePitch="312" w:charSpace="0"/>
        </w:sectPr>
      </w:pPr>
    </w:p>
    <w:p w14:paraId="151CAF4C">
      <w:pPr>
        <w:spacing w:line="360" w:lineRule="auto"/>
        <w:jc w:val="center"/>
        <w:outlineLvl w:val="1"/>
        <w:rPr>
          <w:rFonts w:ascii="Times New Roman" w:hAnsi="Times New Roman" w:cs="Times New Roman"/>
          <w:b/>
          <w:sz w:val="28"/>
          <w:highlight w:val="none"/>
        </w:rPr>
      </w:pPr>
      <w:bookmarkStart w:id="1" w:name="_Toc13708"/>
      <w:r>
        <w:rPr>
          <w:rFonts w:ascii="Times New Roman" w:hAnsi="Times New Roman" w:cs="Times New Roman"/>
          <w:b/>
          <w:sz w:val="28"/>
          <w:highlight w:val="none"/>
        </w:rPr>
        <w:t>第一章投标邀请（招标公告）</w:t>
      </w:r>
      <w:bookmarkEnd w:id="1"/>
    </w:p>
    <w:p w14:paraId="6CE1B8E3">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Times New Roman" w:hAnsi="Times New Roman" w:cs="Times New Roman"/>
          <w:spacing w:val="20"/>
          <w:sz w:val="24"/>
          <w:szCs w:val="24"/>
          <w:highlight w:val="none"/>
        </w:rPr>
      </w:pPr>
      <w:bookmarkStart w:id="2" w:name="_Toc28359080"/>
      <w:bookmarkStart w:id="3" w:name="_Toc35393791"/>
      <w:bookmarkStart w:id="4" w:name="_Toc28359003"/>
      <w:bookmarkStart w:id="5" w:name="_Toc35393622"/>
      <w:r>
        <w:rPr>
          <w:rFonts w:hint="eastAsia" w:ascii="Times New Roman" w:hAnsi="Times New Roman" w:cs="Times New Roman"/>
          <w:spacing w:val="20"/>
          <w:sz w:val="24"/>
          <w:szCs w:val="24"/>
          <w:highlight w:val="none"/>
        </w:rPr>
        <w:t>项目概况</w:t>
      </w:r>
    </w:p>
    <w:p w14:paraId="67087702">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Times New Roman" w:hAnsi="Times New Roman" w:cs="Times New Roman"/>
          <w:sz w:val="24"/>
          <w:szCs w:val="24"/>
          <w:highlight w:val="none"/>
        </w:rPr>
      </w:pPr>
      <w:r>
        <w:rPr>
          <w:rFonts w:hint="eastAsia" w:ascii="Times New Roman" w:hAnsi="Times New Roman" w:cs="Times New Roman"/>
          <w:spacing w:val="20"/>
          <w:sz w:val="24"/>
          <w:szCs w:val="24"/>
          <w:highlight w:val="none"/>
          <w:u w:val="single"/>
          <w:lang w:eastAsia="zh-CN"/>
        </w:rPr>
        <w:t>合肥维尔健医学检验实验室有限公司试剂耗材采购</w:t>
      </w:r>
      <w:r>
        <w:rPr>
          <w:rFonts w:ascii="Times New Roman" w:hAnsi="Times New Roman" w:cs="Times New Roman"/>
          <w:spacing w:val="20"/>
          <w:sz w:val="24"/>
          <w:szCs w:val="24"/>
          <w:highlight w:val="none"/>
        </w:rPr>
        <w:t>的潜在投标人应在</w:t>
      </w:r>
      <w:r>
        <w:rPr>
          <w:rFonts w:hint="eastAsia" w:ascii="Times New Roman" w:hAnsi="Times New Roman" w:cs="Times New Roman"/>
          <w:spacing w:val="20"/>
          <w:sz w:val="24"/>
          <w:szCs w:val="24"/>
          <w:highlight w:val="none"/>
          <w:u w:val="single"/>
          <w:lang w:eastAsia="zh-CN"/>
        </w:rPr>
        <w:t>合肥滨湖时光产业投资集团有限公司</w:t>
      </w:r>
      <w:r>
        <w:rPr>
          <w:rFonts w:ascii="Times New Roman" w:hAnsi="Times New Roman" w:cs="Times New Roman"/>
          <w:spacing w:val="20"/>
          <w:kern w:val="10"/>
          <w:sz w:val="24"/>
          <w:szCs w:val="24"/>
          <w:highlight w:val="none"/>
          <w:u w:val="single"/>
        </w:rPr>
        <w:t>官方网站</w:t>
      </w:r>
      <w:r>
        <w:rPr>
          <w:rFonts w:hint="eastAsia" w:ascii="Times New Roman" w:hAnsi="Times New Roman" w:cs="Times New Roman"/>
          <w:spacing w:val="20"/>
          <w:sz w:val="24"/>
          <w:szCs w:val="24"/>
          <w:highlight w:val="none"/>
          <w:u w:val="single"/>
          <w:lang w:eastAsia="zh-CN"/>
        </w:rPr>
        <w:t>http://bhsggroup.cn/</w:t>
      </w:r>
      <w:r>
        <w:rPr>
          <w:rFonts w:ascii="Times New Roman" w:hAnsi="Times New Roman" w:cs="Times New Roman"/>
          <w:sz w:val="24"/>
          <w:szCs w:val="24"/>
          <w:highlight w:val="none"/>
        </w:rPr>
        <w:t>获取招标文件，并于</w:t>
      </w:r>
      <w:r>
        <w:rPr>
          <w:rFonts w:hint="eastAsia" w:ascii="Times New Roman" w:hAnsi="Times New Roman" w:cs="Times New Roman"/>
          <w:sz w:val="24"/>
          <w:szCs w:val="24"/>
          <w:highlight w:val="none"/>
          <w:u w:val="single"/>
        </w:rPr>
        <w:t>202</w:t>
      </w:r>
      <w:r>
        <w:rPr>
          <w:rFonts w:hint="eastAsia" w:ascii="Times New Roman" w:hAnsi="Times New Roman" w:cs="Times New Roman"/>
          <w:sz w:val="24"/>
          <w:szCs w:val="24"/>
          <w:highlight w:val="none"/>
          <w:u w:val="single"/>
          <w:lang w:val="en-US" w:eastAsia="zh-CN"/>
        </w:rPr>
        <w:t>4</w:t>
      </w:r>
      <w:r>
        <w:rPr>
          <w:rFonts w:hint="eastAsia" w:ascii="Times New Roman" w:hAnsi="Times New Roman" w:cs="Times New Roman"/>
          <w:sz w:val="24"/>
          <w:szCs w:val="24"/>
          <w:highlight w:val="none"/>
          <w:u w:val="single"/>
        </w:rPr>
        <w:t>年</w:t>
      </w:r>
      <w:r>
        <w:rPr>
          <w:rFonts w:hint="eastAsia" w:ascii="Times New Roman" w:hAnsi="Times New Roman" w:cs="Times New Roman"/>
          <w:sz w:val="24"/>
          <w:szCs w:val="24"/>
          <w:highlight w:val="none"/>
          <w:u w:val="single"/>
          <w:lang w:val="en-US" w:eastAsia="zh-CN"/>
        </w:rPr>
        <w:t>12</w:t>
      </w:r>
      <w:r>
        <w:rPr>
          <w:rFonts w:hint="eastAsia" w:ascii="Times New Roman" w:hAnsi="Times New Roman" w:cs="Times New Roman"/>
          <w:sz w:val="24"/>
          <w:szCs w:val="24"/>
          <w:highlight w:val="none"/>
          <w:u w:val="single"/>
        </w:rPr>
        <w:t>月</w:t>
      </w:r>
      <w:r>
        <w:rPr>
          <w:rFonts w:hint="eastAsia" w:ascii="Times New Roman" w:hAnsi="Times New Roman" w:cs="Times New Roman"/>
          <w:sz w:val="24"/>
          <w:szCs w:val="24"/>
          <w:highlight w:val="none"/>
          <w:u w:val="single"/>
          <w:lang w:val="en-US" w:eastAsia="zh-CN"/>
        </w:rPr>
        <w:t>4</w:t>
      </w:r>
      <w:r>
        <w:rPr>
          <w:rFonts w:hint="eastAsia" w:ascii="Times New Roman" w:hAnsi="Times New Roman" w:cs="Times New Roman"/>
          <w:sz w:val="24"/>
          <w:szCs w:val="24"/>
          <w:highlight w:val="none"/>
          <w:u w:val="single"/>
        </w:rPr>
        <w:t>日</w:t>
      </w:r>
      <w:r>
        <w:rPr>
          <w:rFonts w:hint="eastAsia" w:ascii="宋体" w:hAnsi="宋体" w:eastAsia="宋体" w:cs="宋体"/>
          <w:i w:val="0"/>
          <w:iCs w:val="0"/>
          <w:caps w:val="0"/>
          <w:color w:val="333333"/>
          <w:spacing w:val="0"/>
          <w:kern w:val="0"/>
          <w:sz w:val="24"/>
          <w:szCs w:val="24"/>
          <w:highlight w:val="none"/>
          <w:u w:val="single"/>
          <w:lang w:val="en-US" w:eastAsia="zh-CN" w:bidi="ar"/>
        </w:rPr>
        <w:t>9</w:t>
      </w:r>
      <w:r>
        <w:rPr>
          <w:rFonts w:ascii="宋体" w:hAnsi="宋体" w:eastAsia="宋体" w:cs="宋体"/>
          <w:i w:val="0"/>
          <w:iCs w:val="0"/>
          <w:caps w:val="0"/>
          <w:color w:val="333333"/>
          <w:spacing w:val="0"/>
          <w:kern w:val="0"/>
          <w:sz w:val="24"/>
          <w:szCs w:val="24"/>
          <w:highlight w:val="none"/>
          <w:u w:val="single"/>
          <w:lang w:val="en-US" w:eastAsia="zh-CN" w:bidi="ar"/>
        </w:rPr>
        <w:t>点</w:t>
      </w:r>
      <w:r>
        <w:rPr>
          <w:rFonts w:hint="eastAsia" w:ascii="宋体" w:hAnsi="宋体" w:eastAsia="宋体" w:cs="宋体"/>
          <w:i w:val="0"/>
          <w:iCs w:val="0"/>
          <w:caps w:val="0"/>
          <w:color w:val="333333"/>
          <w:spacing w:val="0"/>
          <w:kern w:val="0"/>
          <w:sz w:val="24"/>
          <w:szCs w:val="24"/>
          <w:highlight w:val="none"/>
          <w:u w:val="single"/>
          <w:lang w:val="en-US" w:eastAsia="zh-CN" w:bidi="ar"/>
        </w:rPr>
        <w:t>3</w:t>
      </w:r>
      <w:r>
        <w:rPr>
          <w:rFonts w:ascii="宋体" w:hAnsi="宋体" w:eastAsia="宋体" w:cs="宋体"/>
          <w:i w:val="0"/>
          <w:iCs w:val="0"/>
          <w:caps w:val="0"/>
          <w:color w:val="333333"/>
          <w:spacing w:val="0"/>
          <w:kern w:val="0"/>
          <w:sz w:val="24"/>
          <w:szCs w:val="24"/>
          <w:highlight w:val="none"/>
          <w:u w:val="single"/>
          <w:lang w:val="en-US" w:eastAsia="zh-CN" w:bidi="ar"/>
        </w:rPr>
        <w:t>0分</w:t>
      </w:r>
      <w:r>
        <w:rPr>
          <w:rFonts w:ascii="Times New Roman" w:hAnsi="Times New Roman" w:cs="Times New Roman"/>
          <w:bCs/>
          <w:sz w:val="24"/>
          <w:szCs w:val="24"/>
          <w:highlight w:val="none"/>
        </w:rPr>
        <w:t>（北京时间）前递交投标文件</w:t>
      </w:r>
      <w:r>
        <w:rPr>
          <w:rFonts w:ascii="Times New Roman" w:hAnsi="Times New Roman" w:cs="Times New Roman"/>
          <w:sz w:val="24"/>
          <w:szCs w:val="24"/>
          <w:highlight w:val="none"/>
        </w:rPr>
        <w:t>。</w:t>
      </w:r>
    </w:p>
    <w:p w14:paraId="1C28420B">
      <w:pPr>
        <w:snapToGrid w:val="0"/>
        <w:spacing w:line="360" w:lineRule="auto"/>
        <w:rPr>
          <w:rFonts w:ascii="Times New Roman" w:hAnsi="Times New Roman" w:cs="Times New Roman"/>
          <w:sz w:val="24"/>
          <w:szCs w:val="24"/>
          <w:highlight w:val="none"/>
        </w:rPr>
      </w:pPr>
    </w:p>
    <w:p w14:paraId="1266760E">
      <w:pPr>
        <w:snapToGrid w:val="0"/>
        <w:spacing w:line="360" w:lineRule="auto"/>
        <w:ind w:firstLine="482" w:firstLineChars="200"/>
        <w:rPr>
          <w:rFonts w:ascii="Times New Roman" w:hAnsi="Times New Roman" w:cs="Times New Roman"/>
          <w:b/>
          <w:bCs/>
          <w:sz w:val="24"/>
          <w:szCs w:val="24"/>
          <w:highlight w:val="none"/>
        </w:rPr>
      </w:pPr>
      <w:bookmarkStart w:id="6" w:name="_Toc35393790"/>
      <w:bookmarkStart w:id="7" w:name="_Toc28359079"/>
      <w:bookmarkStart w:id="8" w:name="_Toc28359002"/>
      <w:bookmarkStart w:id="9" w:name="_Toc35393621"/>
      <w:bookmarkStart w:id="10" w:name="_Hlk24379207"/>
      <w:r>
        <w:rPr>
          <w:rFonts w:ascii="Times New Roman" w:hAnsi="Times New Roman" w:cs="Times New Roman"/>
          <w:b/>
          <w:bCs/>
          <w:sz w:val="24"/>
          <w:szCs w:val="24"/>
          <w:highlight w:val="none"/>
        </w:rPr>
        <w:t>一、</w:t>
      </w:r>
      <w:bookmarkEnd w:id="6"/>
      <w:bookmarkEnd w:id="7"/>
      <w:bookmarkEnd w:id="8"/>
      <w:bookmarkEnd w:id="9"/>
      <w:r>
        <w:rPr>
          <w:rFonts w:ascii="Times New Roman" w:hAnsi="Times New Roman" w:cs="Times New Roman"/>
          <w:b/>
          <w:bCs/>
          <w:sz w:val="24"/>
          <w:szCs w:val="18"/>
          <w:highlight w:val="none"/>
        </w:rPr>
        <w:t>项目名称及内容</w:t>
      </w:r>
    </w:p>
    <w:p w14:paraId="1A2B3EE0">
      <w:pPr>
        <w:tabs>
          <w:tab w:val="left" w:pos="2410"/>
        </w:tabs>
        <w:autoSpaceDE w:val="0"/>
        <w:autoSpaceDN w:val="0"/>
        <w:adjustRightInd w:val="0"/>
        <w:snapToGrid w:val="0"/>
        <w:spacing w:line="360" w:lineRule="auto"/>
        <w:ind w:firstLine="480" w:firstLineChars="200"/>
        <w:rPr>
          <w:rFonts w:hint="eastAsia" w:ascii="Times New Roman" w:hAnsi="Times New Roman" w:eastAsia="宋体" w:cs="Times New Roman"/>
          <w:sz w:val="24"/>
          <w:szCs w:val="24"/>
          <w:highlight w:val="none"/>
          <w:u w:val="single"/>
          <w:lang w:eastAsia="zh-CN"/>
        </w:rPr>
      </w:pPr>
      <w:r>
        <w:rPr>
          <w:rFonts w:ascii="Times New Roman" w:hAnsi="Times New Roman" w:cs="Times New Roman"/>
          <w:sz w:val="24"/>
          <w:szCs w:val="24"/>
          <w:highlight w:val="none"/>
        </w:rPr>
        <w:t>1.项目编号：</w:t>
      </w:r>
      <w:r>
        <w:rPr>
          <w:rFonts w:hint="eastAsia" w:ascii="Times New Roman" w:hAnsi="Times New Roman" w:cs="Times New Roman"/>
          <w:sz w:val="24"/>
          <w:szCs w:val="24"/>
          <w:highlight w:val="none"/>
          <w:u w:val="single"/>
          <w:lang w:val="en-US" w:eastAsia="zh-CN"/>
        </w:rPr>
        <w:t>BHSG-ZTB-2024-10</w:t>
      </w:r>
    </w:p>
    <w:p w14:paraId="0B1F7EC0">
      <w:pPr>
        <w:snapToGrid w:val="0"/>
        <w:spacing w:line="360" w:lineRule="auto"/>
        <w:ind w:firstLine="480" w:firstLineChars="200"/>
        <w:rPr>
          <w:rFonts w:hint="eastAsia" w:ascii="Times New Roman" w:hAnsi="Times New Roman" w:eastAsia="宋体" w:cs="Times New Roman"/>
          <w:sz w:val="24"/>
          <w:szCs w:val="24"/>
          <w:highlight w:val="none"/>
          <w:u w:val="single"/>
          <w:lang w:eastAsia="zh-CN"/>
        </w:rPr>
      </w:pPr>
      <w:r>
        <w:rPr>
          <w:rFonts w:ascii="Times New Roman" w:hAnsi="Times New Roman" w:cs="Times New Roman"/>
          <w:sz w:val="24"/>
          <w:szCs w:val="24"/>
          <w:highlight w:val="none"/>
        </w:rPr>
        <w:t>2.项目名称：</w:t>
      </w:r>
      <w:bookmarkEnd w:id="10"/>
      <w:r>
        <w:rPr>
          <w:rFonts w:hint="eastAsia" w:ascii="Times New Roman" w:hAnsi="Times New Roman" w:cs="Times New Roman"/>
          <w:spacing w:val="20"/>
          <w:sz w:val="24"/>
          <w:szCs w:val="24"/>
          <w:highlight w:val="none"/>
          <w:u w:val="single"/>
          <w:lang w:eastAsia="zh-CN"/>
        </w:rPr>
        <w:t>合肥维尔健医学检验实验室有限公司试剂耗材采购</w:t>
      </w:r>
    </w:p>
    <w:p w14:paraId="7BF46472">
      <w:pPr>
        <w:snapToGrid w:val="0"/>
        <w:spacing w:line="360" w:lineRule="auto"/>
        <w:ind w:firstLine="480" w:firstLineChars="200"/>
        <w:rPr>
          <w:rFonts w:ascii="Times New Roman" w:hAnsi="Times New Roman" w:cs="Times New Roman"/>
          <w:sz w:val="24"/>
          <w:szCs w:val="24"/>
          <w:highlight w:val="none"/>
          <w:u w:val="single"/>
        </w:rPr>
      </w:pPr>
      <w:r>
        <w:rPr>
          <w:rFonts w:ascii="Times New Roman" w:hAnsi="Times New Roman" w:cs="Times New Roman"/>
          <w:sz w:val="24"/>
          <w:szCs w:val="24"/>
          <w:highlight w:val="none"/>
        </w:rPr>
        <w:t>3.项目地点：</w:t>
      </w:r>
      <w:r>
        <w:rPr>
          <w:rFonts w:ascii="Times New Roman" w:hAnsi="Times New Roman" w:cs="Times New Roman"/>
          <w:sz w:val="24"/>
          <w:szCs w:val="24"/>
          <w:highlight w:val="none"/>
          <w:u w:val="single"/>
        </w:rPr>
        <w:t>合肥市包河区</w:t>
      </w:r>
    </w:p>
    <w:p w14:paraId="4C638FAF">
      <w:pPr>
        <w:snapToGrid w:val="0"/>
        <w:spacing w:line="360" w:lineRule="auto"/>
        <w:ind w:left="479" w:leftChars="228"/>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4.项目概况：</w:t>
      </w:r>
      <w:r>
        <w:rPr>
          <w:rFonts w:hint="eastAsia" w:ascii="Times New Roman" w:hAnsi="Times New Roman" w:cs="Times New Roman"/>
          <w:spacing w:val="20"/>
          <w:sz w:val="24"/>
          <w:szCs w:val="24"/>
          <w:highlight w:val="none"/>
          <w:u w:val="single"/>
          <w:lang w:eastAsia="zh-CN"/>
        </w:rPr>
        <w:t>合肥维尔健医学检验实验室有限公司</w:t>
      </w:r>
      <w:r>
        <w:rPr>
          <w:rFonts w:hint="eastAsia" w:ascii="Times New Roman" w:hAnsi="Times New Roman" w:cs="Times New Roman"/>
          <w:spacing w:val="20"/>
          <w:sz w:val="24"/>
          <w:szCs w:val="24"/>
          <w:highlight w:val="none"/>
          <w:u w:val="single"/>
          <w:lang w:val="en-US" w:eastAsia="zh-CN"/>
        </w:rPr>
        <w:t>开展检验业务所需</w:t>
      </w:r>
      <w:r>
        <w:rPr>
          <w:rFonts w:hint="eastAsia" w:ascii="Times New Roman" w:hAnsi="Times New Roman" w:cs="Times New Roman"/>
          <w:spacing w:val="20"/>
          <w:sz w:val="24"/>
          <w:szCs w:val="24"/>
          <w:highlight w:val="none"/>
          <w:u w:val="single"/>
          <w:lang w:eastAsia="zh-CN"/>
        </w:rPr>
        <w:t>试剂耗材采购</w:t>
      </w:r>
      <w:r>
        <w:rPr>
          <w:rFonts w:hint="eastAsia" w:ascii="Times New Roman" w:hAnsi="Times New Roman" w:cs="Times New Roman"/>
          <w:sz w:val="24"/>
          <w:szCs w:val="24"/>
          <w:highlight w:val="none"/>
          <w:u w:val="single"/>
        </w:rPr>
        <w:t>。</w:t>
      </w:r>
    </w:p>
    <w:p w14:paraId="7872760E">
      <w:pPr>
        <w:snapToGrid w:val="0"/>
        <w:spacing w:line="360" w:lineRule="auto"/>
        <w:ind w:firstLine="480" w:firstLineChars="200"/>
        <w:rPr>
          <w:rFonts w:hint="eastAsia" w:ascii="Times New Roman" w:hAnsi="Times New Roman" w:cs="Times New Roman"/>
          <w:sz w:val="24"/>
          <w:szCs w:val="24"/>
          <w:highlight w:val="none"/>
          <w:u w:val="single"/>
        </w:rPr>
      </w:pPr>
      <w:r>
        <w:rPr>
          <w:rFonts w:hint="eastAsia" w:ascii="Times New Roman" w:hAnsi="Times New Roman" w:cs="Times New Roman"/>
          <w:sz w:val="24"/>
          <w:szCs w:val="24"/>
          <w:highlight w:val="none"/>
        </w:rPr>
        <w:t>5</w:t>
      </w:r>
      <w:r>
        <w:rPr>
          <w:rFonts w:ascii="Times New Roman" w:hAnsi="Times New Roman" w:cs="Times New Roman"/>
          <w:sz w:val="24"/>
          <w:szCs w:val="24"/>
          <w:highlight w:val="none"/>
        </w:rPr>
        <w:t>.项目预算：</w:t>
      </w:r>
      <w:r>
        <w:rPr>
          <w:rFonts w:hint="eastAsia" w:ascii="Times New Roman" w:hAnsi="Times New Roman" w:cs="Times New Roman"/>
          <w:sz w:val="24"/>
          <w:szCs w:val="24"/>
          <w:highlight w:val="none"/>
          <w:u w:val="single"/>
          <w:lang w:val="en-US" w:eastAsia="zh-CN"/>
        </w:rPr>
        <w:t>14万</w:t>
      </w:r>
      <w:r>
        <w:rPr>
          <w:rFonts w:ascii="Times New Roman" w:hAnsi="Times New Roman" w:cs="Times New Roman"/>
          <w:sz w:val="24"/>
          <w:szCs w:val="24"/>
          <w:highlight w:val="none"/>
          <w:u w:val="single"/>
        </w:rPr>
        <w:t>元</w:t>
      </w:r>
    </w:p>
    <w:p w14:paraId="1B3DCCB7">
      <w:pPr>
        <w:snapToGrid w:val="0"/>
        <w:spacing w:line="360" w:lineRule="auto"/>
        <w:ind w:firstLine="480" w:firstLineChars="200"/>
        <w:rPr>
          <w:rFonts w:hint="default" w:ascii="Times New Roman" w:hAnsi="Times New Roman" w:eastAsia="宋体" w:cs="Times New Roman"/>
          <w:sz w:val="24"/>
          <w:szCs w:val="24"/>
          <w:highlight w:val="none"/>
          <w:u w:val="single"/>
          <w:lang w:val="en-US" w:eastAsia="zh-CN"/>
        </w:rPr>
      </w:pPr>
      <w:r>
        <w:rPr>
          <w:rFonts w:hint="eastAsia" w:ascii="Times New Roman" w:hAnsi="Times New Roman" w:cs="Times New Roman"/>
          <w:sz w:val="24"/>
          <w:szCs w:val="24"/>
          <w:highlight w:val="none"/>
        </w:rPr>
        <w:t>6</w:t>
      </w:r>
      <w:r>
        <w:rPr>
          <w:rFonts w:ascii="Times New Roman" w:hAnsi="Times New Roman" w:cs="Times New Roman"/>
          <w:sz w:val="24"/>
          <w:szCs w:val="24"/>
          <w:highlight w:val="none"/>
        </w:rPr>
        <w:t>.最高限价：</w:t>
      </w:r>
      <w:r>
        <w:rPr>
          <w:rFonts w:hint="eastAsia" w:ascii="Times New Roman" w:hAnsi="Times New Roman" w:cs="Times New Roman"/>
          <w:sz w:val="24"/>
          <w:szCs w:val="24"/>
          <w:highlight w:val="none"/>
          <w:u w:val="single"/>
          <w:lang w:val="en-US" w:eastAsia="zh-CN"/>
        </w:rPr>
        <w:t>14万</w:t>
      </w:r>
      <w:r>
        <w:rPr>
          <w:rFonts w:ascii="Times New Roman" w:hAnsi="Times New Roman" w:cs="Times New Roman"/>
          <w:sz w:val="24"/>
          <w:szCs w:val="24"/>
          <w:highlight w:val="none"/>
          <w:u w:val="single"/>
        </w:rPr>
        <w:t>元</w:t>
      </w:r>
    </w:p>
    <w:p w14:paraId="2EAA5B99">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7</w:t>
      </w:r>
      <w:r>
        <w:rPr>
          <w:rFonts w:ascii="Times New Roman" w:hAnsi="Times New Roman" w:cs="Times New Roman"/>
          <w:sz w:val="24"/>
          <w:szCs w:val="24"/>
          <w:highlight w:val="none"/>
        </w:rPr>
        <w:t>.项目类别：</w:t>
      </w:r>
      <w:r>
        <w:rPr>
          <w:rFonts w:hint="eastAsia" w:ascii="Times New Roman" w:hAnsi="Times New Roman" w:cs="Times New Roman"/>
          <w:sz w:val="24"/>
          <w:szCs w:val="24"/>
          <w:highlight w:val="none"/>
          <w:u w:val="single"/>
        </w:rPr>
        <w:t>货物类</w:t>
      </w:r>
    </w:p>
    <w:p w14:paraId="405A37DD">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8</w:t>
      </w:r>
      <w:r>
        <w:rPr>
          <w:rFonts w:ascii="Times New Roman" w:hAnsi="Times New Roman" w:cs="Times New Roman"/>
          <w:sz w:val="24"/>
          <w:szCs w:val="24"/>
          <w:highlight w:val="none"/>
        </w:rPr>
        <w:t>.合同履行期限：</w:t>
      </w:r>
      <w:r>
        <w:rPr>
          <w:rFonts w:ascii="Times New Roman" w:hAnsi="Times New Roman" w:cs="Times New Roman"/>
          <w:sz w:val="24"/>
          <w:szCs w:val="24"/>
          <w:highlight w:val="none"/>
          <w:u w:val="single"/>
        </w:rPr>
        <w:t>详见招标文件</w:t>
      </w:r>
    </w:p>
    <w:p w14:paraId="03C8141E">
      <w:pPr>
        <w:autoSpaceDE w:val="0"/>
        <w:autoSpaceDN w:val="0"/>
        <w:adjustRightInd w:val="0"/>
        <w:spacing w:line="360" w:lineRule="auto"/>
        <w:ind w:firstLine="436" w:firstLineChars="182"/>
        <w:jc w:val="left"/>
        <w:rPr>
          <w:rFonts w:ascii="宋体" w:hAnsi="宋体"/>
          <w:sz w:val="24"/>
          <w:szCs w:val="18"/>
          <w:highlight w:val="none"/>
          <w:u w:val="single"/>
        </w:rPr>
      </w:pPr>
      <w:r>
        <w:rPr>
          <w:rFonts w:hint="eastAsia" w:ascii="宋体" w:hAnsi="宋体"/>
          <w:sz w:val="24"/>
          <w:szCs w:val="18"/>
          <w:highlight w:val="none"/>
        </w:rPr>
        <w:t>9.标段（包别）划分：</w:t>
      </w:r>
      <w:r>
        <w:rPr>
          <w:rFonts w:hint="eastAsia" w:ascii="宋体" w:hAnsi="宋体"/>
          <w:sz w:val="24"/>
          <w:szCs w:val="18"/>
          <w:highlight w:val="none"/>
          <w:u w:val="single"/>
        </w:rPr>
        <w:t>共分1个标段</w:t>
      </w:r>
    </w:p>
    <w:p w14:paraId="68473F6D">
      <w:pPr>
        <w:snapToGrid w:val="0"/>
        <w:spacing w:line="360" w:lineRule="auto"/>
        <w:ind w:firstLine="482" w:firstLineChars="200"/>
        <w:rPr>
          <w:rFonts w:ascii="Times New Roman" w:hAnsi="Times New Roman" w:cs="Times New Roman"/>
          <w:b/>
          <w:bCs/>
          <w:sz w:val="24"/>
          <w:szCs w:val="24"/>
          <w:highlight w:val="none"/>
        </w:rPr>
      </w:pPr>
      <w:r>
        <w:rPr>
          <w:rFonts w:ascii="Times New Roman" w:hAnsi="Times New Roman" w:cs="Times New Roman"/>
          <w:b/>
          <w:bCs/>
          <w:sz w:val="24"/>
          <w:szCs w:val="24"/>
          <w:highlight w:val="none"/>
        </w:rPr>
        <w:t>二、</w:t>
      </w:r>
      <w:r>
        <w:rPr>
          <w:rFonts w:ascii="Times New Roman" w:hAnsi="Times New Roman" w:eastAsia="宋体" w:cs="Times New Roman"/>
          <w:b/>
          <w:sz w:val="24"/>
          <w:highlight w:val="none"/>
        </w:rPr>
        <w:t>投标人</w:t>
      </w:r>
      <w:r>
        <w:rPr>
          <w:rFonts w:ascii="Times New Roman" w:hAnsi="Times New Roman" w:cs="Times New Roman"/>
          <w:b/>
          <w:bCs/>
          <w:sz w:val="24"/>
          <w:szCs w:val="18"/>
          <w:highlight w:val="none"/>
        </w:rPr>
        <w:t>资格</w:t>
      </w:r>
    </w:p>
    <w:p w14:paraId="0948E0E3">
      <w:pPr>
        <w:spacing w:line="360" w:lineRule="auto"/>
        <w:ind w:firstLine="435"/>
        <w:rPr>
          <w:rFonts w:ascii="宋体" w:hAnsi="宋体"/>
          <w:sz w:val="24"/>
          <w:szCs w:val="18"/>
          <w:highlight w:val="none"/>
        </w:rPr>
      </w:pPr>
      <w:r>
        <w:rPr>
          <w:rFonts w:hint="eastAsia" w:ascii="宋体" w:hAnsi="宋体"/>
          <w:sz w:val="24"/>
          <w:szCs w:val="18"/>
          <w:highlight w:val="none"/>
        </w:rPr>
        <w:t>1</w:t>
      </w:r>
      <w:r>
        <w:rPr>
          <w:rFonts w:hint="eastAsia" w:ascii="宋体" w:hAnsi="宋体"/>
          <w:b/>
          <w:sz w:val="24"/>
          <w:highlight w:val="none"/>
        </w:rPr>
        <w:t>.</w:t>
      </w:r>
      <w:r>
        <w:rPr>
          <w:rFonts w:hint="eastAsia" w:ascii="宋体" w:hAnsi="宋体"/>
          <w:sz w:val="24"/>
          <w:szCs w:val="18"/>
          <w:highlight w:val="none"/>
        </w:rPr>
        <w:t>具有独立承担民事责任的能力；</w:t>
      </w:r>
    </w:p>
    <w:p w14:paraId="554D0187">
      <w:pPr>
        <w:spacing w:line="360" w:lineRule="auto"/>
        <w:ind w:firstLine="435"/>
        <w:rPr>
          <w:rFonts w:ascii="宋体" w:hAnsi="宋体"/>
          <w:sz w:val="24"/>
          <w:szCs w:val="18"/>
          <w:highlight w:val="none"/>
        </w:rPr>
      </w:pPr>
      <w:r>
        <w:rPr>
          <w:rFonts w:hint="eastAsia" w:ascii="宋体" w:hAnsi="宋体"/>
          <w:sz w:val="24"/>
          <w:szCs w:val="18"/>
          <w:highlight w:val="none"/>
        </w:rPr>
        <w:t>2.资质要求：</w:t>
      </w:r>
      <w:r>
        <w:rPr>
          <w:rFonts w:hint="eastAsia" w:ascii="宋体" w:hAnsi="宋体"/>
          <w:sz w:val="24"/>
          <w:szCs w:val="18"/>
          <w:highlight w:val="none"/>
          <w:lang w:val="en-US" w:eastAsia="zh-CN"/>
        </w:rPr>
        <w:t>投标人</w:t>
      </w:r>
      <w:r>
        <w:rPr>
          <w:rFonts w:hint="eastAsia" w:ascii="宋体" w:hAnsi="宋体"/>
          <w:sz w:val="24"/>
          <w:szCs w:val="18"/>
          <w:highlight w:val="none"/>
        </w:rPr>
        <w:t>须是经中华人民共和国工商注册的独立法人且具有有效的营业执照；投标人须具有采购明细相应的医疗器械销售经营许可资质。</w:t>
      </w:r>
    </w:p>
    <w:p w14:paraId="7CD37F2B">
      <w:pPr>
        <w:spacing w:line="360" w:lineRule="auto"/>
        <w:ind w:firstLine="435"/>
        <w:rPr>
          <w:rFonts w:ascii="宋体" w:hAnsi="宋体"/>
          <w:sz w:val="24"/>
          <w:szCs w:val="18"/>
          <w:highlight w:val="none"/>
        </w:rPr>
      </w:pPr>
      <w:r>
        <w:rPr>
          <w:rFonts w:hint="eastAsia" w:ascii="宋体" w:hAnsi="宋体"/>
          <w:sz w:val="24"/>
          <w:szCs w:val="18"/>
          <w:highlight w:val="none"/>
        </w:rPr>
        <w:t>3.业绩要求：/；</w:t>
      </w:r>
    </w:p>
    <w:p w14:paraId="5EC616DD">
      <w:pPr>
        <w:spacing w:line="360" w:lineRule="auto"/>
        <w:ind w:firstLine="435"/>
        <w:rPr>
          <w:rFonts w:ascii="宋体" w:hAnsi="宋体"/>
          <w:sz w:val="24"/>
          <w:szCs w:val="18"/>
          <w:highlight w:val="none"/>
        </w:rPr>
      </w:pPr>
      <w:r>
        <w:rPr>
          <w:rFonts w:hint="eastAsia" w:ascii="宋体" w:hAnsi="宋体"/>
          <w:sz w:val="24"/>
          <w:szCs w:val="18"/>
          <w:highlight w:val="none"/>
        </w:rPr>
        <w:t>4.本项目不接受联合体投标；</w:t>
      </w:r>
    </w:p>
    <w:p w14:paraId="23364952">
      <w:pPr>
        <w:spacing w:line="360" w:lineRule="auto"/>
        <w:ind w:firstLine="435"/>
        <w:rPr>
          <w:rFonts w:ascii="宋体" w:hAnsi="宋体"/>
          <w:sz w:val="24"/>
          <w:szCs w:val="18"/>
          <w:highlight w:val="none"/>
        </w:rPr>
      </w:pPr>
      <w:r>
        <w:rPr>
          <w:rFonts w:hint="eastAsia" w:ascii="宋体" w:hAnsi="宋体"/>
          <w:sz w:val="24"/>
          <w:szCs w:val="18"/>
          <w:highlight w:val="none"/>
        </w:rPr>
        <w:t>5.符合下列情形之一：</w:t>
      </w:r>
    </w:p>
    <w:p w14:paraId="6B3A12CC">
      <w:pPr>
        <w:spacing w:line="440" w:lineRule="exact"/>
        <w:ind w:firstLine="435"/>
        <w:rPr>
          <w:rFonts w:ascii="宋体" w:hAnsi="宋体"/>
          <w:sz w:val="24"/>
          <w:szCs w:val="24"/>
          <w:highlight w:val="none"/>
        </w:rPr>
      </w:pPr>
      <w:r>
        <w:rPr>
          <w:rFonts w:ascii="宋体" w:hAnsi="宋体"/>
          <w:sz w:val="24"/>
          <w:szCs w:val="24"/>
          <w:highlight w:val="none"/>
        </w:rPr>
        <w:t>1）开标日前两年内未被合肥市及其所辖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记不良行为记录或记不良行为记录累计未满10分的；</w:t>
      </w:r>
    </w:p>
    <w:p w14:paraId="448FDFD4">
      <w:pPr>
        <w:spacing w:line="440" w:lineRule="exact"/>
        <w:ind w:firstLine="435"/>
        <w:rPr>
          <w:rFonts w:ascii="宋体" w:hAnsi="宋体"/>
          <w:sz w:val="24"/>
          <w:szCs w:val="24"/>
          <w:highlight w:val="none"/>
        </w:rPr>
      </w:pPr>
      <w:r>
        <w:rPr>
          <w:rFonts w:ascii="宋体" w:hAnsi="宋体"/>
          <w:sz w:val="24"/>
          <w:szCs w:val="24"/>
          <w:highlight w:val="none"/>
        </w:rPr>
        <w:t>2）最近一次被合肥市及其所辖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记不良行为记录累计记分达10分（含10分）到15分且公布日距开标日超过6个月；</w:t>
      </w:r>
    </w:p>
    <w:p w14:paraId="665C8D15">
      <w:pPr>
        <w:spacing w:line="440" w:lineRule="exact"/>
        <w:ind w:firstLine="435"/>
        <w:rPr>
          <w:rFonts w:ascii="宋体" w:hAnsi="宋体"/>
          <w:sz w:val="24"/>
          <w:szCs w:val="24"/>
          <w:highlight w:val="none"/>
        </w:rPr>
      </w:pPr>
      <w:r>
        <w:rPr>
          <w:rFonts w:ascii="宋体" w:hAnsi="宋体"/>
          <w:sz w:val="24"/>
          <w:szCs w:val="24"/>
          <w:highlight w:val="none"/>
        </w:rPr>
        <w:t>3）最近一次被合肥市及其所辖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记不良行为记录累计记分达15分（含15分）到20分且公布日距开标日超过12个月；</w:t>
      </w:r>
    </w:p>
    <w:p w14:paraId="35B80488">
      <w:pPr>
        <w:spacing w:line="440" w:lineRule="exact"/>
        <w:ind w:firstLine="435"/>
        <w:rPr>
          <w:rFonts w:ascii="宋体" w:hAnsi="宋体"/>
          <w:sz w:val="24"/>
          <w:szCs w:val="24"/>
          <w:highlight w:val="none"/>
        </w:rPr>
      </w:pPr>
      <w:r>
        <w:rPr>
          <w:rFonts w:ascii="宋体" w:hAnsi="宋体"/>
          <w:sz w:val="24"/>
          <w:szCs w:val="24"/>
          <w:highlight w:val="none"/>
        </w:rPr>
        <w:t>4）最近一次被合肥市及其所辖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记不良行为记录累计记分达20分（含20分）及以上且公布日距开标日超过24个月</w:t>
      </w:r>
      <w:r>
        <w:rPr>
          <w:rFonts w:hint="eastAsia" w:ascii="宋体" w:hAnsi="宋体"/>
          <w:sz w:val="24"/>
          <w:szCs w:val="24"/>
          <w:highlight w:val="none"/>
        </w:rPr>
        <w:t>；</w:t>
      </w:r>
    </w:p>
    <w:p w14:paraId="07340370">
      <w:pPr>
        <w:spacing w:line="440" w:lineRule="exact"/>
        <w:ind w:firstLine="435"/>
        <w:rPr>
          <w:rFonts w:ascii="宋体" w:hAnsi="宋体"/>
          <w:sz w:val="24"/>
          <w:szCs w:val="24"/>
          <w:highlight w:val="none"/>
        </w:rPr>
      </w:pPr>
      <w:r>
        <w:rPr>
          <w:rFonts w:hint="eastAsia" w:ascii="宋体" w:hAnsi="宋体"/>
          <w:sz w:val="24"/>
          <w:szCs w:val="18"/>
          <w:highlight w:val="none"/>
        </w:rPr>
        <w:t>6.投标人存在以下不良信用记录情形之一的，不得推荐为中标候选人，不得确</w:t>
      </w:r>
      <w:r>
        <w:rPr>
          <w:rFonts w:hint="eastAsia" w:ascii="宋体" w:hAnsi="宋体"/>
          <w:sz w:val="24"/>
          <w:szCs w:val="24"/>
          <w:highlight w:val="none"/>
        </w:rPr>
        <w:t>定为中标人：</w:t>
      </w:r>
    </w:p>
    <w:p w14:paraId="4FD9F18B">
      <w:pPr>
        <w:spacing w:line="360" w:lineRule="auto"/>
        <w:ind w:firstLine="435"/>
        <w:rPr>
          <w:rFonts w:hint="eastAsia" w:ascii="宋体" w:hAnsi="宋体" w:eastAsia="宋体"/>
          <w:sz w:val="24"/>
          <w:szCs w:val="18"/>
          <w:highlight w:val="none"/>
          <w:lang w:eastAsia="zh-CN"/>
        </w:rPr>
      </w:pPr>
      <w:r>
        <w:rPr>
          <w:rFonts w:hint="eastAsia" w:ascii="宋体" w:hAnsi="宋体"/>
          <w:sz w:val="24"/>
          <w:szCs w:val="18"/>
          <w:highlight w:val="none"/>
        </w:rPr>
        <w:t>（1）被责令停产停业，暂扣或者吊销许可证，暂扣或者吊销执照；</w:t>
      </w:r>
    </w:p>
    <w:p w14:paraId="726F7170">
      <w:pPr>
        <w:spacing w:line="360" w:lineRule="auto"/>
        <w:ind w:firstLine="435"/>
        <w:rPr>
          <w:rFonts w:hint="eastAsia" w:ascii="宋体" w:hAnsi="宋体" w:eastAsia="宋体"/>
          <w:sz w:val="24"/>
          <w:szCs w:val="18"/>
          <w:highlight w:val="none"/>
          <w:lang w:eastAsia="zh-CN"/>
        </w:rPr>
      </w:pPr>
      <w:r>
        <w:rPr>
          <w:rFonts w:hint="eastAsia" w:ascii="宋体" w:hAnsi="宋体"/>
          <w:sz w:val="24"/>
          <w:szCs w:val="18"/>
          <w:highlight w:val="none"/>
        </w:rPr>
        <w:t>（2）进入清算程序，或被宣告破产，或其他丧失履约能力的情形；</w:t>
      </w:r>
    </w:p>
    <w:p w14:paraId="487F6332">
      <w:pPr>
        <w:spacing w:line="360" w:lineRule="auto"/>
        <w:ind w:firstLine="435"/>
        <w:rPr>
          <w:rFonts w:hint="eastAsia" w:ascii="宋体" w:hAnsi="宋体" w:eastAsia="宋体"/>
          <w:sz w:val="24"/>
          <w:szCs w:val="18"/>
          <w:highlight w:val="none"/>
          <w:lang w:eastAsia="zh-CN"/>
        </w:rPr>
      </w:pPr>
      <w:r>
        <w:rPr>
          <w:rFonts w:hint="eastAsia" w:ascii="宋体" w:hAnsi="宋体"/>
          <w:sz w:val="24"/>
          <w:szCs w:val="18"/>
          <w:highlight w:val="none"/>
        </w:rPr>
        <w:t>（3）在最近三年内（自投标截止之日向前追溯3年，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w:t>
      </w:r>
    </w:p>
    <w:p w14:paraId="4877518F">
      <w:pPr>
        <w:spacing w:line="360" w:lineRule="auto"/>
        <w:ind w:firstLine="435"/>
        <w:rPr>
          <w:rFonts w:hint="eastAsia" w:ascii="宋体" w:hAnsi="宋体" w:eastAsia="宋体"/>
          <w:sz w:val="24"/>
          <w:szCs w:val="18"/>
          <w:highlight w:val="none"/>
          <w:lang w:eastAsia="zh-CN"/>
        </w:rPr>
      </w:pPr>
      <w:r>
        <w:rPr>
          <w:rFonts w:hint="eastAsia" w:ascii="宋体" w:hAnsi="宋体"/>
          <w:sz w:val="24"/>
          <w:szCs w:val="18"/>
          <w:highlight w:val="none"/>
        </w:rPr>
        <w:t>（4）在国家企业信用信息公示系统（http://www.gsxt.gov.cn/）中被列入严重违法失信企业名单；</w:t>
      </w:r>
    </w:p>
    <w:p w14:paraId="3F14D21D">
      <w:pPr>
        <w:spacing w:line="360" w:lineRule="auto"/>
        <w:ind w:firstLine="435"/>
        <w:rPr>
          <w:rFonts w:hint="eastAsia" w:ascii="宋体" w:hAnsi="宋体" w:eastAsia="宋体"/>
          <w:sz w:val="24"/>
          <w:szCs w:val="18"/>
          <w:highlight w:val="none"/>
          <w:lang w:eastAsia="zh-CN"/>
        </w:rPr>
      </w:pPr>
      <w:r>
        <w:rPr>
          <w:rFonts w:hint="eastAsia" w:ascii="宋体" w:hAnsi="宋体"/>
          <w:sz w:val="24"/>
          <w:szCs w:val="18"/>
          <w:highlight w:val="none"/>
        </w:rPr>
        <w:t>（5）在“信用中国”网站（http://www.creditchina.gov.cn/）中被列入失信被执行人名单；</w:t>
      </w:r>
    </w:p>
    <w:p w14:paraId="43A099CF">
      <w:pPr>
        <w:spacing w:line="360" w:lineRule="auto"/>
        <w:ind w:firstLine="435"/>
        <w:rPr>
          <w:rFonts w:hint="eastAsia" w:ascii="宋体" w:hAnsi="宋体" w:eastAsia="宋体"/>
          <w:sz w:val="24"/>
          <w:szCs w:val="18"/>
          <w:highlight w:val="none"/>
          <w:lang w:eastAsia="zh-CN"/>
        </w:rPr>
      </w:pPr>
      <w:r>
        <w:rPr>
          <w:rFonts w:hint="eastAsia" w:ascii="宋体" w:hAnsi="宋体"/>
          <w:sz w:val="24"/>
          <w:szCs w:val="18"/>
          <w:highlight w:val="none"/>
        </w:rPr>
        <w:t>（6）在“信用中国”网站（http://www.creditchina.gov.cn/）中被列入重大税收违法案件当事人名单；</w:t>
      </w:r>
    </w:p>
    <w:p w14:paraId="0DDF2C0D">
      <w:pPr>
        <w:spacing w:line="360" w:lineRule="auto"/>
        <w:ind w:firstLine="435"/>
        <w:rPr>
          <w:rFonts w:hint="eastAsia" w:ascii="宋体" w:hAnsi="宋体"/>
          <w:sz w:val="24"/>
          <w:szCs w:val="18"/>
          <w:highlight w:val="none"/>
        </w:rPr>
      </w:pPr>
      <w:r>
        <w:rPr>
          <w:rFonts w:hint="eastAsia" w:ascii="宋体" w:hAnsi="宋体"/>
          <w:sz w:val="24"/>
          <w:szCs w:val="18"/>
          <w:highlight w:val="none"/>
        </w:rPr>
        <w:t>（7）在近三年内投标人或其法定代表人（单位负责人）有行贿犯罪行为的。</w:t>
      </w:r>
    </w:p>
    <w:p w14:paraId="57F571C3">
      <w:pPr>
        <w:snapToGrid w:val="0"/>
        <w:spacing w:line="360" w:lineRule="auto"/>
        <w:ind w:firstLine="482" w:firstLineChars="200"/>
        <w:rPr>
          <w:rFonts w:ascii="Times New Roman" w:hAnsi="Times New Roman" w:cs="Times New Roman"/>
          <w:b/>
          <w:bCs/>
          <w:sz w:val="24"/>
          <w:szCs w:val="24"/>
          <w:highlight w:val="none"/>
        </w:rPr>
      </w:pPr>
      <w:r>
        <w:rPr>
          <w:rFonts w:ascii="Times New Roman" w:hAnsi="Times New Roman" w:cs="Times New Roman"/>
          <w:b/>
          <w:bCs/>
          <w:sz w:val="24"/>
          <w:szCs w:val="24"/>
          <w:highlight w:val="none"/>
        </w:rPr>
        <w:t>三、获取招标文件方式</w:t>
      </w:r>
    </w:p>
    <w:p w14:paraId="0D7393A8">
      <w:pPr>
        <w:snapToGrid w:val="0"/>
        <w:spacing w:line="360" w:lineRule="auto"/>
        <w:ind w:firstLine="480" w:firstLineChars="200"/>
        <w:rPr>
          <w:rFonts w:ascii="Times New Roman" w:hAnsi="Times New Roman" w:cs="Times New Roman"/>
          <w:sz w:val="24"/>
          <w:szCs w:val="24"/>
          <w:highlight w:val="none"/>
        </w:rPr>
      </w:pPr>
      <w:r>
        <w:rPr>
          <w:rFonts w:ascii="Times New Roman" w:hAnsi="Times New Roman" w:cs="Times New Roman"/>
          <w:sz w:val="24"/>
          <w:szCs w:val="24"/>
          <w:highlight w:val="none"/>
        </w:rPr>
        <w:t>1.获取时间：</w:t>
      </w:r>
      <w:r>
        <w:rPr>
          <w:rFonts w:ascii="Times New Roman" w:hAnsi="Times New Roman" w:cs="Times New Roman"/>
          <w:sz w:val="24"/>
          <w:szCs w:val="24"/>
          <w:highlight w:val="none"/>
          <w:u w:val="single"/>
        </w:rPr>
        <w:t>202</w:t>
      </w:r>
      <w:r>
        <w:rPr>
          <w:rFonts w:hint="eastAsia" w:ascii="Times New Roman" w:hAnsi="Times New Roman" w:cs="Times New Roman"/>
          <w:sz w:val="24"/>
          <w:szCs w:val="24"/>
          <w:highlight w:val="none"/>
          <w:u w:val="single"/>
          <w:lang w:val="en-US" w:eastAsia="zh-CN"/>
        </w:rPr>
        <w:t>4</w:t>
      </w:r>
      <w:r>
        <w:rPr>
          <w:rFonts w:ascii="Times New Roman" w:hAnsi="Times New Roman" w:cs="Times New Roman"/>
          <w:sz w:val="24"/>
          <w:szCs w:val="24"/>
          <w:highlight w:val="none"/>
          <w:u w:val="single"/>
        </w:rPr>
        <w:t>年</w:t>
      </w:r>
      <w:r>
        <w:rPr>
          <w:rFonts w:hint="eastAsia" w:ascii="Times New Roman" w:hAnsi="Times New Roman" w:cs="Times New Roman"/>
          <w:sz w:val="24"/>
          <w:szCs w:val="24"/>
          <w:highlight w:val="none"/>
          <w:u w:val="single"/>
          <w:lang w:val="en-US" w:eastAsia="zh-CN"/>
        </w:rPr>
        <w:t>11</w:t>
      </w:r>
      <w:r>
        <w:rPr>
          <w:rFonts w:ascii="Times New Roman" w:hAnsi="Times New Roman" w:cs="Times New Roman"/>
          <w:sz w:val="24"/>
          <w:szCs w:val="24"/>
          <w:highlight w:val="none"/>
          <w:u w:val="single"/>
        </w:rPr>
        <w:t>月</w:t>
      </w:r>
      <w:r>
        <w:rPr>
          <w:rFonts w:hint="eastAsia" w:ascii="Times New Roman" w:hAnsi="Times New Roman" w:cs="Times New Roman"/>
          <w:sz w:val="24"/>
          <w:szCs w:val="24"/>
          <w:highlight w:val="none"/>
          <w:u w:val="single"/>
          <w:lang w:val="en-US" w:eastAsia="zh-CN"/>
        </w:rPr>
        <w:t>27</w:t>
      </w:r>
      <w:r>
        <w:rPr>
          <w:rFonts w:ascii="Times New Roman" w:hAnsi="Times New Roman" w:cs="Times New Roman"/>
          <w:sz w:val="24"/>
          <w:szCs w:val="24"/>
          <w:highlight w:val="none"/>
          <w:u w:val="single"/>
        </w:rPr>
        <w:t>日至202</w:t>
      </w:r>
      <w:r>
        <w:rPr>
          <w:rFonts w:hint="eastAsia" w:ascii="Times New Roman" w:hAnsi="Times New Roman" w:cs="Times New Roman"/>
          <w:sz w:val="24"/>
          <w:szCs w:val="24"/>
          <w:highlight w:val="none"/>
          <w:u w:val="single"/>
          <w:lang w:val="en-US" w:eastAsia="zh-CN"/>
        </w:rPr>
        <w:t>4</w:t>
      </w:r>
      <w:r>
        <w:rPr>
          <w:rFonts w:ascii="Times New Roman" w:hAnsi="Times New Roman" w:cs="Times New Roman"/>
          <w:sz w:val="24"/>
          <w:szCs w:val="24"/>
          <w:highlight w:val="none"/>
          <w:u w:val="single"/>
        </w:rPr>
        <w:t>年</w:t>
      </w:r>
      <w:r>
        <w:rPr>
          <w:rFonts w:hint="eastAsia" w:ascii="Times New Roman" w:hAnsi="Times New Roman" w:cs="Times New Roman"/>
          <w:sz w:val="24"/>
          <w:szCs w:val="24"/>
          <w:highlight w:val="none"/>
          <w:u w:val="single"/>
          <w:lang w:val="en-US" w:eastAsia="zh-CN"/>
        </w:rPr>
        <w:t>12</w:t>
      </w:r>
      <w:r>
        <w:rPr>
          <w:rFonts w:ascii="Times New Roman" w:hAnsi="Times New Roman" w:cs="Times New Roman"/>
          <w:sz w:val="24"/>
          <w:szCs w:val="24"/>
          <w:highlight w:val="none"/>
          <w:u w:val="single"/>
        </w:rPr>
        <w:t>月</w:t>
      </w:r>
      <w:r>
        <w:rPr>
          <w:rFonts w:hint="eastAsia" w:ascii="Times New Roman" w:hAnsi="Times New Roman" w:cs="Times New Roman"/>
          <w:sz w:val="24"/>
          <w:szCs w:val="24"/>
          <w:highlight w:val="none"/>
          <w:u w:val="single"/>
          <w:lang w:val="en-US" w:eastAsia="zh-CN"/>
        </w:rPr>
        <w:t>4</w:t>
      </w:r>
      <w:r>
        <w:rPr>
          <w:rFonts w:ascii="Times New Roman" w:hAnsi="Times New Roman" w:cs="Times New Roman"/>
          <w:sz w:val="24"/>
          <w:szCs w:val="24"/>
          <w:highlight w:val="none"/>
          <w:u w:val="single"/>
        </w:rPr>
        <w:t>日</w:t>
      </w:r>
    </w:p>
    <w:p w14:paraId="36B227F4">
      <w:pPr>
        <w:snapToGrid w:val="0"/>
        <w:spacing w:line="360" w:lineRule="auto"/>
        <w:ind w:firstLine="480" w:firstLineChars="200"/>
        <w:jc w:val="left"/>
        <w:rPr>
          <w:rFonts w:ascii="Times New Roman" w:hAnsi="Times New Roman" w:cs="Times New Roman"/>
          <w:sz w:val="24"/>
          <w:szCs w:val="24"/>
          <w:highlight w:val="none"/>
          <w:shd w:val="clear" w:color="auto" w:fill="FFFFFF"/>
        </w:rPr>
      </w:pPr>
      <w:r>
        <w:rPr>
          <w:rFonts w:ascii="Times New Roman" w:hAnsi="Times New Roman" w:cs="Times New Roman"/>
          <w:sz w:val="24"/>
          <w:szCs w:val="24"/>
          <w:highlight w:val="none"/>
        </w:rPr>
        <w:t>2.获取方式：登录</w:t>
      </w:r>
      <w:r>
        <w:rPr>
          <w:rFonts w:hint="eastAsia" w:ascii="Times New Roman" w:hAnsi="Times New Roman" w:cs="Times New Roman"/>
          <w:sz w:val="24"/>
          <w:szCs w:val="24"/>
          <w:highlight w:val="none"/>
          <w:u w:val="single"/>
          <w:lang w:eastAsia="zh-CN"/>
        </w:rPr>
        <w:t>合肥滨湖时光产业投资集团有限公司</w:t>
      </w:r>
      <w:r>
        <w:rPr>
          <w:rFonts w:ascii="Times New Roman" w:hAnsi="Times New Roman" w:cs="Times New Roman"/>
          <w:sz w:val="24"/>
          <w:szCs w:val="24"/>
          <w:highlight w:val="none"/>
          <w:u w:val="single"/>
        </w:rPr>
        <w:t>官方网站</w:t>
      </w:r>
      <w:r>
        <w:rPr>
          <w:rFonts w:hint="eastAsia" w:ascii="Times New Roman" w:hAnsi="Times New Roman" w:cs="Times New Roman"/>
          <w:sz w:val="24"/>
          <w:szCs w:val="24"/>
          <w:highlight w:val="none"/>
          <w:u w:val="single"/>
          <w:lang w:eastAsia="zh-CN"/>
        </w:rPr>
        <w:t>http://bhsggroup.cn/</w:t>
      </w:r>
      <w:r>
        <w:rPr>
          <w:rFonts w:ascii="Times New Roman" w:hAnsi="Times New Roman" w:cs="Times New Roman"/>
          <w:sz w:val="24"/>
          <w:szCs w:val="24"/>
          <w:highlight w:val="none"/>
          <w:shd w:val="clear" w:color="auto" w:fill="FFFFFF"/>
        </w:rPr>
        <w:t>并下载招标文件及相关附件。在投标截止时间前，将投标文件密封提交（或快递）至项目联系人处即可。</w:t>
      </w:r>
    </w:p>
    <w:p w14:paraId="52ADF77C">
      <w:pPr>
        <w:snapToGrid w:val="0"/>
        <w:spacing w:line="360" w:lineRule="auto"/>
        <w:ind w:firstLine="482" w:firstLineChars="200"/>
        <w:rPr>
          <w:rFonts w:ascii="Times New Roman" w:hAnsi="Times New Roman" w:cs="Times New Roman"/>
          <w:b/>
          <w:bCs/>
          <w:sz w:val="24"/>
          <w:szCs w:val="24"/>
          <w:highlight w:val="none"/>
        </w:rPr>
      </w:pPr>
      <w:r>
        <w:rPr>
          <w:rFonts w:ascii="Times New Roman" w:hAnsi="Times New Roman" w:cs="Times New Roman"/>
          <w:b/>
          <w:bCs/>
          <w:sz w:val="24"/>
          <w:szCs w:val="24"/>
          <w:highlight w:val="none"/>
        </w:rPr>
        <w:t>四、</w:t>
      </w:r>
      <w:r>
        <w:rPr>
          <w:rFonts w:hint="eastAsia" w:ascii="宋体" w:hAnsi="宋体" w:cs="宋体"/>
          <w:b/>
          <w:bCs/>
          <w:sz w:val="24"/>
          <w:szCs w:val="24"/>
          <w:highlight w:val="none"/>
        </w:rPr>
        <w:t>提交投标文件截止时间、开标时间和地点</w:t>
      </w:r>
    </w:p>
    <w:p w14:paraId="7C763013">
      <w:pPr>
        <w:snapToGrid w:val="0"/>
        <w:spacing w:line="360" w:lineRule="auto"/>
        <w:ind w:firstLine="480" w:firstLineChars="200"/>
        <w:rPr>
          <w:rFonts w:ascii="Times New Roman" w:hAnsi="Times New Roman" w:cs="Times New Roman"/>
          <w:b/>
          <w:bCs/>
          <w:sz w:val="24"/>
          <w:szCs w:val="24"/>
          <w:highlight w:val="none"/>
        </w:rPr>
      </w:pPr>
      <w:r>
        <w:rPr>
          <w:rFonts w:ascii="Times New Roman" w:hAnsi="Times New Roman" w:cs="Times New Roman"/>
          <w:sz w:val="24"/>
          <w:szCs w:val="24"/>
          <w:highlight w:val="none"/>
        </w:rPr>
        <w:t>1.投标文件提交截止时间：</w:t>
      </w:r>
      <w:r>
        <w:rPr>
          <w:rFonts w:ascii="Times New Roman" w:hAnsi="Times New Roman" w:cs="Times New Roman"/>
          <w:sz w:val="24"/>
          <w:szCs w:val="24"/>
          <w:highlight w:val="none"/>
          <w:u w:val="single"/>
        </w:rPr>
        <w:t>202</w:t>
      </w:r>
      <w:r>
        <w:rPr>
          <w:rFonts w:hint="eastAsia" w:ascii="Times New Roman" w:hAnsi="Times New Roman" w:cs="Times New Roman"/>
          <w:sz w:val="24"/>
          <w:szCs w:val="24"/>
          <w:highlight w:val="none"/>
          <w:u w:val="single"/>
          <w:lang w:val="en-US" w:eastAsia="zh-CN"/>
        </w:rPr>
        <w:t>4</w:t>
      </w:r>
      <w:r>
        <w:rPr>
          <w:rFonts w:ascii="Times New Roman" w:hAnsi="Times New Roman" w:cs="Times New Roman"/>
          <w:sz w:val="24"/>
          <w:szCs w:val="24"/>
          <w:highlight w:val="none"/>
          <w:u w:val="single"/>
        </w:rPr>
        <w:t>年</w:t>
      </w:r>
      <w:r>
        <w:rPr>
          <w:rFonts w:hint="eastAsia" w:ascii="Times New Roman" w:hAnsi="Times New Roman" w:cs="Times New Roman"/>
          <w:sz w:val="24"/>
          <w:szCs w:val="24"/>
          <w:highlight w:val="none"/>
          <w:u w:val="single"/>
          <w:lang w:val="en-US" w:eastAsia="zh-CN"/>
        </w:rPr>
        <w:t>12</w:t>
      </w:r>
      <w:r>
        <w:rPr>
          <w:rFonts w:ascii="Times New Roman" w:hAnsi="Times New Roman" w:cs="Times New Roman"/>
          <w:sz w:val="24"/>
          <w:szCs w:val="24"/>
          <w:highlight w:val="none"/>
          <w:u w:val="single"/>
        </w:rPr>
        <w:t>月</w:t>
      </w:r>
      <w:r>
        <w:rPr>
          <w:rFonts w:hint="eastAsia" w:ascii="Times New Roman" w:hAnsi="Times New Roman" w:cs="Times New Roman"/>
          <w:sz w:val="24"/>
          <w:szCs w:val="24"/>
          <w:highlight w:val="none"/>
          <w:u w:val="single"/>
          <w:lang w:val="en-US" w:eastAsia="zh-CN"/>
        </w:rPr>
        <w:t>4</w:t>
      </w:r>
      <w:r>
        <w:rPr>
          <w:rFonts w:ascii="Times New Roman" w:hAnsi="Times New Roman" w:cs="Times New Roman"/>
          <w:sz w:val="24"/>
          <w:szCs w:val="24"/>
          <w:highlight w:val="none"/>
          <w:u w:val="single"/>
        </w:rPr>
        <w:t>日</w:t>
      </w:r>
      <w:r>
        <w:rPr>
          <w:rFonts w:hint="eastAsia" w:ascii="Times New Roman" w:hAnsi="Times New Roman" w:cs="Times New Roman"/>
          <w:sz w:val="24"/>
          <w:szCs w:val="24"/>
          <w:highlight w:val="none"/>
          <w:u w:val="single"/>
        </w:rPr>
        <w:t>9</w:t>
      </w:r>
      <w:r>
        <w:rPr>
          <w:rFonts w:ascii="Times New Roman" w:hAnsi="Times New Roman" w:cs="Times New Roman"/>
          <w:sz w:val="24"/>
          <w:szCs w:val="24"/>
          <w:highlight w:val="none"/>
          <w:u w:val="single"/>
        </w:rPr>
        <w:t>时</w:t>
      </w:r>
      <w:r>
        <w:rPr>
          <w:rFonts w:hint="eastAsia" w:ascii="Times New Roman" w:hAnsi="Times New Roman" w:cs="Times New Roman"/>
          <w:sz w:val="24"/>
          <w:szCs w:val="24"/>
          <w:highlight w:val="none"/>
          <w:u w:val="single"/>
        </w:rPr>
        <w:t>30</w:t>
      </w:r>
      <w:r>
        <w:rPr>
          <w:rFonts w:ascii="Times New Roman" w:hAnsi="Times New Roman" w:cs="Times New Roman"/>
          <w:sz w:val="24"/>
          <w:szCs w:val="24"/>
          <w:highlight w:val="none"/>
          <w:u w:val="single"/>
        </w:rPr>
        <w:t>分</w:t>
      </w:r>
    </w:p>
    <w:p w14:paraId="4723F366">
      <w:pPr>
        <w:snapToGrid w:val="0"/>
        <w:spacing w:line="360" w:lineRule="auto"/>
        <w:ind w:firstLine="480" w:firstLineChars="200"/>
        <w:rPr>
          <w:rFonts w:hint="eastAsia" w:ascii="宋体" w:hAnsi="宋体" w:cs="宋体"/>
          <w:sz w:val="24"/>
          <w:szCs w:val="24"/>
          <w:highlight w:val="none"/>
        </w:rPr>
      </w:pPr>
      <w:r>
        <w:rPr>
          <w:rFonts w:ascii="Times New Roman" w:hAnsi="Times New Roman" w:cs="Times New Roman"/>
          <w:sz w:val="24"/>
          <w:szCs w:val="24"/>
          <w:highlight w:val="none"/>
        </w:rPr>
        <w:t>2.投标文件提交地点：</w:t>
      </w:r>
      <w:r>
        <w:rPr>
          <w:rFonts w:hint="eastAsia" w:ascii="宋体" w:hAnsi="宋体" w:cs="宋体"/>
          <w:sz w:val="24"/>
          <w:szCs w:val="24"/>
          <w:highlight w:val="none"/>
        </w:rPr>
        <w:t>合肥市包河区滨湖卓越城文华园一期A2楼</w:t>
      </w:r>
      <w:r>
        <w:rPr>
          <w:rFonts w:hint="eastAsia" w:ascii="宋体" w:hAnsi="宋体" w:cs="宋体"/>
          <w:sz w:val="24"/>
          <w:szCs w:val="24"/>
          <w:highlight w:val="none"/>
          <w:lang w:val="en-US" w:eastAsia="zh-CN"/>
        </w:rPr>
        <w:t>4</w:t>
      </w:r>
      <w:r>
        <w:rPr>
          <w:rFonts w:hint="eastAsia" w:ascii="宋体" w:hAnsi="宋体" w:cs="宋体"/>
          <w:sz w:val="24"/>
          <w:szCs w:val="24"/>
          <w:highlight w:val="none"/>
        </w:rPr>
        <w:t>层</w:t>
      </w:r>
    </w:p>
    <w:p w14:paraId="6F0F1644">
      <w:pPr>
        <w:snapToGrid w:val="0"/>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五、开标时间：同</w:t>
      </w:r>
      <w:r>
        <w:rPr>
          <w:rFonts w:ascii="宋体" w:hAnsi="宋体" w:cs="宋体"/>
          <w:b/>
          <w:bCs/>
          <w:sz w:val="24"/>
          <w:szCs w:val="24"/>
          <w:highlight w:val="none"/>
        </w:rPr>
        <w:t>投标文件提交截止时间</w:t>
      </w:r>
    </w:p>
    <w:p w14:paraId="341D5C7C">
      <w:pPr>
        <w:snapToGrid w:val="0"/>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六</w:t>
      </w:r>
      <w:r>
        <w:rPr>
          <w:rFonts w:ascii="宋体" w:hAnsi="宋体" w:cs="宋体"/>
          <w:b/>
          <w:bCs/>
          <w:sz w:val="24"/>
          <w:szCs w:val="24"/>
          <w:highlight w:val="none"/>
        </w:rPr>
        <w:t>、公告期限</w:t>
      </w:r>
    </w:p>
    <w:p w14:paraId="6EA27061">
      <w:pPr>
        <w:snapToGrid w:val="0"/>
        <w:spacing w:line="360" w:lineRule="auto"/>
        <w:ind w:firstLine="422" w:firstLineChars="200"/>
        <w:rPr>
          <w:rFonts w:ascii="Times New Roman" w:hAnsi="Times New Roman" w:cs="Times New Roman"/>
          <w:b/>
          <w:bCs/>
          <w:szCs w:val="21"/>
          <w:highlight w:val="none"/>
        </w:rPr>
      </w:pPr>
      <w:r>
        <w:rPr>
          <w:rFonts w:ascii="Times New Roman" w:hAnsi="Times New Roman" w:cs="Times New Roman"/>
          <w:b/>
          <w:bCs/>
          <w:szCs w:val="21"/>
          <w:highlight w:val="none"/>
        </w:rPr>
        <w:t>自本公告发布之日起</w:t>
      </w:r>
      <w:r>
        <w:rPr>
          <w:rFonts w:hint="eastAsia" w:ascii="Times New Roman" w:hAnsi="Times New Roman" w:cs="Times New Roman"/>
          <w:b/>
          <w:bCs/>
          <w:szCs w:val="21"/>
          <w:highlight w:val="none"/>
        </w:rPr>
        <w:t>5</w:t>
      </w:r>
      <w:r>
        <w:rPr>
          <w:rFonts w:ascii="Times New Roman" w:hAnsi="Times New Roman" w:cs="Times New Roman"/>
          <w:b/>
          <w:bCs/>
          <w:szCs w:val="21"/>
          <w:highlight w:val="none"/>
        </w:rPr>
        <w:t>个工作日内。</w:t>
      </w:r>
    </w:p>
    <w:p w14:paraId="62AE17CD">
      <w:pPr>
        <w:snapToGrid w:val="0"/>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七</w:t>
      </w:r>
      <w:r>
        <w:rPr>
          <w:rFonts w:ascii="宋体" w:hAnsi="宋体" w:cs="宋体"/>
          <w:b/>
          <w:bCs/>
          <w:sz w:val="24"/>
          <w:szCs w:val="24"/>
          <w:highlight w:val="none"/>
        </w:rPr>
        <w:t>、其他补充事宜</w:t>
      </w:r>
    </w:p>
    <w:p w14:paraId="153A0421">
      <w:pPr>
        <w:snapToGrid w:val="0"/>
        <w:spacing w:line="360" w:lineRule="auto"/>
        <w:ind w:firstLine="480" w:firstLineChars="200"/>
        <w:rPr>
          <w:rFonts w:ascii="Times New Roman" w:hAnsi="Times New Roman" w:cs="Times New Roman"/>
          <w:sz w:val="24"/>
          <w:szCs w:val="24"/>
          <w:highlight w:val="none"/>
        </w:rPr>
      </w:pPr>
      <w:r>
        <w:rPr>
          <w:rFonts w:ascii="Times New Roman" w:hAnsi="Times New Roman" w:cs="Times New Roman"/>
          <w:sz w:val="24"/>
          <w:szCs w:val="24"/>
          <w:highlight w:val="none"/>
        </w:rPr>
        <w:t>潜在投标人应合理安排招标文件获取时间，特别是网络速度慢的地区防止在系统关闭前网络拥堵无法操作。如果因计算机及网络故障造成无法完成招标文件获取，责任自负。</w:t>
      </w:r>
    </w:p>
    <w:p w14:paraId="228E282E">
      <w:pPr>
        <w:snapToGrid w:val="0"/>
        <w:spacing w:line="360" w:lineRule="auto"/>
        <w:ind w:firstLine="482" w:firstLineChars="200"/>
        <w:rPr>
          <w:rFonts w:ascii="Times New Roman" w:hAnsi="Times New Roman" w:cs="Times New Roman"/>
          <w:b/>
          <w:bCs/>
          <w:sz w:val="24"/>
          <w:szCs w:val="24"/>
          <w:highlight w:val="none"/>
        </w:rPr>
      </w:pPr>
      <w:r>
        <w:rPr>
          <w:rFonts w:hint="eastAsia" w:ascii="Times New Roman" w:hAnsi="Times New Roman" w:cs="Times New Roman"/>
          <w:b/>
          <w:bCs/>
          <w:sz w:val="24"/>
          <w:szCs w:val="24"/>
          <w:highlight w:val="none"/>
        </w:rPr>
        <w:t>八</w:t>
      </w:r>
      <w:r>
        <w:rPr>
          <w:rFonts w:ascii="Times New Roman" w:hAnsi="Times New Roman" w:cs="Times New Roman"/>
          <w:b/>
          <w:bCs/>
          <w:sz w:val="24"/>
          <w:szCs w:val="24"/>
          <w:highlight w:val="none"/>
        </w:rPr>
        <w:t>、对本次招标提出询问，请按以下方式联系。</w:t>
      </w:r>
    </w:p>
    <w:bookmarkEnd w:id="2"/>
    <w:bookmarkEnd w:id="3"/>
    <w:bookmarkEnd w:id="4"/>
    <w:bookmarkEnd w:id="5"/>
    <w:p w14:paraId="488F304C">
      <w:pPr>
        <w:widowControl/>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1.招标人信息</w:t>
      </w:r>
    </w:p>
    <w:p w14:paraId="79706090">
      <w:pPr>
        <w:snapToGrid w:val="0"/>
        <w:spacing w:line="360" w:lineRule="auto"/>
        <w:ind w:firstLine="480" w:firstLineChars="200"/>
        <w:jc w:val="left"/>
        <w:rPr>
          <w:rFonts w:hint="eastAsia" w:ascii="宋体" w:hAnsi="宋体" w:eastAsia="宋体" w:cs="宋体"/>
          <w:sz w:val="24"/>
          <w:szCs w:val="24"/>
          <w:highlight w:val="none"/>
          <w:u w:val="single"/>
          <w:lang w:eastAsia="zh-CN"/>
        </w:rPr>
      </w:pPr>
      <w:r>
        <w:rPr>
          <w:rFonts w:hint="eastAsia" w:ascii="宋体" w:hAnsi="宋体" w:cs="宋体"/>
          <w:sz w:val="24"/>
          <w:szCs w:val="24"/>
          <w:highlight w:val="none"/>
        </w:rPr>
        <w:t>名称：</w:t>
      </w:r>
      <w:r>
        <w:rPr>
          <w:rFonts w:hint="eastAsia" w:ascii="宋体" w:hAnsi="宋体" w:cs="宋体"/>
          <w:sz w:val="24"/>
          <w:szCs w:val="24"/>
          <w:highlight w:val="none"/>
          <w:u w:val="single"/>
          <w:lang w:eastAsia="zh-CN"/>
        </w:rPr>
        <w:t>合肥</w:t>
      </w:r>
      <w:r>
        <w:rPr>
          <w:rFonts w:hint="eastAsia" w:ascii="宋体" w:hAnsi="宋体" w:cs="宋体"/>
          <w:sz w:val="24"/>
          <w:szCs w:val="24"/>
          <w:highlight w:val="none"/>
          <w:u w:val="single"/>
          <w:lang w:val="en-US" w:eastAsia="zh-CN"/>
        </w:rPr>
        <w:t>维尔健医学检验实验室</w:t>
      </w:r>
      <w:r>
        <w:rPr>
          <w:rFonts w:hint="eastAsia" w:ascii="宋体" w:hAnsi="宋体" w:cs="宋体"/>
          <w:sz w:val="24"/>
          <w:szCs w:val="24"/>
          <w:highlight w:val="none"/>
          <w:u w:val="single"/>
          <w:lang w:eastAsia="zh-CN"/>
        </w:rPr>
        <w:t>有限公司</w:t>
      </w:r>
    </w:p>
    <w:p w14:paraId="239BC7B6">
      <w:pPr>
        <w:snapToGrid w:val="0"/>
        <w:spacing w:line="360" w:lineRule="auto"/>
        <w:ind w:firstLine="480" w:firstLineChars="200"/>
        <w:jc w:val="left"/>
        <w:rPr>
          <w:rFonts w:hint="eastAsia" w:ascii="宋体" w:hAnsi="宋体" w:eastAsia="宋体" w:cs="宋体"/>
          <w:sz w:val="24"/>
          <w:szCs w:val="24"/>
          <w:highlight w:val="none"/>
          <w:u w:val="single"/>
          <w:lang w:eastAsia="zh-CN"/>
        </w:rPr>
      </w:pPr>
      <w:r>
        <w:rPr>
          <w:rFonts w:hint="eastAsia" w:ascii="宋体" w:hAnsi="宋体" w:cs="宋体"/>
          <w:sz w:val="24"/>
          <w:szCs w:val="24"/>
          <w:highlight w:val="none"/>
        </w:rPr>
        <w:t>地址：</w:t>
      </w:r>
      <w:r>
        <w:rPr>
          <w:rFonts w:hint="eastAsia" w:ascii="宋体" w:hAnsi="宋体" w:cs="宋体"/>
          <w:sz w:val="24"/>
          <w:szCs w:val="24"/>
          <w:highlight w:val="none"/>
          <w:u w:val="single"/>
        </w:rPr>
        <w:t>合肥市包河区滨湖卓越城文华园一期A2楼</w:t>
      </w:r>
      <w:r>
        <w:rPr>
          <w:rFonts w:hint="eastAsia" w:ascii="宋体" w:hAnsi="宋体" w:cs="宋体"/>
          <w:sz w:val="24"/>
          <w:szCs w:val="24"/>
          <w:highlight w:val="none"/>
          <w:u w:val="single"/>
          <w:lang w:val="en-US" w:eastAsia="zh-CN"/>
        </w:rPr>
        <w:t>4</w:t>
      </w:r>
      <w:r>
        <w:rPr>
          <w:rFonts w:hint="eastAsia" w:ascii="宋体" w:hAnsi="宋体" w:cs="宋体"/>
          <w:sz w:val="24"/>
          <w:szCs w:val="24"/>
          <w:highlight w:val="none"/>
          <w:u w:val="single"/>
        </w:rPr>
        <w:t>层</w:t>
      </w:r>
    </w:p>
    <w:p w14:paraId="013FDCA2">
      <w:pPr>
        <w:pStyle w:val="2"/>
        <w:ind w:left="0" w:leftChars="0" w:firstLine="480"/>
        <w:rPr>
          <w:rFonts w:ascii="宋体" w:hAnsi="宋体" w:cs="宋体"/>
          <w:sz w:val="24"/>
          <w:szCs w:val="24"/>
          <w:highlight w:val="none"/>
          <w:u w:val="single"/>
        </w:rPr>
      </w:pPr>
      <w:r>
        <w:rPr>
          <w:rFonts w:hint="eastAsia" w:ascii="宋体" w:hAnsi="宋体" w:cs="宋体"/>
          <w:sz w:val="24"/>
          <w:szCs w:val="24"/>
          <w:highlight w:val="none"/>
          <w:u w:val="single"/>
        </w:rPr>
        <w:t>开户行及账号：徽商银行合肥濉溪路支行</w:t>
      </w:r>
    </w:p>
    <w:p w14:paraId="723BF8D4">
      <w:pPr>
        <w:snapToGrid w:val="0"/>
        <w:spacing w:line="360" w:lineRule="auto"/>
        <w:ind w:firstLine="480" w:firstLineChars="200"/>
        <w:rPr>
          <w:rFonts w:hint="eastAsia" w:ascii="宋体" w:hAnsi="宋体" w:cs="宋体"/>
          <w:sz w:val="24"/>
          <w:szCs w:val="24"/>
          <w:highlight w:val="none"/>
          <w:u w:val="single"/>
          <w:lang w:val="en-US" w:eastAsia="zh-CN"/>
        </w:rPr>
      </w:pPr>
      <w:r>
        <w:rPr>
          <w:rFonts w:hint="eastAsia" w:ascii="宋体" w:hAnsi="宋体" w:cs="宋体"/>
          <w:sz w:val="24"/>
          <w:szCs w:val="24"/>
          <w:highlight w:val="none"/>
          <w:u w:val="single"/>
          <w:lang w:val="en-US" w:eastAsia="zh-CN"/>
        </w:rPr>
        <w:t>225008524031000002</w:t>
      </w:r>
    </w:p>
    <w:p w14:paraId="49E088BD">
      <w:pPr>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2.项目联系方式</w:t>
      </w:r>
    </w:p>
    <w:p w14:paraId="2ECC10CB">
      <w:pPr>
        <w:pStyle w:val="8"/>
        <w:snapToGrid w:val="0"/>
        <w:spacing w:line="360" w:lineRule="auto"/>
        <w:ind w:firstLine="480" w:firstLineChars="200"/>
        <w:rPr>
          <w:rFonts w:hint="eastAsia" w:hAnsi="宋体" w:eastAsia="宋体" w:cs="宋体"/>
          <w:sz w:val="24"/>
          <w:szCs w:val="24"/>
          <w:highlight w:val="none"/>
          <w:lang w:eastAsia="zh-CN"/>
        </w:rPr>
      </w:pPr>
      <w:r>
        <w:rPr>
          <w:rFonts w:hint="eastAsia" w:hAnsi="宋体" w:cs="宋体"/>
          <w:sz w:val="24"/>
          <w:szCs w:val="24"/>
          <w:highlight w:val="none"/>
        </w:rPr>
        <w:t>项目联系人：</w:t>
      </w:r>
      <w:r>
        <w:rPr>
          <w:rFonts w:hint="eastAsia" w:hAnsi="宋体" w:cs="宋体"/>
          <w:sz w:val="24"/>
          <w:szCs w:val="24"/>
          <w:highlight w:val="none"/>
          <w:u w:val="single"/>
          <w:lang w:val="en-US" w:eastAsia="zh-CN"/>
        </w:rPr>
        <w:t>孟工</w:t>
      </w:r>
    </w:p>
    <w:p w14:paraId="20E94C29">
      <w:pPr>
        <w:snapToGrid w:val="0"/>
        <w:spacing w:line="360" w:lineRule="auto"/>
        <w:ind w:firstLine="480" w:firstLineChars="200"/>
        <w:rPr>
          <w:rFonts w:hint="eastAsia" w:ascii="宋体" w:hAnsi="宋体" w:eastAsia="宋体" w:cs="宋体"/>
          <w:sz w:val="24"/>
          <w:szCs w:val="24"/>
          <w:highlight w:val="none"/>
          <w:u w:val="single"/>
          <w:lang w:eastAsia="zh-CN"/>
        </w:rPr>
      </w:pPr>
      <w:r>
        <w:rPr>
          <w:rFonts w:hint="eastAsia" w:ascii="宋体" w:hAnsi="宋体" w:cs="宋体"/>
          <w:sz w:val="24"/>
          <w:szCs w:val="24"/>
          <w:highlight w:val="none"/>
        </w:rPr>
        <w:t>联系电话：</w:t>
      </w:r>
      <w:r>
        <w:rPr>
          <w:rFonts w:hint="eastAsia" w:ascii="宋体" w:hAnsi="宋体" w:cs="宋体"/>
          <w:sz w:val="24"/>
          <w:szCs w:val="24"/>
          <w:highlight w:val="none"/>
          <w:u w:val="single"/>
          <w:lang w:val="en-US" w:eastAsia="zh-CN"/>
        </w:rPr>
        <w:t>18133695881</w:t>
      </w:r>
    </w:p>
    <w:p w14:paraId="0293B60E">
      <w:pPr>
        <w:pStyle w:val="17"/>
        <w:widowControl w:val="0"/>
        <w:autoSpaceDE w:val="0"/>
        <w:autoSpaceDN w:val="0"/>
        <w:adjustRightInd w:val="0"/>
        <w:spacing w:before="0" w:after="0" w:line="360" w:lineRule="auto"/>
        <w:rPr>
          <w:rFonts w:ascii="Times New Roman" w:hAnsi="Times New Roman" w:cs="Times New Roman"/>
          <w:kern w:val="2"/>
          <w:szCs w:val="18"/>
          <w:highlight w:val="none"/>
        </w:rPr>
      </w:pPr>
    </w:p>
    <w:p w14:paraId="608A8C74">
      <w:pPr>
        <w:autoSpaceDE w:val="0"/>
        <w:autoSpaceDN w:val="0"/>
        <w:adjustRightInd w:val="0"/>
        <w:spacing w:line="360" w:lineRule="auto"/>
        <w:ind w:firstLine="434" w:firstLineChars="181"/>
        <w:jc w:val="right"/>
        <w:rPr>
          <w:rFonts w:ascii="Times New Roman" w:hAnsi="Times New Roman" w:cs="Times New Roman"/>
          <w:bCs/>
          <w:sz w:val="24"/>
          <w:szCs w:val="18"/>
          <w:highlight w:val="none"/>
        </w:rPr>
      </w:pPr>
      <w:r>
        <w:rPr>
          <w:rFonts w:ascii="Times New Roman" w:hAnsi="Times New Roman" w:cs="Times New Roman"/>
          <w:bCs/>
          <w:sz w:val="24"/>
          <w:szCs w:val="18"/>
          <w:highlight w:val="none"/>
        </w:rPr>
        <w:br w:type="page"/>
      </w:r>
    </w:p>
    <w:p w14:paraId="62701C71">
      <w:pPr>
        <w:spacing w:line="360" w:lineRule="auto"/>
        <w:jc w:val="center"/>
        <w:outlineLvl w:val="1"/>
        <w:rPr>
          <w:rFonts w:ascii="Times New Roman" w:hAnsi="Times New Roman" w:cs="Times New Roman"/>
          <w:b/>
          <w:sz w:val="28"/>
          <w:highlight w:val="none"/>
        </w:rPr>
      </w:pPr>
      <w:bookmarkStart w:id="11" w:name="_Toc31897"/>
      <w:bookmarkStart w:id="12" w:name="_Toc19060"/>
      <w:r>
        <w:rPr>
          <w:rFonts w:ascii="Times New Roman" w:hAnsi="Times New Roman" w:cs="Times New Roman"/>
          <w:b/>
          <w:sz w:val="28"/>
          <w:highlight w:val="none"/>
        </w:rPr>
        <w:t>第二章投标人须知</w:t>
      </w:r>
      <w:bookmarkEnd w:id="11"/>
      <w:bookmarkEnd w:id="12"/>
    </w:p>
    <w:p w14:paraId="239C9A49">
      <w:pPr>
        <w:spacing w:line="360" w:lineRule="auto"/>
        <w:jc w:val="center"/>
        <w:outlineLvl w:val="2"/>
        <w:rPr>
          <w:rFonts w:ascii="Times New Roman" w:hAnsi="Times New Roman" w:cs="Times New Roman"/>
          <w:b/>
          <w:sz w:val="24"/>
          <w:highlight w:val="none"/>
        </w:rPr>
      </w:pPr>
      <w:r>
        <w:rPr>
          <w:rFonts w:ascii="Times New Roman" w:hAnsi="Times New Roman" w:cs="Times New Roman"/>
          <w:b/>
          <w:sz w:val="24"/>
          <w:highlight w:val="none"/>
        </w:rPr>
        <w:t>一、投标人须知前附表</w:t>
      </w:r>
    </w:p>
    <w:p w14:paraId="6EB6AF92">
      <w:pPr>
        <w:spacing w:line="360" w:lineRule="auto"/>
        <w:ind w:firstLine="435"/>
        <w:rPr>
          <w:rFonts w:ascii="Times New Roman" w:hAnsi="Times New Roman" w:cs="Times New Roman"/>
          <w:sz w:val="24"/>
          <w:szCs w:val="18"/>
          <w:highlight w:val="none"/>
        </w:rPr>
      </w:pPr>
      <w:r>
        <w:rPr>
          <w:rFonts w:ascii="Times New Roman" w:hAnsi="Times New Roman" w:cs="Times New Roman"/>
          <w:b/>
          <w:bCs/>
          <w:sz w:val="24"/>
          <w:szCs w:val="18"/>
          <w:highlight w:val="none"/>
        </w:rPr>
        <w:t>注：</w:t>
      </w:r>
      <w:r>
        <w:rPr>
          <w:rFonts w:ascii="Times New Roman" w:hAnsi="Times New Roman" w:cs="Times New Roman"/>
          <w:sz w:val="24"/>
          <w:szCs w:val="18"/>
          <w:highlight w:val="none"/>
        </w:rPr>
        <w:t>本表是本项目的具体要求，是对投标人须知的具体补充和修改，如有不一致，以本表为准。</w:t>
      </w:r>
    </w:p>
    <w:tbl>
      <w:tblPr>
        <w:tblStyle w:val="15"/>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57992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07B183B3">
            <w:pPr>
              <w:pStyle w:val="18"/>
              <w:widowControl w:val="0"/>
              <w:spacing w:before="0" w:beforeAutospacing="0" w:after="0" w:afterAutospacing="0" w:line="360" w:lineRule="auto"/>
              <w:rPr>
                <w:rFonts w:ascii="Times New Roman" w:hAnsi="Times New Roman" w:cs="Times New Roman"/>
                <w:bCs w:val="0"/>
                <w:kern w:val="2"/>
                <w:sz w:val="24"/>
                <w:szCs w:val="20"/>
                <w:highlight w:val="none"/>
              </w:rPr>
            </w:pPr>
            <w:r>
              <w:rPr>
                <w:rFonts w:ascii="Times New Roman" w:hAnsi="Times New Roman" w:cs="Times New Roman"/>
                <w:bCs w:val="0"/>
                <w:kern w:val="2"/>
                <w:sz w:val="24"/>
                <w:szCs w:val="20"/>
                <w:highlight w:val="none"/>
              </w:rPr>
              <w:t>条款名称</w:t>
            </w:r>
          </w:p>
        </w:tc>
        <w:tc>
          <w:tcPr>
            <w:tcW w:w="6687" w:type="dxa"/>
            <w:noWrap w:val="0"/>
            <w:vAlign w:val="center"/>
          </w:tcPr>
          <w:p w14:paraId="31A98D3D">
            <w:pPr>
              <w:pStyle w:val="18"/>
              <w:widowControl w:val="0"/>
              <w:spacing w:before="0" w:beforeAutospacing="0" w:after="0" w:afterAutospacing="0" w:line="360" w:lineRule="auto"/>
              <w:rPr>
                <w:rFonts w:ascii="Times New Roman" w:hAnsi="Times New Roman" w:cs="Times New Roman"/>
                <w:bCs w:val="0"/>
                <w:kern w:val="2"/>
                <w:sz w:val="24"/>
                <w:szCs w:val="20"/>
                <w:highlight w:val="none"/>
              </w:rPr>
            </w:pPr>
            <w:r>
              <w:rPr>
                <w:rFonts w:ascii="Times New Roman" w:hAnsi="Times New Roman" w:cs="Times New Roman"/>
                <w:bCs w:val="0"/>
                <w:kern w:val="2"/>
                <w:sz w:val="24"/>
                <w:szCs w:val="20"/>
                <w:highlight w:val="none"/>
              </w:rPr>
              <w:t>内容、说明与要求</w:t>
            </w:r>
          </w:p>
        </w:tc>
      </w:tr>
      <w:tr w14:paraId="7E65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1FB80CD3">
            <w:pPr>
              <w:pStyle w:val="18"/>
              <w:widowControl w:val="0"/>
              <w:spacing w:before="0" w:beforeAutospacing="0" w:after="0" w:afterAutospacing="0" w:line="360" w:lineRule="auto"/>
              <w:jc w:val="left"/>
              <w:rPr>
                <w:rFonts w:ascii="Times New Roman" w:hAnsi="Times New Roman" w:cs="Times New Roman"/>
                <w:b w:val="0"/>
                <w:bCs w:val="0"/>
                <w:sz w:val="24"/>
                <w:highlight w:val="none"/>
              </w:rPr>
            </w:pPr>
            <w:r>
              <w:rPr>
                <w:rFonts w:ascii="Times New Roman" w:hAnsi="Times New Roman" w:cs="Times New Roman"/>
                <w:b w:val="0"/>
                <w:bCs w:val="0"/>
                <w:sz w:val="24"/>
                <w:highlight w:val="none"/>
              </w:rPr>
              <w:t>招标人</w:t>
            </w:r>
          </w:p>
        </w:tc>
        <w:tc>
          <w:tcPr>
            <w:tcW w:w="6687" w:type="dxa"/>
            <w:noWrap w:val="0"/>
            <w:vAlign w:val="center"/>
          </w:tcPr>
          <w:p w14:paraId="1E78ABEB">
            <w:pPr>
              <w:pStyle w:val="18"/>
              <w:widowControl w:val="0"/>
              <w:spacing w:before="0" w:beforeAutospacing="0" w:after="0" w:afterAutospacing="0" w:line="360" w:lineRule="auto"/>
              <w:jc w:val="both"/>
              <w:rPr>
                <w:rFonts w:hint="eastAsia" w:ascii="Times New Roman" w:hAnsi="Times New Roman" w:eastAsia="宋体" w:cs="Times New Roman"/>
                <w:b w:val="0"/>
                <w:bCs w:val="0"/>
                <w:kern w:val="2"/>
                <w:sz w:val="24"/>
                <w:szCs w:val="20"/>
                <w:highlight w:val="none"/>
                <w:lang w:eastAsia="zh-CN"/>
              </w:rPr>
            </w:pPr>
            <w:r>
              <w:rPr>
                <w:rFonts w:hint="eastAsia" w:ascii="Times New Roman" w:hAnsi="Times New Roman" w:cs="Times New Roman"/>
                <w:b w:val="0"/>
                <w:bCs w:val="0"/>
                <w:sz w:val="24"/>
                <w:szCs w:val="18"/>
                <w:highlight w:val="none"/>
                <w:lang w:eastAsia="zh-CN"/>
              </w:rPr>
              <w:t>合肥</w:t>
            </w:r>
            <w:r>
              <w:rPr>
                <w:rFonts w:hint="eastAsia" w:ascii="Times New Roman" w:hAnsi="Times New Roman" w:cs="Times New Roman"/>
                <w:b w:val="0"/>
                <w:bCs w:val="0"/>
                <w:sz w:val="24"/>
                <w:szCs w:val="18"/>
                <w:highlight w:val="none"/>
                <w:lang w:val="en-US" w:eastAsia="zh-CN"/>
              </w:rPr>
              <w:t>维尔健医学检验实验室</w:t>
            </w:r>
            <w:r>
              <w:rPr>
                <w:rFonts w:hint="eastAsia" w:ascii="Times New Roman" w:hAnsi="Times New Roman" w:cs="Times New Roman"/>
                <w:b w:val="0"/>
                <w:bCs w:val="0"/>
                <w:sz w:val="24"/>
                <w:szCs w:val="18"/>
                <w:highlight w:val="none"/>
                <w:lang w:eastAsia="zh-CN"/>
              </w:rPr>
              <w:t>有限公司</w:t>
            </w:r>
          </w:p>
        </w:tc>
      </w:tr>
      <w:tr w14:paraId="4595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1B4068C1">
            <w:pPr>
              <w:pStyle w:val="18"/>
              <w:widowControl w:val="0"/>
              <w:spacing w:before="0" w:beforeAutospacing="0" w:after="0" w:afterAutospacing="0" w:line="360" w:lineRule="auto"/>
              <w:jc w:val="left"/>
              <w:rPr>
                <w:rFonts w:ascii="Times New Roman" w:hAnsi="Times New Roman" w:cs="Times New Roman"/>
                <w:b w:val="0"/>
                <w:bCs w:val="0"/>
                <w:sz w:val="24"/>
                <w:highlight w:val="none"/>
              </w:rPr>
            </w:pPr>
            <w:r>
              <w:rPr>
                <w:rFonts w:ascii="Times New Roman" w:hAnsi="Times New Roman" w:cs="Times New Roman"/>
                <w:b w:val="0"/>
                <w:bCs w:val="0"/>
                <w:sz w:val="24"/>
                <w:highlight w:val="none"/>
              </w:rPr>
              <w:t>采购监督管理部门</w:t>
            </w:r>
          </w:p>
        </w:tc>
        <w:tc>
          <w:tcPr>
            <w:tcW w:w="6687" w:type="dxa"/>
            <w:noWrap w:val="0"/>
            <w:vAlign w:val="center"/>
          </w:tcPr>
          <w:p w14:paraId="4331161D">
            <w:pPr>
              <w:pStyle w:val="18"/>
              <w:widowControl w:val="0"/>
              <w:spacing w:before="0" w:beforeAutospacing="0" w:after="0" w:afterAutospacing="0" w:line="360" w:lineRule="auto"/>
              <w:jc w:val="both"/>
              <w:rPr>
                <w:rFonts w:hint="eastAsia" w:ascii="Times New Roman" w:hAnsi="Times New Roman" w:eastAsia="宋体" w:cs="Times New Roman"/>
                <w:b w:val="0"/>
                <w:bCs w:val="0"/>
                <w:sz w:val="24"/>
                <w:szCs w:val="18"/>
                <w:highlight w:val="none"/>
                <w:lang w:eastAsia="zh-CN"/>
              </w:rPr>
            </w:pPr>
            <w:r>
              <w:rPr>
                <w:rFonts w:hint="eastAsia" w:ascii="Times New Roman" w:hAnsi="Times New Roman" w:cs="Times New Roman"/>
                <w:b w:val="0"/>
                <w:bCs w:val="0"/>
                <w:sz w:val="24"/>
                <w:szCs w:val="18"/>
                <w:highlight w:val="none"/>
                <w:lang w:eastAsia="zh-CN"/>
              </w:rPr>
              <w:t>合肥滨湖时光产业投资集团有限公司</w:t>
            </w:r>
          </w:p>
        </w:tc>
      </w:tr>
      <w:tr w14:paraId="271C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7CB7AF58">
            <w:pPr>
              <w:pStyle w:val="18"/>
              <w:widowControl w:val="0"/>
              <w:spacing w:before="0" w:beforeAutospacing="0" w:after="0" w:afterAutospacing="0" w:line="360" w:lineRule="auto"/>
              <w:jc w:val="left"/>
              <w:rPr>
                <w:rFonts w:ascii="Times New Roman" w:hAnsi="Times New Roman" w:cs="Times New Roman"/>
                <w:b w:val="0"/>
                <w:sz w:val="24"/>
                <w:highlight w:val="none"/>
              </w:rPr>
            </w:pPr>
            <w:r>
              <w:rPr>
                <w:rFonts w:ascii="Times New Roman" w:hAnsi="Times New Roman" w:cs="Times New Roman"/>
                <w:b w:val="0"/>
                <w:sz w:val="24"/>
                <w:highlight w:val="none"/>
              </w:rPr>
              <w:t>是否允许联合体投标</w:t>
            </w:r>
          </w:p>
        </w:tc>
        <w:tc>
          <w:tcPr>
            <w:tcW w:w="6687" w:type="dxa"/>
            <w:noWrap w:val="0"/>
            <w:vAlign w:val="center"/>
          </w:tcPr>
          <w:p w14:paraId="2A40F9F1">
            <w:pPr>
              <w:pStyle w:val="18"/>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bCs w:val="0"/>
                <w:sz w:val="24"/>
                <w:szCs w:val="24"/>
                <w:highlight w:val="none"/>
              </w:rPr>
              <w:t>否</w:t>
            </w:r>
          </w:p>
        </w:tc>
      </w:tr>
      <w:tr w14:paraId="0B13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7950AC53">
            <w:pPr>
              <w:pStyle w:val="18"/>
              <w:widowControl w:val="0"/>
              <w:spacing w:before="0" w:beforeAutospacing="0" w:after="0" w:afterAutospacing="0" w:line="360" w:lineRule="auto"/>
              <w:jc w:val="left"/>
              <w:rPr>
                <w:rFonts w:ascii="Times New Roman" w:hAnsi="Times New Roman" w:cs="Times New Roman"/>
                <w:b w:val="0"/>
                <w:sz w:val="24"/>
                <w:highlight w:val="none"/>
              </w:rPr>
            </w:pPr>
            <w:r>
              <w:rPr>
                <w:rFonts w:ascii="Times New Roman" w:hAnsi="Times New Roman" w:cs="Times New Roman"/>
                <w:b w:val="0"/>
                <w:sz w:val="24"/>
                <w:highlight w:val="none"/>
              </w:rPr>
              <w:t>现场考察</w:t>
            </w:r>
          </w:p>
        </w:tc>
        <w:tc>
          <w:tcPr>
            <w:tcW w:w="6687" w:type="dxa"/>
            <w:noWrap w:val="0"/>
            <w:vAlign w:val="center"/>
          </w:tcPr>
          <w:p w14:paraId="62DB1BBD">
            <w:pPr>
              <w:pStyle w:val="18"/>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bCs w:val="0"/>
                <w:sz w:val="24"/>
                <w:highlight w:val="none"/>
              </w:rPr>
              <w:t>不组织，投标人自行考察</w:t>
            </w:r>
          </w:p>
        </w:tc>
      </w:tr>
      <w:tr w14:paraId="6D3C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184B7202">
            <w:pPr>
              <w:pStyle w:val="18"/>
              <w:widowControl w:val="0"/>
              <w:spacing w:before="0" w:beforeAutospacing="0" w:after="0" w:afterAutospacing="0" w:line="360" w:lineRule="auto"/>
              <w:jc w:val="left"/>
              <w:rPr>
                <w:rFonts w:ascii="Times New Roman" w:hAnsi="Times New Roman" w:cs="Times New Roman"/>
                <w:b w:val="0"/>
                <w:sz w:val="24"/>
                <w:highlight w:val="none"/>
              </w:rPr>
            </w:pPr>
            <w:r>
              <w:rPr>
                <w:rFonts w:ascii="Times New Roman" w:hAnsi="Times New Roman" w:cs="Times New Roman"/>
                <w:b w:val="0"/>
                <w:sz w:val="24"/>
                <w:highlight w:val="none"/>
              </w:rPr>
              <w:t>包别划分</w:t>
            </w:r>
          </w:p>
        </w:tc>
        <w:tc>
          <w:tcPr>
            <w:tcW w:w="6687" w:type="dxa"/>
            <w:noWrap w:val="0"/>
            <w:vAlign w:val="center"/>
          </w:tcPr>
          <w:p w14:paraId="044F7564">
            <w:pPr>
              <w:pStyle w:val="18"/>
              <w:widowControl w:val="0"/>
              <w:spacing w:before="0" w:beforeAutospacing="0" w:after="0" w:afterAutospacing="0" w:line="360" w:lineRule="auto"/>
              <w:jc w:val="both"/>
              <w:rPr>
                <w:rFonts w:ascii="Times New Roman" w:hAnsi="Times New Roman" w:cs="Times New Roman"/>
                <w:b w:val="0"/>
                <w:sz w:val="24"/>
                <w:highlight w:val="none"/>
                <w:u w:val="single"/>
              </w:rPr>
            </w:pPr>
            <w:r>
              <w:rPr>
                <w:rFonts w:ascii="Times New Roman" w:hAnsi="Times New Roman" w:cs="Times New Roman"/>
                <w:b w:val="0"/>
                <w:sz w:val="24"/>
                <w:highlight w:val="none"/>
              </w:rPr>
              <w:t>不分包</w:t>
            </w:r>
          </w:p>
        </w:tc>
      </w:tr>
      <w:tr w14:paraId="136A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noWrap w:val="0"/>
            <w:vAlign w:val="center"/>
          </w:tcPr>
          <w:p w14:paraId="5CE2E0C3">
            <w:pPr>
              <w:pStyle w:val="18"/>
              <w:widowControl w:val="0"/>
              <w:spacing w:before="0" w:beforeAutospacing="0" w:after="0" w:afterAutospacing="0" w:line="360" w:lineRule="auto"/>
              <w:jc w:val="left"/>
              <w:rPr>
                <w:rFonts w:ascii="Times New Roman" w:hAnsi="Times New Roman" w:cs="Times New Roman"/>
                <w:b w:val="0"/>
                <w:sz w:val="24"/>
                <w:highlight w:val="none"/>
              </w:rPr>
            </w:pPr>
            <w:r>
              <w:rPr>
                <w:rFonts w:ascii="Times New Roman" w:hAnsi="Times New Roman" w:cs="Times New Roman"/>
                <w:b w:val="0"/>
                <w:sz w:val="24"/>
                <w:highlight w:val="none"/>
              </w:rPr>
              <w:t>投标保证金</w:t>
            </w:r>
          </w:p>
        </w:tc>
        <w:tc>
          <w:tcPr>
            <w:tcW w:w="6687" w:type="dxa"/>
            <w:noWrap w:val="0"/>
            <w:vAlign w:val="center"/>
          </w:tcPr>
          <w:p w14:paraId="458C153F">
            <w:pPr>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免收</w:t>
            </w:r>
          </w:p>
        </w:tc>
      </w:tr>
      <w:tr w14:paraId="6154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7CEFC23B">
            <w:pPr>
              <w:pStyle w:val="18"/>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投标有效期</w:t>
            </w:r>
          </w:p>
        </w:tc>
        <w:tc>
          <w:tcPr>
            <w:tcW w:w="6687" w:type="dxa"/>
            <w:noWrap w:val="0"/>
            <w:vAlign w:val="center"/>
          </w:tcPr>
          <w:p w14:paraId="6E46C801">
            <w:pPr>
              <w:pStyle w:val="18"/>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sz w:val="24"/>
                <w:highlight w:val="none"/>
                <w:u w:val="single"/>
              </w:rPr>
              <w:t>9</w:t>
            </w:r>
            <w:r>
              <w:rPr>
                <w:rFonts w:ascii="Times New Roman" w:hAnsi="Times New Roman" w:cs="Times New Roman"/>
                <w:b w:val="0"/>
                <w:sz w:val="24"/>
                <w:highlight w:val="none"/>
                <w:u w:val="single"/>
              </w:rPr>
              <w:t>0</w:t>
            </w:r>
            <w:r>
              <w:rPr>
                <w:rFonts w:ascii="Times New Roman" w:hAnsi="Times New Roman" w:cs="Times New Roman"/>
                <w:b w:val="0"/>
                <w:sz w:val="24"/>
                <w:highlight w:val="none"/>
              </w:rPr>
              <w:t>日历日</w:t>
            </w:r>
          </w:p>
        </w:tc>
      </w:tr>
      <w:tr w14:paraId="4A5F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61B75242">
            <w:pPr>
              <w:pStyle w:val="18"/>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投标文件要求</w:t>
            </w:r>
            <w:r>
              <w:rPr>
                <w:rFonts w:ascii="Times New Roman" w:hAnsi="Times New Roman" w:cs="Times New Roman"/>
                <w:bCs w:val="0"/>
                <w:sz w:val="24"/>
                <w:highlight w:val="none"/>
              </w:rPr>
              <w:t>（纸质）</w:t>
            </w:r>
          </w:p>
        </w:tc>
        <w:tc>
          <w:tcPr>
            <w:tcW w:w="6687" w:type="dxa"/>
            <w:noWrap w:val="0"/>
            <w:vAlign w:val="center"/>
          </w:tcPr>
          <w:p w14:paraId="433F0369">
            <w:pPr>
              <w:pStyle w:val="18"/>
              <w:widowControl w:val="0"/>
              <w:spacing w:before="0" w:beforeAutospacing="0" w:after="0" w:afterAutospacing="0" w:line="360" w:lineRule="auto"/>
              <w:jc w:val="both"/>
              <w:rPr>
                <w:rFonts w:ascii="Times New Roman" w:hAnsi="Times New Roman" w:cs="Times New Roman"/>
                <w:bCs w:val="0"/>
                <w:sz w:val="24"/>
                <w:highlight w:val="none"/>
              </w:rPr>
            </w:pPr>
            <w:r>
              <w:rPr>
                <w:rFonts w:ascii="Times New Roman" w:hAnsi="Times New Roman" w:cs="Times New Roman"/>
                <w:bCs w:val="0"/>
                <w:sz w:val="24"/>
                <w:highlight w:val="none"/>
              </w:rPr>
              <w:t>（1）纸质版投标文件（建议胶装成册）：</w:t>
            </w:r>
          </w:p>
          <w:p w14:paraId="5CB1502D">
            <w:pPr>
              <w:pStyle w:val="18"/>
              <w:widowControl w:val="0"/>
              <w:spacing w:before="0" w:beforeAutospacing="0" w:after="0" w:afterAutospacing="0" w:line="360" w:lineRule="auto"/>
              <w:jc w:val="both"/>
              <w:rPr>
                <w:rFonts w:ascii="Times New Roman" w:hAnsi="Times New Roman" w:cs="Times New Roman"/>
                <w:bCs w:val="0"/>
                <w:sz w:val="24"/>
                <w:highlight w:val="none"/>
              </w:rPr>
            </w:pPr>
            <w:r>
              <w:rPr>
                <w:rFonts w:ascii="Times New Roman" w:hAnsi="Times New Roman" w:cs="Times New Roman"/>
                <w:bCs w:val="0"/>
                <w:sz w:val="24"/>
                <w:highlight w:val="none"/>
              </w:rPr>
              <w:t>正本</w:t>
            </w:r>
            <w:r>
              <w:rPr>
                <w:rFonts w:ascii="Times New Roman" w:hAnsi="Times New Roman" w:cs="Times New Roman"/>
                <w:bCs w:val="0"/>
                <w:sz w:val="24"/>
                <w:highlight w:val="none"/>
                <w:u w:val="single"/>
              </w:rPr>
              <w:t>1</w:t>
            </w:r>
            <w:r>
              <w:rPr>
                <w:rFonts w:ascii="Times New Roman" w:hAnsi="Times New Roman" w:cs="Times New Roman"/>
                <w:bCs w:val="0"/>
                <w:sz w:val="24"/>
                <w:highlight w:val="none"/>
              </w:rPr>
              <w:t>份；副本</w:t>
            </w:r>
            <w:r>
              <w:rPr>
                <w:rFonts w:hint="eastAsia" w:ascii="Times New Roman" w:hAnsi="Times New Roman" w:cs="Times New Roman"/>
                <w:bCs w:val="0"/>
                <w:sz w:val="24"/>
                <w:highlight w:val="none"/>
                <w:u w:val="single"/>
                <w:lang w:val="en-US" w:eastAsia="zh-CN"/>
              </w:rPr>
              <w:t>1</w:t>
            </w:r>
            <w:r>
              <w:rPr>
                <w:rFonts w:ascii="Times New Roman" w:hAnsi="Times New Roman" w:cs="Times New Roman"/>
                <w:bCs w:val="0"/>
                <w:sz w:val="24"/>
                <w:highlight w:val="none"/>
              </w:rPr>
              <w:t>份，密封提交。</w:t>
            </w:r>
          </w:p>
          <w:p w14:paraId="3BCB1250">
            <w:pPr>
              <w:pStyle w:val="18"/>
              <w:widowControl w:val="0"/>
              <w:spacing w:before="0" w:beforeAutospacing="0" w:after="0" w:afterAutospacing="0" w:line="360" w:lineRule="auto"/>
              <w:jc w:val="both"/>
              <w:rPr>
                <w:rFonts w:ascii="Times New Roman" w:hAnsi="Times New Roman" w:cs="Times New Roman"/>
                <w:bCs w:val="0"/>
                <w:sz w:val="24"/>
                <w:highlight w:val="none"/>
              </w:rPr>
            </w:pPr>
            <w:r>
              <w:rPr>
                <w:rFonts w:ascii="Times New Roman" w:hAnsi="Times New Roman" w:cs="Times New Roman"/>
                <w:bCs w:val="0"/>
                <w:sz w:val="24"/>
                <w:highlight w:val="none"/>
              </w:rPr>
              <w:t>（2）电子版投标文件（仅作为存档使用，不作为否决条款，要求与纸质版投标文件一致）：</w:t>
            </w:r>
          </w:p>
          <w:p w14:paraId="12433635">
            <w:pPr>
              <w:pStyle w:val="18"/>
              <w:widowControl w:val="0"/>
              <w:spacing w:before="0" w:beforeAutospacing="0" w:after="0" w:afterAutospacing="0" w:line="360" w:lineRule="auto"/>
              <w:jc w:val="both"/>
              <w:rPr>
                <w:rFonts w:ascii="Times New Roman" w:hAnsi="Times New Roman" w:cs="Times New Roman"/>
                <w:bCs w:val="0"/>
                <w:sz w:val="24"/>
                <w:highlight w:val="none"/>
              </w:rPr>
            </w:pPr>
            <w:r>
              <w:rPr>
                <w:rFonts w:ascii="Times New Roman" w:hAnsi="Times New Roman" w:cs="Times New Roman"/>
                <w:bCs w:val="0"/>
                <w:sz w:val="24"/>
                <w:highlight w:val="none"/>
              </w:rPr>
              <w:t>U盘或光盘</w:t>
            </w:r>
            <w:r>
              <w:rPr>
                <w:rFonts w:ascii="Times New Roman" w:hAnsi="Times New Roman" w:cs="Times New Roman"/>
                <w:bCs w:val="0"/>
                <w:sz w:val="24"/>
                <w:highlight w:val="none"/>
                <w:u w:val="single"/>
              </w:rPr>
              <w:t>1</w:t>
            </w:r>
            <w:r>
              <w:rPr>
                <w:rFonts w:ascii="Times New Roman" w:hAnsi="Times New Roman" w:cs="Times New Roman"/>
                <w:bCs w:val="0"/>
                <w:sz w:val="24"/>
                <w:highlight w:val="none"/>
              </w:rPr>
              <w:t>份（加盖公章后完整版投标文件扫描件）。</w:t>
            </w:r>
          </w:p>
          <w:p w14:paraId="6F38353F">
            <w:pPr>
              <w:pStyle w:val="18"/>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Cs w:val="0"/>
                <w:sz w:val="24"/>
                <w:highlight w:val="none"/>
              </w:rPr>
              <w:t>以上文件均密封提交。</w:t>
            </w:r>
          </w:p>
        </w:tc>
      </w:tr>
      <w:tr w14:paraId="0C2B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20F7B376">
            <w:pPr>
              <w:pStyle w:val="18"/>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开标现场提交的其他材料要求</w:t>
            </w:r>
          </w:p>
        </w:tc>
        <w:tc>
          <w:tcPr>
            <w:tcW w:w="6687" w:type="dxa"/>
            <w:noWrap w:val="0"/>
            <w:vAlign w:val="center"/>
          </w:tcPr>
          <w:p w14:paraId="79911668">
            <w:pPr>
              <w:pStyle w:val="18"/>
              <w:widowControl w:val="0"/>
              <w:spacing w:before="0" w:beforeAutospacing="0" w:after="0" w:afterAutospacing="0" w:line="360" w:lineRule="auto"/>
              <w:jc w:val="both"/>
              <w:rPr>
                <w:rFonts w:ascii="Times New Roman" w:hAnsi="Times New Roman" w:cs="Times New Roman"/>
                <w:b w:val="0"/>
                <w:sz w:val="24"/>
                <w:highlight w:val="none"/>
                <w:u w:val="single"/>
              </w:rPr>
            </w:pPr>
            <w:r>
              <w:rPr>
                <w:rFonts w:ascii="Times New Roman" w:hAnsi="Times New Roman" w:cs="Times New Roman"/>
                <w:b w:val="0"/>
                <w:bCs w:val="0"/>
                <w:sz w:val="24"/>
                <w:szCs w:val="18"/>
                <w:highlight w:val="none"/>
              </w:rPr>
              <w:t>/</w:t>
            </w:r>
          </w:p>
        </w:tc>
      </w:tr>
      <w:tr w14:paraId="796D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20F5B390">
            <w:pPr>
              <w:pStyle w:val="18"/>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投标截止时间及地点</w:t>
            </w:r>
          </w:p>
        </w:tc>
        <w:tc>
          <w:tcPr>
            <w:tcW w:w="6687" w:type="dxa"/>
            <w:noWrap w:val="0"/>
            <w:vAlign w:val="center"/>
          </w:tcPr>
          <w:p w14:paraId="74CDA6E6">
            <w:pPr>
              <w:pStyle w:val="18"/>
              <w:widowControl w:val="0"/>
              <w:spacing w:before="0" w:beforeAutospacing="0" w:after="0" w:afterAutospacing="0" w:line="360" w:lineRule="auto"/>
              <w:jc w:val="both"/>
              <w:rPr>
                <w:rFonts w:ascii="Times New Roman" w:hAnsi="Times New Roman" w:cs="Times New Roman"/>
                <w:kern w:val="2"/>
                <w:sz w:val="24"/>
                <w:szCs w:val="24"/>
                <w:highlight w:val="none"/>
              </w:rPr>
            </w:pPr>
            <w:r>
              <w:rPr>
                <w:rFonts w:ascii="Times New Roman" w:hAnsi="Times New Roman" w:cs="Times New Roman"/>
                <w:b w:val="0"/>
                <w:sz w:val="24"/>
                <w:highlight w:val="none"/>
              </w:rPr>
              <w:t>投标截止时间：</w:t>
            </w:r>
            <w:r>
              <w:rPr>
                <w:rFonts w:ascii="Times New Roman" w:hAnsi="Times New Roman" w:cs="Times New Roman"/>
                <w:kern w:val="2"/>
                <w:sz w:val="24"/>
                <w:szCs w:val="24"/>
                <w:highlight w:val="none"/>
              </w:rPr>
              <w:t>详见投标邀请（招标公告）</w:t>
            </w:r>
          </w:p>
          <w:p w14:paraId="03DA287E">
            <w:pPr>
              <w:snapToGrid w:val="0"/>
              <w:spacing w:line="360" w:lineRule="auto"/>
              <w:rPr>
                <w:rFonts w:ascii="Times New Roman" w:hAnsi="Times New Roman" w:cs="Times New Roman"/>
                <w:b/>
                <w:bCs/>
                <w:sz w:val="24"/>
                <w:szCs w:val="24"/>
                <w:highlight w:val="none"/>
              </w:rPr>
            </w:pPr>
            <w:r>
              <w:rPr>
                <w:rFonts w:ascii="Times New Roman" w:hAnsi="Times New Roman" w:cs="Times New Roman"/>
                <w:sz w:val="24"/>
                <w:highlight w:val="none"/>
              </w:rPr>
              <w:t>投标文件递交地点：</w:t>
            </w:r>
            <w:r>
              <w:rPr>
                <w:rFonts w:hint="eastAsia" w:ascii="宋体" w:hAnsi="宋体" w:cs="宋体"/>
                <w:b/>
                <w:bCs/>
                <w:sz w:val="24"/>
                <w:szCs w:val="24"/>
                <w:highlight w:val="none"/>
              </w:rPr>
              <w:t>合肥市包河区滨湖卓越城文华园一期A2楼</w:t>
            </w:r>
            <w:r>
              <w:rPr>
                <w:rFonts w:hint="eastAsia" w:ascii="宋体" w:hAnsi="宋体" w:cs="宋体"/>
                <w:b/>
                <w:bCs/>
                <w:sz w:val="24"/>
                <w:szCs w:val="24"/>
                <w:highlight w:val="none"/>
                <w:lang w:val="en-US" w:eastAsia="zh-CN"/>
              </w:rPr>
              <w:t>4</w:t>
            </w:r>
            <w:r>
              <w:rPr>
                <w:rFonts w:hint="eastAsia" w:ascii="宋体" w:hAnsi="宋体" w:cs="宋体"/>
                <w:b/>
                <w:bCs/>
                <w:sz w:val="24"/>
                <w:szCs w:val="24"/>
                <w:highlight w:val="none"/>
              </w:rPr>
              <w:t>层</w:t>
            </w:r>
          </w:p>
          <w:p w14:paraId="0B0797A4">
            <w:pPr>
              <w:pStyle w:val="18"/>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投标文件接收时间：</w:t>
            </w:r>
            <w:r>
              <w:rPr>
                <w:rFonts w:ascii="Times New Roman" w:hAnsi="Times New Roman" w:cs="Times New Roman"/>
                <w:kern w:val="2"/>
                <w:sz w:val="24"/>
                <w:szCs w:val="24"/>
                <w:highlight w:val="none"/>
              </w:rPr>
              <w:t>详见投标邀请（招标公告）</w:t>
            </w:r>
          </w:p>
        </w:tc>
      </w:tr>
      <w:tr w14:paraId="1664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51EE550A">
            <w:pPr>
              <w:pStyle w:val="18"/>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资格审查</w:t>
            </w:r>
          </w:p>
        </w:tc>
        <w:tc>
          <w:tcPr>
            <w:tcW w:w="6687" w:type="dxa"/>
            <w:noWrap w:val="0"/>
            <w:vAlign w:val="center"/>
          </w:tcPr>
          <w:p w14:paraId="24921526">
            <w:pPr>
              <w:pStyle w:val="18"/>
              <w:widowControl w:val="0"/>
              <w:spacing w:before="0" w:beforeAutospacing="0" w:after="0" w:afterAutospacing="0" w:line="360" w:lineRule="auto"/>
              <w:jc w:val="both"/>
              <w:rPr>
                <w:rFonts w:ascii="Times New Roman" w:hAnsi="Times New Roman" w:cs="Times New Roman"/>
                <w:b w:val="0"/>
                <w:sz w:val="24"/>
                <w:highlight w:val="none"/>
                <w:u w:val="single"/>
              </w:rPr>
            </w:pPr>
            <w:r>
              <w:rPr>
                <w:rFonts w:ascii="Times New Roman" w:hAnsi="Times New Roman" w:cs="Times New Roman"/>
                <w:b w:val="0"/>
                <w:bCs w:val="0"/>
                <w:sz w:val="24"/>
                <w:szCs w:val="24"/>
                <w:highlight w:val="none"/>
              </w:rPr>
              <w:t>评标委员会进行审查</w:t>
            </w:r>
          </w:p>
        </w:tc>
      </w:tr>
      <w:tr w14:paraId="01CD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7BB8FD8D">
            <w:pPr>
              <w:pStyle w:val="18"/>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评标方法</w:t>
            </w:r>
          </w:p>
        </w:tc>
        <w:tc>
          <w:tcPr>
            <w:tcW w:w="6687" w:type="dxa"/>
            <w:noWrap w:val="0"/>
            <w:vAlign w:val="center"/>
          </w:tcPr>
          <w:p w14:paraId="04867B83">
            <w:pPr>
              <w:pStyle w:val="18"/>
              <w:widowControl w:val="0"/>
              <w:spacing w:before="0" w:beforeAutospacing="0" w:after="0" w:afterAutospacing="0" w:line="360" w:lineRule="auto"/>
              <w:jc w:val="both"/>
              <w:rPr>
                <w:rFonts w:ascii="Times New Roman" w:hAnsi="Times New Roman" w:cs="Times New Roman"/>
                <w:b w:val="0"/>
                <w:sz w:val="24"/>
                <w:highlight w:val="none"/>
                <w:u w:val="single"/>
              </w:rPr>
            </w:pPr>
            <w:r>
              <w:rPr>
                <w:rFonts w:hint="eastAsia" w:ascii="Times New Roman" w:hAnsi="Times New Roman" w:cs="Times New Roman"/>
                <w:b w:val="0"/>
                <w:sz w:val="24"/>
                <w:highlight w:val="none"/>
                <w:u w:val="single"/>
                <w:lang w:eastAsia="zh-CN"/>
              </w:rPr>
              <w:t>☑</w:t>
            </w:r>
            <w:r>
              <w:rPr>
                <w:rFonts w:ascii="Times New Roman" w:hAnsi="Times New Roman" w:cs="Times New Roman"/>
                <w:b w:val="0"/>
                <w:sz w:val="24"/>
                <w:highlight w:val="none"/>
                <w:u w:val="single"/>
              </w:rPr>
              <w:t>最低评标价法</w:t>
            </w:r>
          </w:p>
          <w:p w14:paraId="55DCBA18">
            <w:pPr>
              <w:pStyle w:val="18"/>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sz w:val="24"/>
                <w:highlight w:val="none"/>
                <w:u w:val="single"/>
                <w:lang w:eastAsia="zh-CN"/>
              </w:rPr>
              <w:t>□</w:t>
            </w:r>
            <w:r>
              <w:rPr>
                <w:rFonts w:ascii="Times New Roman" w:hAnsi="Times New Roman" w:cs="Times New Roman"/>
                <w:b w:val="0"/>
                <w:sz w:val="24"/>
                <w:highlight w:val="none"/>
                <w:u w:val="single"/>
              </w:rPr>
              <w:t>综合评分法</w:t>
            </w:r>
          </w:p>
        </w:tc>
      </w:tr>
      <w:tr w14:paraId="52D4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26B588CB">
            <w:pPr>
              <w:pStyle w:val="18"/>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推荐中标候选人的数量</w:t>
            </w:r>
          </w:p>
        </w:tc>
        <w:tc>
          <w:tcPr>
            <w:tcW w:w="6687" w:type="dxa"/>
            <w:noWrap w:val="0"/>
            <w:vAlign w:val="center"/>
          </w:tcPr>
          <w:p w14:paraId="2F002330">
            <w:pPr>
              <w:pStyle w:val="18"/>
              <w:widowControl w:val="0"/>
              <w:spacing w:before="0" w:beforeAutospacing="0" w:after="0" w:afterAutospacing="0" w:line="360" w:lineRule="auto"/>
              <w:jc w:val="both"/>
              <w:rPr>
                <w:rFonts w:ascii="Times New Roman" w:hAnsi="Times New Roman" w:cs="Times New Roman"/>
                <w:b w:val="0"/>
                <w:sz w:val="24"/>
                <w:highlight w:val="none"/>
                <w:u w:val="single"/>
              </w:rPr>
            </w:pPr>
            <w:r>
              <w:rPr>
                <w:rFonts w:ascii="Times New Roman" w:hAnsi="Times New Roman" w:cs="Times New Roman"/>
                <w:b w:val="0"/>
                <w:sz w:val="24"/>
                <w:highlight w:val="none"/>
              </w:rPr>
              <w:t>1家</w:t>
            </w:r>
          </w:p>
        </w:tc>
      </w:tr>
      <w:tr w14:paraId="3190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7EB0B8F0">
            <w:pPr>
              <w:pStyle w:val="18"/>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确定中标人</w:t>
            </w:r>
          </w:p>
        </w:tc>
        <w:tc>
          <w:tcPr>
            <w:tcW w:w="6687" w:type="dxa"/>
            <w:noWrap w:val="0"/>
            <w:vAlign w:val="center"/>
          </w:tcPr>
          <w:p w14:paraId="640A801B">
            <w:pPr>
              <w:pStyle w:val="18"/>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hint="eastAsia" w:ascii="Times New Roman" w:hAnsi="Times New Roman" w:cs="Times New Roman"/>
                <w:b w:val="0"/>
                <w:bCs w:val="0"/>
                <w:sz w:val="24"/>
                <w:szCs w:val="24"/>
                <w:highlight w:val="none"/>
              </w:rPr>
              <w:t>□</w:t>
            </w:r>
            <w:r>
              <w:rPr>
                <w:rFonts w:ascii="Times New Roman" w:hAnsi="Times New Roman" w:cs="Times New Roman"/>
                <w:b w:val="0"/>
                <w:bCs w:val="0"/>
                <w:sz w:val="24"/>
                <w:szCs w:val="24"/>
                <w:highlight w:val="none"/>
              </w:rPr>
              <w:t>招标人委托评标委员会确定</w:t>
            </w:r>
          </w:p>
          <w:p w14:paraId="0E13C0C0">
            <w:pPr>
              <w:pStyle w:val="18"/>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bCs w:val="0"/>
                <w:sz w:val="24"/>
                <w:szCs w:val="24"/>
                <w:highlight w:val="none"/>
              </w:rPr>
              <w:t>☑</w:t>
            </w:r>
            <w:r>
              <w:rPr>
                <w:rFonts w:ascii="Times New Roman" w:hAnsi="Times New Roman" w:cs="Times New Roman"/>
                <w:b w:val="0"/>
                <w:bCs w:val="0"/>
                <w:sz w:val="24"/>
                <w:szCs w:val="24"/>
                <w:highlight w:val="none"/>
              </w:rPr>
              <w:t>招标人确定</w:t>
            </w:r>
          </w:p>
        </w:tc>
      </w:tr>
      <w:tr w14:paraId="2C19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70DB2A86">
            <w:pPr>
              <w:pStyle w:val="18"/>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随中标结果公告同时公告的中标人的投标文件内容</w:t>
            </w:r>
          </w:p>
        </w:tc>
        <w:tc>
          <w:tcPr>
            <w:tcW w:w="6687" w:type="dxa"/>
            <w:noWrap w:val="0"/>
            <w:vAlign w:val="center"/>
          </w:tcPr>
          <w:p w14:paraId="59902159">
            <w:pPr>
              <w:pStyle w:val="18"/>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w:t>
            </w:r>
          </w:p>
        </w:tc>
      </w:tr>
      <w:tr w14:paraId="2043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71189F18">
            <w:pPr>
              <w:pStyle w:val="18"/>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告知招标结果的形式</w:t>
            </w:r>
          </w:p>
        </w:tc>
        <w:tc>
          <w:tcPr>
            <w:tcW w:w="6687" w:type="dxa"/>
            <w:noWrap w:val="0"/>
            <w:vAlign w:val="center"/>
          </w:tcPr>
          <w:p w14:paraId="50024856">
            <w:pPr>
              <w:pStyle w:val="18"/>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投标人自行上网查看（</w:t>
            </w:r>
            <w:r>
              <w:rPr>
                <w:rFonts w:hint="eastAsia" w:ascii="Times New Roman" w:hAnsi="Times New Roman" w:cs="Times New Roman"/>
                <w:b w:val="0"/>
                <w:bCs w:val="0"/>
                <w:sz w:val="24"/>
                <w:szCs w:val="24"/>
                <w:highlight w:val="none"/>
                <w:lang w:eastAsia="zh-CN"/>
              </w:rPr>
              <w:t>合肥滨湖时光产业投资集团有限公司</w:t>
            </w:r>
            <w:r>
              <w:rPr>
                <w:rFonts w:ascii="Times New Roman" w:hAnsi="Times New Roman" w:cs="Times New Roman"/>
                <w:b w:val="0"/>
                <w:bCs w:val="0"/>
                <w:sz w:val="24"/>
                <w:szCs w:val="24"/>
                <w:highlight w:val="none"/>
              </w:rPr>
              <w:t>官方网站</w:t>
            </w:r>
            <w:r>
              <w:rPr>
                <w:rFonts w:hint="eastAsia" w:ascii="Times New Roman" w:hAnsi="Times New Roman" w:cs="Times New Roman"/>
                <w:b w:val="0"/>
                <w:bCs w:val="0"/>
                <w:sz w:val="24"/>
                <w:szCs w:val="24"/>
                <w:highlight w:val="none"/>
                <w:lang w:eastAsia="zh-CN"/>
              </w:rPr>
              <w:t>http://bhsggroup.cn/</w:t>
            </w:r>
            <w:r>
              <w:rPr>
                <w:rFonts w:ascii="Times New Roman" w:hAnsi="Times New Roman" w:cs="Times New Roman"/>
                <w:b w:val="0"/>
                <w:bCs w:val="0"/>
                <w:sz w:val="24"/>
                <w:szCs w:val="24"/>
                <w:highlight w:val="none"/>
              </w:rPr>
              <w:t>）</w:t>
            </w:r>
          </w:p>
        </w:tc>
      </w:tr>
      <w:tr w14:paraId="0A5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noWrap w:val="0"/>
            <w:vAlign w:val="center"/>
          </w:tcPr>
          <w:p w14:paraId="09D549D6">
            <w:pPr>
              <w:pStyle w:val="18"/>
              <w:widowControl w:val="0"/>
              <w:spacing w:before="0" w:beforeAutospacing="0" w:after="0" w:afterAutospacing="0" w:line="360" w:lineRule="auto"/>
              <w:rPr>
                <w:rFonts w:ascii="Times New Roman" w:hAnsi="Times New Roman" w:cs="Times New Roman"/>
                <w:b w:val="0"/>
                <w:sz w:val="24"/>
                <w:highlight w:val="none"/>
              </w:rPr>
            </w:pPr>
            <w:r>
              <w:rPr>
                <w:rFonts w:ascii="Times New Roman" w:hAnsi="Times New Roman" w:cs="Times New Roman"/>
                <w:b w:val="0"/>
                <w:sz w:val="24"/>
                <w:highlight w:val="none"/>
              </w:rPr>
              <w:t>履约保证金</w:t>
            </w:r>
          </w:p>
          <w:p w14:paraId="32BF324A">
            <w:pPr>
              <w:pStyle w:val="18"/>
              <w:widowControl w:val="0"/>
              <w:spacing w:before="0" w:beforeAutospacing="0" w:after="0" w:afterAutospacing="0" w:line="360" w:lineRule="auto"/>
              <w:rPr>
                <w:rFonts w:ascii="Times New Roman" w:hAnsi="Times New Roman" w:cs="Times New Roman"/>
                <w:b w:val="0"/>
                <w:sz w:val="24"/>
                <w:highlight w:val="none"/>
              </w:rPr>
            </w:pPr>
            <w:r>
              <w:rPr>
                <w:rFonts w:hint="eastAsia" w:ascii="Times New Roman" w:hAnsi="Times New Roman" w:cs="Times New Roman"/>
                <w:b w:val="0"/>
                <w:sz w:val="24"/>
                <w:highlight w:val="none"/>
              </w:rPr>
              <w:t>（本项目不收取）</w:t>
            </w:r>
          </w:p>
        </w:tc>
        <w:tc>
          <w:tcPr>
            <w:tcW w:w="6687" w:type="dxa"/>
            <w:noWrap w:val="0"/>
            <w:vAlign w:val="center"/>
          </w:tcPr>
          <w:tbl>
            <w:tblPr>
              <w:tblStyle w:val="15"/>
              <w:tblW w:w="5000" w:type="pct"/>
              <w:tblInd w:w="0" w:type="dxa"/>
              <w:tblLayout w:type="fixed"/>
              <w:tblCellMar>
                <w:top w:w="0" w:type="dxa"/>
                <w:left w:w="108" w:type="dxa"/>
                <w:bottom w:w="0" w:type="dxa"/>
                <w:right w:w="108" w:type="dxa"/>
              </w:tblCellMar>
            </w:tblPr>
            <w:tblGrid>
              <w:gridCol w:w="1509"/>
              <w:gridCol w:w="4962"/>
            </w:tblGrid>
            <w:tr w14:paraId="11366249">
              <w:tblPrEx>
                <w:tblCellMar>
                  <w:top w:w="0" w:type="dxa"/>
                  <w:left w:w="108" w:type="dxa"/>
                  <w:bottom w:w="0" w:type="dxa"/>
                  <w:right w:w="108" w:type="dxa"/>
                </w:tblCellMar>
              </w:tblPrEx>
              <w:tc>
                <w:tcPr>
                  <w:tcW w:w="1509" w:type="dxa"/>
                  <w:noWrap w:val="0"/>
                  <w:vAlign w:val="center"/>
                </w:tcPr>
                <w:p w14:paraId="3E20F5CD">
                  <w:pPr>
                    <w:pStyle w:val="18"/>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（1）形式：</w:t>
                  </w:r>
                </w:p>
              </w:tc>
              <w:tc>
                <w:tcPr>
                  <w:tcW w:w="4962" w:type="dxa"/>
                  <w:noWrap w:val="0"/>
                  <w:vAlign w:val="top"/>
                </w:tcPr>
                <w:p w14:paraId="089CF301">
                  <w:pPr>
                    <w:pStyle w:val="18"/>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hint="eastAsia" w:ascii="Times New Roman" w:hAnsi="Times New Roman" w:cs="Times New Roman"/>
                      <w:b w:val="0"/>
                      <w:bCs w:val="0"/>
                      <w:sz w:val="24"/>
                      <w:szCs w:val="24"/>
                      <w:highlight w:val="none"/>
                      <w:lang w:eastAsia="zh-CN"/>
                    </w:rPr>
                    <w:t>□</w:t>
                  </w:r>
                  <w:r>
                    <w:rPr>
                      <w:rFonts w:ascii="Times New Roman" w:hAnsi="Times New Roman" w:cs="Times New Roman"/>
                      <w:b w:val="0"/>
                      <w:bCs w:val="0"/>
                      <w:sz w:val="24"/>
                      <w:szCs w:val="24"/>
                      <w:highlight w:val="none"/>
                    </w:rPr>
                    <w:t>银行转账</w:t>
                  </w:r>
                  <w:r>
                    <w:rPr>
                      <w:rFonts w:hint="eastAsia" w:ascii="Times New Roman" w:hAnsi="Times New Roman" w:cs="Times New Roman"/>
                      <w:b w:val="0"/>
                      <w:bCs w:val="0"/>
                      <w:sz w:val="24"/>
                      <w:szCs w:val="24"/>
                      <w:highlight w:val="none"/>
                    </w:rPr>
                    <w:t>□</w:t>
                  </w:r>
                  <w:r>
                    <w:rPr>
                      <w:rFonts w:ascii="Times New Roman" w:hAnsi="Times New Roman" w:cs="Times New Roman"/>
                      <w:b w:val="0"/>
                      <w:bCs w:val="0"/>
                      <w:sz w:val="24"/>
                      <w:szCs w:val="24"/>
                      <w:highlight w:val="none"/>
                    </w:rPr>
                    <w:t>银行电汇</w:t>
                  </w:r>
                </w:p>
                <w:p w14:paraId="7753EDA2">
                  <w:pPr>
                    <w:pStyle w:val="18"/>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hint="eastAsia" w:ascii="Times New Roman" w:hAnsi="Times New Roman" w:cs="Times New Roman"/>
                      <w:b w:val="0"/>
                      <w:bCs w:val="0"/>
                      <w:sz w:val="24"/>
                      <w:szCs w:val="24"/>
                      <w:highlight w:val="none"/>
                    </w:rPr>
                    <w:t>□</w:t>
                  </w:r>
                  <w:r>
                    <w:rPr>
                      <w:rFonts w:ascii="Times New Roman" w:hAnsi="Times New Roman" w:cs="Times New Roman"/>
                      <w:b w:val="0"/>
                      <w:bCs w:val="0"/>
                      <w:sz w:val="24"/>
                      <w:szCs w:val="24"/>
                      <w:highlight w:val="none"/>
                    </w:rPr>
                    <w:t>银行保函</w:t>
                  </w:r>
                  <w:r>
                    <w:rPr>
                      <w:rFonts w:hint="eastAsia" w:ascii="Times New Roman" w:hAnsi="Times New Roman" w:cs="Times New Roman"/>
                      <w:b w:val="0"/>
                      <w:bCs w:val="0"/>
                      <w:sz w:val="24"/>
                      <w:szCs w:val="24"/>
                      <w:highlight w:val="none"/>
                    </w:rPr>
                    <w:t>□</w:t>
                  </w:r>
                  <w:r>
                    <w:rPr>
                      <w:rFonts w:ascii="Times New Roman" w:hAnsi="Times New Roman" w:cs="Times New Roman"/>
                      <w:b w:val="0"/>
                      <w:bCs w:val="0"/>
                      <w:sz w:val="24"/>
                      <w:szCs w:val="24"/>
                      <w:highlight w:val="none"/>
                    </w:rPr>
                    <w:t>担保机构担保</w:t>
                  </w:r>
                </w:p>
                <w:p w14:paraId="01AFB39F">
                  <w:pPr>
                    <w:pStyle w:val="18"/>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hint="eastAsia" w:ascii="Times New Roman" w:hAnsi="Times New Roman" w:cs="Times New Roman"/>
                      <w:b w:val="0"/>
                      <w:bCs w:val="0"/>
                      <w:sz w:val="24"/>
                      <w:szCs w:val="24"/>
                      <w:highlight w:val="none"/>
                    </w:rPr>
                    <w:t>□</w:t>
                  </w:r>
                  <w:r>
                    <w:rPr>
                      <w:rFonts w:ascii="Times New Roman" w:hAnsi="Times New Roman" w:cs="Times New Roman"/>
                      <w:b w:val="0"/>
                      <w:bCs w:val="0"/>
                      <w:sz w:val="24"/>
                      <w:szCs w:val="24"/>
                      <w:highlight w:val="none"/>
                    </w:rPr>
                    <w:t>保证保险</w:t>
                  </w:r>
                </w:p>
              </w:tc>
            </w:tr>
            <w:tr w14:paraId="11D4E109">
              <w:tblPrEx>
                <w:tblCellMar>
                  <w:top w:w="0" w:type="dxa"/>
                  <w:left w:w="108" w:type="dxa"/>
                  <w:bottom w:w="0" w:type="dxa"/>
                  <w:right w:w="108" w:type="dxa"/>
                </w:tblCellMar>
              </w:tblPrEx>
              <w:tc>
                <w:tcPr>
                  <w:tcW w:w="6471" w:type="dxa"/>
                  <w:gridSpan w:val="2"/>
                  <w:noWrap w:val="0"/>
                  <w:vAlign w:val="top"/>
                </w:tcPr>
                <w:p w14:paraId="54AD7223">
                  <w:pPr>
                    <w:pStyle w:val="18"/>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（2）金额：签约合同价的</w:t>
                  </w:r>
                  <w:r>
                    <w:rPr>
                      <w:rFonts w:hint="eastAsia" w:ascii="Times New Roman" w:hAnsi="Times New Roman" w:cs="Times New Roman"/>
                      <w:b w:val="0"/>
                      <w:bCs w:val="0"/>
                      <w:sz w:val="24"/>
                      <w:szCs w:val="24"/>
                      <w:highlight w:val="none"/>
                    </w:rPr>
                    <w:t>5</w:t>
                  </w:r>
                  <w:r>
                    <w:rPr>
                      <w:rFonts w:ascii="Times New Roman" w:hAnsi="Times New Roman" w:cs="Times New Roman"/>
                      <w:b w:val="0"/>
                      <w:bCs w:val="0"/>
                      <w:sz w:val="24"/>
                      <w:szCs w:val="24"/>
                      <w:highlight w:val="none"/>
                    </w:rPr>
                    <w:t>％</w:t>
                  </w:r>
                </w:p>
                <w:p w14:paraId="1E0725F3">
                  <w:pPr>
                    <w:pStyle w:val="18"/>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3）如采用银行保函，银行保函应为合肥行政区域（含四县一市）具有分支机构的银行（或该银行国内任一分行或支行）出具的见索即付无条件银行保函。例如：某银行在合肥行政区域有分支机构，则该银行总行（或该银行国内任一分行或支行）出具的满足招标文件要求的银行保函均予以认可。</w:t>
                  </w:r>
                </w:p>
                <w:p w14:paraId="246A41F0">
                  <w:pPr>
                    <w:pStyle w:val="18"/>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（4）如采用担保机构出具的保函（担保机构担保），应为经安徽省地方金融监督管理局审查批准，依法取得融资担保业务经营许可证的融资担保机构出具的无条件保函。</w:t>
                  </w:r>
                </w:p>
                <w:p w14:paraId="553E524A">
                  <w:pPr>
                    <w:pStyle w:val="18"/>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(5)以上各类机构出具的以担保函、保证保险承担责任的方式均须满足无条件见索即付条件。</w:t>
                  </w:r>
                </w:p>
              </w:tc>
            </w:tr>
          </w:tbl>
          <w:p w14:paraId="5259D0EE">
            <w:pPr>
              <w:pStyle w:val="19"/>
              <w:tabs>
                <w:tab w:val="left" w:pos="351"/>
              </w:tabs>
              <w:spacing w:line="360" w:lineRule="auto"/>
              <w:ind w:right="96"/>
              <w:jc w:val="left"/>
              <w:rPr>
                <w:rFonts w:hint="eastAsia" w:ascii="Times New Roman" w:hAnsi="Times New Roman" w:eastAsia="宋体" w:cs="Times New Roman"/>
                <w:sz w:val="24"/>
                <w:highlight w:val="none"/>
                <w:lang w:val="en-US" w:eastAsia="zh-CN"/>
              </w:rPr>
            </w:pPr>
            <w:r>
              <w:rPr>
                <w:rFonts w:ascii="Times New Roman" w:hAnsi="Times New Roman" w:cs="Times New Roman"/>
                <w:sz w:val="24"/>
                <w:highlight w:val="none"/>
                <w:lang w:val="en-US"/>
              </w:rPr>
              <w:t>（6）履约保证金提交期限的要求：合同签订前。</w:t>
            </w:r>
          </w:p>
          <w:p w14:paraId="01374A50">
            <w:pPr>
              <w:pStyle w:val="19"/>
              <w:tabs>
                <w:tab w:val="left" w:pos="351"/>
              </w:tabs>
              <w:spacing w:line="360" w:lineRule="auto"/>
              <w:ind w:right="96"/>
              <w:jc w:val="left"/>
              <w:rPr>
                <w:rFonts w:ascii="Times New Roman" w:hAnsi="Times New Roman" w:cs="Times New Roman"/>
                <w:sz w:val="24"/>
                <w:highlight w:val="none"/>
                <w:lang w:val="en-US"/>
              </w:rPr>
            </w:pPr>
            <w:r>
              <w:rPr>
                <w:rFonts w:ascii="Times New Roman" w:hAnsi="Times New Roman" w:cs="Times New Roman"/>
                <w:sz w:val="24"/>
                <w:highlight w:val="none"/>
                <w:lang w:val="en-US"/>
              </w:rPr>
              <w:t>（7）履约保证金退还：竣工验收通过后28天内。</w:t>
            </w:r>
          </w:p>
        </w:tc>
      </w:tr>
      <w:tr w14:paraId="3E1F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1F19B806">
            <w:pPr>
              <w:pStyle w:val="18"/>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中标服务费</w:t>
            </w:r>
          </w:p>
        </w:tc>
        <w:tc>
          <w:tcPr>
            <w:tcW w:w="6687" w:type="dxa"/>
            <w:noWrap w:val="0"/>
            <w:vAlign w:val="center"/>
          </w:tcPr>
          <w:p w14:paraId="4D8B20D8">
            <w:pPr>
              <w:pStyle w:val="18"/>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sz w:val="24"/>
                <w:highlight w:val="none"/>
              </w:rPr>
              <w:t>☑</w:t>
            </w:r>
            <w:r>
              <w:rPr>
                <w:rFonts w:ascii="Times New Roman" w:hAnsi="Times New Roman" w:cs="Times New Roman"/>
                <w:b w:val="0"/>
                <w:sz w:val="24"/>
                <w:highlight w:val="none"/>
              </w:rPr>
              <w:t>免收</w:t>
            </w:r>
          </w:p>
        </w:tc>
      </w:tr>
      <w:tr w14:paraId="557E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5FACEEC6">
            <w:pPr>
              <w:pStyle w:val="18"/>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其他内容</w:t>
            </w:r>
          </w:p>
        </w:tc>
        <w:tc>
          <w:tcPr>
            <w:tcW w:w="6687" w:type="dxa"/>
            <w:noWrap w:val="0"/>
            <w:vAlign w:val="center"/>
          </w:tcPr>
          <w:p w14:paraId="4394198F">
            <w:pPr>
              <w:pStyle w:val="18"/>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w:t>
            </w:r>
          </w:p>
        </w:tc>
      </w:tr>
      <w:tr w14:paraId="3682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4DE0084D">
            <w:pPr>
              <w:pStyle w:val="18"/>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关于联合体投标的相关约定</w:t>
            </w:r>
          </w:p>
        </w:tc>
        <w:tc>
          <w:tcPr>
            <w:tcW w:w="6687" w:type="dxa"/>
            <w:noWrap w:val="0"/>
            <w:vAlign w:val="center"/>
          </w:tcPr>
          <w:p w14:paraId="7AADCFE0">
            <w:pPr>
              <w:pStyle w:val="18"/>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（1）联合体投标的，招标文件获取手续由联合体中任一成员单位办理均可。</w:t>
            </w:r>
          </w:p>
          <w:p w14:paraId="28F40243">
            <w:pPr>
              <w:pStyle w:val="18"/>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（2）联合体投标的须提供联合协议（见投标文件格式），相关证明材料由投标人根据联合协议分工情况及招标文件要求提供。</w:t>
            </w:r>
          </w:p>
          <w:p w14:paraId="049FA550">
            <w:pPr>
              <w:pStyle w:val="18"/>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（3）联合体各成员单位均须提供营业执照（或事业单位法人登记证书）和无重大违法记录声明函、无不良信用记录声明函。</w:t>
            </w:r>
          </w:p>
        </w:tc>
      </w:tr>
      <w:tr w14:paraId="036D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0A4C398F">
            <w:pPr>
              <w:pStyle w:val="18"/>
              <w:widowControl w:val="0"/>
              <w:spacing w:before="0" w:beforeAutospacing="0" w:after="0" w:afterAutospacing="0" w:line="360" w:lineRule="auto"/>
              <w:jc w:val="both"/>
              <w:rPr>
                <w:color w:val="auto"/>
                <w:highlight w:val="none"/>
              </w:rPr>
            </w:pPr>
            <w:r>
              <w:rPr>
                <w:rFonts w:ascii="Times New Roman" w:hAnsi="Times New Roman" w:cs="Times New Roman"/>
                <w:b w:val="0"/>
                <w:color w:val="auto"/>
                <w:sz w:val="24"/>
                <w:highlight w:val="none"/>
              </w:rPr>
              <w:t>社保证明材料</w:t>
            </w:r>
          </w:p>
          <w:p w14:paraId="2825FD06">
            <w:pPr>
              <w:pStyle w:val="18"/>
              <w:widowControl w:val="0"/>
              <w:spacing w:before="0" w:beforeAutospacing="0" w:after="0" w:afterAutospacing="0" w:line="360" w:lineRule="auto"/>
              <w:jc w:val="both"/>
              <w:rPr>
                <w:highlight w:val="none"/>
              </w:rPr>
            </w:pPr>
            <w:r>
              <w:rPr>
                <w:rFonts w:hint="eastAsia" w:ascii="Times New Roman" w:hAnsi="Times New Roman" w:cs="Times New Roman"/>
                <w:b w:val="0"/>
                <w:color w:val="auto"/>
                <w:sz w:val="24"/>
                <w:highlight w:val="none"/>
              </w:rPr>
              <w:t>（本项目不</w:t>
            </w:r>
            <w:r>
              <w:rPr>
                <w:rFonts w:hint="eastAsia" w:ascii="Times New Roman" w:hAnsi="Times New Roman" w:cs="Times New Roman"/>
                <w:b w:val="0"/>
                <w:color w:val="auto"/>
                <w:sz w:val="24"/>
                <w:highlight w:val="none"/>
                <w:lang w:val="en-US" w:eastAsia="zh-CN"/>
              </w:rPr>
              <w:t>需要</w:t>
            </w:r>
            <w:r>
              <w:rPr>
                <w:rFonts w:hint="eastAsia" w:ascii="Times New Roman" w:hAnsi="Times New Roman" w:cs="Times New Roman"/>
                <w:b w:val="0"/>
                <w:color w:val="auto"/>
                <w:sz w:val="24"/>
                <w:highlight w:val="none"/>
              </w:rPr>
              <w:t>）</w:t>
            </w:r>
          </w:p>
        </w:tc>
        <w:tc>
          <w:tcPr>
            <w:tcW w:w="6687" w:type="dxa"/>
            <w:noWrap w:val="0"/>
            <w:vAlign w:val="center"/>
          </w:tcPr>
          <w:p w14:paraId="410B50D6">
            <w:pPr>
              <w:pStyle w:val="18"/>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本项目招标文件中要求提供的社保证明材料为下述形式之一（投标文件中须提供影印件或复印件）：</w:t>
            </w:r>
          </w:p>
          <w:p w14:paraId="72CE76D5">
            <w:pPr>
              <w:pStyle w:val="18"/>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（1）社保局官方网站查询的缴费记录截图；</w:t>
            </w:r>
          </w:p>
          <w:p w14:paraId="1235CF50">
            <w:pPr>
              <w:pStyle w:val="18"/>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（2）社保局的书面证明材料；</w:t>
            </w:r>
          </w:p>
          <w:p w14:paraId="3DC81E44">
            <w:pPr>
              <w:pStyle w:val="18"/>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（3）经投标人委托的第三方人力资源服务机构或与投标人有直接隶属关系的机构可以代缴社保，但须提供有关证明材料并经评标委员会确认。</w:t>
            </w:r>
          </w:p>
          <w:p w14:paraId="422AA6D5">
            <w:pPr>
              <w:pStyle w:val="18"/>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（4）其他经评标委员会认可的证明材料。</w:t>
            </w:r>
          </w:p>
          <w:p w14:paraId="61EC3DF2">
            <w:pPr>
              <w:pStyle w:val="18"/>
              <w:widowControl w:val="0"/>
              <w:spacing w:before="0" w:beforeAutospacing="0" w:after="0" w:afterAutospacing="0" w:line="360" w:lineRule="auto"/>
              <w:jc w:val="both"/>
              <w:rPr>
                <w:rFonts w:ascii="Times New Roman" w:hAnsi="Times New Roman" w:cs="Times New Roman"/>
                <w:b w:val="0"/>
                <w:iCs/>
                <w:sz w:val="24"/>
                <w:highlight w:val="none"/>
              </w:rPr>
            </w:pPr>
            <w:r>
              <w:rPr>
                <w:rFonts w:ascii="Times New Roman" w:hAnsi="Times New Roman" w:cs="Times New Roman"/>
                <w:b w:val="0"/>
                <w:iCs/>
                <w:sz w:val="24"/>
                <w:highlight w:val="none"/>
              </w:rPr>
              <w:t>（5）法定代表人参与项目的，无需提供社保证明材料，提供身份证明材料即可。</w:t>
            </w:r>
          </w:p>
        </w:tc>
      </w:tr>
      <w:tr w14:paraId="0A17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59114666">
            <w:pPr>
              <w:pStyle w:val="18"/>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重要提示</w:t>
            </w:r>
          </w:p>
        </w:tc>
        <w:tc>
          <w:tcPr>
            <w:tcW w:w="6687" w:type="dxa"/>
            <w:noWrap w:val="0"/>
            <w:vAlign w:val="center"/>
          </w:tcPr>
          <w:p w14:paraId="45D765C6">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01D960E9">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（2）中标人应在规定期限内与招标人签订合同，若中标人未能在规定期限内签订合同，招标人有权取消中标人中标资格，并将相关违约行为报送监管部门，实施信用惩戒；</w:t>
            </w:r>
          </w:p>
          <w:p w14:paraId="433400B5">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（3）合同签订后，中标人存在规定时间内不履行服务义务等情况，招标人有权解除合同，并追究违约责任，同时将相关违约行为报送监管部门，实施信用惩戒；</w:t>
            </w:r>
          </w:p>
          <w:p w14:paraId="2625490B">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（4）中标人中标后被监管部门查实存在违法行为，不满足中标条件的，由招标人取消中标资格，并做好项目后续工作；</w:t>
            </w:r>
          </w:p>
          <w:p w14:paraId="6393AA8B">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（5）中标人在中标项目发生投诉、信访举报案件、履约存在争议时，拒绝协助配合执法部门调查案件的，招标人可以取消其中标资格或解除合同，并追究其违约责任。</w:t>
            </w:r>
          </w:p>
        </w:tc>
      </w:tr>
      <w:tr w14:paraId="1A32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45C9E529">
            <w:pPr>
              <w:pStyle w:val="18"/>
              <w:widowControl w:val="0"/>
              <w:spacing w:before="0" w:beforeAutospacing="0" w:after="0" w:afterAutospacing="0" w:line="360" w:lineRule="auto"/>
              <w:rPr>
                <w:rFonts w:ascii="Times New Roman" w:hAnsi="Times New Roman" w:cs="Times New Roman"/>
                <w:b w:val="0"/>
                <w:sz w:val="24"/>
                <w:highlight w:val="none"/>
              </w:rPr>
            </w:pPr>
            <w:r>
              <w:rPr>
                <w:rFonts w:ascii="Times New Roman" w:hAnsi="Times New Roman" w:cs="Times New Roman"/>
                <w:b w:val="0"/>
                <w:sz w:val="24"/>
                <w:highlight w:val="none"/>
              </w:rPr>
              <w:t>解释权</w:t>
            </w:r>
          </w:p>
        </w:tc>
        <w:tc>
          <w:tcPr>
            <w:tcW w:w="6687" w:type="dxa"/>
            <w:noWrap w:val="0"/>
            <w:vAlign w:val="center"/>
          </w:tcPr>
          <w:p w14:paraId="61602447">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（1）构成本招标文件的各个组成文件应互为解释，互为说明；</w:t>
            </w:r>
          </w:p>
          <w:p w14:paraId="1B9CE032">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（2）同一组成文件中就同一事项的规定或约定不一致的，除招标文件另有规定外，以编排顺序在后者为准；</w:t>
            </w:r>
          </w:p>
          <w:p w14:paraId="4F47A965">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（3）如有不明确或不一致，构成合同文件组成内容的，以合同文件约定内容为准，且以专用合同条款约定的合同文件优先顺序解释；</w:t>
            </w:r>
          </w:p>
          <w:p w14:paraId="76E273E7">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（4）除招标文件中有特别规定外，仅适用于招标投标阶段的规定，按投标邀请、投标人须知、评标方法和标准、投标文件格式的先后顺序解释；</w:t>
            </w:r>
          </w:p>
          <w:p w14:paraId="2333BE2B">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（5）按本款前述规定仍不能形成结论的，由招标人负责解释。</w:t>
            </w:r>
          </w:p>
        </w:tc>
      </w:tr>
      <w:tr w14:paraId="6934C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79C32CC1">
            <w:pPr>
              <w:pStyle w:val="18"/>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其他补充说明</w:t>
            </w:r>
          </w:p>
        </w:tc>
        <w:tc>
          <w:tcPr>
            <w:tcW w:w="6687" w:type="dxa"/>
            <w:noWrap w:val="0"/>
            <w:vAlign w:val="center"/>
          </w:tcPr>
          <w:p w14:paraId="5C6E6CAD">
            <w:pPr>
              <w:spacing w:line="360" w:lineRule="auto"/>
              <w:rPr>
                <w:rFonts w:hint="eastAsia" w:ascii="Times New Roman" w:hAnsi="Times New Roman" w:eastAsia="宋体" w:cs="Times New Roman"/>
                <w:bCs/>
                <w:sz w:val="24"/>
                <w:szCs w:val="24"/>
                <w:highlight w:val="none"/>
                <w:lang w:eastAsia="zh-CN"/>
              </w:rPr>
            </w:pPr>
            <w:r>
              <w:rPr>
                <w:rFonts w:ascii="Times New Roman" w:hAnsi="Times New Roman" w:cs="Times New Roman"/>
                <w:bCs/>
                <w:sz w:val="24"/>
                <w:szCs w:val="24"/>
                <w:highlight w:val="none"/>
              </w:rPr>
              <w:t>1.本项目投标文件要求详见本须知前附表，投标文件现场递交，无需上传电子投标文件。</w:t>
            </w:r>
          </w:p>
          <w:p w14:paraId="4BAC4B2E">
            <w:pPr>
              <w:spacing w:line="360" w:lineRule="auto"/>
              <w:rPr>
                <w:rFonts w:ascii="Times New Roman" w:hAnsi="Times New Roman" w:cs="Times New Roman"/>
                <w:bCs/>
                <w:sz w:val="24"/>
                <w:szCs w:val="24"/>
                <w:highlight w:val="none"/>
                <w:u w:val="single"/>
              </w:rPr>
            </w:pPr>
            <w:r>
              <w:rPr>
                <w:rFonts w:ascii="Times New Roman" w:hAnsi="Times New Roman" w:cs="Times New Roman"/>
                <w:bCs/>
                <w:sz w:val="24"/>
                <w:szCs w:val="24"/>
                <w:highlight w:val="none"/>
              </w:rPr>
              <w:t>2.本项目资金来源：自筹</w:t>
            </w:r>
            <w:r>
              <w:rPr>
                <w:rFonts w:hint="eastAsia" w:ascii="Times New Roman" w:hAnsi="Times New Roman" w:cs="Times New Roman"/>
                <w:bCs/>
                <w:sz w:val="24"/>
                <w:szCs w:val="24"/>
                <w:highlight w:val="none"/>
              </w:rPr>
              <w:t>资金</w:t>
            </w:r>
          </w:p>
        </w:tc>
      </w:tr>
    </w:tbl>
    <w:p w14:paraId="2DEB43E7">
      <w:pPr>
        <w:spacing w:line="360" w:lineRule="auto"/>
        <w:ind w:firstLine="435"/>
        <w:rPr>
          <w:rFonts w:ascii="Times New Roman" w:hAnsi="Times New Roman" w:cs="Times New Roman"/>
          <w:sz w:val="24"/>
          <w:szCs w:val="18"/>
          <w:highlight w:val="none"/>
        </w:rPr>
      </w:pPr>
    </w:p>
    <w:p w14:paraId="559A1ABD">
      <w:pPr>
        <w:rPr>
          <w:rFonts w:ascii="Times New Roman" w:hAnsi="Times New Roman" w:cs="Times New Roman"/>
          <w:b/>
          <w:highlight w:val="none"/>
        </w:rPr>
      </w:pPr>
      <w:bookmarkStart w:id="13" w:name="_Toc11078137"/>
      <w:bookmarkStart w:id="14" w:name="_Toc460226989"/>
      <w:bookmarkStart w:id="15" w:name="_Toc283798416"/>
      <w:bookmarkStart w:id="16" w:name="_Toc460660062"/>
      <w:bookmarkStart w:id="17" w:name="_Toc460226720"/>
      <w:bookmarkStart w:id="18" w:name="_Toc26766"/>
      <w:bookmarkStart w:id="19" w:name="_Toc421916975"/>
      <w:r>
        <w:rPr>
          <w:rFonts w:ascii="Times New Roman" w:hAnsi="Times New Roman" w:cs="Times New Roman"/>
          <w:b/>
          <w:highlight w:val="none"/>
        </w:rPr>
        <w:br w:type="page"/>
      </w:r>
    </w:p>
    <w:p w14:paraId="7432A33B">
      <w:pPr>
        <w:rPr>
          <w:rFonts w:ascii="Times New Roman" w:hAnsi="Times New Roman" w:cs="Times New Roman"/>
          <w:b/>
          <w:highlight w:val="none"/>
        </w:rPr>
      </w:pPr>
    </w:p>
    <w:bookmarkEnd w:id="13"/>
    <w:bookmarkEnd w:id="14"/>
    <w:bookmarkEnd w:id="15"/>
    <w:bookmarkEnd w:id="16"/>
    <w:bookmarkEnd w:id="17"/>
    <w:bookmarkEnd w:id="18"/>
    <w:bookmarkEnd w:id="19"/>
    <w:p w14:paraId="677AEC9E">
      <w:pPr>
        <w:spacing w:line="360" w:lineRule="auto"/>
        <w:jc w:val="center"/>
        <w:outlineLvl w:val="2"/>
        <w:rPr>
          <w:rFonts w:ascii="Times New Roman" w:hAnsi="Times New Roman" w:eastAsia="宋体" w:cs="Times New Roman"/>
          <w:b/>
          <w:sz w:val="24"/>
          <w:highlight w:val="none"/>
        </w:rPr>
      </w:pPr>
      <w:r>
        <w:rPr>
          <w:rFonts w:ascii="Times New Roman" w:hAnsi="Times New Roman" w:eastAsia="宋体" w:cs="Times New Roman"/>
          <w:b/>
          <w:sz w:val="24"/>
          <w:highlight w:val="none"/>
        </w:rPr>
        <w:t>二、投标人须知正文</w:t>
      </w:r>
    </w:p>
    <w:p w14:paraId="2E3FAFCD">
      <w:pPr>
        <w:spacing w:line="360" w:lineRule="auto"/>
        <w:ind w:firstLine="437"/>
        <w:outlineLvl w:val="3"/>
        <w:rPr>
          <w:rFonts w:ascii="Times New Roman" w:hAnsi="Times New Roman" w:eastAsia="宋体" w:cs="Times New Roman"/>
          <w:b/>
          <w:sz w:val="24"/>
          <w:highlight w:val="none"/>
        </w:rPr>
      </w:pPr>
      <w:r>
        <w:rPr>
          <w:rFonts w:ascii="Times New Roman" w:hAnsi="Times New Roman" w:eastAsia="宋体" w:cs="Times New Roman"/>
          <w:b/>
          <w:sz w:val="24"/>
          <w:highlight w:val="none"/>
        </w:rPr>
        <w:t>1.适用范围</w:t>
      </w:r>
    </w:p>
    <w:p w14:paraId="2A6862C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1.1本</w:t>
      </w:r>
      <w:r>
        <w:rPr>
          <w:rFonts w:hint="eastAsia" w:ascii="Times New Roman" w:hAnsi="Times New Roman" w:cs="Times New Roman"/>
          <w:sz w:val="24"/>
          <w:highlight w:val="none"/>
        </w:rPr>
        <w:t>招标</w:t>
      </w:r>
      <w:r>
        <w:rPr>
          <w:rFonts w:ascii="Times New Roman" w:hAnsi="Times New Roman" w:cs="Times New Roman"/>
          <w:sz w:val="24"/>
          <w:highlight w:val="none"/>
        </w:rPr>
        <w:t>文件仅适用于本次</w:t>
      </w:r>
      <w:r>
        <w:rPr>
          <w:rFonts w:hint="eastAsia" w:ascii="Times New Roman" w:hAnsi="Times New Roman" w:cs="Times New Roman"/>
          <w:sz w:val="24"/>
          <w:highlight w:val="none"/>
        </w:rPr>
        <w:t>招标</w:t>
      </w:r>
      <w:r>
        <w:rPr>
          <w:rFonts w:ascii="Times New Roman" w:hAnsi="Times New Roman" w:cs="Times New Roman"/>
          <w:sz w:val="24"/>
          <w:highlight w:val="none"/>
        </w:rPr>
        <w:t>所述的</w:t>
      </w:r>
      <w:r>
        <w:rPr>
          <w:rFonts w:hint="eastAsia" w:ascii="宋体" w:hAnsi="宋体"/>
          <w:sz w:val="24"/>
          <w:highlight w:val="none"/>
        </w:rPr>
        <w:t>货物项目招标</w:t>
      </w:r>
      <w:r>
        <w:rPr>
          <w:rFonts w:ascii="Times New Roman" w:hAnsi="Times New Roman" w:cs="Times New Roman"/>
          <w:sz w:val="24"/>
          <w:highlight w:val="none"/>
        </w:rPr>
        <w:t>。</w:t>
      </w:r>
    </w:p>
    <w:p w14:paraId="1EAC58BC">
      <w:pPr>
        <w:spacing w:line="360" w:lineRule="auto"/>
        <w:ind w:firstLine="437"/>
        <w:outlineLvl w:val="3"/>
        <w:rPr>
          <w:rFonts w:ascii="Times New Roman" w:hAnsi="Times New Roman" w:eastAsia="宋体" w:cs="Times New Roman"/>
          <w:b/>
          <w:sz w:val="24"/>
          <w:highlight w:val="none"/>
        </w:rPr>
      </w:pPr>
      <w:r>
        <w:rPr>
          <w:rFonts w:ascii="Times New Roman" w:hAnsi="Times New Roman" w:eastAsia="宋体" w:cs="Times New Roman"/>
          <w:b/>
          <w:sz w:val="24"/>
          <w:highlight w:val="none"/>
        </w:rPr>
        <w:t>2.定义</w:t>
      </w:r>
    </w:p>
    <w:p w14:paraId="12B9B5F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2.1</w:t>
      </w:r>
      <w:r>
        <w:rPr>
          <w:rFonts w:hint="eastAsia" w:ascii="宋体" w:hAnsi="宋体"/>
          <w:sz w:val="24"/>
          <w:highlight w:val="none"/>
        </w:rPr>
        <w:t>货物：是指各种形态和种类的物品，包括原材料、燃料、设备、产品等。</w:t>
      </w:r>
    </w:p>
    <w:p w14:paraId="25CD0ABA">
      <w:pPr>
        <w:spacing w:line="360" w:lineRule="auto"/>
        <w:ind w:firstLine="470" w:firstLineChars="196"/>
        <w:rPr>
          <w:rFonts w:ascii="Times New Roman" w:hAnsi="Times New Roman" w:cs="Times New Roman"/>
          <w:b/>
          <w:highlight w:val="none"/>
        </w:rPr>
      </w:pPr>
      <w:r>
        <w:rPr>
          <w:rFonts w:ascii="Times New Roman" w:hAnsi="Times New Roman" w:cs="Times New Roman"/>
          <w:sz w:val="24"/>
          <w:highlight w:val="none"/>
        </w:rPr>
        <w:t>2.2时限（年份、月份等）计算：系指从</w:t>
      </w:r>
      <w:r>
        <w:rPr>
          <w:rFonts w:hint="eastAsia" w:ascii="Times New Roman" w:hAnsi="Times New Roman" w:cs="Times New Roman"/>
          <w:sz w:val="24"/>
          <w:highlight w:val="none"/>
        </w:rPr>
        <w:t>投标</w:t>
      </w:r>
      <w:r>
        <w:rPr>
          <w:rFonts w:ascii="Times New Roman" w:hAnsi="Times New Roman" w:cs="Times New Roman"/>
          <w:sz w:val="24"/>
          <w:highlight w:val="none"/>
        </w:rPr>
        <w:t>文件提交截止之日向前追溯X年/月（“X”为“一”及以后整数）起算。</w:t>
      </w:r>
    </w:p>
    <w:p w14:paraId="18989313">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3.招标人及投标人</w:t>
      </w:r>
    </w:p>
    <w:p w14:paraId="7411694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3.1招标人：是指开展招标活动的各类主体。本项目的招标人见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4836967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3.2采购监督管理部门：</w:t>
      </w:r>
      <w:r>
        <w:rPr>
          <w:rFonts w:ascii="Times New Roman" w:hAnsi="Times New Roman" w:cs="Times New Roman"/>
          <w:sz w:val="24"/>
          <w:szCs w:val="22"/>
          <w:highlight w:val="none"/>
        </w:rPr>
        <w:t>与</w:t>
      </w:r>
      <w:r>
        <w:rPr>
          <w:rFonts w:ascii="Times New Roman" w:hAnsi="Times New Roman" w:cs="Times New Roman"/>
          <w:sz w:val="24"/>
          <w:highlight w:val="none"/>
        </w:rPr>
        <w:t>招标</w:t>
      </w:r>
      <w:r>
        <w:rPr>
          <w:rFonts w:ascii="Times New Roman" w:hAnsi="Times New Roman" w:cs="Times New Roman"/>
          <w:sz w:val="24"/>
          <w:szCs w:val="22"/>
          <w:highlight w:val="none"/>
        </w:rPr>
        <w:t>活动有关的具有监督管理权利的相关部门。</w:t>
      </w:r>
      <w:r>
        <w:rPr>
          <w:rFonts w:ascii="Times New Roman" w:hAnsi="Times New Roman" w:cs="Times New Roman"/>
          <w:sz w:val="24"/>
          <w:highlight w:val="none"/>
        </w:rPr>
        <w:t>本项目的采购监督管理部门见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02C3652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2CAC698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3.4在中华人民共和国境内注册，能够独立承担民事责任，有生产或供应能力的本国投标人。</w:t>
      </w:r>
    </w:p>
    <w:p w14:paraId="67862A7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3.5若</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中允许联合体投标，对联合体规定如下：</w:t>
      </w:r>
    </w:p>
    <w:p w14:paraId="2973979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3.5.1两个以上投标人可以组成一个投标联合体，以一个投标人的身份投标。</w:t>
      </w:r>
    </w:p>
    <w:p w14:paraId="665631B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3.5.2联合体各方均应为在中华人民共和国境内注册，能够独立承担民事责任，有生产或供应能力的本国投标人。</w:t>
      </w:r>
    </w:p>
    <w:p w14:paraId="3A4B7CA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3.5.3招标人根据采购项目对投标人的特殊要求，联合体中至少应当有一方符合相关规定。</w:t>
      </w:r>
    </w:p>
    <w:p w14:paraId="18C8721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3.5.4联合体各方应签订联合体协议，明确约定联合体各方承担的工作和相应的责任，并将联合体协议作为投标文件的一部分提交。</w:t>
      </w:r>
    </w:p>
    <w:p w14:paraId="2AD1723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3.5.5联合体中有同类资质的投标人按照联合体分工承担相同工作的，应当按照资质等级较低的投标人确定资质等级。</w:t>
      </w:r>
    </w:p>
    <w:p w14:paraId="38145889">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3.5.6以联合体形式参加采购活动的，联合体各方不得再单独参加或者与其他投标人另外组成联合体参加本项目投标，否则相关投标将被认定为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26A90EC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3.5.7对联合体投标的其他资格要求见</w:t>
      </w:r>
      <w:r>
        <w:rPr>
          <w:rFonts w:ascii="Times New Roman" w:hAnsi="Times New Roman" w:cs="Times New Roman"/>
          <w:sz w:val="24"/>
          <w:highlight w:val="none"/>
          <w:u w:val="single"/>
        </w:rPr>
        <w:t>投标人资格</w:t>
      </w:r>
      <w:r>
        <w:rPr>
          <w:rFonts w:ascii="Times New Roman" w:hAnsi="Times New Roman" w:cs="Times New Roman"/>
          <w:sz w:val="24"/>
          <w:highlight w:val="none"/>
        </w:rPr>
        <w:t>。</w:t>
      </w:r>
    </w:p>
    <w:p w14:paraId="100581B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3.6单位负责人为同一人或者存在直接控股、管理关系的不同投标人，不得参加同一合同项下的采购活动。否则其投标将被认定为</w:t>
      </w:r>
      <w:r>
        <w:rPr>
          <w:rFonts w:ascii="Times New Roman" w:hAnsi="Times New Roman" w:cs="Times New Roman"/>
          <w:b/>
          <w:bCs/>
          <w:sz w:val="24"/>
          <w:highlight w:val="none"/>
        </w:rPr>
        <w:t>投标无效</w:t>
      </w:r>
      <w:r>
        <w:rPr>
          <w:rFonts w:ascii="Times New Roman" w:hAnsi="Times New Roman" w:cs="Times New Roman"/>
          <w:sz w:val="24"/>
          <w:highlight w:val="none"/>
        </w:rPr>
        <w:t>。</w:t>
      </w:r>
    </w:p>
    <w:p w14:paraId="445746B3">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4.资金来源</w:t>
      </w:r>
    </w:p>
    <w:p w14:paraId="27EABFF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4.1本项目的招标人已获得足以支付本次招标后所签订的合同项下的资金。</w:t>
      </w:r>
    </w:p>
    <w:p w14:paraId="41583D81">
      <w:pPr>
        <w:spacing w:line="360" w:lineRule="auto"/>
        <w:ind w:firstLine="435"/>
        <w:rPr>
          <w:rFonts w:ascii="Times New Roman" w:hAnsi="Times New Roman" w:cs="Times New Roman"/>
          <w:sz w:val="24"/>
          <w:highlight w:val="none"/>
        </w:rPr>
      </w:pPr>
      <w:bookmarkStart w:id="20" w:name="_Hlk11702998"/>
      <w:r>
        <w:rPr>
          <w:rFonts w:ascii="Times New Roman" w:hAnsi="Times New Roman" w:cs="Times New Roman"/>
          <w:sz w:val="24"/>
          <w:highlight w:val="none"/>
        </w:rPr>
        <w:t>4.2</w:t>
      </w:r>
      <w:r>
        <w:rPr>
          <w:rFonts w:ascii="Times New Roman" w:hAnsi="Times New Roman" w:eastAsia="宋体" w:cs="Times New Roman"/>
          <w:sz w:val="24"/>
          <w:highlight w:val="none"/>
        </w:rPr>
        <w:t>项目预算金额或分项（或分标段）预算金额见</w:t>
      </w:r>
      <w:r>
        <w:rPr>
          <w:rFonts w:ascii="Times New Roman" w:hAnsi="Times New Roman" w:cs="Times New Roman"/>
          <w:sz w:val="24"/>
          <w:highlight w:val="none"/>
          <w:u w:val="single"/>
        </w:rPr>
        <w:t>投标邀请（招标公告）</w:t>
      </w:r>
      <w:r>
        <w:rPr>
          <w:rFonts w:ascii="Times New Roman" w:hAnsi="Times New Roman" w:cs="Times New Roman"/>
          <w:sz w:val="24"/>
          <w:highlight w:val="none"/>
        </w:rPr>
        <w:t>。</w:t>
      </w:r>
    </w:p>
    <w:bookmarkEnd w:id="20"/>
    <w:p w14:paraId="52AEBBF2">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5.投标费用</w:t>
      </w:r>
    </w:p>
    <w:p w14:paraId="099AF99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不论投标的结果如何，投标人应承担所有与准备和参加投标有关的费用。</w:t>
      </w:r>
    </w:p>
    <w:p w14:paraId="02752D97">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6.适用法律</w:t>
      </w:r>
    </w:p>
    <w:p w14:paraId="2C926B6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本项目招标人、投标人的相关行为和权利受招标人有关规定及本项目招标文件的约束和保护。</w:t>
      </w:r>
    </w:p>
    <w:p w14:paraId="4F4C5824">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7.招标文件构成</w:t>
      </w:r>
    </w:p>
    <w:p w14:paraId="135EB9F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7.1招标文件包括下列内容：</w:t>
      </w:r>
    </w:p>
    <w:p w14:paraId="307346F6">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第一章投标邀请（招标公告）</w:t>
      </w:r>
    </w:p>
    <w:p w14:paraId="6851F74C">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第二章投标人须知</w:t>
      </w:r>
    </w:p>
    <w:p w14:paraId="44B7FA85">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第三章招标需求</w:t>
      </w:r>
    </w:p>
    <w:p w14:paraId="12EE740F">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第四章评标方法和标准</w:t>
      </w:r>
    </w:p>
    <w:p w14:paraId="7DF22F70">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第五章合同模板</w:t>
      </w:r>
    </w:p>
    <w:p w14:paraId="7A743D20">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第六章投标文件格式</w:t>
      </w:r>
    </w:p>
    <w:p w14:paraId="51A4416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7.2招标文件中有不一致的，有澄清的部分以最终的澄清更正内容为准。</w:t>
      </w:r>
    </w:p>
    <w:p w14:paraId="29F5269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7.3现场考察及相关事项见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746C3AE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7.4</w:t>
      </w:r>
      <w:r>
        <w:rPr>
          <w:rFonts w:hint="eastAsia" w:ascii="Times New Roman" w:hAnsi="Times New Roman" w:cs="Times New Roman"/>
          <w:sz w:val="24"/>
          <w:highlight w:val="none"/>
        </w:rPr>
        <w:t>本次招标需要</w:t>
      </w:r>
      <w:r>
        <w:rPr>
          <w:rFonts w:ascii="Times New Roman" w:hAnsi="Times New Roman" w:cs="Times New Roman"/>
          <w:sz w:val="24"/>
          <w:highlight w:val="none"/>
        </w:rPr>
        <w:t>提供</w:t>
      </w:r>
      <w:r>
        <w:rPr>
          <w:rFonts w:hint="eastAsia" w:ascii="Times New Roman" w:hAnsi="Times New Roman" w:cs="Times New Roman"/>
          <w:sz w:val="24"/>
          <w:highlight w:val="none"/>
        </w:rPr>
        <w:t>部分</w:t>
      </w:r>
      <w:r>
        <w:rPr>
          <w:rFonts w:ascii="Times New Roman" w:hAnsi="Times New Roman" w:cs="Times New Roman"/>
          <w:sz w:val="24"/>
          <w:highlight w:val="none"/>
        </w:rPr>
        <w:t>样品，对样品相关要求见采购需求，对样品的评审方法及评审标准见招标文件第四章。</w:t>
      </w:r>
    </w:p>
    <w:p w14:paraId="39885BF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7.5投标人应认真阅读招标文件所有的事项、格式、条款和技术规范等。</w:t>
      </w:r>
    </w:p>
    <w:p w14:paraId="5C077C56">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8.招标文件的澄清与修改</w:t>
      </w:r>
    </w:p>
    <w:p w14:paraId="7DDD377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8.1投标人如对招标文件内容有疑问，应以书面形式（如传真、邮件等）通知招标人。招标人对需要做出澄清的问题，以澄清和修改通知的方式予以答复。</w:t>
      </w:r>
    </w:p>
    <w:p w14:paraId="6DFA54A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8.2招标人可主动或在解答投标人提出的问题时对招标文件进行澄清或者修改。</w:t>
      </w:r>
    </w:p>
    <w:p w14:paraId="4C6401C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8.3任何人或任何组织向投标人提供的任何书面或口头资料，未经招标人在网上发布或书面通知，均作无效处理，不得作为招标文件的组成部分。</w:t>
      </w:r>
    </w:p>
    <w:p w14:paraId="48C348A9">
      <w:pPr>
        <w:spacing w:line="360" w:lineRule="auto"/>
        <w:ind w:firstLine="435"/>
        <w:rPr>
          <w:rFonts w:ascii="Times New Roman" w:hAnsi="Times New Roman" w:cs="Times New Roman"/>
          <w:i/>
          <w:iCs/>
          <w:sz w:val="24"/>
          <w:highlight w:val="none"/>
        </w:rPr>
      </w:pPr>
      <w:r>
        <w:rPr>
          <w:rFonts w:ascii="Times New Roman" w:hAnsi="Times New Roman" w:cs="Times New Roman"/>
          <w:sz w:val="24"/>
          <w:highlight w:val="none"/>
        </w:rPr>
        <w:t>8.4对于没有提出疑问又参与了本项目投标的投标人将被视为完全认同本招标文件（含更正公告的内容）</w:t>
      </w:r>
      <w:r>
        <w:rPr>
          <w:rFonts w:ascii="Times New Roman" w:hAnsi="Times New Roman" w:cs="Times New Roman"/>
          <w:i/>
          <w:sz w:val="24"/>
          <w:highlight w:val="none"/>
        </w:rPr>
        <w:t>。</w:t>
      </w:r>
    </w:p>
    <w:p w14:paraId="25C65886">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9.投标范围及投标文件中标准和计量单位的使用</w:t>
      </w:r>
    </w:p>
    <w:p w14:paraId="7EE7BCC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9.1</w:t>
      </w:r>
      <w:r>
        <w:rPr>
          <w:rFonts w:ascii="Times New Roman" w:hAnsi="Times New Roman" w:eastAsia="宋体" w:cs="Times New Roman"/>
          <w:sz w:val="24"/>
          <w:highlight w:val="none"/>
        </w:rPr>
        <w:t>项目有划分标段的，投标人可参与其中某一个或多个标段的投标，中标标段数详见</w:t>
      </w:r>
      <w:r>
        <w:rPr>
          <w:rFonts w:ascii="Times New Roman" w:hAnsi="Times New Roman" w:eastAsia="宋体" w:cs="Times New Roman"/>
          <w:sz w:val="24"/>
          <w:highlight w:val="none"/>
          <w:u w:val="single"/>
        </w:rPr>
        <w:t>投标人须知前附表</w:t>
      </w:r>
      <w:r>
        <w:rPr>
          <w:rFonts w:ascii="Times New Roman" w:hAnsi="Times New Roman" w:eastAsia="宋体" w:cs="Times New Roman"/>
          <w:sz w:val="24"/>
          <w:highlight w:val="none"/>
        </w:rPr>
        <w:t>中规定。</w:t>
      </w:r>
    </w:p>
    <w:p w14:paraId="1D2239A8">
      <w:pPr>
        <w:spacing w:line="360" w:lineRule="auto"/>
        <w:ind w:firstLine="435"/>
        <w:rPr>
          <w:rFonts w:ascii="Times New Roman" w:hAnsi="Times New Roman" w:cs="Times New Roman"/>
          <w:sz w:val="24"/>
          <w:highlight w:val="none"/>
        </w:rPr>
      </w:pPr>
      <w:bookmarkStart w:id="21" w:name="_Hlk16458980"/>
      <w:r>
        <w:rPr>
          <w:rFonts w:ascii="Times New Roman" w:hAnsi="Times New Roman" w:cs="Times New Roman"/>
          <w:sz w:val="24"/>
          <w:highlight w:val="none"/>
        </w:rPr>
        <w:t>9.2无论招标文件中是否要求，投标人所投货物及伴随的服务和工程均应符合国家强制性标准。</w:t>
      </w:r>
    </w:p>
    <w:bookmarkEnd w:id="21"/>
    <w:p w14:paraId="00491C69">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22F7035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9.4除招标文件中有特殊要求外，投标文件中所使用的计量单位，应采用中华人民共和国法定计量单位。</w:t>
      </w:r>
    </w:p>
    <w:p w14:paraId="0C87EAEC">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10.投标文件构成</w:t>
      </w:r>
    </w:p>
    <w:p w14:paraId="63F2125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10.1投标人应完整地按招标文件提供的投标文件格式及要求编写投标文件，具体内容详见本项目第六章投标文件格式的相关内容。</w:t>
      </w:r>
    </w:p>
    <w:p w14:paraId="70C98CE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10.2上述文件应按照招标文件规定的格式填写、签署和盖章。</w:t>
      </w:r>
    </w:p>
    <w:p w14:paraId="7A244674">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11.证明投标标的的合格性和符合招标文件规定的技术文件</w:t>
      </w:r>
    </w:p>
    <w:p w14:paraId="28FEB9C9">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11.1投标人应提交证明文件，证明其投标内容符合招标文件规定。该证明文件是投标文件的一部分。</w:t>
      </w:r>
    </w:p>
    <w:p w14:paraId="79809FF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11.2上款所述的证明文件，可以是文字资料、图纸和数据</w:t>
      </w:r>
      <w:bookmarkStart w:id="22" w:name="_Hlk11703583"/>
      <w:r>
        <w:rPr>
          <w:rFonts w:ascii="Times New Roman" w:hAnsi="Times New Roman" w:cs="Times New Roman"/>
          <w:sz w:val="24"/>
          <w:highlight w:val="none"/>
        </w:rPr>
        <w:t>。</w:t>
      </w:r>
    </w:p>
    <w:bookmarkEnd w:id="22"/>
    <w:p w14:paraId="40191B8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11.3本条所指证明文件不包括对招标文件相关部分的文字、图标的复制。</w:t>
      </w:r>
    </w:p>
    <w:p w14:paraId="69C1C38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11.4为保证公平公正，除非另有规定或说明，投标人对同一项目投标时，不得同时提供备选投标方案。</w:t>
      </w:r>
    </w:p>
    <w:p w14:paraId="3085F591">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12.投标报价</w:t>
      </w:r>
    </w:p>
    <w:p w14:paraId="58F8CD7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12.1投标人的报价应当包括满足本次招标全部采购需求所应提供的货物，以及伴随的服务和工程。所有投标均应以人民币报价。投标人的投标报价应遵守《中华人民共和国价格法》。</w:t>
      </w:r>
    </w:p>
    <w:p w14:paraId="44036C08">
      <w:pPr>
        <w:spacing w:line="360" w:lineRule="auto"/>
        <w:ind w:firstLine="435"/>
        <w:rPr>
          <w:rFonts w:ascii="Times New Roman" w:hAnsi="Times New Roman" w:eastAsia="宋体" w:cs="Times New Roman"/>
          <w:sz w:val="24"/>
          <w:highlight w:val="none"/>
        </w:rPr>
      </w:pPr>
      <w:r>
        <w:rPr>
          <w:rFonts w:ascii="Times New Roman" w:hAnsi="Times New Roman" w:eastAsia="宋体" w:cs="Times New Roman"/>
          <w:sz w:val="24"/>
          <w:highlight w:val="none"/>
        </w:rPr>
        <w:t>12.2除非招标文件另有规定或经招标人同意支付的，最后报价均不得高于招标文件（公告）列明的项目预算，否则其投标文件将被认定为</w:t>
      </w:r>
      <w:r>
        <w:rPr>
          <w:rFonts w:ascii="Times New Roman" w:hAnsi="Times New Roman" w:eastAsia="宋体" w:cs="Times New Roman"/>
          <w:b/>
          <w:sz w:val="24"/>
          <w:highlight w:val="none"/>
        </w:rPr>
        <w:t>投标无效</w:t>
      </w:r>
      <w:r>
        <w:rPr>
          <w:rFonts w:ascii="Times New Roman" w:hAnsi="Times New Roman" w:eastAsia="宋体" w:cs="Times New Roman"/>
          <w:sz w:val="24"/>
          <w:highlight w:val="none"/>
        </w:rPr>
        <w:t>。</w:t>
      </w:r>
    </w:p>
    <w:p w14:paraId="3EC0A7A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12.3投标报价在合同履行过程中是固定不变的，不得以任何理由予以变更。任何包含价格调整要求的投标，其投标将被认定为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2FEA67C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12.4招标人不接受具有附加条件的报价。</w:t>
      </w:r>
    </w:p>
    <w:p w14:paraId="3F4F1B5B">
      <w:pPr>
        <w:numPr>
          <w:ilvl w:val="0"/>
          <w:numId w:val="2"/>
        </w:num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投标保证金</w:t>
      </w:r>
    </w:p>
    <w:p w14:paraId="7EB00A75">
      <w:pPr>
        <w:spacing w:line="360" w:lineRule="auto"/>
        <w:ind w:firstLine="437"/>
        <w:outlineLvl w:val="3"/>
        <w:rPr>
          <w:rFonts w:ascii="Times New Roman" w:hAnsi="Times New Roman" w:cs="Times New Roman"/>
          <w:sz w:val="24"/>
          <w:highlight w:val="none"/>
        </w:rPr>
      </w:pPr>
      <w:r>
        <w:rPr>
          <w:rFonts w:ascii="Times New Roman" w:hAnsi="Times New Roman" w:cs="Times New Roman"/>
          <w:sz w:val="24"/>
          <w:highlight w:val="none"/>
        </w:rPr>
        <w:t>中标人应按照</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规定缴纳投标保证金。</w:t>
      </w:r>
    </w:p>
    <w:p w14:paraId="6EAEED5F">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14.投标有效期</w:t>
      </w:r>
    </w:p>
    <w:p w14:paraId="49130AF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14.1投标有效期为从投标截止之日算起的日历天数，投标有效期详见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60FDF02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14.2在投标有效期内，投标人的投标保持有效，投标人不得要求撤销或修改其投标文件。投标有效期不满足要求的投标，其投标将被认定为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6F1F0BB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494AF06D">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15.投标文件的制作</w:t>
      </w:r>
    </w:p>
    <w:p w14:paraId="60C39C5B">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15.1投标文件份数</w:t>
      </w:r>
    </w:p>
    <w:p w14:paraId="5B4D56D9">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15.1.1投标人应按照</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的要求编制投标文件，并在封面上注明“正本”和“副本”字样。投标文件的正本与副本如有不一致之处，以正本为准。</w:t>
      </w:r>
    </w:p>
    <w:p w14:paraId="51DA70DE">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15.1.2投标文件应按招标文件要求加盖投标人公章，热敏纸无效。</w:t>
      </w:r>
    </w:p>
    <w:p w14:paraId="32AA1824">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15.1.3招标人保留要求中标人提供其投标文件电子版的权利。</w:t>
      </w:r>
    </w:p>
    <w:p w14:paraId="2CC4FB1B">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15.2投标文件的封装和标记</w:t>
      </w:r>
    </w:p>
    <w:p w14:paraId="5984222F">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15.2.1投标文件应装订成册并封装，建议在密封袋上标注项目名称、项目编号、投标人名称及包别。</w:t>
      </w:r>
    </w:p>
    <w:p w14:paraId="2562CA63">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15.2.2建议投标人将正本单独封装，全部副本一起封装。</w:t>
      </w:r>
    </w:p>
    <w:p w14:paraId="25CF892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15.2.3如果未按规定封装或加写标记，招标人将不承担投标文件错放或提前开封的责任，并可能导致投标无效。</w:t>
      </w:r>
    </w:p>
    <w:p w14:paraId="01C5162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15.3开标现场提交的其他材料要求详见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3FAD5BEE">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16.投标截止及投标文件的递交</w:t>
      </w:r>
    </w:p>
    <w:p w14:paraId="29D071E1">
      <w:pPr>
        <w:spacing w:line="360" w:lineRule="auto"/>
        <w:ind w:firstLine="437"/>
        <w:outlineLvl w:val="3"/>
        <w:rPr>
          <w:rFonts w:ascii="Times New Roman" w:hAnsi="Times New Roman" w:cs="Times New Roman"/>
          <w:bCs/>
          <w:sz w:val="24"/>
          <w:highlight w:val="none"/>
        </w:rPr>
      </w:pPr>
      <w:r>
        <w:rPr>
          <w:rFonts w:ascii="Times New Roman" w:hAnsi="Times New Roman" w:cs="Times New Roman"/>
          <w:bCs/>
          <w:sz w:val="24"/>
          <w:highlight w:val="none"/>
        </w:rPr>
        <w:t>16.1投标人应当在</w:t>
      </w:r>
      <w:r>
        <w:rPr>
          <w:rFonts w:ascii="Times New Roman" w:hAnsi="Times New Roman" w:cs="Times New Roman"/>
          <w:sz w:val="24"/>
          <w:highlight w:val="none"/>
        </w:rPr>
        <w:t>“投标邀请”</w:t>
      </w:r>
      <w:r>
        <w:rPr>
          <w:rFonts w:ascii="Times New Roman" w:hAnsi="Times New Roman" w:cs="Times New Roman"/>
          <w:bCs/>
          <w:sz w:val="24"/>
          <w:highlight w:val="none"/>
        </w:rPr>
        <w:t>规定的投标截止时间前，将投标文件密封送达</w:t>
      </w:r>
      <w:r>
        <w:rPr>
          <w:rFonts w:ascii="Times New Roman" w:hAnsi="Times New Roman" w:cs="Times New Roman"/>
          <w:sz w:val="24"/>
          <w:highlight w:val="none"/>
          <w:u w:val="single"/>
        </w:rPr>
        <w:t>投标人须知前附表</w:t>
      </w:r>
      <w:r>
        <w:rPr>
          <w:rFonts w:ascii="Times New Roman" w:hAnsi="Times New Roman" w:cs="Times New Roman"/>
          <w:bCs/>
          <w:sz w:val="24"/>
          <w:highlight w:val="none"/>
        </w:rPr>
        <w:t>指定地点。</w:t>
      </w:r>
    </w:p>
    <w:p w14:paraId="24DEEA1D">
      <w:pPr>
        <w:spacing w:line="360" w:lineRule="auto"/>
        <w:ind w:firstLine="437"/>
        <w:outlineLvl w:val="3"/>
        <w:rPr>
          <w:rFonts w:ascii="Times New Roman" w:hAnsi="Times New Roman" w:cs="Times New Roman"/>
          <w:bCs/>
          <w:sz w:val="24"/>
          <w:highlight w:val="none"/>
        </w:rPr>
      </w:pPr>
      <w:r>
        <w:rPr>
          <w:rFonts w:ascii="Times New Roman" w:hAnsi="Times New Roman" w:cs="Times New Roman"/>
          <w:bCs/>
          <w:sz w:val="24"/>
          <w:highlight w:val="none"/>
        </w:rPr>
        <w:t>16.2在投标截止时间之后送达的投标文件将被拒绝。</w:t>
      </w:r>
    </w:p>
    <w:p w14:paraId="2DBB950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16.3招标人有权按本招标文件的规定，延迟投标截止时间。在此情况下，招标人和投标人受投标截止时间制约的所有权利和义务均应延长至新的截止时间。</w:t>
      </w:r>
    </w:p>
    <w:p w14:paraId="5FEEEF21">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17.投标文件的修改、补充与撤回</w:t>
      </w:r>
    </w:p>
    <w:p w14:paraId="74814BB9">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17.1投标人在投标截止时间前，可以对所递交的投标文件进行补充、修改或者撤回，并书面通知招标人。</w:t>
      </w:r>
    </w:p>
    <w:p w14:paraId="4A08807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17.2补充、修改的内容应当按照招标文件要求签署、盖章、密封后，作为投标文件的组成部分。</w:t>
      </w:r>
    </w:p>
    <w:p w14:paraId="3ED401ED">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18.开标（本项目不采用）</w:t>
      </w:r>
    </w:p>
    <w:p w14:paraId="38C7EC7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18.1开标将在</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规定的时间和地点进行。</w:t>
      </w:r>
    </w:p>
    <w:p w14:paraId="13D1D9E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05CB66B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18.3开标过程由招标人负责记录，并由参加开标的各投标人代表和相关工作人员签字确认。</w:t>
      </w:r>
    </w:p>
    <w:p w14:paraId="0B576DF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18.4投标人代表对开标过程和开标记录有疑义，以及认为招标人相关工作人员有需要回避的情形的，应当场提出询问或者回避申请。</w:t>
      </w:r>
    </w:p>
    <w:p w14:paraId="0A4554F2">
      <w:pPr>
        <w:spacing w:line="360" w:lineRule="auto"/>
        <w:ind w:firstLine="435"/>
        <w:rPr>
          <w:rFonts w:ascii="Times New Roman" w:hAnsi="Times New Roman" w:cs="Times New Roman"/>
          <w:sz w:val="28"/>
          <w:highlight w:val="none"/>
        </w:rPr>
      </w:pPr>
      <w:r>
        <w:rPr>
          <w:rFonts w:ascii="Times New Roman" w:hAnsi="Times New Roman" w:cs="Times New Roman"/>
          <w:sz w:val="24"/>
          <w:highlight w:val="none"/>
        </w:rPr>
        <w:t>18.5投标人应参加开标，投标人未参加开标的，视同认可开标结果。</w:t>
      </w:r>
    </w:p>
    <w:p w14:paraId="21FA7B76">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19.资格审查及组建评标委员会</w:t>
      </w:r>
    </w:p>
    <w:p w14:paraId="72778997">
      <w:pPr>
        <w:spacing w:line="360" w:lineRule="auto"/>
        <w:ind w:firstLine="435"/>
        <w:rPr>
          <w:rFonts w:ascii="Times New Roman" w:hAnsi="Times New Roman" w:cs="Times New Roman"/>
          <w:b/>
          <w:sz w:val="24"/>
          <w:highlight w:val="none"/>
        </w:rPr>
      </w:pPr>
      <w:r>
        <w:rPr>
          <w:rFonts w:ascii="Times New Roman" w:hAnsi="Times New Roman" w:cs="Times New Roman"/>
          <w:sz w:val="24"/>
          <w:highlight w:val="none"/>
        </w:rPr>
        <w:t>19.1按照有关规定依法组建的评标委员会，负责本项目评标工作。</w:t>
      </w:r>
    </w:p>
    <w:p w14:paraId="25D9607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19.2评标委员会依据法律法规和招标文件中规定的内容，对投标人资格进行审查，未通过资格审查的投标人不进入评标。</w:t>
      </w:r>
    </w:p>
    <w:p w14:paraId="5E8E5B8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19.3投标人存在不良信用记录的，其投标将被认定为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574D5700">
      <w:pPr>
        <w:spacing w:line="360" w:lineRule="auto"/>
        <w:ind w:firstLine="435"/>
        <w:rPr>
          <w:rFonts w:ascii="Times New Roman" w:hAnsi="Times New Roman" w:cs="Times New Roman"/>
          <w:sz w:val="24"/>
          <w:szCs w:val="18"/>
          <w:highlight w:val="none"/>
        </w:rPr>
      </w:pPr>
      <w:r>
        <w:rPr>
          <w:rFonts w:ascii="Times New Roman" w:hAnsi="Times New Roman" w:cs="Times New Roman"/>
          <w:sz w:val="24"/>
          <w:highlight w:val="none"/>
        </w:rPr>
        <w:t>19.3.1不良信用记录是指：</w:t>
      </w:r>
      <w:bookmarkStart w:id="23" w:name="_Hlk24663244"/>
      <w:r>
        <w:rPr>
          <w:rFonts w:ascii="Times New Roman" w:hAnsi="Times New Roman" w:cs="Times New Roman"/>
          <w:sz w:val="24"/>
          <w:szCs w:val="18"/>
          <w:highlight w:val="none"/>
        </w:rPr>
        <w:t>（1）供应商被人民法院列入失信被执行人；（2）供应商被税务部门列入重大税收违法案件当事人名单。</w:t>
      </w:r>
    </w:p>
    <w:p w14:paraId="4BB9805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以联合体形式参加投标的，联合体任何成员存在以上不良信用记录的，联合体投标将被认定为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5C288F0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19.3.2信用信息查询渠道：“信用中国”网站（www.creditchina.gov.cn）。</w:t>
      </w:r>
    </w:p>
    <w:p w14:paraId="598C479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19.3.3信用信息记录方式：投标人将查询网页打印、盖章并在投标文件中提供。查询网页必须体现被查询人名称、查询时间、查询结果。</w:t>
      </w:r>
    </w:p>
    <w:p w14:paraId="7631B99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投标人对不良信用记录的真实性和有效性负责。</w:t>
      </w:r>
    </w:p>
    <w:p w14:paraId="63423FC4">
      <w:pPr>
        <w:spacing w:line="360" w:lineRule="auto"/>
        <w:ind w:firstLine="435"/>
        <w:rPr>
          <w:rFonts w:ascii="Times New Roman" w:hAnsi="Times New Roman" w:cs="Times New Roman"/>
          <w:sz w:val="24"/>
          <w:highlight w:val="none"/>
        </w:rPr>
      </w:pPr>
      <w:bookmarkStart w:id="24" w:name="_Hlk24663338"/>
      <w:r>
        <w:rPr>
          <w:rFonts w:ascii="Times New Roman" w:hAnsi="Times New Roman" w:cs="Times New Roman"/>
          <w:sz w:val="24"/>
          <w:highlight w:val="none"/>
        </w:rPr>
        <w:t>信用信息查询时间为投标截止时间前2个工作日内。</w:t>
      </w:r>
    </w:p>
    <w:p w14:paraId="3B5C70F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在本招标文件规定的查询时间之外，网站信息发生的任何变更均不作为资格审查依据。</w:t>
      </w:r>
    </w:p>
    <w:bookmarkEnd w:id="23"/>
    <w:bookmarkEnd w:id="24"/>
    <w:p w14:paraId="152B5ED4">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20.投标文件初审与澄清</w:t>
      </w:r>
    </w:p>
    <w:p w14:paraId="1F2131B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20.1初审是指依据招标文件的规定，从投标文件的有效性和完整性对招标文件的响应程度进行审查，以确定是否对招标文件的实质性要求做出响应。</w:t>
      </w:r>
    </w:p>
    <w:p w14:paraId="398345B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20.2投标文件的澄清</w:t>
      </w:r>
    </w:p>
    <w:p w14:paraId="44E37AC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4771E82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如有询标，授权代表（或法定代表人）携带本人有效身份证明原件参加询标。因授权代表联系不上、未到开标现场等情形而无法接受评审委员会询标的，投标人自行承担相关风险。</w:t>
      </w:r>
    </w:p>
    <w:p w14:paraId="3DBBA21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20.2.2投标人的澄清、说明或补正将作为投标文件的一部分。</w:t>
      </w:r>
    </w:p>
    <w:p w14:paraId="0DF149C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20.2.3评标委员会对投标人提交的澄清、说明或补正有疑问的，可以要求投标人进一步澄清、说明或补正，直至满足评标委员会的要求。</w:t>
      </w:r>
    </w:p>
    <w:p w14:paraId="5053275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20.3投标文件报价出现前后不一致的，按照下列规定修正：</w:t>
      </w:r>
    </w:p>
    <w:p w14:paraId="6A36FDF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（1）投标文件中开标一览表内容与投标文件中相应内容不一致的，以开标一览表为准；</w:t>
      </w:r>
    </w:p>
    <w:p w14:paraId="3515BD1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（2）大写金额和小写金额不一致的，以大写金额为准；</w:t>
      </w:r>
    </w:p>
    <w:p w14:paraId="1E8E11D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（3）单价金额小数点或者百分比有明显错位的，以开标一览表的总价为准，并修改单价；</w:t>
      </w:r>
    </w:p>
    <w:p w14:paraId="5FAE2F0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（4）总价金额与按单价汇总金额不一致的，以单价金额计算结果为准。</w:t>
      </w:r>
    </w:p>
    <w:p w14:paraId="75699BD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同时出现两种以上不一致的，按照前款规定的顺序修正。修正后的报价按照第20.4条的规定经投标人确认后产生约束力，投标人不确认的，其投标将被认定为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54173136">
      <w:pPr>
        <w:spacing w:line="360" w:lineRule="auto"/>
        <w:ind w:firstLine="435"/>
        <w:rPr>
          <w:rFonts w:ascii="Times New Roman" w:hAnsi="Times New Roman" w:cs="Times New Roman"/>
          <w:b/>
          <w:sz w:val="24"/>
          <w:highlight w:val="none"/>
        </w:rPr>
      </w:pPr>
      <w:r>
        <w:rPr>
          <w:rFonts w:ascii="Times New Roman" w:hAnsi="Times New Roman" w:cs="Times New Roman"/>
          <w:sz w:val="24"/>
          <w:highlight w:val="none"/>
        </w:rPr>
        <w:t>对不同文字文本投标文件的解释发生异议的，以中文文本为准。</w:t>
      </w:r>
    </w:p>
    <w:p w14:paraId="0FB86253">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21.投标无效</w:t>
      </w:r>
    </w:p>
    <w:p w14:paraId="200EA5A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3249DC7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评标委员会决定投标的响应性只根据招标文件要求和投标文件内容。</w:t>
      </w:r>
    </w:p>
    <w:p w14:paraId="607558B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无论何种原因，即使投标人投标时携带了证书材料的原件，但投标文件中未提供与之内容完全一致的影印件或复印件的，评标委员会视同其未提供。</w:t>
      </w:r>
    </w:p>
    <w:p w14:paraId="59E349E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21.2如发现下列情况之一的，其投标将被认定为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59EC917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（1）投标文件未按照招标文件规定要求签署、盖章的；</w:t>
      </w:r>
    </w:p>
    <w:p w14:paraId="08CF795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（2）不具备招标文件中规定的资格要求的；</w:t>
      </w:r>
    </w:p>
    <w:p w14:paraId="0908A9A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（3）投标报价超过招标文件中规定的项目预算或者最高限价的；</w:t>
      </w:r>
    </w:p>
    <w:p w14:paraId="38DFBFF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（4）投标文件不满足招标文件全部实质性要求的；</w:t>
      </w:r>
    </w:p>
    <w:p w14:paraId="16F47A3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（5）投标文件含有招标人不能接受的附加条件的；</w:t>
      </w:r>
    </w:p>
    <w:p w14:paraId="4BC51BF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（6）法律、法规和招标文件规定的其他无效情形。</w:t>
      </w:r>
    </w:p>
    <w:p w14:paraId="49F0150F">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22.比较与评价</w:t>
      </w:r>
    </w:p>
    <w:p w14:paraId="0477050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22.1经初审合格的投标文件，评标委员会将根据招标文件确定的评标方法和标准，对其投标文件作进一步的比较与评价。</w:t>
      </w:r>
    </w:p>
    <w:p w14:paraId="7D753DD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22.2评标严格按照招标文件的要求和条件进行。根据实际情况，在</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中规定采用下列一种评标方法，详细评标方法和标准见招标文件第四章：</w:t>
      </w:r>
    </w:p>
    <w:p w14:paraId="28C2303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（1）最低评标价法，是指投标文件满足招标文件全部实质性要求，且投标报价最低的投标人为中标候选人的评标方法。</w:t>
      </w:r>
    </w:p>
    <w:p w14:paraId="56754F6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（2）综合评分法，是指投标文件满足招标文件全部实质性要求，且按照评审因素的量化指标评审得分最高的投标人为中标候选人的评标方法。</w:t>
      </w:r>
    </w:p>
    <w:p w14:paraId="15698E1F">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23.废标</w:t>
      </w:r>
    </w:p>
    <w:p w14:paraId="06629DA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出现下列情形之一，将导致项目废标：</w:t>
      </w:r>
    </w:p>
    <w:p w14:paraId="0D65C51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（1）符合专业条件的投标人或者对招标文件做实质性响应的投标人不足规定数量的；</w:t>
      </w:r>
    </w:p>
    <w:p w14:paraId="2795C55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（2）出现影响采购公正的违法、违规行为的；</w:t>
      </w:r>
    </w:p>
    <w:p w14:paraId="62C291D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（3）投标人的报价均超过了采购估算，招标人不能支付的；</w:t>
      </w:r>
    </w:p>
    <w:p w14:paraId="1FED6BE9">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（4）因重大变故，采购任务取消的。</w:t>
      </w:r>
    </w:p>
    <w:p w14:paraId="11A9ED8F">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24.保密要求</w:t>
      </w:r>
    </w:p>
    <w:p w14:paraId="4A2CBF3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24.1评标将在严格保密的情况下进行。</w:t>
      </w:r>
    </w:p>
    <w:p w14:paraId="2643529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24.2有关人员应当遵守评标工作纪律，不得泄露评标文件、评标情况和评标中获悉的国家秘密、商业秘密。</w:t>
      </w:r>
    </w:p>
    <w:p w14:paraId="6549BB09">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25.中标候选人的确定原则及标准</w:t>
      </w:r>
    </w:p>
    <w:p w14:paraId="0516779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25.1评标委员会依据本项目招标文件所约定的评标方法，对实质上响应招标文件的投标人按下列方法进行排序，确定中标候选人：</w:t>
      </w:r>
    </w:p>
    <w:p w14:paraId="14F43CA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55B07D7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42F32DF8">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26.确定中标候选人和中标人</w:t>
      </w:r>
    </w:p>
    <w:p w14:paraId="24F6BFB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26.1评标委员会将根据评标标准，按</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中规定数量推荐中标候选人。</w:t>
      </w:r>
    </w:p>
    <w:p w14:paraId="066CE41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26.2按</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中规定，由评标委员会或招标人确定中标人。</w:t>
      </w:r>
    </w:p>
    <w:p w14:paraId="14DC13E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26.3因重大变故采购任务取消时，招标人有权拒绝任何投标人中标，且对受影响的投标人不承担任何责任。</w:t>
      </w:r>
    </w:p>
    <w:p w14:paraId="3234FD40">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27.编写评标报告</w:t>
      </w:r>
    </w:p>
    <w:p w14:paraId="6E8762D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35607361">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28.中标结果公告</w:t>
      </w:r>
    </w:p>
    <w:p w14:paraId="781C329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28.1自中标人确定之日起</w:t>
      </w:r>
      <w:r>
        <w:rPr>
          <w:rFonts w:hint="eastAsia" w:ascii="Times New Roman" w:hAnsi="Times New Roman" w:cs="Times New Roman"/>
          <w:sz w:val="24"/>
          <w:highlight w:val="none"/>
        </w:rPr>
        <w:t>3</w:t>
      </w:r>
      <w:r>
        <w:rPr>
          <w:rFonts w:ascii="Times New Roman" w:hAnsi="Times New Roman" w:cs="Times New Roman"/>
          <w:sz w:val="24"/>
          <w:highlight w:val="none"/>
        </w:rPr>
        <w:t>日内，招标人将在</w:t>
      </w:r>
      <w:r>
        <w:rPr>
          <w:rFonts w:ascii="Times New Roman" w:hAnsi="Times New Roman" w:cs="Times New Roman"/>
          <w:sz w:val="24"/>
          <w:szCs w:val="22"/>
          <w:highlight w:val="none"/>
        </w:rPr>
        <w:t>公司网站</w:t>
      </w:r>
      <w:r>
        <w:rPr>
          <w:rFonts w:ascii="Times New Roman" w:hAnsi="Times New Roman" w:cs="Times New Roman"/>
          <w:sz w:val="24"/>
          <w:highlight w:val="none"/>
        </w:rPr>
        <w:t>发布中标结果公告。</w:t>
      </w:r>
    </w:p>
    <w:p w14:paraId="392E9249">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28.2中标结果公告内容应当包括招标人名称、地址、联系方式，项目名称和项目编号，中标人名称、地址和中标金额，主要中标标的的名称、规格型号、数量、单价、服务要求，中标公告期限、评审专家名单以及</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中约定进行公告的内容。中标公告期限为</w:t>
      </w:r>
      <w:r>
        <w:rPr>
          <w:rFonts w:hint="eastAsia" w:ascii="Times New Roman" w:hAnsi="Times New Roman" w:cs="Times New Roman"/>
          <w:sz w:val="24"/>
          <w:highlight w:val="none"/>
        </w:rPr>
        <w:t>3</w:t>
      </w:r>
      <w:r>
        <w:rPr>
          <w:rFonts w:ascii="Times New Roman" w:hAnsi="Times New Roman" w:cs="Times New Roman"/>
          <w:sz w:val="24"/>
          <w:highlight w:val="none"/>
        </w:rPr>
        <w:t>日。</w:t>
      </w:r>
    </w:p>
    <w:p w14:paraId="5C4EF2E2">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29.中标通知书</w:t>
      </w:r>
    </w:p>
    <w:p w14:paraId="62962DD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29.1招标人发布中标公告</w:t>
      </w:r>
      <w:r>
        <w:rPr>
          <w:rFonts w:ascii="Times New Roman" w:hAnsi="Times New Roman" w:cs="Times New Roman"/>
          <w:iCs/>
          <w:sz w:val="24"/>
          <w:highlight w:val="none"/>
        </w:rPr>
        <w:t>的</w:t>
      </w:r>
      <w:r>
        <w:rPr>
          <w:rFonts w:ascii="Times New Roman" w:hAnsi="Times New Roman" w:cs="Times New Roman"/>
          <w:sz w:val="24"/>
          <w:highlight w:val="none"/>
        </w:rPr>
        <w:t>同时向中标人发出中标通知书。</w:t>
      </w:r>
    </w:p>
    <w:p w14:paraId="5E6E1FD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29.2中标通知书对招标人和中标人具有同等法律效力。中标通知书发出以后，招标人改变中标结果或者中标人放弃中标，应当承担相应的法律责任。</w:t>
      </w:r>
    </w:p>
    <w:p w14:paraId="3C0EE43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29.3中标通知书是合同的组成部分。</w:t>
      </w:r>
    </w:p>
    <w:p w14:paraId="2205A0A5">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30.告知招标结果</w:t>
      </w:r>
    </w:p>
    <w:p w14:paraId="1A8DA2F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30.1在公告中标结果的同时，招标人同时以</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规定的形式告知未通过资格审查的投标人未通过的原因；采用综合评分法评审的，还将告知未中标人本人的评审得分和排序。</w:t>
      </w:r>
    </w:p>
    <w:p w14:paraId="482928A8">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31.履约保证金</w:t>
      </w:r>
    </w:p>
    <w:p w14:paraId="1069109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31.1中标人应按照</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规定缴纳履约保证金。</w:t>
      </w:r>
    </w:p>
    <w:p w14:paraId="228B2502">
      <w:pPr>
        <w:spacing w:line="360" w:lineRule="auto"/>
        <w:ind w:firstLine="435"/>
        <w:rPr>
          <w:rFonts w:ascii="Times New Roman" w:hAnsi="Times New Roman" w:cs="Times New Roman"/>
          <w:b/>
          <w:sz w:val="24"/>
          <w:highlight w:val="none"/>
        </w:rPr>
      </w:pPr>
      <w:r>
        <w:rPr>
          <w:rFonts w:ascii="Times New Roman" w:hAnsi="Times New Roman" w:cs="Times New Roman"/>
          <w:sz w:val="24"/>
          <w:highlight w:val="none"/>
        </w:rPr>
        <w:t>31.2如果中标人没有按照上述履约保证金的规定执行，将视为放弃中标资格。在此情况下，招标人可确定下一中标候选人为中标人，也可以重新开展采购活动。</w:t>
      </w:r>
    </w:p>
    <w:p w14:paraId="072B939F">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32.签订合同</w:t>
      </w:r>
    </w:p>
    <w:p w14:paraId="5241029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32.1招标人与中标人应当自发出中标通知书之日起30日内签订合同。</w:t>
      </w:r>
    </w:p>
    <w:p w14:paraId="0397B91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32.2招标文件、中标人的投标文件及其澄清文件等，均为签订合同的依据。</w:t>
      </w:r>
    </w:p>
    <w:p w14:paraId="4C2CA3D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32.3中标人拒绝与招标人签订合同的，招标人可以按照评审报告推荐的中标候选人名单排序，确定下一中标候选人为中标人，也可以重新开展采购活动。</w:t>
      </w:r>
    </w:p>
    <w:p w14:paraId="626C084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32.4当出现法规规定的中标无效或中标结果无效情形时，招标人可依法与排名下一位的中标候选人另行签订合同，或依法重新开展采购活动。</w:t>
      </w:r>
    </w:p>
    <w:p w14:paraId="3FBA45C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32.5投标人签订合同前，需向招标人演示投标产品的相关功能。否则招标人有权变更中标人。</w:t>
      </w:r>
    </w:p>
    <w:p w14:paraId="09B6DADE">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33.中标服务费</w:t>
      </w:r>
    </w:p>
    <w:p w14:paraId="346B0579">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33.1本项目中标服务费的收取按</w:t>
      </w:r>
      <w:r>
        <w:rPr>
          <w:rFonts w:ascii="Times New Roman" w:hAnsi="Times New Roman" w:cs="Times New Roman"/>
          <w:sz w:val="24"/>
          <w:highlight w:val="none"/>
          <w:u w:val="single"/>
        </w:rPr>
        <w:t>投标人须知前附表的</w:t>
      </w:r>
      <w:r>
        <w:rPr>
          <w:rFonts w:ascii="Times New Roman" w:hAnsi="Times New Roman" w:cs="Times New Roman"/>
          <w:sz w:val="24"/>
          <w:highlight w:val="none"/>
        </w:rPr>
        <w:t>规定执行。</w:t>
      </w:r>
    </w:p>
    <w:p w14:paraId="2C6F1E03">
      <w:pPr>
        <w:spacing w:line="360" w:lineRule="auto"/>
        <w:ind w:firstLine="437"/>
        <w:outlineLvl w:val="3"/>
        <w:rPr>
          <w:rFonts w:ascii="Times New Roman" w:hAnsi="Times New Roman" w:cs="Times New Roman"/>
          <w:b/>
          <w:sz w:val="24"/>
          <w:highlight w:val="none"/>
        </w:rPr>
      </w:pPr>
      <w:bookmarkStart w:id="25" w:name="_Toc2583661"/>
      <w:bookmarkStart w:id="26" w:name="_Toc518923100"/>
      <w:r>
        <w:rPr>
          <w:rFonts w:ascii="Times New Roman" w:hAnsi="Times New Roman" w:cs="Times New Roman"/>
          <w:b/>
          <w:sz w:val="24"/>
          <w:highlight w:val="none"/>
        </w:rPr>
        <w:t>34.廉洁自律规定</w:t>
      </w:r>
      <w:bookmarkEnd w:id="25"/>
      <w:bookmarkEnd w:id="26"/>
    </w:p>
    <w:p w14:paraId="0746A36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34.1采购工作人员不得接受投标人组织的宴请、旅游、娱乐，不得收受礼品、现金、有价证券等，不得向投标人报销应当由个人承担的费用。</w:t>
      </w:r>
    </w:p>
    <w:p w14:paraId="69EBDAA7">
      <w:pPr>
        <w:spacing w:line="360" w:lineRule="auto"/>
        <w:ind w:firstLine="437"/>
        <w:outlineLvl w:val="3"/>
        <w:rPr>
          <w:rFonts w:ascii="Times New Roman" w:hAnsi="Times New Roman" w:cs="Times New Roman"/>
          <w:b/>
          <w:sz w:val="24"/>
          <w:highlight w:val="none"/>
        </w:rPr>
      </w:pPr>
      <w:bookmarkStart w:id="27" w:name="_Toc518923101"/>
      <w:bookmarkStart w:id="28" w:name="_Toc2583662"/>
      <w:r>
        <w:rPr>
          <w:rFonts w:ascii="Times New Roman" w:hAnsi="Times New Roman" w:cs="Times New Roman"/>
          <w:b/>
          <w:sz w:val="24"/>
          <w:highlight w:val="none"/>
        </w:rPr>
        <w:t>35.人员回避</w:t>
      </w:r>
      <w:bookmarkEnd w:id="27"/>
      <w:bookmarkEnd w:id="28"/>
    </w:p>
    <w:p w14:paraId="071E5DA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投标人认为招标人员及其相关人员有法律法规所列与其他投标人有利害关系的，可以向招标人书面提出回避申请，并说明理由。</w:t>
      </w:r>
    </w:p>
    <w:p w14:paraId="47C6B1F1">
      <w:pPr>
        <w:spacing w:line="360" w:lineRule="auto"/>
        <w:jc w:val="center"/>
        <w:outlineLvl w:val="1"/>
        <w:rPr>
          <w:rFonts w:ascii="Times New Roman" w:hAnsi="Times New Roman" w:cs="Times New Roman"/>
          <w:b/>
          <w:sz w:val="28"/>
          <w:highlight w:val="none"/>
        </w:rPr>
      </w:pPr>
    </w:p>
    <w:p w14:paraId="287485F6">
      <w:pPr>
        <w:spacing w:line="360" w:lineRule="auto"/>
        <w:jc w:val="center"/>
        <w:outlineLvl w:val="1"/>
        <w:rPr>
          <w:rFonts w:ascii="Times New Roman" w:hAnsi="Times New Roman" w:cs="Times New Roman"/>
          <w:b/>
          <w:sz w:val="28"/>
          <w:highlight w:val="none"/>
        </w:rPr>
      </w:pPr>
    </w:p>
    <w:p w14:paraId="0E1A3D50">
      <w:pPr>
        <w:spacing w:line="360" w:lineRule="auto"/>
        <w:jc w:val="center"/>
        <w:outlineLvl w:val="1"/>
        <w:rPr>
          <w:rFonts w:ascii="Times New Roman" w:hAnsi="Times New Roman" w:cs="Times New Roman"/>
          <w:b/>
          <w:sz w:val="28"/>
          <w:highlight w:val="none"/>
        </w:rPr>
      </w:pPr>
    </w:p>
    <w:p w14:paraId="084FC59A">
      <w:pPr>
        <w:spacing w:line="360" w:lineRule="auto"/>
        <w:jc w:val="center"/>
        <w:outlineLvl w:val="1"/>
        <w:rPr>
          <w:rFonts w:ascii="Times New Roman" w:hAnsi="Times New Roman" w:cs="Times New Roman"/>
          <w:b/>
          <w:sz w:val="28"/>
          <w:highlight w:val="none"/>
        </w:rPr>
      </w:pPr>
    </w:p>
    <w:p w14:paraId="1DE27BD1">
      <w:pPr>
        <w:spacing w:line="360" w:lineRule="auto"/>
        <w:jc w:val="center"/>
        <w:outlineLvl w:val="1"/>
        <w:rPr>
          <w:rFonts w:ascii="Times New Roman" w:hAnsi="Times New Roman" w:cs="Times New Roman"/>
          <w:b/>
          <w:sz w:val="28"/>
          <w:highlight w:val="none"/>
        </w:rPr>
      </w:pPr>
    </w:p>
    <w:p w14:paraId="0BF33187">
      <w:pPr>
        <w:spacing w:line="360" w:lineRule="auto"/>
        <w:jc w:val="center"/>
        <w:outlineLvl w:val="1"/>
        <w:rPr>
          <w:rFonts w:ascii="Times New Roman" w:hAnsi="Times New Roman" w:cs="Times New Roman"/>
          <w:b/>
          <w:sz w:val="28"/>
          <w:highlight w:val="none"/>
        </w:rPr>
      </w:pPr>
    </w:p>
    <w:p w14:paraId="0C7C2ADA">
      <w:pPr>
        <w:spacing w:line="360" w:lineRule="auto"/>
        <w:jc w:val="center"/>
        <w:outlineLvl w:val="1"/>
        <w:rPr>
          <w:rFonts w:ascii="Times New Roman" w:hAnsi="Times New Roman" w:cs="Times New Roman"/>
          <w:b/>
          <w:sz w:val="28"/>
          <w:highlight w:val="none"/>
        </w:rPr>
      </w:pPr>
    </w:p>
    <w:p w14:paraId="2D994DE3">
      <w:pPr>
        <w:spacing w:line="360" w:lineRule="auto"/>
        <w:jc w:val="center"/>
        <w:outlineLvl w:val="1"/>
        <w:rPr>
          <w:rFonts w:ascii="Times New Roman" w:hAnsi="Times New Roman" w:cs="Times New Roman"/>
          <w:b/>
          <w:sz w:val="28"/>
          <w:highlight w:val="none"/>
        </w:rPr>
      </w:pPr>
    </w:p>
    <w:p w14:paraId="6E2A765C">
      <w:pPr>
        <w:spacing w:line="360" w:lineRule="auto"/>
        <w:jc w:val="center"/>
        <w:outlineLvl w:val="1"/>
        <w:rPr>
          <w:rFonts w:ascii="Times New Roman" w:hAnsi="Times New Roman" w:cs="Times New Roman"/>
          <w:b/>
          <w:sz w:val="28"/>
          <w:highlight w:val="none"/>
        </w:rPr>
      </w:pPr>
    </w:p>
    <w:p w14:paraId="38941EBE">
      <w:pPr>
        <w:spacing w:line="360" w:lineRule="auto"/>
        <w:jc w:val="center"/>
        <w:outlineLvl w:val="1"/>
        <w:rPr>
          <w:rFonts w:ascii="Times New Roman" w:hAnsi="Times New Roman" w:cs="Times New Roman"/>
          <w:b/>
          <w:sz w:val="28"/>
          <w:highlight w:val="none"/>
        </w:rPr>
      </w:pPr>
    </w:p>
    <w:p w14:paraId="7818048C">
      <w:pPr>
        <w:spacing w:line="360" w:lineRule="auto"/>
        <w:jc w:val="center"/>
        <w:outlineLvl w:val="1"/>
        <w:rPr>
          <w:rFonts w:ascii="Times New Roman" w:hAnsi="Times New Roman" w:cs="Times New Roman"/>
          <w:b/>
          <w:sz w:val="28"/>
          <w:highlight w:val="none"/>
        </w:rPr>
      </w:pPr>
    </w:p>
    <w:p w14:paraId="342E1DF5">
      <w:pPr>
        <w:rPr>
          <w:highlight w:val="none"/>
        </w:rPr>
      </w:pPr>
    </w:p>
    <w:p w14:paraId="27051392">
      <w:pPr>
        <w:pStyle w:val="2"/>
        <w:rPr>
          <w:highlight w:val="none"/>
        </w:rPr>
      </w:pPr>
    </w:p>
    <w:p w14:paraId="202479E2">
      <w:pPr>
        <w:rPr>
          <w:highlight w:val="none"/>
        </w:rPr>
      </w:pPr>
    </w:p>
    <w:p w14:paraId="1A8D4FDE">
      <w:pPr>
        <w:pStyle w:val="2"/>
        <w:rPr>
          <w:highlight w:val="none"/>
        </w:rPr>
      </w:pPr>
    </w:p>
    <w:p w14:paraId="2A917B46">
      <w:pPr>
        <w:rPr>
          <w:highlight w:val="none"/>
        </w:rPr>
      </w:pPr>
    </w:p>
    <w:p w14:paraId="199E56F4">
      <w:pPr>
        <w:pStyle w:val="2"/>
        <w:rPr>
          <w:highlight w:val="none"/>
        </w:rPr>
      </w:pPr>
    </w:p>
    <w:p w14:paraId="348550AD">
      <w:pPr>
        <w:rPr>
          <w:highlight w:val="none"/>
        </w:rPr>
      </w:pPr>
    </w:p>
    <w:p w14:paraId="6FF2CE99">
      <w:pPr>
        <w:pStyle w:val="2"/>
        <w:rPr>
          <w:highlight w:val="none"/>
        </w:rPr>
      </w:pPr>
    </w:p>
    <w:p w14:paraId="0C631069">
      <w:pPr>
        <w:rPr>
          <w:highlight w:val="none"/>
        </w:rPr>
      </w:pPr>
    </w:p>
    <w:p w14:paraId="701B2AEF">
      <w:pPr>
        <w:pStyle w:val="2"/>
        <w:rPr>
          <w:highlight w:val="none"/>
        </w:rPr>
      </w:pPr>
    </w:p>
    <w:p w14:paraId="2F1D5E64">
      <w:pPr>
        <w:rPr>
          <w:highlight w:val="none"/>
        </w:rPr>
      </w:pPr>
    </w:p>
    <w:p w14:paraId="66248846">
      <w:pPr>
        <w:pStyle w:val="2"/>
        <w:rPr>
          <w:highlight w:val="none"/>
        </w:rPr>
      </w:pPr>
    </w:p>
    <w:p w14:paraId="0C19E1CD">
      <w:pPr>
        <w:rPr>
          <w:highlight w:val="none"/>
        </w:rPr>
      </w:pPr>
    </w:p>
    <w:p w14:paraId="197DABED">
      <w:pPr>
        <w:pStyle w:val="2"/>
        <w:rPr>
          <w:highlight w:val="none"/>
        </w:rPr>
      </w:pPr>
    </w:p>
    <w:p w14:paraId="154B579B"/>
    <w:p w14:paraId="7A2A8B73">
      <w:pPr>
        <w:pStyle w:val="2"/>
      </w:pPr>
    </w:p>
    <w:p w14:paraId="2D3C7B52">
      <w:pPr>
        <w:spacing w:line="360" w:lineRule="auto"/>
        <w:jc w:val="both"/>
        <w:outlineLvl w:val="1"/>
        <w:rPr>
          <w:rFonts w:ascii="Times New Roman" w:hAnsi="Times New Roman" w:cs="Times New Roman"/>
          <w:b/>
          <w:sz w:val="28"/>
          <w:highlight w:val="none"/>
        </w:rPr>
      </w:pPr>
    </w:p>
    <w:p w14:paraId="4F8AECE2">
      <w:pPr>
        <w:spacing w:line="360" w:lineRule="auto"/>
        <w:jc w:val="center"/>
        <w:outlineLvl w:val="1"/>
        <w:rPr>
          <w:rFonts w:ascii="Times New Roman" w:hAnsi="Times New Roman" w:cs="Times New Roman"/>
          <w:b/>
          <w:sz w:val="28"/>
          <w:highlight w:val="none"/>
        </w:rPr>
      </w:pPr>
      <w:r>
        <w:rPr>
          <w:rFonts w:ascii="Times New Roman" w:hAnsi="Times New Roman" w:cs="Times New Roman"/>
          <w:b/>
          <w:sz w:val="28"/>
          <w:highlight w:val="none"/>
        </w:rPr>
        <w:t>第</w:t>
      </w:r>
      <w:r>
        <w:rPr>
          <w:rFonts w:hint="eastAsia" w:ascii="Times New Roman" w:hAnsi="Times New Roman" w:cs="Times New Roman"/>
          <w:b/>
          <w:sz w:val="28"/>
          <w:highlight w:val="none"/>
          <w:lang w:val="en-US" w:eastAsia="zh-CN"/>
        </w:rPr>
        <w:t>三</w:t>
      </w:r>
      <w:r>
        <w:rPr>
          <w:rFonts w:ascii="Times New Roman" w:hAnsi="Times New Roman" w:cs="Times New Roman"/>
          <w:b/>
          <w:sz w:val="28"/>
          <w:highlight w:val="none"/>
        </w:rPr>
        <w:t>章</w:t>
      </w:r>
      <w:r>
        <w:rPr>
          <w:rFonts w:hint="eastAsia" w:ascii="Times New Roman" w:hAnsi="Times New Roman" w:cs="Times New Roman"/>
          <w:b/>
          <w:sz w:val="28"/>
          <w:highlight w:val="none"/>
        </w:rPr>
        <w:t>招标需求</w:t>
      </w:r>
    </w:p>
    <w:p w14:paraId="7AA9BF10">
      <w:pPr>
        <w:spacing w:line="360" w:lineRule="auto"/>
        <w:rPr>
          <w:rFonts w:ascii="宋体" w:hAnsi="宋体"/>
          <w:b/>
          <w:sz w:val="24"/>
          <w:highlight w:val="none"/>
        </w:rPr>
      </w:pPr>
      <w:r>
        <w:rPr>
          <w:rFonts w:hint="eastAsia" w:ascii="宋体" w:hAnsi="宋体"/>
          <w:b/>
          <w:sz w:val="24"/>
          <w:highlight w:val="none"/>
        </w:rPr>
        <w:t>前注：</w:t>
      </w:r>
    </w:p>
    <w:p w14:paraId="3774E014">
      <w:pPr>
        <w:spacing w:line="360" w:lineRule="auto"/>
        <w:ind w:firstLine="480" w:firstLineChars="200"/>
        <w:rPr>
          <w:rFonts w:ascii="宋体" w:hAnsi="宋体"/>
          <w:sz w:val="24"/>
          <w:szCs w:val="18"/>
          <w:highlight w:val="none"/>
        </w:rPr>
      </w:pPr>
      <w:r>
        <w:rPr>
          <w:rFonts w:hint="eastAsia" w:ascii="宋体" w:hAnsi="宋体"/>
          <w:sz w:val="24"/>
          <w:szCs w:val="18"/>
          <w:highlight w:val="none"/>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29B2F61E">
      <w:pPr>
        <w:spacing w:line="360" w:lineRule="auto"/>
        <w:ind w:firstLine="480" w:firstLineChars="200"/>
        <w:rPr>
          <w:rFonts w:ascii="宋体" w:hAnsi="宋体"/>
          <w:sz w:val="24"/>
          <w:szCs w:val="18"/>
          <w:highlight w:val="none"/>
        </w:rPr>
      </w:pPr>
      <w:r>
        <w:rPr>
          <w:rFonts w:hint="eastAsia" w:ascii="宋体" w:hAnsi="宋体"/>
          <w:sz w:val="24"/>
          <w:szCs w:val="18"/>
          <w:highlight w:val="none"/>
        </w:rPr>
        <w:t>2.为鼓励不同品牌的充分竞争，如某货物的某技术参数或要求属于个别品牌专有，则该技术参数及要求不具有限制性，投标人可对该参数或要求的情况进行说明，且该说明须经招标评审小组审核认可。</w:t>
      </w:r>
    </w:p>
    <w:p w14:paraId="10321D01">
      <w:pPr>
        <w:spacing w:line="360" w:lineRule="auto"/>
        <w:ind w:firstLine="480" w:firstLineChars="200"/>
        <w:rPr>
          <w:rFonts w:ascii="宋体" w:hAnsi="宋体"/>
          <w:sz w:val="24"/>
          <w:szCs w:val="18"/>
          <w:highlight w:val="none"/>
        </w:rPr>
      </w:pPr>
      <w:r>
        <w:rPr>
          <w:rFonts w:hint="eastAsia" w:ascii="宋体" w:hAnsi="宋体"/>
          <w:sz w:val="24"/>
          <w:szCs w:val="18"/>
          <w:highlight w:val="none"/>
        </w:rPr>
        <w:t>3.如供货要求中提供了推荐品牌（或型号）、参考品牌（或型号）等，为有助于投标人选择投标产品，上述品牌（或型号）仅供参考，并无限制性。投标人可以选择性能不低于推荐（或参考）的品牌（或型号）的其他品牌产品，但投标时应当提供有关技术证明资料，未提供的可能导致投标无效。</w:t>
      </w:r>
    </w:p>
    <w:p w14:paraId="52B620EB">
      <w:pPr>
        <w:pStyle w:val="2"/>
        <w:ind w:left="0" w:leftChars="0" w:firstLine="480"/>
        <w:rPr>
          <w:highlight w:val="none"/>
        </w:rPr>
      </w:pPr>
      <w:r>
        <w:rPr>
          <w:rFonts w:hint="eastAsia" w:ascii="宋体" w:hAnsi="宋体"/>
          <w:sz w:val="24"/>
          <w:szCs w:val="18"/>
          <w:highlight w:val="none"/>
        </w:rPr>
        <w:t>4、投标人所提供样品应和招标文件一起在投标截止时间送至指定地点，并确保样品的密封性。</w:t>
      </w:r>
    </w:p>
    <w:p w14:paraId="4A714E8F">
      <w:pPr>
        <w:spacing w:line="360" w:lineRule="auto"/>
        <w:ind w:firstLine="480" w:firstLineChars="200"/>
        <w:rPr>
          <w:rFonts w:ascii="宋体" w:hAnsi="宋体"/>
          <w:sz w:val="24"/>
          <w:szCs w:val="18"/>
          <w:highlight w:val="none"/>
        </w:rPr>
      </w:pPr>
      <w:r>
        <w:rPr>
          <w:rFonts w:hint="eastAsia" w:ascii="宋体" w:hAnsi="宋体"/>
          <w:sz w:val="24"/>
          <w:szCs w:val="18"/>
          <w:highlight w:val="none"/>
        </w:rPr>
        <w:t>5.招标人保留在签订合同之前对本技术规格及要求进行补充和修改的权利，投标人应承诺予以配合。</w:t>
      </w:r>
    </w:p>
    <w:p w14:paraId="4D5BA5E3">
      <w:pPr>
        <w:spacing w:line="360" w:lineRule="auto"/>
        <w:ind w:firstLine="480" w:firstLineChars="200"/>
        <w:rPr>
          <w:rFonts w:ascii="宋体" w:hAnsi="宋体"/>
          <w:sz w:val="24"/>
          <w:szCs w:val="18"/>
          <w:highlight w:val="none"/>
        </w:rPr>
      </w:pPr>
      <w:r>
        <w:rPr>
          <w:rFonts w:hint="eastAsia" w:ascii="宋体" w:hAnsi="宋体"/>
          <w:sz w:val="24"/>
          <w:szCs w:val="18"/>
          <w:highlight w:val="none"/>
        </w:rPr>
        <w:t>6.中标人必须确保整体通过招标人及有关主管部门验收,所发生的验收费用由中标人承担；如中标人因未及时现场考察而导致的报价缺项漏项废标、或中标后无法完工，投标人自行承担一切后果。</w:t>
      </w:r>
    </w:p>
    <w:p w14:paraId="1665885B">
      <w:pPr>
        <w:spacing w:line="360" w:lineRule="auto"/>
        <w:ind w:firstLine="437"/>
        <w:rPr>
          <w:rFonts w:ascii="宋体" w:hAnsi="宋体"/>
          <w:b/>
          <w:sz w:val="24"/>
          <w:szCs w:val="18"/>
          <w:highlight w:val="none"/>
        </w:rPr>
      </w:pPr>
      <w:r>
        <w:rPr>
          <w:rFonts w:hint="eastAsia" w:ascii="宋体" w:hAnsi="宋体"/>
          <w:b/>
          <w:sz w:val="24"/>
          <w:szCs w:val="18"/>
          <w:highlight w:val="none"/>
        </w:rPr>
        <w:t>一、招标需求前附表</w:t>
      </w:r>
    </w:p>
    <w:tbl>
      <w:tblPr>
        <w:tblStyle w:val="15"/>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36"/>
        <w:gridCol w:w="5968"/>
      </w:tblGrid>
      <w:tr w14:paraId="2A4C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noWrap w:val="0"/>
            <w:vAlign w:val="center"/>
          </w:tcPr>
          <w:p w14:paraId="75107485">
            <w:pPr>
              <w:pStyle w:val="20"/>
              <w:pBdr>
                <w:bottom w:val="none" w:color="auto" w:sz="0" w:space="0"/>
              </w:pBdr>
              <w:adjustRightInd/>
              <w:spacing w:line="240" w:lineRule="auto"/>
              <w:textAlignment w:val="auto"/>
              <w:rPr>
                <w:rFonts w:ascii="宋体" w:hAnsi="宋体"/>
                <w:b/>
                <w:kern w:val="2"/>
                <w:highlight w:val="none"/>
              </w:rPr>
            </w:pPr>
            <w:r>
              <w:rPr>
                <w:rFonts w:hint="eastAsia" w:ascii="宋体" w:hAnsi="宋体"/>
                <w:b/>
                <w:kern w:val="2"/>
                <w:highlight w:val="none"/>
              </w:rPr>
              <w:t>序号</w:t>
            </w:r>
          </w:p>
        </w:tc>
        <w:tc>
          <w:tcPr>
            <w:tcW w:w="2136" w:type="dxa"/>
            <w:noWrap w:val="0"/>
            <w:vAlign w:val="center"/>
          </w:tcPr>
          <w:p w14:paraId="3ECEB6E0">
            <w:pPr>
              <w:pStyle w:val="18"/>
              <w:widowControl w:val="0"/>
              <w:spacing w:before="0" w:beforeAutospacing="0" w:after="0" w:afterAutospacing="0" w:line="360" w:lineRule="auto"/>
              <w:rPr>
                <w:rFonts w:ascii="宋体" w:hAnsi="宋体"/>
                <w:bCs w:val="0"/>
                <w:sz w:val="24"/>
                <w:highlight w:val="none"/>
              </w:rPr>
            </w:pPr>
            <w:r>
              <w:rPr>
                <w:rFonts w:hint="eastAsia" w:ascii="宋体" w:hAnsi="宋体"/>
                <w:bCs w:val="0"/>
                <w:sz w:val="24"/>
                <w:highlight w:val="none"/>
              </w:rPr>
              <w:t>条款名称</w:t>
            </w:r>
          </w:p>
        </w:tc>
        <w:tc>
          <w:tcPr>
            <w:tcW w:w="5968" w:type="dxa"/>
            <w:noWrap w:val="0"/>
            <w:vAlign w:val="center"/>
          </w:tcPr>
          <w:p w14:paraId="62CF2838">
            <w:pPr>
              <w:pStyle w:val="18"/>
              <w:widowControl w:val="0"/>
              <w:spacing w:before="0" w:beforeAutospacing="0" w:after="0" w:afterAutospacing="0" w:line="360" w:lineRule="auto"/>
              <w:rPr>
                <w:rFonts w:ascii="宋体" w:hAnsi="宋体"/>
                <w:bCs w:val="0"/>
                <w:sz w:val="24"/>
                <w:highlight w:val="none"/>
              </w:rPr>
            </w:pPr>
            <w:r>
              <w:rPr>
                <w:rFonts w:hint="eastAsia" w:ascii="宋体" w:hAnsi="宋体"/>
                <w:bCs w:val="0"/>
                <w:sz w:val="24"/>
                <w:highlight w:val="none"/>
              </w:rPr>
              <w:t>内容、说明与要求</w:t>
            </w:r>
          </w:p>
        </w:tc>
      </w:tr>
      <w:tr w14:paraId="5599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noWrap w:val="0"/>
            <w:vAlign w:val="center"/>
          </w:tcPr>
          <w:p w14:paraId="636C114B">
            <w:pPr>
              <w:pStyle w:val="20"/>
              <w:pBdr>
                <w:bottom w:val="none" w:color="auto" w:sz="0" w:space="0"/>
              </w:pBdr>
              <w:adjustRightInd/>
              <w:spacing w:line="240" w:lineRule="auto"/>
              <w:textAlignment w:val="auto"/>
              <w:rPr>
                <w:rFonts w:ascii="宋体" w:hAnsi="宋体"/>
                <w:bCs/>
                <w:kern w:val="2"/>
                <w:highlight w:val="none"/>
              </w:rPr>
            </w:pPr>
            <w:r>
              <w:rPr>
                <w:rFonts w:hint="eastAsia" w:ascii="宋体" w:hAnsi="宋体"/>
                <w:bCs/>
                <w:kern w:val="2"/>
                <w:highlight w:val="none"/>
              </w:rPr>
              <w:t>1</w:t>
            </w:r>
          </w:p>
        </w:tc>
        <w:tc>
          <w:tcPr>
            <w:tcW w:w="2136" w:type="dxa"/>
            <w:noWrap w:val="0"/>
            <w:vAlign w:val="center"/>
          </w:tcPr>
          <w:p w14:paraId="3A120C19">
            <w:pPr>
              <w:pStyle w:val="18"/>
              <w:widowControl w:val="0"/>
              <w:spacing w:before="0" w:beforeAutospacing="0" w:after="0" w:afterAutospacing="0" w:line="360" w:lineRule="auto"/>
              <w:rPr>
                <w:rFonts w:ascii="宋体" w:hAnsi="宋体"/>
                <w:b w:val="0"/>
                <w:sz w:val="24"/>
                <w:highlight w:val="none"/>
              </w:rPr>
            </w:pPr>
            <w:r>
              <w:rPr>
                <w:rFonts w:hint="eastAsia" w:ascii="宋体" w:hAnsi="宋体"/>
                <w:b w:val="0"/>
                <w:sz w:val="24"/>
                <w:highlight w:val="none"/>
              </w:rPr>
              <w:t>付款方式</w:t>
            </w:r>
          </w:p>
        </w:tc>
        <w:tc>
          <w:tcPr>
            <w:tcW w:w="5968" w:type="dxa"/>
            <w:noWrap w:val="0"/>
            <w:vAlign w:val="center"/>
          </w:tcPr>
          <w:p w14:paraId="0241A594">
            <w:pPr>
              <w:pStyle w:val="21"/>
              <w:spacing w:before="0" w:after="0" w:line="360" w:lineRule="auto"/>
              <w:jc w:val="left"/>
              <w:rPr>
                <w:rFonts w:ascii="宋体" w:hAnsi="宋体" w:eastAsia="宋体"/>
                <w:b w:val="0"/>
                <w:sz w:val="24"/>
                <w:highlight w:val="none"/>
                <w:u w:val="single"/>
              </w:rPr>
            </w:pPr>
            <w:r>
              <w:rPr>
                <w:rStyle w:val="22"/>
                <w:rFonts w:hint="eastAsia" w:ascii="宋体" w:hAnsi="宋体"/>
                <w:b w:val="0"/>
                <w:kern w:val="0"/>
                <w:sz w:val="24"/>
                <w:highlight w:val="none"/>
              </w:rPr>
              <w:t>据实结算，</w:t>
            </w:r>
            <w:r>
              <w:rPr>
                <w:rStyle w:val="22"/>
                <w:rFonts w:hint="eastAsia" w:ascii="宋体" w:hAnsi="宋体"/>
                <w:b w:val="0"/>
                <w:kern w:val="0"/>
                <w:sz w:val="24"/>
                <w:highlight w:val="none"/>
                <w:lang w:val="en-US"/>
              </w:rPr>
              <w:t>招标人</w:t>
            </w:r>
            <w:r>
              <w:rPr>
                <w:rStyle w:val="22"/>
                <w:rFonts w:hint="eastAsia" w:ascii="宋体" w:hAnsi="宋体"/>
                <w:b w:val="0"/>
                <w:kern w:val="0"/>
                <w:sz w:val="24"/>
                <w:highlight w:val="none"/>
              </w:rPr>
              <w:t>要求分批供货，每批货物到达现场完成验收，</w:t>
            </w:r>
            <w:r>
              <w:rPr>
                <w:rStyle w:val="22"/>
                <w:rFonts w:hint="eastAsia" w:ascii="宋体" w:hAnsi="宋体"/>
                <w:b w:val="0"/>
                <w:kern w:val="0"/>
                <w:sz w:val="24"/>
                <w:highlight w:val="none"/>
                <w:lang w:val="en-US"/>
              </w:rPr>
              <w:t>招标人</w:t>
            </w:r>
            <w:r>
              <w:rPr>
                <w:rStyle w:val="22"/>
                <w:rFonts w:hint="eastAsia" w:ascii="宋体" w:hAnsi="宋体"/>
                <w:b w:val="0"/>
                <w:kern w:val="0"/>
                <w:sz w:val="24"/>
                <w:highlight w:val="none"/>
              </w:rPr>
              <w:t>验收合格后1个月内一次性付清该批货款,以招标人确认的实际供货数量作为项目结算依据。</w:t>
            </w:r>
          </w:p>
        </w:tc>
      </w:tr>
      <w:tr w14:paraId="5165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87" w:type="dxa"/>
            <w:noWrap w:val="0"/>
            <w:vAlign w:val="center"/>
          </w:tcPr>
          <w:p w14:paraId="762D40D8">
            <w:pPr>
              <w:pStyle w:val="20"/>
              <w:pBdr>
                <w:bottom w:val="none" w:color="auto" w:sz="0" w:space="0"/>
              </w:pBdr>
              <w:adjustRightInd/>
              <w:spacing w:line="240" w:lineRule="auto"/>
              <w:textAlignment w:val="auto"/>
              <w:rPr>
                <w:rFonts w:ascii="宋体" w:hAnsi="宋体"/>
                <w:bCs/>
                <w:kern w:val="2"/>
                <w:highlight w:val="none"/>
              </w:rPr>
            </w:pPr>
            <w:r>
              <w:rPr>
                <w:rFonts w:hint="eastAsia" w:ascii="宋体" w:hAnsi="宋体"/>
                <w:bCs/>
                <w:kern w:val="2"/>
                <w:highlight w:val="none"/>
              </w:rPr>
              <w:t>2</w:t>
            </w:r>
          </w:p>
        </w:tc>
        <w:tc>
          <w:tcPr>
            <w:tcW w:w="2136" w:type="dxa"/>
            <w:noWrap w:val="0"/>
            <w:vAlign w:val="center"/>
          </w:tcPr>
          <w:p w14:paraId="0FA93AD3">
            <w:pPr>
              <w:pStyle w:val="18"/>
              <w:widowControl w:val="0"/>
              <w:spacing w:before="0" w:beforeAutospacing="0" w:after="0" w:afterAutospacing="0" w:line="360" w:lineRule="auto"/>
              <w:rPr>
                <w:rFonts w:ascii="宋体" w:hAnsi="宋体"/>
                <w:b w:val="0"/>
                <w:sz w:val="24"/>
                <w:highlight w:val="none"/>
              </w:rPr>
            </w:pPr>
            <w:r>
              <w:rPr>
                <w:rFonts w:hint="eastAsia" w:ascii="宋体" w:hAnsi="宋体"/>
                <w:b w:val="0"/>
                <w:sz w:val="24"/>
                <w:highlight w:val="none"/>
              </w:rPr>
              <w:t>供货地点</w:t>
            </w:r>
          </w:p>
        </w:tc>
        <w:tc>
          <w:tcPr>
            <w:tcW w:w="5968" w:type="dxa"/>
            <w:noWrap w:val="0"/>
            <w:vAlign w:val="center"/>
          </w:tcPr>
          <w:p w14:paraId="0F9528B3">
            <w:pPr>
              <w:pStyle w:val="21"/>
              <w:spacing w:before="0" w:after="0" w:line="360" w:lineRule="auto"/>
              <w:jc w:val="left"/>
              <w:rPr>
                <w:rFonts w:ascii="宋体" w:hAnsi="宋体" w:eastAsia="宋体"/>
                <w:b w:val="0"/>
                <w:sz w:val="24"/>
                <w:highlight w:val="none"/>
              </w:rPr>
            </w:pPr>
            <w:r>
              <w:rPr>
                <w:rStyle w:val="22"/>
                <w:rFonts w:ascii="宋体" w:hAnsi="宋体"/>
                <w:b w:val="0"/>
                <w:kern w:val="0"/>
                <w:sz w:val="24"/>
                <w:highlight w:val="none"/>
              </w:rPr>
              <w:t>合肥市包河区，</w:t>
            </w:r>
            <w:r>
              <w:rPr>
                <w:rStyle w:val="22"/>
                <w:rFonts w:hint="eastAsia" w:ascii="宋体" w:hAnsi="宋体"/>
                <w:b w:val="0"/>
                <w:kern w:val="0"/>
                <w:sz w:val="24"/>
                <w:highlight w:val="none"/>
              </w:rPr>
              <w:t>招标人</w:t>
            </w:r>
            <w:r>
              <w:rPr>
                <w:rStyle w:val="22"/>
                <w:rFonts w:ascii="宋体" w:hAnsi="宋体"/>
                <w:b w:val="0"/>
                <w:kern w:val="0"/>
                <w:sz w:val="24"/>
                <w:highlight w:val="none"/>
              </w:rPr>
              <w:t>指定地点。</w:t>
            </w:r>
          </w:p>
        </w:tc>
      </w:tr>
      <w:tr w14:paraId="647C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noWrap w:val="0"/>
            <w:vAlign w:val="center"/>
          </w:tcPr>
          <w:p w14:paraId="6ACC66C9">
            <w:pPr>
              <w:pStyle w:val="20"/>
              <w:pBdr>
                <w:bottom w:val="none" w:color="auto" w:sz="0" w:space="0"/>
              </w:pBdr>
              <w:adjustRightInd/>
              <w:spacing w:line="240" w:lineRule="auto"/>
              <w:textAlignment w:val="auto"/>
              <w:rPr>
                <w:rFonts w:ascii="宋体" w:hAnsi="宋体"/>
                <w:bCs/>
                <w:kern w:val="2"/>
                <w:highlight w:val="none"/>
              </w:rPr>
            </w:pPr>
            <w:r>
              <w:rPr>
                <w:rFonts w:hint="eastAsia" w:ascii="宋体" w:hAnsi="宋体"/>
                <w:bCs/>
                <w:kern w:val="2"/>
                <w:highlight w:val="none"/>
              </w:rPr>
              <w:t>3</w:t>
            </w:r>
          </w:p>
        </w:tc>
        <w:tc>
          <w:tcPr>
            <w:tcW w:w="2136" w:type="dxa"/>
            <w:noWrap w:val="0"/>
            <w:vAlign w:val="center"/>
          </w:tcPr>
          <w:p w14:paraId="201ED7C3">
            <w:pPr>
              <w:pStyle w:val="18"/>
              <w:widowControl w:val="0"/>
              <w:spacing w:before="0" w:beforeAutospacing="0" w:after="0" w:afterAutospacing="0" w:line="360" w:lineRule="auto"/>
              <w:rPr>
                <w:rFonts w:ascii="宋体" w:hAnsi="宋体"/>
                <w:b w:val="0"/>
                <w:sz w:val="24"/>
                <w:highlight w:val="none"/>
              </w:rPr>
            </w:pPr>
            <w:r>
              <w:rPr>
                <w:rFonts w:hint="eastAsia" w:ascii="宋体" w:hAnsi="宋体"/>
                <w:b w:val="0"/>
                <w:sz w:val="24"/>
                <w:highlight w:val="none"/>
              </w:rPr>
              <w:t>供货期限</w:t>
            </w:r>
          </w:p>
        </w:tc>
        <w:tc>
          <w:tcPr>
            <w:tcW w:w="5968" w:type="dxa"/>
            <w:noWrap w:val="0"/>
            <w:vAlign w:val="center"/>
          </w:tcPr>
          <w:p w14:paraId="1178A6A6">
            <w:pPr>
              <w:pStyle w:val="23"/>
              <w:widowControl/>
              <w:spacing w:line="360" w:lineRule="auto"/>
              <w:rPr>
                <w:rFonts w:ascii="宋体" w:hAnsi="宋体" w:eastAsia="宋体"/>
                <w:sz w:val="24"/>
                <w:highlight w:val="none"/>
              </w:rPr>
            </w:pPr>
            <w:r>
              <w:rPr>
                <w:rStyle w:val="22"/>
                <w:rFonts w:hint="eastAsia" w:ascii="宋体" w:hAnsi="宋体"/>
                <w:bCs/>
                <w:kern w:val="0"/>
                <w:sz w:val="24"/>
                <w:szCs w:val="28"/>
                <w:highlight w:val="none"/>
              </w:rPr>
              <w:t>按需供货，</w:t>
            </w:r>
            <w:r>
              <w:rPr>
                <w:rStyle w:val="22"/>
                <w:rFonts w:hint="eastAsia" w:ascii="宋体" w:hAnsi="宋体"/>
                <w:bCs/>
                <w:kern w:val="0"/>
                <w:sz w:val="24"/>
                <w:szCs w:val="28"/>
                <w:highlight w:val="none"/>
                <w:lang w:val="en-US"/>
              </w:rPr>
              <w:t>招标人</w:t>
            </w:r>
            <w:r>
              <w:rPr>
                <w:rStyle w:val="22"/>
                <w:rFonts w:hint="eastAsia" w:ascii="宋体" w:hAnsi="宋体"/>
                <w:bCs/>
                <w:kern w:val="0"/>
                <w:sz w:val="24"/>
                <w:szCs w:val="28"/>
                <w:highlight w:val="none"/>
              </w:rPr>
              <w:t>有要求</w:t>
            </w:r>
            <w:r>
              <w:rPr>
                <w:rStyle w:val="22"/>
                <w:rFonts w:hint="eastAsia" w:ascii="宋体" w:hAnsi="宋体"/>
                <w:bCs/>
                <w:kern w:val="0"/>
                <w:sz w:val="24"/>
                <w:szCs w:val="28"/>
                <w:highlight w:val="none"/>
                <w:lang w:val="en-US"/>
              </w:rPr>
              <w:t>投</w:t>
            </w:r>
            <w:r>
              <w:rPr>
                <w:rStyle w:val="22"/>
                <w:rFonts w:hint="eastAsia" w:ascii="宋体" w:hAnsi="宋体"/>
                <w:bCs/>
                <w:kern w:val="0"/>
                <w:sz w:val="24"/>
                <w:szCs w:val="28"/>
                <w:highlight w:val="none"/>
              </w:rPr>
              <w:t>标人分阶段、分批次供货的调整权利，在收到</w:t>
            </w:r>
            <w:r>
              <w:rPr>
                <w:rStyle w:val="22"/>
                <w:rFonts w:hint="eastAsia" w:ascii="宋体" w:hAnsi="宋体"/>
                <w:bCs/>
                <w:kern w:val="0"/>
                <w:sz w:val="24"/>
                <w:szCs w:val="28"/>
                <w:highlight w:val="none"/>
                <w:lang w:val="en-US"/>
              </w:rPr>
              <w:t>招标人</w:t>
            </w:r>
            <w:r>
              <w:rPr>
                <w:rStyle w:val="22"/>
                <w:rFonts w:hint="eastAsia" w:ascii="宋体" w:hAnsi="宋体"/>
                <w:bCs/>
                <w:kern w:val="0"/>
                <w:sz w:val="24"/>
                <w:szCs w:val="28"/>
                <w:highlight w:val="none"/>
              </w:rPr>
              <w:t>每批供货需求后，</w:t>
            </w:r>
            <w:r>
              <w:rPr>
                <w:rStyle w:val="22"/>
                <w:rFonts w:hint="eastAsia" w:ascii="宋体" w:hAnsi="宋体"/>
                <w:bCs/>
                <w:kern w:val="0"/>
                <w:sz w:val="24"/>
                <w:szCs w:val="28"/>
                <w:highlight w:val="none"/>
                <w:lang w:val="en-US"/>
              </w:rPr>
              <w:t>投</w:t>
            </w:r>
            <w:r>
              <w:rPr>
                <w:rStyle w:val="22"/>
                <w:rFonts w:hint="eastAsia" w:ascii="宋体" w:hAnsi="宋体"/>
                <w:bCs/>
                <w:kern w:val="0"/>
                <w:sz w:val="24"/>
                <w:szCs w:val="28"/>
                <w:highlight w:val="none"/>
              </w:rPr>
              <w:t>标人需在5天内完成当期供货需求（特殊及进口产品双方协商后决定）</w:t>
            </w:r>
            <w:r>
              <w:rPr>
                <w:rStyle w:val="22"/>
                <w:rFonts w:ascii="宋体" w:hAnsi="宋体"/>
                <w:bCs/>
                <w:kern w:val="0"/>
                <w:sz w:val="24"/>
                <w:szCs w:val="28"/>
                <w:highlight w:val="none"/>
              </w:rPr>
              <w:t>。</w:t>
            </w:r>
          </w:p>
        </w:tc>
      </w:tr>
      <w:tr w14:paraId="66837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noWrap w:val="0"/>
            <w:vAlign w:val="center"/>
          </w:tcPr>
          <w:p w14:paraId="61B33AC5">
            <w:pPr>
              <w:pStyle w:val="20"/>
              <w:pBdr>
                <w:bottom w:val="none" w:color="auto" w:sz="0" w:space="0"/>
              </w:pBdr>
              <w:adjustRightInd/>
              <w:spacing w:line="240" w:lineRule="auto"/>
              <w:textAlignment w:val="auto"/>
              <w:rPr>
                <w:rFonts w:ascii="宋体" w:hAnsi="宋体"/>
                <w:bCs/>
                <w:kern w:val="2"/>
                <w:highlight w:val="none"/>
              </w:rPr>
            </w:pPr>
            <w:r>
              <w:rPr>
                <w:rFonts w:hint="eastAsia" w:ascii="宋体" w:hAnsi="宋体"/>
                <w:bCs/>
                <w:kern w:val="2"/>
                <w:highlight w:val="none"/>
              </w:rPr>
              <w:t>4</w:t>
            </w:r>
          </w:p>
        </w:tc>
        <w:tc>
          <w:tcPr>
            <w:tcW w:w="2136" w:type="dxa"/>
            <w:noWrap w:val="0"/>
            <w:vAlign w:val="center"/>
          </w:tcPr>
          <w:p w14:paraId="45D70D39">
            <w:pPr>
              <w:pStyle w:val="18"/>
              <w:widowControl w:val="0"/>
              <w:spacing w:before="0" w:beforeAutospacing="0" w:after="0" w:afterAutospacing="0" w:line="360" w:lineRule="auto"/>
              <w:rPr>
                <w:rFonts w:ascii="宋体" w:hAnsi="宋体"/>
                <w:b w:val="0"/>
                <w:sz w:val="24"/>
                <w:highlight w:val="none"/>
              </w:rPr>
            </w:pPr>
            <w:r>
              <w:rPr>
                <w:rFonts w:hint="eastAsia" w:ascii="宋体" w:hAnsi="宋体"/>
                <w:b w:val="0"/>
                <w:sz w:val="24"/>
                <w:highlight w:val="none"/>
              </w:rPr>
              <w:t>免费质保期</w:t>
            </w:r>
          </w:p>
        </w:tc>
        <w:tc>
          <w:tcPr>
            <w:tcW w:w="5968" w:type="dxa"/>
            <w:noWrap w:val="0"/>
            <w:vAlign w:val="center"/>
          </w:tcPr>
          <w:p w14:paraId="41652D99">
            <w:pPr>
              <w:pStyle w:val="21"/>
              <w:spacing w:before="0" w:after="0" w:line="360" w:lineRule="auto"/>
              <w:jc w:val="left"/>
              <w:rPr>
                <w:rFonts w:ascii="宋体" w:hAnsi="宋体" w:eastAsia="宋体"/>
                <w:b w:val="0"/>
                <w:sz w:val="24"/>
                <w:highlight w:val="none"/>
              </w:rPr>
            </w:pPr>
            <w:r>
              <w:rPr>
                <w:rStyle w:val="22"/>
                <w:rFonts w:ascii="宋体" w:hAnsi="宋体"/>
                <w:b w:val="0"/>
                <w:kern w:val="0"/>
                <w:sz w:val="24"/>
                <w:highlight w:val="none"/>
              </w:rPr>
              <w:t>验收合格之日起</w:t>
            </w:r>
            <w:r>
              <w:rPr>
                <w:rStyle w:val="22"/>
                <w:rFonts w:hint="eastAsia" w:ascii="宋体" w:hAnsi="宋体"/>
                <w:b w:val="0"/>
                <w:kern w:val="0"/>
                <w:sz w:val="24"/>
                <w:highlight w:val="none"/>
                <w:lang w:val="en-US"/>
              </w:rPr>
              <w:t>一</w:t>
            </w:r>
            <w:r>
              <w:rPr>
                <w:rStyle w:val="22"/>
                <w:rFonts w:ascii="宋体" w:hAnsi="宋体"/>
                <w:b w:val="0"/>
                <w:kern w:val="0"/>
                <w:sz w:val="24"/>
                <w:highlight w:val="none"/>
              </w:rPr>
              <w:t>年。</w:t>
            </w:r>
          </w:p>
        </w:tc>
      </w:tr>
    </w:tbl>
    <w:p w14:paraId="39D2D10D">
      <w:pPr>
        <w:numPr>
          <w:ilvl w:val="0"/>
          <w:numId w:val="3"/>
        </w:numPr>
        <w:spacing w:line="360" w:lineRule="auto"/>
        <w:ind w:firstLine="437"/>
        <w:rPr>
          <w:rFonts w:ascii="Times New Roman" w:hAnsi="Times New Roman" w:cs="Times New Roman"/>
          <w:b/>
          <w:sz w:val="28"/>
          <w:highlight w:val="none"/>
        </w:rPr>
      </w:pPr>
      <w:r>
        <w:rPr>
          <w:rFonts w:hint="eastAsia" w:ascii="宋体" w:hAnsi="宋体"/>
          <w:b/>
          <w:bCs/>
          <w:sz w:val="24"/>
          <w:szCs w:val="18"/>
          <w:highlight w:val="none"/>
        </w:rPr>
        <w:t>货物需求</w:t>
      </w:r>
    </w:p>
    <w:p w14:paraId="25AEE4CE">
      <w:pPr>
        <w:spacing w:line="360" w:lineRule="auto"/>
        <w:ind w:firstLine="480" w:firstLineChars="200"/>
        <w:rPr>
          <w:rFonts w:hint="eastAsia" w:ascii="宋体" w:hAnsi="宋体" w:eastAsia="宋体"/>
          <w:sz w:val="24"/>
          <w:szCs w:val="18"/>
          <w:highlight w:val="none"/>
          <w:lang w:eastAsia="zh-CN"/>
        </w:rPr>
      </w:pPr>
      <w:r>
        <w:rPr>
          <w:rFonts w:hint="eastAsia" w:ascii="宋体" w:hAnsi="宋体"/>
          <w:sz w:val="24"/>
          <w:szCs w:val="18"/>
          <w:highlight w:val="none"/>
          <w:lang w:val="en-US" w:eastAsia="zh-CN"/>
        </w:rPr>
        <w:t>合肥维尔健医学检验实验室有限公司开展检验业务所需质控品、试剂、耗材等，包含包装运输等工作和应有费用</w:t>
      </w:r>
      <w:r>
        <w:rPr>
          <w:rFonts w:hint="eastAsia" w:ascii="宋体" w:hAnsi="宋体" w:eastAsia="宋体"/>
          <w:sz w:val="24"/>
          <w:szCs w:val="18"/>
          <w:highlight w:val="none"/>
          <w:lang w:eastAsia="zh-CN"/>
        </w:rPr>
        <w:t>。</w:t>
      </w:r>
    </w:p>
    <w:p w14:paraId="4E4A46B3">
      <w:pPr>
        <w:keepNext w:val="0"/>
        <w:keepLines w:val="0"/>
        <w:pageBreakBefore w:val="0"/>
        <w:widowControl w:val="0"/>
        <w:kinsoku/>
        <w:wordWrap/>
        <w:overflowPunct/>
        <w:topLinePunct w:val="0"/>
        <w:autoSpaceDE/>
        <w:autoSpaceDN/>
        <w:bidi w:val="0"/>
        <w:adjustRightInd/>
        <w:snapToGrid/>
        <w:spacing w:line="240" w:lineRule="auto"/>
        <w:ind w:firstLine="723" w:firstLineChars="300"/>
        <w:textAlignment w:val="auto"/>
        <w:rPr>
          <w:rFonts w:hint="eastAsia"/>
          <w:highlight w:val="none"/>
        </w:rPr>
      </w:pPr>
      <w:r>
        <w:rPr>
          <w:rFonts w:hint="eastAsia" w:ascii="宋体" w:hAnsi="宋体"/>
          <w:b/>
          <w:bCs/>
          <w:sz w:val="24"/>
          <w:szCs w:val="18"/>
          <w:highlight w:val="none"/>
        </w:rPr>
        <w:t>货物清单</w:t>
      </w:r>
      <w:r>
        <w:rPr>
          <w:rFonts w:hint="eastAsia" w:ascii="宋体" w:hAnsi="宋体"/>
          <w:b/>
          <w:bCs/>
          <w:sz w:val="24"/>
          <w:szCs w:val="18"/>
          <w:highlight w:val="none"/>
          <w:lang w:eastAsia="zh-CN"/>
        </w:rPr>
        <w:t>：</w:t>
      </w:r>
    </w:p>
    <w:tbl>
      <w:tblPr>
        <w:tblStyle w:val="15"/>
        <w:tblpPr w:leftFromText="180" w:rightFromText="180" w:vertAnchor="text" w:horzAnchor="page" w:tblpXSpec="center" w:tblpY="574"/>
        <w:tblOverlap w:val="never"/>
        <w:tblW w:w="96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2085"/>
        <w:gridCol w:w="2580"/>
        <w:gridCol w:w="660"/>
        <w:gridCol w:w="690"/>
        <w:gridCol w:w="675"/>
        <w:gridCol w:w="721"/>
        <w:gridCol w:w="1515"/>
      </w:tblGrid>
      <w:tr w14:paraId="5B7F3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21A0998B">
            <w:pPr>
              <w:keepNext w:val="0"/>
              <w:keepLines w:val="0"/>
              <w:widowControl/>
              <w:suppressLineNumbers w:val="0"/>
              <w:jc w:val="both"/>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2C742DE5">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货物名称</w:t>
            </w:r>
          </w:p>
        </w:tc>
        <w:tc>
          <w:tcPr>
            <w:tcW w:w="2580" w:type="dxa"/>
            <w:tcBorders>
              <w:top w:val="single" w:color="000000" w:sz="4" w:space="0"/>
              <w:left w:val="single" w:color="000000" w:sz="4" w:space="0"/>
              <w:bottom w:val="single" w:color="000000" w:sz="4" w:space="0"/>
              <w:right w:val="single" w:color="000000" w:sz="4" w:space="0"/>
            </w:tcBorders>
            <w:noWrap/>
            <w:vAlign w:val="center"/>
          </w:tcPr>
          <w:p w14:paraId="29CF960C">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规格</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D9DF1CE">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8FEF3AC">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38B8920">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单价报价</w:t>
            </w: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00A84A90">
            <w:pPr>
              <w:keepNext w:val="0"/>
              <w:keepLines w:val="0"/>
              <w:widowControl/>
              <w:suppressLineNumbers w:val="0"/>
              <w:jc w:val="center"/>
              <w:textAlignment w:val="bottom"/>
              <w:rPr>
                <w:rFonts w:hint="eastAsia" w:ascii="宋体" w:hAnsi="宋体" w:cs="宋体"/>
                <w:b/>
                <w:bCs/>
                <w:i w:val="0"/>
                <w:iCs w:val="0"/>
                <w:color w:val="000000"/>
                <w:kern w:val="0"/>
                <w:sz w:val="20"/>
                <w:szCs w:val="20"/>
                <w:highlight w:val="none"/>
                <w:u w:val="none"/>
                <w:lang w:val="en-US" w:eastAsia="zh-CN" w:bidi="ar"/>
              </w:rPr>
            </w:pPr>
            <w:r>
              <w:rPr>
                <w:rFonts w:hint="eastAsia" w:ascii="宋体" w:hAnsi="宋体" w:cs="宋体"/>
                <w:b/>
                <w:bCs/>
                <w:i w:val="0"/>
                <w:iCs w:val="0"/>
                <w:color w:val="000000"/>
                <w:kern w:val="0"/>
                <w:sz w:val="20"/>
                <w:szCs w:val="20"/>
                <w:highlight w:val="none"/>
                <w:u w:val="none"/>
                <w:lang w:val="en-US" w:eastAsia="zh-CN" w:bidi="ar"/>
              </w:rPr>
              <w:t>价格</w:t>
            </w:r>
          </w:p>
          <w:p w14:paraId="4E369EA2">
            <w:pPr>
              <w:keepNext w:val="0"/>
              <w:keepLines w:val="0"/>
              <w:widowControl/>
              <w:suppressLineNumbers w:val="0"/>
              <w:jc w:val="center"/>
              <w:textAlignment w:val="bottom"/>
              <w:rPr>
                <w:rFonts w:hint="default" w:ascii="宋体" w:hAnsi="宋体" w:eastAsia="宋体" w:cs="宋体"/>
                <w:b/>
                <w:bCs/>
                <w:i w:val="0"/>
                <w:iCs w:val="0"/>
                <w:color w:val="000000"/>
                <w:kern w:val="0"/>
                <w:sz w:val="20"/>
                <w:szCs w:val="20"/>
                <w:highlight w:val="none"/>
                <w:u w:val="none"/>
                <w:lang w:val="en-US" w:eastAsia="zh-CN" w:bidi="ar"/>
              </w:rPr>
            </w:pPr>
            <w:r>
              <w:rPr>
                <w:rFonts w:hint="eastAsia" w:ascii="宋体" w:hAnsi="宋体" w:cs="宋体"/>
                <w:b/>
                <w:bCs/>
                <w:i w:val="0"/>
                <w:iCs w:val="0"/>
                <w:color w:val="000000"/>
                <w:kern w:val="0"/>
                <w:sz w:val="20"/>
                <w:szCs w:val="20"/>
                <w:highlight w:val="none"/>
                <w:u w:val="none"/>
                <w:lang w:val="en-US" w:eastAsia="zh-CN" w:bidi="ar"/>
              </w:rPr>
              <w:t>合计</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78684680">
            <w:pPr>
              <w:keepNext w:val="0"/>
              <w:keepLines w:val="0"/>
              <w:widowControl/>
              <w:suppressLineNumbers w:val="0"/>
              <w:jc w:val="center"/>
              <w:textAlignment w:val="bottom"/>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14:paraId="4734A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6CDE30BF">
            <w:pPr>
              <w:keepNext w:val="0"/>
              <w:keepLines w:val="0"/>
              <w:widowControl/>
              <w:suppressLineNumbers w:val="0"/>
              <w:jc w:val="right"/>
              <w:textAlignment w:val="bottom"/>
              <w:rPr>
                <w:rFonts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51AB224C">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碘伏消毒液</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2E6B1B0A">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100ml*25瓶/箱</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1A5D28CD">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箱</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28253537">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48BD499D">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2DFF8CF2">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16A94D50">
            <w:pPr>
              <w:rPr>
                <w:rFonts w:hint="default" w:ascii="Tahoma" w:hAnsi="Tahoma" w:eastAsia="Tahoma" w:cs="Tahoma"/>
                <w:i w:val="0"/>
                <w:iCs w:val="0"/>
                <w:color w:val="000000"/>
                <w:sz w:val="20"/>
                <w:szCs w:val="20"/>
                <w:highlight w:val="none"/>
                <w:u w:val="none"/>
              </w:rPr>
            </w:pPr>
          </w:p>
        </w:tc>
      </w:tr>
      <w:tr w14:paraId="57389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060F5176">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25DBA29C">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无菌棉签</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2DBB225F">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50支/袋，20袋/包，长度：10cm</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2B89B335">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包</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789836B1">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3C4E92B8">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6E4E5440">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77F3793E">
            <w:pPr>
              <w:rPr>
                <w:rFonts w:hint="default" w:ascii="Tahoma" w:hAnsi="Tahoma" w:eastAsia="Tahoma" w:cs="Tahoma"/>
                <w:i w:val="0"/>
                <w:iCs w:val="0"/>
                <w:color w:val="000000"/>
                <w:sz w:val="20"/>
                <w:szCs w:val="20"/>
                <w:highlight w:val="none"/>
                <w:u w:val="none"/>
              </w:rPr>
            </w:pPr>
          </w:p>
        </w:tc>
      </w:tr>
      <w:tr w14:paraId="5541B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7006BE0F">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3</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39AA877E">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有效消毒氯片</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608C8DED">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100片/瓶。</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3A80E636">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瓶</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0B8EE746">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50</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6E2FCCAA">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4A9C997A">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217505CB">
            <w:pPr>
              <w:rPr>
                <w:rFonts w:hint="default" w:ascii="Tahoma" w:hAnsi="Tahoma" w:eastAsia="Tahoma" w:cs="Tahoma"/>
                <w:i w:val="0"/>
                <w:iCs w:val="0"/>
                <w:color w:val="000000"/>
                <w:sz w:val="20"/>
                <w:szCs w:val="20"/>
                <w:highlight w:val="none"/>
                <w:u w:val="none"/>
              </w:rPr>
            </w:pPr>
          </w:p>
        </w:tc>
      </w:tr>
      <w:tr w14:paraId="36C99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62295255">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4</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26C63C86">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外科口罩</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61403423">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50支/包，无菌独立包装</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188B73A3">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包</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3BF06F11">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182AC275">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2F1A81A1">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5FFDD4CB">
            <w:pPr>
              <w:rPr>
                <w:rFonts w:hint="default" w:ascii="Tahoma" w:hAnsi="Tahoma" w:eastAsia="Tahoma" w:cs="Tahoma"/>
                <w:i w:val="0"/>
                <w:iCs w:val="0"/>
                <w:color w:val="000000"/>
                <w:sz w:val="20"/>
                <w:szCs w:val="20"/>
                <w:highlight w:val="none"/>
                <w:u w:val="none"/>
              </w:rPr>
            </w:pPr>
          </w:p>
        </w:tc>
      </w:tr>
      <w:tr w14:paraId="2E61F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062AFB56">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77E68244">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一次性PE薄膜手套</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551B67DD">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200只/盒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4159E5A3">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139D65B6">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491DDEB9">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304C0068">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62C6816D">
            <w:pPr>
              <w:rPr>
                <w:rFonts w:hint="default" w:ascii="Tahoma" w:hAnsi="Tahoma" w:eastAsia="Tahoma" w:cs="Tahoma"/>
                <w:i w:val="0"/>
                <w:iCs w:val="0"/>
                <w:color w:val="000000"/>
                <w:sz w:val="20"/>
                <w:szCs w:val="20"/>
                <w:highlight w:val="none"/>
                <w:u w:val="none"/>
              </w:rPr>
            </w:pPr>
          </w:p>
        </w:tc>
      </w:tr>
      <w:tr w14:paraId="78DB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374E27BB">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6</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3FAF16DA">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一次性乳胶手套S(无粉)</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49873E10">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独立包装，医用无粉手套，40只/包</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417D2825">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包</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29EBAF41">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5092FF60">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206CDD98">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51154BD8">
            <w:pPr>
              <w:rPr>
                <w:rFonts w:hint="default" w:ascii="Tahoma" w:hAnsi="Tahoma" w:eastAsia="Tahoma" w:cs="Tahoma"/>
                <w:i w:val="0"/>
                <w:iCs w:val="0"/>
                <w:color w:val="000000"/>
                <w:sz w:val="20"/>
                <w:szCs w:val="20"/>
                <w:highlight w:val="none"/>
                <w:u w:val="none"/>
              </w:rPr>
            </w:pPr>
          </w:p>
        </w:tc>
      </w:tr>
      <w:tr w14:paraId="1D3A0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359C7EAB">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7</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437CA1D4">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一次性乳胶手套M(无粉)</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7309BF0D">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独立包装，医用无粉手套，40只/包</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0224B5EC">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包</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40E5BCCE">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0556E341">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4E16E9E2">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4E00AC5A">
            <w:pPr>
              <w:rPr>
                <w:rFonts w:hint="default" w:ascii="Tahoma" w:hAnsi="Tahoma" w:eastAsia="Tahoma" w:cs="Tahoma"/>
                <w:i w:val="0"/>
                <w:iCs w:val="0"/>
                <w:color w:val="000000"/>
                <w:sz w:val="20"/>
                <w:szCs w:val="20"/>
                <w:highlight w:val="none"/>
                <w:u w:val="none"/>
              </w:rPr>
            </w:pPr>
          </w:p>
        </w:tc>
      </w:tr>
      <w:tr w14:paraId="77A7B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75EC909E">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8</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40E68656">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灭菌指示胶带</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7167141A">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19mm*50m</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70E01163">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卷</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22461D9A">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441BB6D4">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62D280D7">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57497673">
            <w:pPr>
              <w:rPr>
                <w:rFonts w:hint="default" w:ascii="Tahoma" w:hAnsi="Tahoma" w:eastAsia="Tahoma" w:cs="Tahoma"/>
                <w:i w:val="0"/>
                <w:iCs w:val="0"/>
                <w:color w:val="000000"/>
                <w:sz w:val="20"/>
                <w:szCs w:val="20"/>
                <w:highlight w:val="none"/>
                <w:u w:val="none"/>
              </w:rPr>
            </w:pPr>
          </w:p>
        </w:tc>
      </w:tr>
      <w:tr w14:paraId="2732E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3ED6FB9D">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9</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0FB416EF">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121℃压力蒸汽灭菌生物指示剂</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26BF63C4">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50支/盒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29016F38">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3922123F">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41B96824">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171F6BBB">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650D4FFA">
            <w:pPr>
              <w:rPr>
                <w:rFonts w:hint="default" w:ascii="Tahoma" w:hAnsi="Tahoma" w:eastAsia="Tahoma" w:cs="Tahoma"/>
                <w:i w:val="0"/>
                <w:iCs w:val="0"/>
                <w:color w:val="000000"/>
                <w:sz w:val="20"/>
                <w:szCs w:val="20"/>
                <w:highlight w:val="none"/>
                <w:u w:val="none"/>
              </w:rPr>
            </w:pPr>
          </w:p>
        </w:tc>
      </w:tr>
      <w:tr w14:paraId="6AE0C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435F1CCC">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3FEED9B1">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紫外灭菌指示卡(卡片)</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1981D93C">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100条/盒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0E40D2FB">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2A7DC4BE">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51F2F77E">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664100A6">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2E8FA897">
            <w:pPr>
              <w:rPr>
                <w:rFonts w:hint="default" w:ascii="Tahoma" w:hAnsi="Tahoma" w:eastAsia="Tahoma" w:cs="Tahoma"/>
                <w:i w:val="0"/>
                <w:iCs w:val="0"/>
                <w:color w:val="000000"/>
                <w:sz w:val="20"/>
                <w:szCs w:val="20"/>
                <w:highlight w:val="none"/>
                <w:u w:val="none"/>
              </w:rPr>
            </w:pPr>
          </w:p>
        </w:tc>
      </w:tr>
      <w:tr w14:paraId="07DB1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64AE4C43">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11</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17C3BE21">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PH广泛试纸</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04FBC030">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5本/盒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170B5303">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4255A707">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38E28055">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72407242">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32FE13ED">
            <w:pPr>
              <w:rPr>
                <w:rFonts w:hint="default" w:ascii="Tahoma" w:hAnsi="Tahoma" w:eastAsia="Tahoma" w:cs="Tahoma"/>
                <w:i w:val="0"/>
                <w:iCs w:val="0"/>
                <w:color w:val="000000"/>
                <w:sz w:val="20"/>
                <w:szCs w:val="20"/>
                <w:highlight w:val="none"/>
                <w:u w:val="none"/>
              </w:rPr>
            </w:pPr>
          </w:p>
        </w:tc>
      </w:tr>
      <w:tr w14:paraId="69EDA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676C4813">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12</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2A105C19">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单面磨砂载玻片</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0DB00580">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76mm*25mm,50片/盒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44072CB0">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57C180A8">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0EFAA51B">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775BFE94">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5EA80995">
            <w:pPr>
              <w:rPr>
                <w:rFonts w:hint="default" w:ascii="Tahoma" w:hAnsi="Tahoma" w:eastAsia="Tahoma" w:cs="Tahoma"/>
                <w:i w:val="0"/>
                <w:iCs w:val="0"/>
                <w:color w:val="000000"/>
                <w:sz w:val="20"/>
                <w:szCs w:val="20"/>
                <w:highlight w:val="none"/>
                <w:u w:val="none"/>
              </w:rPr>
            </w:pPr>
          </w:p>
        </w:tc>
      </w:tr>
      <w:tr w14:paraId="57C1B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3050914E">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13</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7AF27EF2">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硅胶塞</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6E9A81D6">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试管10mm（8-12）</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36B887D8">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31946B56">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250</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1031D18C">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6F38641F">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2352B429">
            <w:pPr>
              <w:rPr>
                <w:rFonts w:hint="default" w:ascii="Tahoma" w:hAnsi="Tahoma" w:eastAsia="Tahoma" w:cs="Tahoma"/>
                <w:i w:val="0"/>
                <w:iCs w:val="0"/>
                <w:color w:val="000000"/>
                <w:sz w:val="20"/>
                <w:szCs w:val="20"/>
                <w:highlight w:val="none"/>
                <w:u w:val="none"/>
              </w:rPr>
            </w:pPr>
          </w:p>
        </w:tc>
      </w:tr>
      <w:tr w14:paraId="50039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4D99409C">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14</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54ACACA1">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硅胶塞</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1CEC95A5">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试管18mm（15-19），200个/包</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23C551EB">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包</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0453E212">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3A43A4AD">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4B76547F">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1AD21E1A">
            <w:pPr>
              <w:rPr>
                <w:rFonts w:hint="default" w:ascii="Tahoma" w:hAnsi="Tahoma" w:eastAsia="Tahoma" w:cs="Tahoma"/>
                <w:i w:val="0"/>
                <w:iCs w:val="0"/>
                <w:color w:val="000000"/>
                <w:sz w:val="20"/>
                <w:szCs w:val="20"/>
                <w:highlight w:val="none"/>
                <w:u w:val="none"/>
              </w:rPr>
            </w:pPr>
          </w:p>
        </w:tc>
      </w:tr>
      <w:tr w14:paraId="6D24B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7D0C23D8">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15</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23E37CF6">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平口试管(硬)</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434ACBB7">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12*75mm，250支/包</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3DA476D8">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包</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2DD7EBAC">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40FAED67">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3CAD3D1B">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747B2414">
            <w:pPr>
              <w:rPr>
                <w:rFonts w:hint="default" w:ascii="Tahoma" w:hAnsi="Tahoma" w:eastAsia="Tahoma" w:cs="Tahoma"/>
                <w:i w:val="0"/>
                <w:iCs w:val="0"/>
                <w:color w:val="000000"/>
                <w:sz w:val="20"/>
                <w:szCs w:val="20"/>
                <w:highlight w:val="none"/>
                <w:u w:val="none"/>
              </w:rPr>
            </w:pPr>
          </w:p>
        </w:tc>
      </w:tr>
      <w:tr w14:paraId="3F9CD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11787E5E">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16</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5A2087BE">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平口试管(盐城)</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04D56863">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18*180mm，200支/包。</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099F8DE0">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包</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33562C61">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071B2FFD">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5E62D778">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673E8CFF">
            <w:pPr>
              <w:rPr>
                <w:rFonts w:hint="default" w:ascii="Tahoma" w:hAnsi="Tahoma" w:eastAsia="Tahoma" w:cs="Tahoma"/>
                <w:i w:val="0"/>
                <w:iCs w:val="0"/>
                <w:color w:val="000000"/>
                <w:sz w:val="20"/>
                <w:szCs w:val="20"/>
                <w:highlight w:val="none"/>
                <w:u w:val="none"/>
              </w:rPr>
            </w:pPr>
          </w:p>
        </w:tc>
      </w:tr>
      <w:tr w14:paraId="2B05C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34B9A550">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17</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41DFB594">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日立样品杯</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6FF505BB">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500只/袋，上16mm*下12mm*高38mm</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43510CD1">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包</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79B425A3">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4ED12632">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17D17D3E">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4337BBDD">
            <w:pPr>
              <w:rPr>
                <w:rFonts w:hint="default" w:ascii="Tahoma" w:hAnsi="Tahoma" w:eastAsia="Tahoma" w:cs="Tahoma"/>
                <w:i w:val="0"/>
                <w:iCs w:val="0"/>
                <w:color w:val="000000"/>
                <w:sz w:val="20"/>
                <w:szCs w:val="20"/>
                <w:highlight w:val="none"/>
                <w:u w:val="none"/>
              </w:rPr>
            </w:pPr>
          </w:p>
        </w:tc>
      </w:tr>
      <w:tr w14:paraId="461BE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63340925">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18</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43240768">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离心管带盖尖底(1.5ml)</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7C9C15E4">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500只/袋</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228CE482">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包</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47D68C49">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4BE3E8D8">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7499F37C">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660CC5E4">
            <w:pPr>
              <w:rPr>
                <w:rFonts w:hint="default" w:ascii="Tahoma" w:hAnsi="Tahoma" w:eastAsia="Tahoma" w:cs="Tahoma"/>
                <w:i w:val="0"/>
                <w:iCs w:val="0"/>
                <w:color w:val="000000"/>
                <w:sz w:val="20"/>
                <w:szCs w:val="20"/>
                <w:highlight w:val="none"/>
                <w:u w:val="none"/>
              </w:rPr>
            </w:pPr>
          </w:p>
        </w:tc>
      </w:tr>
      <w:tr w14:paraId="5EEE2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16730CA8">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19</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7AAE94DE">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一次性吸管(2ml)</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30859883">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100支/包</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671DCB6B">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包</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313F3D2F">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503F2E6E">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54749CCC">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18101230">
            <w:pPr>
              <w:rPr>
                <w:rFonts w:hint="default" w:ascii="Tahoma" w:hAnsi="Tahoma" w:eastAsia="Tahoma" w:cs="Tahoma"/>
                <w:i w:val="0"/>
                <w:iCs w:val="0"/>
                <w:color w:val="000000"/>
                <w:sz w:val="20"/>
                <w:szCs w:val="20"/>
                <w:highlight w:val="none"/>
                <w:u w:val="none"/>
              </w:rPr>
            </w:pPr>
          </w:p>
        </w:tc>
      </w:tr>
      <w:tr w14:paraId="4256F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647CC416">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20</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05E93E09">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3L锐器收集筒</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6D0D9A61">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3L</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366B1F38">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0C93CA15">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200</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4EF11E31">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0F42EC85">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069EB58C">
            <w:pPr>
              <w:rPr>
                <w:rFonts w:hint="default" w:ascii="Tahoma" w:hAnsi="Tahoma" w:eastAsia="Tahoma" w:cs="Tahoma"/>
                <w:i w:val="0"/>
                <w:iCs w:val="0"/>
                <w:color w:val="000000"/>
                <w:sz w:val="20"/>
                <w:szCs w:val="20"/>
                <w:highlight w:val="none"/>
                <w:u w:val="none"/>
              </w:rPr>
            </w:pPr>
          </w:p>
        </w:tc>
      </w:tr>
      <w:tr w14:paraId="46A85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169CA200">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21</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478E703D">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水样采集袋</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3C06EADA">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容积200ml，不含硫，10个/包</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7254A610">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包</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1703EEB9">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577D7830">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3ECB06FB">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1E13D386">
            <w:pPr>
              <w:rPr>
                <w:rFonts w:hint="default" w:ascii="Tahoma" w:hAnsi="Tahoma" w:eastAsia="Tahoma" w:cs="Tahoma"/>
                <w:i w:val="0"/>
                <w:iCs w:val="0"/>
                <w:color w:val="000000"/>
                <w:sz w:val="20"/>
                <w:szCs w:val="20"/>
                <w:highlight w:val="none"/>
                <w:u w:val="none"/>
              </w:rPr>
            </w:pPr>
          </w:p>
        </w:tc>
      </w:tr>
      <w:tr w14:paraId="0EDF3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24396220">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22</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64695664">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一次性静脉采血针</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10BBD54A">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100支/袋</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3CFAB98D">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袋</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1120E513">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120</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3BD39D94">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624595C2">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6FE09B30">
            <w:pPr>
              <w:rPr>
                <w:rFonts w:hint="default" w:ascii="Tahoma" w:hAnsi="Tahoma" w:eastAsia="Tahoma" w:cs="Tahoma"/>
                <w:i w:val="0"/>
                <w:iCs w:val="0"/>
                <w:color w:val="000000"/>
                <w:sz w:val="20"/>
                <w:szCs w:val="20"/>
                <w:highlight w:val="none"/>
                <w:u w:val="none"/>
              </w:rPr>
            </w:pPr>
          </w:p>
        </w:tc>
      </w:tr>
      <w:tr w14:paraId="53BFF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4F1C2184">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23</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1C3E1D9C">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尿沉渣试管</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7D82406F">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各种规格均可满足，螺口设计，12ML尿沉渣试管。</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53DC3CDB">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124EA1BB">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500</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43D3D060">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0167B976">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2F337062">
            <w:pPr>
              <w:rPr>
                <w:rFonts w:hint="default" w:ascii="Tahoma" w:hAnsi="Tahoma" w:eastAsia="Tahoma" w:cs="Tahoma"/>
                <w:i w:val="0"/>
                <w:iCs w:val="0"/>
                <w:color w:val="000000"/>
                <w:sz w:val="20"/>
                <w:szCs w:val="20"/>
                <w:highlight w:val="none"/>
                <w:u w:val="none"/>
              </w:rPr>
            </w:pPr>
          </w:p>
        </w:tc>
      </w:tr>
      <w:tr w14:paraId="1E2C4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37CDE710">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24</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3A8F5F5B">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一次性尿杯</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458E9912">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1000只/包</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7E3C4BF8">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包</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0902F8DF">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0F1F4581">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126EA13C">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66DB5631">
            <w:pPr>
              <w:rPr>
                <w:rFonts w:hint="default" w:ascii="Tahoma" w:hAnsi="Tahoma" w:eastAsia="Tahoma" w:cs="Tahoma"/>
                <w:i w:val="0"/>
                <w:iCs w:val="0"/>
                <w:color w:val="000000"/>
                <w:sz w:val="20"/>
                <w:szCs w:val="20"/>
                <w:highlight w:val="none"/>
                <w:u w:val="none"/>
              </w:rPr>
            </w:pPr>
          </w:p>
        </w:tc>
      </w:tr>
      <w:tr w14:paraId="2F9DA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19DFB5C3">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25</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6EE02A84">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一次性使用真空采血管（绿）</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2C9D2765">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绿管5ml*100支/板</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0F3DB7C2">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板</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785891E8">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63DC4B16">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0A841DBA">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3B0DF527">
            <w:pPr>
              <w:rPr>
                <w:rFonts w:hint="default" w:ascii="Tahoma" w:hAnsi="Tahoma" w:eastAsia="Tahoma" w:cs="Tahoma"/>
                <w:i w:val="0"/>
                <w:iCs w:val="0"/>
                <w:color w:val="000000"/>
                <w:sz w:val="20"/>
                <w:szCs w:val="20"/>
                <w:highlight w:val="none"/>
                <w:u w:val="none"/>
              </w:rPr>
            </w:pPr>
          </w:p>
        </w:tc>
      </w:tr>
      <w:tr w14:paraId="06615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221D2325">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26</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4D245B7B">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一次性使用真空采血管（紫）</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16B2DA5D">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紫管2ml*100支/板</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0428C091">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板</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7378DCAC">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3B3ACF82">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0E1C3E40">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61CD180B">
            <w:pPr>
              <w:rPr>
                <w:rFonts w:hint="default" w:ascii="Tahoma" w:hAnsi="Tahoma" w:eastAsia="Tahoma" w:cs="Tahoma"/>
                <w:i w:val="0"/>
                <w:iCs w:val="0"/>
                <w:color w:val="000000"/>
                <w:sz w:val="20"/>
                <w:szCs w:val="20"/>
                <w:highlight w:val="none"/>
                <w:u w:val="none"/>
              </w:rPr>
            </w:pPr>
          </w:p>
        </w:tc>
      </w:tr>
      <w:tr w14:paraId="00D64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71B68D52">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27</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105DD90B">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一次性使用真空采血管（红）</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6BF95D09">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红管、5ml*100支/板</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2E7EEE87">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板</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296FDEE0">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700BFC19">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0B5F62AC">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5285D211">
            <w:pPr>
              <w:rPr>
                <w:rFonts w:hint="default" w:ascii="Tahoma" w:hAnsi="Tahoma" w:eastAsia="Tahoma" w:cs="Tahoma"/>
                <w:i w:val="0"/>
                <w:iCs w:val="0"/>
                <w:color w:val="000000"/>
                <w:sz w:val="20"/>
                <w:szCs w:val="20"/>
                <w:highlight w:val="none"/>
                <w:u w:val="none"/>
              </w:rPr>
            </w:pPr>
          </w:p>
        </w:tc>
      </w:tr>
      <w:tr w14:paraId="78D03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49AE5108">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28</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1368FF21">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一次性使用真空采血管（黄）</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238865EB">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黄管、5ml*100支/板</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03669883">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板</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08C2269C">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200</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7976AC33">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18EA1A08">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4A4B2627">
            <w:pPr>
              <w:rPr>
                <w:rFonts w:hint="default" w:ascii="Tahoma" w:hAnsi="Tahoma" w:eastAsia="Tahoma" w:cs="Tahoma"/>
                <w:i w:val="0"/>
                <w:iCs w:val="0"/>
                <w:color w:val="000000"/>
                <w:sz w:val="20"/>
                <w:szCs w:val="20"/>
                <w:highlight w:val="none"/>
                <w:u w:val="none"/>
              </w:rPr>
            </w:pPr>
          </w:p>
        </w:tc>
      </w:tr>
      <w:tr w14:paraId="55B51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67B331DB">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29</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1101AE8C">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一次性使用真空采血管（黑）</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4EB65111">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黑管2.4ml*100支/板</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2DC9BBF5">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板</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13410234">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549DCC71">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57F4496B">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32F25A93">
            <w:pPr>
              <w:rPr>
                <w:rFonts w:hint="default" w:ascii="Tahoma" w:hAnsi="Tahoma" w:eastAsia="Tahoma" w:cs="Tahoma"/>
                <w:i w:val="0"/>
                <w:iCs w:val="0"/>
                <w:color w:val="000000"/>
                <w:sz w:val="20"/>
                <w:szCs w:val="20"/>
                <w:highlight w:val="none"/>
                <w:u w:val="none"/>
              </w:rPr>
            </w:pPr>
          </w:p>
        </w:tc>
      </w:tr>
      <w:tr w14:paraId="0581B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5AEBD47E">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30</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2536995E">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一次性使用真空采血管（灰）</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791F2BEB">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灰管2ml*100支/板</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5F6C2FAE">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板</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11AD6A78">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2819A07A">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6EA6725B">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505D52F2">
            <w:pPr>
              <w:rPr>
                <w:rFonts w:hint="default" w:ascii="Tahoma" w:hAnsi="Tahoma" w:eastAsia="Tahoma" w:cs="Tahoma"/>
                <w:i w:val="0"/>
                <w:iCs w:val="0"/>
                <w:color w:val="000000"/>
                <w:sz w:val="20"/>
                <w:szCs w:val="20"/>
                <w:highlight w:val="none"/>
                <w:u w:val="none"/>
              </w:rPr>
            </w:pPr>
          </w:p>
        </w:tc>
      </w:tr>
      <w:tr w14:paraId="03A05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78299C6E">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31</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7180D90E">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95%乙醇</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272A7C34">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500ml/瓶</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7C4C1B0F">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瓶</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21A4788E">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73D5CD79">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248775E0">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3DCB2783">
            <w:pPr>
              <w:rPr>
                <w:rFonts w:hint="default" w:ascii="Tahoma" w:hAnsi="Tahoma" w:eastAsia="Tahoma" w:cs="Tahoma"/>
                <w:i w:val="0"/>
                <w:iCs w:val="0"/>
                <w:color w:val="000000"/>
                <w:sz w:val="20"/>
                <w:szCs w:val="20"/>
                <w:highlight w:val="none"/>
                <w:u w:val="none"/>
              </w:rPr>
            </w:pPr>
          </w:p>
        </w:tc>
      </w:tr>
      <w:tr w14:paraId="0BADC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6EE9B868">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32</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35C4A3FC">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75%医用酒精</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5C7AB571">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500ml</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2A87D754">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瓶</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1F281F97">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3A1E1BE3">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60C68973">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05ADF7D9">
            <w:pPr>
              <w:rPr>
                <w:rFonts w:hint="default" w:ascii="Tahoma" w:hAnsi="Tahoma" w:eastAsia="Tahoma" w:cs="Tahoma"/>
                <w:i w:val="0"/>
                <w:iCs w:val="0"/>
                <w:color w:val="000000"/>
                <w:sz w:val="20"/>
                <w:szCs w:val="20"/>
                <w:highlight w:val="none"/>
                <w:u w:val="none"/>
              </w:rPr>
            </w:pPr>
          </w:p>
        </w:tc>
      </w:tr>
      <w:tr w14:paraId="05FDD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0529BA9F">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33</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634D17B7">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血细胞分析用F-DK稀释液</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23289EF3">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20Lx1桶</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7A2B8079">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桶</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50AAACBA">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36056E7F">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26A79D2C">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316D6DDC">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适配迈克F810</w:t>
            </w:r>
          </w:p>
        </w:tc>
      </w:tr>
      <w:tr w14:paraId="2DEEB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519F9D07">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34</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20CDAD5F">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血细胞分析用F-LS溶血剂</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4B87AE9A">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1Lx1瓶</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24CD1F51">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2FBAAEC5">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3DF92C46">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772B4DD0">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3DC63ED6">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适配迈克F810</w:t>
            </w:r>
          </w:p>
        </w:tc>
      </w:tr>
      <w:tr w14:paraId="42D6A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3D27CA9F">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35</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34B842A6">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血细胞分析用F-LW溶血剂</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1D329BD0">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1Lx1瓶</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0B76F0A3">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7AC30C0A">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5F90464A">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67B26C7D">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672AC61B">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适配迈克F810</w:t>
            </w:r>
          </w:p>
        </w:tc>
      </w:tr>
      <w:tr w14:paraId="60AA3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004DDDC5">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36</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38889C2A">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血细胞分析用F-FW染色液</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6A30F89F">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20mlx1盒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2011F92C">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5850D4F6">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40DF07D5">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644FE821">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10EB7CC8">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适配迈克F810</w:t>
            </w:r>
          </w:p>
        </w:tc>
      </w:tr>
      <w:tr w14:paraId="39A3F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0B37ECFD">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37</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6A50B08B">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血细胞分析用F-LD溶血剂</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633F7C2F">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1Lx1瓶</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36D2B838">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2557E4AA">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67B110D7">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4199AAE4">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4D88972A">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适配迈克F810</w:t>
            </w:r>
          </w:p>
        </w:tc>
      </w:tr>
      <w:tr w14:paraId="379E4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061A21AE">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38</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17AC382C">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血细胞分析用F-FD染色液</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7F78B5A4">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20mlx1盒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79D7EE64">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7BF3E56D">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696899F4">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47A672BF">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52FC7A16">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适配迈克F810</w:t>
            </w:r>
          </w:p>
        </w:tc>
      </w:tr>
      <w:tr w14:paraId="03BC1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547C8A5E">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39</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07A999B0">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血细胞分析用F-CC清洁液</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133AF39E">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4mL*6瓶/盒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4EF48DFF">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165D941F">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1E2A3257">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2ABED63D">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14CF6730">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适配迈克F810</w:t>
            </w:r>
          </w:p>
        </w:tc>
      </w:tr>
      <w:tr w14:paraId="4F336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3137A15D">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40</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5689A241">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血细胞分析仪用校准品</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3B8A0F10">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校准：2.5mL*1</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729B5863">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1C86AEB4">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36C38AD3">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6B7B35ED">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5152E0EF">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适配迈克F810</w:t>
            </w:r>
          </w:p>
        </w:tc>
      </w:tr>
      <w:tr w14:paraId="58DA0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11772A07">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41</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7F5EBC02">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尿液分析试纸条</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5947B11D">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100条/桶</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3A952AFA">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桶</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16D15090">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672E4409">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1A98B09A">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47342138">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适配艾康U500</w:t>
            </w:r>
          </w:p>
        </w:tc>
      </w:tr>
      <w:tr w14:paraId="0BFB9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682A2265">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42</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21F6054C">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ABO血型正定型和RhD血型复检卡(纸板法)</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6F9809D6">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100人份/盒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70745A9C">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5B681795">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1AD4A8A6">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02242A09">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1247BB18">
            <w:pPr>
              <w:rPr>
                <w:rFonts w:hint="default" w:ascii="Tahoma" w:hAnsi="Tahoma" w:eastAsia="Tahoma" w:cs="Tahoma"/>
                <w:i w:val="0"/>
                <w:iCs w:val="0"/>
                <w:color w:val="000000"/>
                <w:sz w:val="20"/>
                <w:szCs w:val="20"/>
                <w:highlight w:val="none"/>
                <w:u w:val="none"/>
              </w:rPr>
            </w:pPr>
          </w:p>
        </w:tc>
      </w:tr>
      <w:tr w14:paraId="04243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456171AF">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43</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6395C36A">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人定值多项生化质控血清水平(水平2)</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0E4DA40B">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20*5ml</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29E2C499">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477894BA">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46559A57">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310D3CA7">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73282C90">
            <w:pPr>
              <w:rPr>
                <w:rFonts w:hint="default" w:ascii="Tahoma" w:hAnsi="Tahoma" w:eastAsia="Tahoma" w:cs="Tahoma"/>
                <w:i w:val="0"/>
                <w:iCs w:val="0"/>
                <w:color w:val="000000"/>
                <w:sz w:val="20"/>
                <w:szCs w:val="20"/>
                <w:highlight w:val="none"/>
                <w:u w:val="none"/>
              </w:rPr>
            </w:pPr>
          </w:p>
        </w:tc>
      </w:tr>
      <w:tr w14:paraId="7DD40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117A4FD2">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44</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74F5C297">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人定值多项生化质控血清水平(水平3)</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531950AC">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20*5ml</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20AEEE8A">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0AD911AB">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79523A68">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0E108243">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316E8BD3">
            <w:pPr>
              <w:rPr>
                <w:rFonts w:hint="default" w:ascii="Tahoma" w:hAnsi="Tahoma" w:eastAsia="Tahoma" w:cs="Tahoma"/>
                <w:i w:val="0"/>
                <w:iCs w:val="0"/>
                <w:color w:val="000000"/>
                <w:sz w:val="20"/>
                <w:szCs w:val="20"/>
                <w:highlight w:val="none"/>
                <w:u w:val="none"/>
              </w:rPr>
            </w:pPr>
          </w:p>
        </w:tc>
      </w:tr>
      <w:tr w14:paraId="07802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15FAC032">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45</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4F00C7D2">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钾电极</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58C94857">
            <w:pPr>
              <w:rPr>
                <w:rFonts w:hint="default" w:ascii="Tahoma" w:hAnsi="Tahoma" w:eastAsia="Tahoma" w:cs="Tahoma"/>
                <w:i w:val="0"/>
                <w:iCs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65D9B517">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76D922F8">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303C35AB">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5A6DBA24">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6A8F82A9">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适配希莱恒IMS-972Popular</w:t>
            </w:r>
          </w:p>
        </w:tc>
      </w:tr>
      <w:tr w14:paraId="47931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1F4D316F">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46</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2A012997">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钠电极</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59380BF3">
            <w:pPr>
              <w:rPr>
                <w:rFonts w:hint="default" w:ascii="Tahoma" w:hAnsi="Tahoma" w:eastAsia="Tahoma" w:cs="Tahoma"/>
                <w:i w:val="0"/>
                <w:iCs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7891B977">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7B7B1B3B">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1201A136">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536FB9CA">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5691BB02">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适配希莱恒IMS-972Popular</w:t>
            </w:r>
          </w:p>
        </w:tc>
      </w:tr>
      <w:tr w14:paraId="3DD62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2689B89F">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47</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7B09F2B7">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氯电极</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4F43A336">
            <w:pPr>
              <w:rPr>
                <w:rFonts w:hint="default" w:ascii="Tahoma" w:hAnsi="Tahoma" w:eastAsia="Tahoma" w:cs="Tahoma"/>
                <w:i w:val="0"/>
                <w:iCs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7B7599AF">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6EB00B77">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6E9D9FA0">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12A02D4A">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38D1B36C">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适配希莱恒IMS-972Popular</w:t>
            </w:r>
          </w:p>
        </w:tc>
      </w:tr>
      <w:tr w14:paraId="27AFC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435A79F1">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48</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73530D25">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钙电极</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30F8BBB9">
            <w:pPr>
              <w:rPr>
                <w:rFonts w:hint="default" w:ascii="Tahoma" w:hAnsi="Tahoma" w:eastAsia="Tahoma" w:cs="Tahoma"/>
                <w:i w:val="0"/>
                <w:iCs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5301F8DA">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7D7087E8">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609936D2">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610C81D4">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6624AE3A">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适配希莱恒IMS-972Popular</w:t>
            </w:r>
          </w:p>
        </w:tc>
      </w:tr>
      <w:tr w14:paraId="7C857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6C77307C">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49</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6DCBF7A6">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pH电极</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48990926">
            <w:pPr>
              <w:rPr>
                <w:rFonts w:hint="default" w:ascii="Tahoma" w:hAnsi="Tahoma" w:eastAsia="Tahoma" w:cs="Tahoma"/>
                <w:i w:val="0"/>
                <w:iCs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7708F570">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4EF5C73F">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32E754E2">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7304F6DE">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4884626A">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适配希莱恒IMS-972Popular</w:t>
            </w:r>
          </w:p>
        </w:tc>
      </w:tr>
      <w:tr w14:paraId="788AF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576B8E21">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50</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2252B497">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参比电极</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77908608">
            <w:pPr>
              <w:rPr>
                <w:rFonts w:hint="default" w:ascii="Tahoma" w:hAnsi="Tahoma" w:eastAsia="Tahoma" w:cs="Tahoma"/>
                <w:i w:val="0"/>
                <w:iCs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3E0981AF">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64602E8A">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02634E84">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5C8DB49C">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23E926AC">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适配希莱恒IMS-972Popular</w:t>
            </w:r>
          </w:p>
        </w:tc>
      </w:tr>
      <w:tr w14:paraId="11280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79C76703">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51</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5FB71F84">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清洗液C</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76E94D64">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包装规格：110ml</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744F9AC1">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瓶</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5FB9285B">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719D1875">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01C6D195">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74C2D4BC">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适配希莱恒IMS-972Popular</w:t>
            </w:r>
          </w:p>
        </w:tc>
      </w:tr>
      <w:tr w14:paraId="50AAA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4912189C">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52</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11E3149B">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活化液</w:t>
            </w:r>
            <w:r>
              <w:rPr>
                <w:rStyle w:val="24"/>
                <w:highlight w:val="none"/>
                <w:lang w:val="en-US" w:eastAsia="zh-CN" w:bidi="ar"/>
              </w:rPr>
              <w:t>D</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1B5B0CBA">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包装规格：110ml</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05A12216">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瓶</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20B8DFFD">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78589466">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60E9C94C">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7009F14F">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适配希莱恒IMS-972Popular</w:t>
            </w:r>
          </w:p>
        </w:tc>
      </w:tr>
      <w:tr w14:paraId="4678E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18AEFEE3">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53</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7371E100">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电极清洁液(蛋白酶)</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03DA1852">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包装规格：25mg/支*5，5ml/瓶*1，塑料滴管*1</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3859CDE0">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瓶</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7B9639D7">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2513917A">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12CBACB4">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3FA6E0D1">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适配希莱恒IMS-972Popular</w:t>
            </w:r>
          </w:p>
        </w:tc>
      </w:tr>
      <w:tr w14:paraId="513C4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4AE6AFCE">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54</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5D5705C0">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电解质分析仪专用配套试剂(离子选择电极法)(漂移校正液A)</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7C0C4CDE">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包装规格：漂移校正液A350ml</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18C121A6">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瓶</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5C09B9B6">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5518771D">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5B47EB21">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4C6A669C">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适配希莱恒IMS-972Popular</w:t>
            </w:r>
          </w:p>
        </w:tc>
      </w:tr>
      <w:tr w14:paraId="6CD9C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37422547">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55</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6528B4C6">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电解质分析仪专用配套试剂(离子选择电极法)(斜率校正液B)</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1B8FAFB1">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包装规格：斜率校正液B350ml</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521505E8">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瓶</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358BFFDD">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7FF9DB38">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1DD125BF">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66AE1631">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适配希莱恒IMS-972Popular</w:t>
            </w:r>
          </w:p>
        </w:tc>
      </w:tr>
      <w:tr w14:paraId="19714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73E5791A">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56</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507285B8">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电解质分析仪专用配套试剂(离子选择电极法)(C-2内校液2)</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2221961B">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包装规格：内校液2（C-2）110ml</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0B391022">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瓶</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27B7A34A">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53CE426B">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146CC53D">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4D2489DF">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适配希莱恒IMS-972Popular</w:t>
            </w:r>
          </w:p>
        </w:tc>
      </w:tr>
      <w:tr w14:paraId="6456E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544456AC">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57</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3E55888C">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电极内充液(普通电极用)</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705F5B44">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包装规格：3ml</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6F7B9CC0">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瓶</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7154F9DB">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53CD1939">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2F9EFA2A">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38045EB0">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适配希莱恒IMS-972Popular</w:t>
            </w:r>
          </w:p>
        </w:tc>
      </w:tr>
      <w:tr w14:paraId="62FFA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27FBB5C1">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58</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0A9015C0">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参比液(离子选择电极法)</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4411E80E">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包装规格：10ml</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773E6C9D">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瓶</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3EA83C3E">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2ED2AFE0">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516E5759">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28B44C9B">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适配希莱恒IMS-972Popular</w:t>
            </w:r>
          </w:p>
        </w:tc>
      </w:tr>
      <w:tr w14:paraId="3FAEA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5E3154DE">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59</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0BB8F7E9">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碱性清洗液</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10C10D7E">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2L</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6C184DFB">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62027FED">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29AFF1F4">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44A51F10">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25EA1824">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适配科华C2000</w:t>
            </w:r>
          </w:p>
        </w:tc>
      </w:tr>
      <w:tr w14:paraId="005BC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4F7D3C11">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60</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1C339F79">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酸性清洗液</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01965983">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2L</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2CAC147C">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0C1A1BB9">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6880D631">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3CD2AF39">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37F2E842">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适配科华C2000</w:t>
            </w:r>
          </w:p>
        </w:tc>
      </w:tr>
      <w:tr w14:paraId="4417E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0DD0B8C4">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61</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38CBA13D">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灯泡组件</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06329C29">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c200012V20W</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10EA782D">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4C110C21">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7</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4F2A9EF8">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526E0236">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4CE6377E">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适配科华C2000</w:t>
            </w:r>
          </w:p>
        </w:tc>
      </w:tr>
      <w:tr w14:paraId="2955E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798A3E1B">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62</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40075E81">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乙型肝炎病毒表面抗原血清(液体)标准物质(4IU/ml)</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549CB9B1">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10*0.5ml/盒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0267ACDC">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支</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0A2ECD61">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64C9EFF6">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3ED1D846">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2BF352B9">
            <w:pPr>
              <w:rPr>
                <w:rFonts w:hint="default" w:ascii="Tahoma" w:hAnsi="Tahoma" w:eastAsia="Tahoma" w:cs="Tahoma"/>
                <w:i w:val="0"/>
                <w:iCs w:val="0"/>
                <w:color w:val="000000"/>
                <w:sz w:val="20"/>
                <w:szCs w:val="20"/>
                <w:highlight w:val="none"/>
                <w:u w:val="none"/>
              </w:rPr>
            </w:pPr>
          </w:p>
        </w:tc>
      </w:tr>
      <w:tr w14:paraId="3A2FF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5ACB1BA4">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63</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598108E7">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乙型肝炎表面抗体血清(液体)标准物质(30mlIU/ml)</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13860188">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10*0.5ml/盒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554DBC5F">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支</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01973EA1">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0D8CDBD7">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31CC25E5">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156DF684">
            <w:pPr>
              <w:rPr>
                <w:rFonts w:hint="default" w:ascii="Tahoma" w:hAnsi="Tahoma" w:eastAsia="Tahoma" w:cs="Tahoma"/>
                <w:i w:val="0"/>
                <w:iCs w:val="0"/>
                <w:color w:val="000000"/>
                <w:sz w:val="20"/>
                <w:szCs w:val="20"/>
                <w:highlight w:val="none"/>
                <w:u w:val="none"/>
              </w:rPr>
            </w:pPr>
          </w:p>
        </w:tc>
      </w:tr>
      <w:tr w14:paraId="17425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21674757">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64</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4C845E58">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乙型肝炎e抗原血清(液体)标准物质(4NCU/ml)</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3D4FF5F5">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10*0.5ml/盒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2585DED9">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支</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30A5701F">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0C323800">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0B56F152">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78B678CC">
            <w:pPr>
              <w:rPr>
                <w:rFonts w:hint="default" w:ascii="Tahoma" w:hAnsi="Tahoma" w:eastAsia="Tahoma" w:cs="Tahoma"/>
                <w:i w:val="0"/>
                <w:iCs w:val="0"/>
                <w:color w:val="000000"/>
                <w:sz w:val="20"/>
                <w:szCs w:val="20"/>
                <w:highlight w:val="none"/>
                <w:u w:val="none"/>
              </w:rPr>
            </w:pPr>
          </w:p>
        </w:tc>
      </w:tr>
      <w:tr w14:paraId="01D38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278F4578">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65</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6290733C">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乙型肝炎e抗体血清(液体)标准物质(8NCU/ml)</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248AB1F3">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10*0.5ml/盒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70C41C65">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支</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1D1D61E0">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2CFC17E8">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568E52E2">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5A7C8FB6">
            <w:pPr>
              <w:rPr>
                <w:rFonts w:hint="default" w:ascii="Tahoma" w:hAnsi="Tahoma" w:eastAsia="Tahoma" w:cs="Tahoma"/>
                <w:i w:val="0"/>
                <w:iCs w:val="0"/>
                <w:color w:val="000000"/>
                <w:sz w:val="20"/>
                <w:szCs w:val="20"/>
                <w:highlight w:val="none"/>
                <w:u w:val="none"/>
              </w:rPr>
            </w:pPr>
          </w:p>
        </w:tc>
      </w:tr>
      <w:tr w14:paraId="729D3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60D269EB">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66</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48C78F58">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乙型肝炎核心抗体血清</w:t>
            </w:r>
            <w:r>
              <w:rPr>
                <w:rStyle w:val="24"/>
                <w:highlight w:val="none"/>
                <w:lang w:val="en-US" w:eastAsia="zh-CN" w:bidi="ar"/>
              </w:rPr>
              <w:t>(</w:t>
            </w:r>
            <w:r>
              <w:rPr>
                <w:rStyle w:val="25"/>
                <w:highlight w:val="none"/>
                <w:lang w:val="en-US" w:eastAsia="zh-CN" w:bidi="ar"/>
              </w:rPr>
              <w:t>液体</w:t>
            </w:r>
            <w:r>
              <w:rPr>
                <w:rStyle w:val="24"/>
                <w:highlight w:val="none"/>
                <w:lang w:val="en-US" w:eastAsia="zh-CN" w:bidi="ar"/>
              </w:rPr>
              <w:t>)</w:t>
            </w:r>
            <w:r>
              <w:rPr>
                <w:rStyle w:val="25"/>
                <w:highlight w:val="none"/>
                <w:lang w:val="en-US" w:eastAsia="zh-CN" w:bidi="ar"/>
              </w:rPr>
              <w:t>标准物质</w:t>
            </w:r>
            <w:r>
              <w:rPr>
                <w:rStyle w:val="24"/>
                <w:highlight w:val="none"/>
                <w:lang w:val="en-US" w:eastAsia="zh-CN" w:bidi="ar"/>
              </w:rPr>
              <w:t>(8NCU/ml)</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20F2BBB0">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10*0.5ml/盒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14BF549D">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支</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3025AEA0">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6D949BBA">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2C82D525">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4B4CD80A">
            <w:pPr>
              <w:rPr>
                <w:rFonts w:hint="default" w:ascii="Tahoma" w:hAnsi="Tahoma" w:eastAsia="Tahoma" w:cs="Tahoma"/>
                <w:i w:val="0"/>
                <w:iCs w:val="0"/>
                <w:color w:val="000000"/>
                <w:sz w:val="20"/>
                <w:szCs w:val="20"/>
                <w:highlight w:val="none"/>
                <w:u w:val="none"/>
              </w:rPr>
            </w:pPr>
          </w:p>
        </w:tc>
      </w:tr>
      <w:tr w14:paraId="7E2A9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011F42C3">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67</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2DA31AB6">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迈克血常规质控L2</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3B2417A4">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2.5ml*3支/盒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4B353152">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6828259C">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6F628AFC">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0DE16FC1">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1C2BCAD5">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适配迈克F810</w:t>
            </w:r>
          </w:p>
        </w:tc>
      </w:tr>
      <w:tr w14:paraId="37A7E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78500990">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68</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20FAD563">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迈克血常规质控L3</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59E15471">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2.5ml*3支/盒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3B8B0CA3">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2AEA808B">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022B1D63">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7CA0E3B7">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4DEF2A99">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适配迈克F810</w:t>
            </w:r>
          </w:p>
        </w:tc>
      </w:tr>
      <w:tr w14:paraId="74234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2986F4FE">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69</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5E31D10B">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乙型肝炎病毒表面抗原检测试剂盒(胶体金法)</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373023E4">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100人份/盒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3557C2E0">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4B28E055">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41FBBD19">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79FED6EF">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3A83AB97">
            <w:pPr>
              <w:rPr>
                <w:rFonts w:hint="default" w:ascii="Tahoma" w:hAnsi="Tahoma" w:eastAsia="Tahoma" w:cs="Tahoma"/>
                <w:i w:val="0"/>
                <w:iCs w:val="0"/>
                <w:color w:val="000000"/>
                <w:sz w:val="20"/>
                <w:szCs w:val="20"/>
                <w:highlight w:val="none"/>
                <w:u w:val="none"/>
              </w:rPr>
            </w:pPr>
          </w:p>
        </w:tc>
      </w:tr>
      <w:tr w14:paraId="7716D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7A54390E">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70</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1E45EBAC">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乙型肝炎病毒五项检测试剂(胶体金法)</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27F9A456">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25人份/盒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3F2DC439">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4F86755F">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4AA6E912">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442C635F">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6CAFD641">
            <w:pPr>
              <w:rPr>
                <w:rFonts w:hint="default" w:ascii="Tahoma" w:hAnsi="Tahoma" w:eastAsia="Tahoma" w:cs="Tahoma"/>
                <w:i w:val="0"/>
                <w:iCs w:val="0"/>
                <w:color w:val="000000"/>
                <w:sz w:val="20"/>
                <w:szCs w:val="20"/>
                <w:highlight w:val="none"/>
                <w:u w:val="none"/>
              </w:rPr>
            </w:pPr>
          </w:p>
        </w:tc>
      </w:tr>
      <w:tr w14:paraId="7EC1C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6911913A">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71</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027C24BD">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人类免疫缺陷病毒(HIV1/2)抗体检测试剂盒(胶体金法)</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0D92361E">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40人份/盒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6EC8E457">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74665B80">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30DA055D">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7820D682">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3556466D">
            <w:pPr>
              <w:rPr>
                <w:rFonts w:hint="default" w:ascii="Tahoma" w:hAnsi="Tahoma" w:eastAsia="Tahoma" w:cs="Tahoma"/>
                <w:i w:val="0"/>
                <w:iCs w:val="0"/>
                <w:color w:val="000000"/>
                <w:sz w:val="20"/>
                <w:szCs w:val="20"/>
                <w:highlight w:val="none"/>
                <w:u w:val="none"/>
              </w:rPr>
            </w:pPr>
          </w:p>
        </w:tc>
      </w:tr>
      <w:tr w14:paraId="79791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4FE54C37">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72</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1BEB996F">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营养琼脂</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3F5C358A">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250G/瓶</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65D838A7">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瓶</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13CBBBA8">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1CAD9C08">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7581FDD8">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6D03FF4B">
            <w:pPr>
              <w:rPr>
                <w:rFonts w:hint="default" w:ascii="Tahoma" w:hAnsi="Tahoma" w:eastAsia="Tahoma" w:cs="Tahoma"/>
                <w:i w:val="0"/>
                <w:iCs w:val="0"/>
                <w:color w:val="000000"/>
                <w:sz w:val="20"/>
                <w:szCs w:val="20"/>
                <w:highlight w:val="none"/>
                <w:u w:val="none"/>
              </w:rPr>
            </w:pPr>
          </w:p>
        </w:tc>
      </w:tr>
      <w:tr w14:paraId="6281F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3D39EF39">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73</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706A1C07">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营养琼脂培养基</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23064414">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90mm</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331770AF">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块</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11AB16D5">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4724615D">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493E7ECA">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484B9202">
            <w:pPr>
              <w:rPr>
                <w:rFonts w:hint="default" w:ascii="Tahoma" w:hAnsi="Tahoma" w:eastAsia="Tahoma" w:cs="Tahoma"/>
                <w:i w:val="0"/>
                <w:iCs w:val="0"/>
                <w:color w:val="000000"/>
                <w:sz w:val="20"/>
                <w:szCs w:val="20"/>
                <w:highlight w:val="none"/>
                <w:u w:val="none"/>
              </w:rPr>
            </w:pPr>
          </w:p>
        </w:tc>
      </w:tr>
      <w:tr w14:paraId="3999E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1F0B3074">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74</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041E93FF">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肉汤培养基B型(表面检查)</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4F322BC8">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70mm</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0EBD81B6">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支</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4DCAD1A5">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200</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4BDFDE07">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55B2489B">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23D3CED9">
            <w:pPr>
              <w:rPr>
                <w:rFonts w:hint="default" w:ascii="Tahoma" w:hAnsi="Tahoma" w:eastAsia="Tahoma" w:cs="Tahoma"/>
                <w:i w:val="0"/>
                <w:iCs w:val="0"/>
                <w:color w:val="000000"/>
                <w:sz w:val="20"/>
                <w:szCs w:val="20"/>
                <w:highlight w:val="none"/>
                <w:u w:val="none"/>
              </w:rPr>
            </w:pPr>
          </w:p>
        </w:tc>
      </w:tr>
      <w:tr w14:paraId="665AA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5FD3439E">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75</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5E700F59">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肉汤培养基C型(醇类)</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3186F583">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90mm</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005437F0">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支</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3F7AAE00">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089E299D">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2B4D8B93">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3D02A90B">
            <w:pPr>
              <w:rPr>
                <w:rFonts w:hint="default" w:ascii="Tahoma" w:hAnsi="Tahoma" w:eastAsia="Tahoma" w:cs="Tahoma"/>
                <w:i w:val="0"/>
                <w:iCs w:val="0"/>
                <w:color w:val="000000"/>
                <w:sz w:val="20"/>
                <w:szCs w:val="20"/>
                <w:highlight w:val="none"/>
                <w:u w:val="none"/>
              </w:rPr>
            </w:pPr>
          </w:p>
        </w:tc>
      </w:tr>
      <w:tr w14:paraId="7A06C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280E3329">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76</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3EC4A438">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肉汤培养基D型(碘伏)</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13D8F918">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90mm</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63E0F549">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支</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592A671E">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31B81B02">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0863EFF9">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18FB403D">
            <w:pPr>
              <w:rPr>
                <w:rFonts w:hint="default" w:ascii="Tahoma" w:hAnsi="Tahoma" w:eastAsia="Tahoma" w:cs="Tahoma"/>
                <w:i w:val="0"/>
                <w:iCs w:val="0"/>
                <w:color w:val="000000"/>
                <w:sz w:val="20"/>
                <w:szCs w:val="20"/>
                <w:highlight w:val="none"/>
                <w:u w:val="none"/>
              </w:rPr>
            </w:pPr>
          </w:p>
        </w:tc>
      </w:tr>
      <w:tr w14:paraId="5650A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6A5BA936">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77</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513251FD">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一次性灭菌注射器</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379AD9B6">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1包（100支/包，24包/箱），2ML/支</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6B40FEDA">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包</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0A5A9FDB">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32286B4E">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5F7CB812">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78671A1B">
            <w:pPr>
              <w:rPr>
                <w:rFonts w:hint="default" w:ascii="Tahoma" w:hAnsi="Tahoma" w:eastAsia="Tahoma" w:cs="Tahoma"/>
                <w:i w:val="0"/>
                <w:iCs w:val="0"/>
                <w:color w:val="000000"/>
                <w:sz w:val="20"/>
                <w:szCs w:val="20"/>
                <w:highlight w:val="none"/>
                <w:u w:val="none"/>
              </w:rPr>
            </w:pPr>
          </w:p>
        </w:tc>
      </w:tr>
      <w:tr w14:paraId="4A00F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3D447DC5">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78</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1E58F8F5">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一次性使用培养皿</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37F04774">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直径：9cm，10个*50袋。</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4780A1F1">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袋</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03F027FC">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780D9DF9">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5AA2E02D">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20CF278B">
            <w:pPr>
              <w:rPr>
                <w:rFonts w:hint="default" w:ascii="Tahoma" w:hAnsi="Tahoma" w:eastAsia="Tahoma" w:cs="Tahoma"/>
                <w:i w:val="0"/>
                <w:iCs w:val="0"/>
                <w:color w:val="000000"/>
                <w:sz w:val="20"/>
                <w:szCs w:val="20"/>
                <w:highlight w:val="none"/>
                <w:u w:val="none"/>
              </w:rPr>
            </w:pPr>
          </w:p>
        </w:tc>
      </w:tr>
      <w:tr w14:paraId="4DA04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09083F0E">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79</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6C371A26">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一次性接种环</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50FD47F6">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直径：9cm，10个*50袋。</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2CDDB16B">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包</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698CA826">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5816F644">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78C1299E">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64B65C26">
            <w:pPr>
              <w:rPr>
                <w:rFonts w:hint="default" w:ascii="Tahoma" w:hAnsi="Tahoma" w:eastAsia="Tahoma" w:cs="Tahoma"/>
                <w:i w:val="0"/>
                <w:iCs w:val="0"/>
                <w:color w:val="000000"/>
                <w:sz w:val="20"/>
                <w:szCs w:val="20"/>
                <w:highlight w:val="none"/>
                <w:u w:val="none"/>
              </w:rPr>
            </w:pPr>
          </w:p>
        </w:tc>
      </w:tr>
      <w:tr w14:paraId="2831E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4D89D56D">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80</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574408AA">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革兰氏染色液(快速法)</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324BD86E">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250ml*4</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663660BB">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53182952">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7BEEC4FF">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53DBF2E8">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5E3B7D01">
            <w:pPr>
              <w:rPr>
                <w:rFonts w:hint="default" w:ascii="Tahoma" w:hAnsi="Tahoma" w:eastAsia="Tahoma" w:cs="Tahoma"/>
                <w:i w:val="0"/>
                <w:iCs w:val="0"/>
                <w:color w:val="000000"/>
                <w:sz w:val="20"/>
                <w:szCs w:val="20"/>
                <w:highlight w:val="none"/>
                <w:u w:val="none"/>
              </w:rPr>
            </w:pPr>
          </w:p>
        </w:tc>
      </w:tr>
      <w:tr w14:paraId="1BAAE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3A5D289B">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81</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3948CA2C">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肺支原体IgG抗体检测试剂盒</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23A28D7F">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20人/盒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25F62B0B">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35663069">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0E701E8D">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1B50C8F1">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519B1FBD">
            <w:pPr>
              <w:rPr>
                <w:rFonts w:hint="default" w:ascii="Tahoma" w:hAnsi="Tahoma" w:eastAsia="Tahoma" w:cs="Tahoma"/>
                <w:i w:val="0"/>
                <w:iCs w:val="0"/>
                <w:color w:val="000000"/>
                <w:sz w:val="20"/>
                <w:szCs w:val="20"/>
                <w:highlight w:val="none"/>
                <w:u w:val="none"/>
              </w:rPr>
            </w:pPr>
          </w:p>
        </w:tc>
      </w:tr>
      <w:tr w14:paraId="0D4D5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799217E9">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82</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33514B51">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肺支原体IgM抗体检测试剂盒</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7AD09E95">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20人/盒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233CC648">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6455CD8C">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2334F210">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4392FF05">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08DF1496">
            <w:pPr>
              <w:rPr>
                <w:rFonts w:hint="default" w:ascii="Tahoma" w:hAnsi="Tahoma" w:eastAsia="Tahoma" w:cs="Tahoma"/>
                <w:i w:val="0"/>
                <w:iCs w:val="0"/>
                <w:color w:val="000000"/>
                <w:sz w:val="20"/>
                <w:szCs w:val="20"/>
                <w:highlight w:val="none"/>
                <w:u w:val="none"/>
              </w:rPr>
            </w:pPr>
          </w:p>
        </w:tc>
      </w:tr>
      <w:tr w14:paraId="1424A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0B6FB7ED">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83</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66D0AFDE">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人类免疫缺陷病毒（HIV1/2）抗体检测试剂盒（胶体金法）</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68C58B84">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25人份/盒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28C0414A">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704F7FA2">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6F294858">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146AC8FF">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0E6C89B0">
            <w:pPr>
              <w:rPr>
                <w:rFonts w:hint="default" w:ascii="Tahoma" w:hAnsi="Tahoma" w:eastAsia="Tahoma" w:cs="Tahoma"/>
                <w:i w:val="0"/>
                <w:iCs w:val="0"/>
                <w:color w:val="000000"/>
                <w:sz w:val="20"/>
                <w:szCs w:val="20"/>
                <w:highlight w:val="none"/>
                <w:u w:val="none"/>
              </w:rPr>
            </w:pPr>
          </w:p>
        </w:tc>
      </w:tr>
      <w:tr w14:paraId="24E1F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2EAF61A9">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84</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6B3523C7">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钙(Ca)测定试剂盒（偶氮胂III法）</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0C8ED394">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300T（R1：2*150T，R2：2*150T）</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3EAA08A8">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1993E488">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15EE20B0">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3B9B86D4">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6ACBA656">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适配科华C2000</w:t>
            </w:r>
          </w:p>
        </w:tc>
      </w:tr>
      <w:tr w14:paraId="201E1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58943D07">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85</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7C7B3E7A">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镁(Mg)试剂盒（甲基麝香草酚蓝比色法）</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4F81CADA">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300T（R1：2*150T，R2：2*150T）</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2E141D3B">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48A1CA3D">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487F2D66">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1B3BF5B0">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012B9C97">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适配科华C2000</w:t>
            </w:r>
          </w:p>
        </w:tc>
      </w:tr>
      <w:tr w14:paraId="434BE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327A5EA8">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86</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660A2438">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无机磷(IP)检测试剂盒(紫外直接法)</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5328A456">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300测试/盒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58D5E83E">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3FF5E596">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01B0A6E6">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4C76BF49">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1EBE67A1">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适配科华C2000</w:t>
            </w:r>
          </w:p>
        </w:tc>
      </w:tr>
      <w:tr w14:paraId="0D631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7E2673AD">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87</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4FA3D97D">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121℃</w:t>
            </w:r>
            <w:r>
              <w:rPr>
                <w:rStyle w:val="25"/>
                <w:highlight w:val="none"/>
                <w:lang w:val="en-US" w:eastAsia="zh-CN" w:bidi="ar"/>
              </w:rPr>
              <w:t>压力蒸汽灭菌化学指示卡</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1EB8B538">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200</w:t>
            </w:r>
            <w:r>
              <w:rPr>
                <w:rStyle w:val="25"/>
                <w:highlight w:val="none"/>
                <w:lang w:val="en-US" w:eastAsia="zh-CN" w:bidi="ar"/>
              </w:rPr>
              <w:t>片</w:t>
            </w:r>
            <w:r>
              <w:rPr>
                <w:rStyle w:val="24"/>
                <w:highlight w:val="none"/>
                <w:lang w:val="en-US" w:eastAsia="zh-CN" w:bidi="ar"/>
              </w:rPr>
              <w:t>/</w:t>
            </w:r>
            <w:r>
              <w:rPr>
                <w:rStyle w:val="25"/>
                <w:highlight w:val="none"/>
                <w:lang w:val="en-US" w:eastAsia="zh-CN" w:bidi="ar"/>
              </w:rPr>
              <w:t>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57336ED0">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72A99CC0">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7</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16F754B8">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2D45DB8C">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6771252F">
            <w:pPr>
              <w:rPr>
                <w:rFonts w:hint="default" w:ascii="Tahoma" w:hAnsi="Tahoma" w:eastAsia="Tahoma" w:cs="Tahoma"/>
                <w:i w:val="0"/>
                <w:iCs w:val="0"/>
                <w:color w:val="000000"/>
                <w:sz w:val="20"/>
                <w:szCs w:val="20"/>
                <w:highlight w:val="none"/>
                <w:u w:val="none"/>
              </w:rPr>
            </w:pPr>
          </w:p>
        </w:tc>
      </w:tr>
      <w:tr w14:paraId="21A91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206C9D06">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88</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6485EDCE">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人基质复合生化校准血清</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51E4C707">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水平3，20*5ml</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1E9B0C91">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50E8F3A9">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703F1B4B">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36E0660A">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509F68C5">
            <w:pPr>
              <w:rPr>
                <w:rFonts w:hint="default" w:ascii="Tahoma" w:hAnsi="Tahoma" w:eastAsia="Tahoma" w:cs="Tahoma"/>
                <w:i w:val="0"/>
                <w:iCs w:val="0"/>
                <w:color w:val="000000"/>
                <w:sz w:val="20"/>
                <w:szCs w:val="20"/>
                <w:highlight w:val="none"/>
                <w:u w:val="none"/>
              </w:rPr>
            </w:pPr>
          </w:p>
        </w:tc>
      </w:tr>
      <w:tr w14:paraId="0AF55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3380E1FD">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89</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3F6D3915">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丙氨酸氨基转移酶检测试剂盒(速率法)</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153860B3">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R1:4*60mlR2:2*60ml/盒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0EA431B2">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144D480A">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3E78CE43">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4E2BA0F8">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347CBAF2">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适配科华C2000</w:t>
            </w:r>
          </w:p>
        </w:tc>
      </w:tr>
      <w:tr w14:paraId="11EC9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4215684B">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90</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172D2EDC">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天门冬氨酸氨基转移酶检测试剂盒(速率法)</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3F42C6A4">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R1:4*60mlR2:2*60ml/盒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36DBA3C6">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382F1C03">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4AE135D5">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3222D5EB">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03B90D36">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适配科华C2000</w:t>
            </w:r>
          </w:p>
        </w:tc>
      </w:tr>
      <w:tr w14:paraId="4FC1C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0BA5B82E">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91</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50B0F261">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γ-谷氨酰基转移酶检测试剂盒(速率法)</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5D4F2B43">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R1:4*60mlR2:4*15ml/盒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51E03CF0">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3BB5EAE7">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5A65AEBC">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15F48774">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379B5FE2">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适配科华C2000</w:t>
            </w:r>
          </w:p>
        </w:tc>
      </w:tr>
      <w:tr w14:paraId="4AF7F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7EC4B7B6">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92</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6DB910E4">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白蛋白检测试剂盒(溴甲酚绿法)</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57DD1947">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4*60ml/盒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5DA2B7BC">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152AFA13">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2BA7F097">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6C722C84">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1EF00428">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适配科华C2000</w:t>
            </w:r>
          </w:p>
        </w:tc>
      </w:tr>
      <w:tr w14:paraId="62892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244B7606">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93</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264CE604">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总蛋白检测试剂盒(双缩脲法)</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1289D466">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4*60ml/盒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32C86B3C">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18F5DE1C">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150DBFF0">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5305B231">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0433DE97">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适配科华C2000</w:t>
            </w:r>
          </w:p>
        </w:tc>
      </w:tr>
      <w:tr w14:paraId="6451D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33B27042">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94</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583E5736">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总胆红素检测试剂盒(氧化法)</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39F6B322">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R1:4*60mlR2:4*15ml/盒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59D623C6">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405FAF22">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7138A491">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345D075F">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6442105F">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适配科华C2000</w:t>
            </w:r>
          </w:p>
        </w:tc>
      </w:tr>
      <w:tr w14:paraId="3A123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52EA4C6E">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95</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576BAC05">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直接胆红素检测试剂盒(氧化法)</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0E669EB5">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R1:4*60mlR2:4*15ml/盒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3C54B705">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108077E5">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5944CDF7">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4433E84F">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0BF1687E">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适配科华C2000</w:t>
            </w:r>
          </w:p>
        </w:tc>
      </w:tr>
      <w:tr w14:paraId="70E93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76878929">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96</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0FA6A4C9">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碱性磷酸酶检测试剂盒(速率法)</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55761C0A">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R1:4*60mlR2:4*15ml/盒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35218C86">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01A4901D">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6008AC5C">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2AF0E722">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777BB845">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适配科华C2000</w:t>
            </w:r>
          </w:p>
        </w:tc>
      </w:tr>
      <w:tr w14:paraId="756A1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4769918E">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97</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29C56DA0">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尿素检测试剂盒(酶法)</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12E0CB06">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R1:4*60mlR2:4*15ml/盒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6DECA41B">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60CB19DB">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11C44984">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57F59362">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3FC292C1">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适配科华C2000</w:t>
            </w:r>
          </w:p>
        </w:tc>
      </w:tr>
      <w:tr w14:paraId="511E4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271DC114">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98</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1ECF02AC">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尿酸检测试剂盒(酶法)</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53E4DFBC">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R1:4*60mlR2:4*15ml/盒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5C255D26">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60EAB999">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67BCDE71">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245F5BA0">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3DB95D6D">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适配科华C2000</w:t>
            </w:r>
          </w:p>
        </w:tc>
      </w:tr>
      <w:tr w14:paraId="45A41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1C84316C">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99</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61A3712E">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肌酐检测试剂盒(酶法)</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18BCE65A">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R1:4*60mlR2:2*40ml/盒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482390CB">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3437C3B4">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4F325494">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057025ED">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59059C6D">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适配科华C2000</w:t>
            </w:r>
          </w:p>
        </w:tc>
      </w:tr>
      <w:tr w14:paraId="3CB54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771314FA">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100</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4D27F6CF">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葡萄糖检测试剂盒(氧化酶法)</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33159AC4">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R1:4*60mlR2:2*30ml/盒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0366DBBE">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34752DBB">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9</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4CAB0D23">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6238B621">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37FEF91B">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适配科华C2000</w:t>
            </w:r>
          </w:p>
        </w:tc>
      </w:tr>
      <w:tr w14:paraId="05372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369A2444">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101</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4D59FAD9">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总胆固醇检测试剂盒(氧化酶法)</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43F435F9">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R1:4*60mlR2:2*40ml/盒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0F4377EB">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6C3D44E2">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1061168D">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6F0329CE">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5470478A">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适配科华C2000</w:t>
            </w:r>
          </w:p>
        </w:tc>
      </w:tr>
      <w:tr w14:paraId="04D5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6F72D46D">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102</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60D30108">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甘油三酯检测试剂盒(氧化酶法)</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3BBA7B94">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R1:4*60mlR2:2*40ml/盒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5CD8F7AA">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1CEC3AE0">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61A2FFCA">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73B6EBCD">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492A529A">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适配科华C2000</w:t>
            </w:r>
          </w:p>
        </w:tc>
      </w:tr>
      <w:tr w14:paraId="221E3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654F8E5E">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103</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01A50F55">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高密度脂蛋白胆固醇检测试剂盒(直接法)</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0BE871D3">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R1:4*60mlR2:2*40ml/盒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7A5EE518">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01A59AC3">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2F6E63E3">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2212536E">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589760F4">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适配科华C2000</w:t>
            </w:r>
          </w:p>
        </w:tc>
      </w:tr>
      <w:tr w14:paraId="5023E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0CE8C845">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104</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425F42FA">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低密度脂蛋白胆固醇检测试剂盒(直接法)</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2A5752CA">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R1:4*60mlR2:2*40ml/盒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0D68B778">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46DF8E8A">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584F2CDD">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55072AA6">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7E02A808">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适配科华C2000</w:t>
            </w:r>
          </w:p>
        </w:tc>
      </w:tr>
      <w:tr w14:paraId="4819D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5DCE29ED">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105</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79014816">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C-</w:t>
            </w:r>
            <w:r>
              <w:rPr>
                <w:rStyle w:val="25"/>
                <w:highlight w:val="none"/>
                <w:lang w:val="en-US" w:eastAsia="zh-CN" w:bidi="ar"/>
              </w:rPr>
              <w:t>反应蛋白检测试剂盒</w:t>
            </w:r>
            <w:r>
              <w:rPr>
                <w:rStyle w:val="24"/>
                <w:highlight w:val="none"/>
                <w:lang w:val="en-US" w:eastAsia="zh-CN" w:bidi="ar"/>
              </w:rPr>
              <w:t>(</w:t>
            </w:r>
            <w:r>
              <w:rPr>
                <w:rStyle w:val="25"/>
                <w:highlight w:val="none"/>
                <w:lang w:val="en-US" w:eastAsia="zh-CN" w:bidi="ar"/>
              </w:rPr>
              <w:t>免疫比浊法</w:t>
            </w:r>
            <w:r>
              <w:rPr>
                <w:rStyle w:val="24"/>
                <w:highlight w:val="none"/>
                <w:lang w:val="en-US" w:eastAsia="zh-CN" w:bidi="ar"/>
              </w:rPr>
              <w:t>)</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4F3EFAE4">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R1:2*60mlR2:2*15ml/盒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668AF0FE">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32701924">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728D1DC9">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0C6186C9">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01603416">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适配科华C2000</w:t>
            </w:r>
          </w:p>
        </w:tc>
      </w:tr>
      <w:tr w14:paraId="63B8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2C7E2275">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106</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2B3F50EC">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载脂蛋白</w:t>
            </w:r>
            <w:r>
              <w:rPr>
                <w:rStyle w:val="24"/>
                <w:highlight w:val="none"/>
                <w:lang w:val="en-US" w:eastAsia="zh-CN" w:bidi="ar"/>
              </w:rPr>
              <w:t>A1</w:t>
            </w:r>
            <w:r>
              <w:rPr>
                <w:rStyle w:val="25"/>
                <w:highlight w:val="none"/>
                <w:lang w:val="en-US" w:eastAsia="zh-CN" w:bidi="ar"/>
              </w:rPr>
              <w:t>检测试剂盒</w:t>
            </w:r>
            <w:r>
              <w:rPr>
                <w:rStyle w:val="24"/>
                <w:highlight w:val="none"/>
                <w:lang w:val="en-US" w:eastAsia="zh-CN" w:bidi="ar"/>
              </w:rPr>
              <w:t>(</w:t>
            </w:r>
            <w:r>
              <w:rPr>
                <w:rStyle w:val="25"/>
                <w:highlight w:val="none"/>
                <w:lang w:val="en-US" w:eastAsia="zh-CN" w:bidi="ar"/>
              </w:rPr>
              <w:t>免疫比浊法</w:t>
            </w:r>
            <w:r>
              <w:rPr>
                <w:rStyle w:val="24"/>
                <w:highlight w:val="none"/>
                <w:lang w:val="en-US" w:eastAsia="zh-CN" w:bidi="ar"/>
              </w:rPr>
              <w:t>)</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02126060">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R1:2*60mlR2:2*20ml/盒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188B1BE5">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427FD7BA">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2DDC6F31">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04B99C0C">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6D65910F">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适配科华C2000</w:t>
            </w:r>
          </w:p>
        </w:tc>
      </w:tr>
      <w:tr w14:paraId="6DF6A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6C60B7EC">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107</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26C1145C">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载脂蛋白</w:t>
            </w:r>
            <w:r>
              <w:rPr>
                <w:rStyle w:val="24"/>
                <w:highlight w:val="none"/>
                <w:lang w:val="en-US" w:eastAsia="zh-CN" w:bidi="ar"/>
              </w:rPr>
              <w:t>B</w:t>
            </w:r>
            <w:r>
              <w:rPr>
                <w:rStyle w:val="25"/>
                <w:highlight w:val="none"/>
                <w:lang w:val="en-US" w:eastAsia="zh-CN" w:bidi="ar"/>
              </w:rPr>
              <w:t>检测试剂盒</w:t>
            </w:r>
            <w:r>
              <w:rPr>
                <w:rStyle w:val="24"/>
                <w:highlight w:val="none"/>
                <w:lang w:val="en-US" w:eastAsia="zh-CN" w:bidi="ar"/>
              </w:rPr>
              <w:t>(</w:t>
            </w:r>
            <w:r>
              <w:rPr>
                <w:rStyle w:val="25"/>
                <w:highlight w:val="none"/>
                <w:lang w:val="en-US" w:eastAsia="zh-CN" w:bidi="ar"/>
              </w:rPr>
              <w:t>免疫比浊法</w:t>
            </w:r>
            <w:r>
              <w:rPr>
                <w:rStyle w:val="24"/>
                <w:highlight w:val="none"/>
                <w:lang w:val="en-US" w:eastAsia="zh-CN" w:bidi="ar"/>
              </w:rPr>
              <w:t>)</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699D11F8">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R1:2*60mlR2:2*20ml/盒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3965DDAE">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23C1BE6A">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432DDC3F">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25C1943E">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5CDC9BB9">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适配科华C2000</w:t>
            </w:r>
          </w:p>
        </w:tc>
      </w:tr>
      <w:tr w14:paraId="1CA1A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22DC6290">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108</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059A73EA">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α-羟丁酸脱氢酶检测试剂盒(速率法)</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12E77B9F">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R1:4*60mlR2:4*15ml/盒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1834D061">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07D01728">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3E55A8E3">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0EBF3B87">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63285CAB">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适配科华C2000</w:t>
            </w:r>
          </w:p>
        </w:tc>
      </w:tr>
      <w:tr w14:paraId="28287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4CAF2B00">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109</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0972352B">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肌酸激酶检测试剂盒(速率法)</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2142596D">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R1:4*60mlR2:4*15ml/盒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17E451FE">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6D5F84DD">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263697BF">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085807AC">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0C5F0F5B">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适配科华C2000</w:t>
            </w:r>
          </w:p>
        </w:tc>
      </w:tr>
      <w:tr w14:paraId="2A36B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2A02B69D">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110</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21AE4485">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肌酸激酶同工酶检测试剂盒(速率法)</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5E6F3E5D">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R1:4*60mlR2:4*15ml/盒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1B28A636">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4A674DDA">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23561005">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2BAB1371">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76C56803">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适配科华C2000</w:t>
            </w:r>
          </w:p>
        </w:tc>
      </w:tr>
      <w:tr w14:paraId="7CA2C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65373487">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111</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77E7ED4A">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乳酸脱氢酶检测试剂盒(速率法)</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7F4E7441">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R1:4*60mlR2:4*15ml/盒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17205796">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5BDC6537">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76FA3EC9">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3FD5CCFD">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4AED3D15">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适配科华C2000</w:t>
            </w:r>
          </w:p>
        </w:tc>
      </w:tr>
      <w:tr w14:paraId="0A3D4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2D4FD19F">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112</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7021854F">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糖化血红蛋白检测试剂盒(免疫比浊法)</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6C35C6D5">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R1:1*45mlR2:1*15mlR3:2*65ml/盒</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3BB6A1F1">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0031CD01">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3E941735">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274FFA2A">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04A3E654">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适配科华C2000</w:t>
            </w:r>
          </w:p>
        </w:tc>
      </w:tr>
      <w:tr w14:paraId="50D0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0B9B23EF">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113</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013D1806">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高密度脂蛋白(HDL)校准品</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3E74637F">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1*1ml</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409853E8">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1E515C01">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5D839543">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642AB957">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11C74978">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适配相应试剂</w:t>
            </w:r>
          </w:p>
        </w:tc>
      </w:tr>
      <w:tr w14:paraId="348CD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25C2F79A">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114</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5ACC7CDB">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低密度脂蛋白</w:t>
            </w:r>
            <w:r>
              <w:rPr>
                <w:rStyle w:val="24"/>
                <w:highlight w:val="none"/>
                <w:lang w:val="en-US" w:eastAsia="zh-CN" w:bidi="ar"/>
              </w:rPr>
              <w:t>(LDL)</w:t>
            </w:r>
            <w:r>
              <w:rPr>
                <w:rStyle w:val="25"/>
                <w:highlight w:val="none"/>
                <w:lang w:val="en-US" w:eastAsia="zh-CN" w:bidi="ar"/>
              </w:rPr>
              <w:t>校准品</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2E084FE5">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1*1ml</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5CC991EA">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1DA46C39">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426C39B3">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54B5D202">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08729142">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适配相应试剂</w:t>
            </w:r>
          </w:p>
        </w:tc>
      </w:tr>
      <w:tr w14:paraId="056D8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7B1D7B4A">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115</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00E351CF">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载脂蛋白</w:t>
            </w:r>
            <w:r>
              <w:rPr>
                <w:rStyle w:val="24"/>
                <w:highlight w:val="none"/>
                <w:lang w:val="en-US" w:eastAsia="zh-CN" w:bidi="ar"/>
              </w:rPr>
              <w:t>A1</w:t>
            </w:r>
            <w:r>
              <w:rPr>
                <w:rStyle w:val="25"/>
                <w:highlight w:val="none"/>
                <w:lang w:val="en-US" w:eastAsia="zh-CN" w:bidi="ar"/>
              </w:rPr>
              <w:t>校准品</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2B010A3D">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1*1ml</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7EEE6CA7">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0DE9A2DD">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696D41FF">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64F09B3D">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74C8A271">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适配相应试剂</w:t>
            </w:r>
          </w:p>
        </w:tc>
      </w:tr>
      <w:tr w14:paraId="13105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7F38FECF">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116</w:t>
            </w:r>
          </w:p>
        </w:tc>
        <w:tc>
          <w:tcPr>
            <w:tcW w:w="2085" w:type="dxa"/>
            <w:tcBorders>
              <w:top w:val="single" w:color="000000" w:sz="4" w:space="0"/>
              <w:left w:val="single" w:color="000000" w:sz="4" w:space="0"/>
              <w:bottom w:val="single" w:color="000000" w:sz="4" w:space="0"/>
              <w:right w:val="single" w:color="000000" w:sz="4" w:space="0"/>
            </w:tcBorders>
            <w:noWrap/>
            <w:vAlign w:val="bottom"/>
          </w:tcPr>
          <w:p w14:paraId="27B2A384">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载脂蛋白</w:t>
            </w:r>
            <w:r>
              <w:rPr>
                <w:rStyle w:val="24"/>
                <w:highlight w:val="none"/>
                <w:lang w:val="en-US" w:eastAsia="zh-CN" w:bidi="ar"/>
              </w:rPr>
              <w:t>B</w:t>
            </w:r>
            <w:r>
              <w:rPr>
                <w:rStyle w:val="25"/>
                <w:highlight w:val="none"/>
                <w:lang w:val="en-US" w:eastAsia="zh-CN" w:bidi="ar"/>
              </w:rPr>
              <w:t>校准品</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15A316CE">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1*1ml</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3D3DC099">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40DAE6B3">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3B3C8C4B">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71705E01">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2CE363B0">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适配相应试剂</w:t>
            </w:r>
          </w:p>
        </w:tc>
      </w:tr>
      <w:tr w14:paraId="11978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bottom"/>
          </w:tcPr>
          <w:p w14:paraId="79A9B7A0">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117</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5B3CCFB4">
            <w:pPr>
              <w:keepNext w:val="0"/>
              <w:keepLines w:val="0"/>
              <w:widowControl/>
              <w:suppressLineNumbers w:val="0"/>
              <w:jc w:val="left"/>
              <w:textAlignment w:val="center"/>
              <w:rPr>
                <w:rFonts w:hint="default" w:ascii="Tahoma" w:hAnsi="Tahoma" w:eastAsia="Tahoma" w:cs="Tahoma"/>
                <w:i w:val="0"/>
                <w:iCs w:val="0"/>
                <w:color w:val="000000"/>
                <w:sz w:val="20"/>
                <w:szCs w:val="20"/>
                <w:highlight w:val="none"/>
                <w:u w:val="none"/>
              </w:rPr>
            </w:pPr>
            <w:r>
              <w:rPr>
                <w:rStyle w:val="24"/>
                <w:highlight w:val="none"/>
                <w:lang w:val="en-US" w:eastAsia="zh-CN" w:bidi="ar"/>
              </w:rPr>
              <w:t>C-</w:t>
            </w:r>
            <w:r>
              <w:rPr>
                <w:rStyle w:val="25"/>
                <w:highlight w:val="none"/>
                <w:lang w:val="en-US" w:eastAsia="zh-CN" w:bidi="ar"/>
              </w:rPr>
              <w:t>反应蛋白校准品</w:t>
            </w:r>
          </w:p>
        </w:tc>
        <w:tc>
          <w:tcPr>
            <w:tcW w:w="2580" w:type="dxa"/>
            <w:tcBorders>
              <w:top w:val="single" w:color="000000" w:sz="4" w:space="0"/>
              <w:left w:val="single" w:color="000000" w:sz="4" w:space="0"/>
              <w:bottom w:val="single" w:color="000000" w:sz="4" w:space="0"/>
              <w:right w:val="single" w:color="000000" w:sz="4" w:space="0"/>
            </w:tcBorders>
            <w:noWrap/>
            <w:vAlign w:val="bottom"/>
          </w:tcPr>
          <w:p w14:paraId="79188951">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5*0.5ml</w:t>
            </w:r>
          </w:p>
        </w:tc>
        <w:tc>
          <w:tcPr>
            <w:tcW w:w="660" w:type="dxa"/>
            <w:tcBorders>
              <w:top w:val="single" w:color="000000" w:sz="4" w:space="0"/>
              <w:left w:val="single" w:color="000000" w:sz="4" w:space="0"/>
              <w:bottom w:val="single" w:color="000000" w:sz="4" w:space="0"/>
              <w:right w:val="single" w:color="000000" w:sz="4" w:space="0"/>
            </w:tcBorders>
            <w:noWrap/>
            <w:vAlign w:val="bottom"/>
          </w:tcPr>
          <w:p w14:paraId="16F97653">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noWrap/>
            <w:vAlign w:val="bottom"/>
          </w:tcPr>
          <w:p w14:paraId="0E9DE61A">
            <w:pPr>
              <w:keepNext w:val="0"/>
              <w:keepLines w:val="0"/>
              <w:widowControl/>
              <w:suppressLineNumbers w:val="0"/>
              <w:jc w:val="righ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ign w:val="bottom"/>
          </w:tcPr>
          <w:p w14:paraId="1F10D391">
            <w:pPr>
              <w:rPr>
                <w:rFonts w:hint="default" w:ascii="Tahoma" w:hAnsi="Tahoma" w:eastAsia="Tahoma" w:cs="Tahoma"/>
                <w:i w:val="0"/>
                <w:iCs w:val="0"/>
                <w:color w:val="000000"/>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noWrap/>
            <w:vAlign w:val="bottom"/>
          </w:tcPr>
          <w:p w14:paraId="6BDAB1B9">
            <w:pPr>
              <w:rPr>
                <w:rFonts w:hint="default" w:ascii="Tahoma" w:hAnsi="Tahoma" w:eastAsia="Tahoma" w:cs="Tahoma"/>
                <w:i w:val="0"/>
                <w:iCs w:val="0"/>
                <w:color w:val="000000"/>
                <w:sz w:val="20"/>
                <w:szCs w:val="20"/>
                <w:highlight w:val="none"/>
                <w:u w:val="none"/>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71167F8B">
            <w:pPr>
              <w:keepNext w:val="0"/>
              <w:keepLines w:val="0"/>
              <w:widowControl/>
              <w:suppressLineNumbers w:val="0"/>
              <w:jc w:val="left"/>
              <w:textAlignment w:val="bottom"/>
              <w:rPr>
                <w:rFonts w:hint="default" w:ascii="Tahoma" w:hAnsi="Tahoma" w:eastAsia="Tahoma" w:cs="Tahoma"/>
                <w:i w:val="0"/>
                <w:iCs w:val="0"/>
                <w:color w:val="000000"/>
                <w:sz w:val="20"/>
                <w:szCs w:val="20"/>
                <w:highlight w:val="none"/>
                <w:u w:val="none"/>
              </w:rPr>
            </w:pPr>
            <w:r>
              <w:rPr>
                <w:rFonts w:hint="default" w:ascii="Tahoma" w:hAnsi="Tahoma" w:eastAsia="Tahoma" w:cs="Tahoma"/>
                <w:i w:val="0"/>
                <w:iCs w:val="0"/>
                <w:color w:val="000000"/>
                <w:kern w:val="0"/>
                <w:sz w:val="20"/>
                <w:szCs w:val="20"/>
                <w:highlight w:val="none"/>
                <w:u w:val="none"/>
                <w:lang w:val="en-US" w:eastAsia="zh-CN" w:bidi="ar"/>
              </w:rPr>
              <w:t>适配相应试剂</w:t>
            </w:r>
          </w:p>
        </w:tc>
      </w:tr>
    </w:tbl>
    <w:p w14:paraId="6AF9B1F5">
      <w:pPr>
        <w:pStyle w:val="2"/>
        <w:ind w:left="0" w:leftChars="0" w:firstLine="0" w:firstLineChars="0"/>
        <w:rPr>
          <w:rFonts w:hint="eastAsia"/>
          <w:highlight w:val="none"/>
        </w:rPr>
      </w:pPr>
    </w:p>
    <w:p w14:paraId="5497FD75">
      <w:pPr>
        <w:rPr>
          <w:rFonts w:hint="eastAsia"/>
          <w:b/>
          <w:bCs/>
          <w:highlight w:val="none"/>
          <w:lang w:val="en-US" w:eastAsia="zh-CN"/>
        </w:rPr>
      </w:pPr>
      <w:r>
        <w:rPr>
          <w:rFonts w:hint="eastAsia"/>
          <w:b/>
          <w:bCs/>
          <w:highlight w:val="none"/>
          <w:lang w:val="en-US" w:eastAsia="zh-CN"/>
        </w:rPr>
        <w:t>注：</w:t>
      </w:r>
    </w:p>
    <w:p w14:paraId="4E45067C">
      <w:pPr>
        <w:rPr>
          <w:rFonts w:hint="eastAsia"/>
          <w:b/>
          <w:bCs/>
          <w:highlight w:val="none"/>
        </w:rPr>
      </w:pPr>
      <w:r>
        <w:rPr>
          <w:rFonts w:hint="eastAsia"/>
          <w:b/>
          <w:bCs/>
          <w:highlight w:val="none"/>
          <w:lang w:val="en-US" w:eastAsia="zh-CN"/>
        </w:rPr>
        <w:t>1.</w:t>
      </w:r>
      <w:r>
        <w:rPr>
          <w:rFonts w:hint="eastAsia"/>
          <w:b/>
          <w:bCs/>
          <w:highlight w:val="none"/>
        </w:rPr>
        <w:t>中标人提供的货物必须适用于招标人检测设备，送货前双方要协调沟通，否则招标人有权利要求退换。</w:t>
      </w:r>
    </w:p>
    <w:p w14:paraId="56D626B1">
      <w:pPr>
        <w:rPr>
          <w:rFonts w:hint="default"/>
          <w:b/>
          <w:bCs/>
          <w:highlight w:val="none"/>
          <w:lang w:val="en-US"/>
        </w:rPr>
      </w:pPr>
      <w:r>
        <w:rPr>
          <w:rFonts w:hint="eastAsia"/>
          <w:b/>
          <w:bCs/>
          <w:highlight w:val="none"/>
          <w:lang w:val="en-US" w:eastAsia="zh-CN"/>
        </w:rPr>
        <w:t>2.提供电子版投标文件中，须提供与投标文件相同的excel版货物清单，以便开标时核对分项报价与总价是否相符。</w:t>
      </w:r>
    </w:p>
    <w:p w14:paraId="7285B55A">
      <w:pPr>
        <w:spacing w:line="360" w:lineRule="auto"/>
        <w:ind w:left="437"/>
        <w:rPr>
          <w:rFonts w:hint="eastAsia" w:ascii="宋体" w:hAnsi="宋体"/>
          <w:b/>
          <w:bCs/>
          <w:sz w:val="24"/>
          <w:szCs w:val="18"/>
          <w:highlight w:val="none"/>
        </w:rPr>
      </w:pPr>
    </w:p>
    <w:p w14:paraId="19D60C9A">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default" w:ascii="宋体" w:hAnsi="宋体" w:eastAsia="宋体"/>
          <w:b/>
          <w:bCs/>
          <w:sz w:val="24"/>
          <w:szCs w:val="18"/>
          <w:highlight w:val="none"/>
          <w:lang w:val="en-US" w:eastAsia="zh-CN"/>
        </w:rPr>
      </w:pPr>
      <w:r>
        <w:rPr>
          <w:rFonts w:hint="eastAsia" w:ascii="宋体" w:hAnsi="宋体"/>
          <w:b/>
          <w:bCs/>
          <w:sz w:val="24"/>
          <w:szCs w:val="18"/>
          <w:highlight w:val="none"/>
        </w:rPr>
        <w:t>三、</w:t>
      </w:r>
      <w:r>
        <w:rPr>
          <w:rFonts w:hint="eastAsia" w:ascii="宋体" w:hAnsi="宋体"/>
          <w:b/>
          <w:bCs/>
          <w:sz w:val="24"/>
          <w:szCs w:val="18"/>
          <w:highlight w:val="none"/>
          <w:lang w:val="en-US" w:eastAsia="zh-CN"/>
        </w:rPr>
        <w:t>报价要求</w:t>
      </w:r>
    </w:p>
    <w:p w14:paraId="23A9B8E3">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sz w:val="24"/>
          <w:szCs w:val="18"/>
          <w:highlight w:val="none"/>
          <w:lang w:eastAsia="zh-CN"/>
        </w:rPr>
      </w:pPr>
      <w:r>
        <w:rPr>
          <w:rFonts w:hint="eastAsia" w:ascii="宋体" w:hAnsi="宋体"/>
          <w:b/>
          <w:bCs/>
          <w:sz w:val="24"/>
          <w:szCs w:val="18"/>
          <w:highlight w:val="none"/>
          <w:lang w:val="en-US" w:eastAsia="zh-CN"/>
        </w:rPr>
        <w:t>1.</w:t>
      </w:r>
      <w:r>
        <w:rPr>
          <w:rFonts w:hint="eastAsia" w:ascii="宋体" w:hAnsi="宋体"/>
          <w:b/>
          <w:bCs/>
          <w:sz w:val="24"/>
          <w:szCs w:val="18"/>
          <w:highlight w:val="none"/>
        </w:rPr>
        <w:t>本项目采用总价报价和各产品分项报价相结合，最终以总价定标，分项报价作为结算依据</w:t>
      </w:r>
      <w:r>
        <w:rPr>
          <w:rFonts w:hint="eastAsia" w:ascii="宋体" w:hAnsi="宋体" w:eastAsia="宋体"/>
          <w:b/>
          <w:bCs/>
          <w:sz w:val="24"/>
          <w:szCs w:val="18"/>
          <w:highlight w:val="none"/>
          <w:lang w:val="en-US" w:eastAsia="zh-CN"/>
        </w:rPr>
        <w:t>。</w:t>
      </w:r>
      <w:r>
        <w:rPr>
          <w:rFonts w:hint="eastAsia" w:ascii="宋体" w:hAnsi="宋体" w:eastAsia="宋体"/>
          <w:sz w:val="24"/>
          <w:szCs w:val="18"/>
          <w:highlight w:val="none"/>
        </w:rPr>
        <w:t>投标人的报价</w:t>
      </w:r>
      <w:r>
        <w:rPr>
          <w:rFonts w:hint="eastAsia" w:ascii="宋体" w:hAnsi="宋体"/>
          <w:sz w:val="24"/>
          <w:szCs w:val="18"/>
          <w:highlight w:val="none"/>
        </w:rPr>
        <w:t>应包含不限于所投货物、</w:t>
      </w:r>
      <w:r>
        <w:rPr>
          <w:rFonts w:hint="eastAsia" w:ascii="宋体" w:hAnsi="宋体"/>
          <w:sz w:val="24"/>
          <w:szCs w:val="18"/>
          <w:highlight w:val="none"/>
          <w:lang w:val="en-US" w:eastAsia="zh-CN"/>
        </w:rPr>
        <w:t>达到可使用状态的全部辅材、</w:t>
      </w:r>
      <w:r>
        <w:rPr>
          <w:rFonts w:hint="eastAsia" w:ascii="宋体" w:hAnsi="宋体"/>
          <w:sz w:val="24"/>
          <w:szCs w:val="18"/>
          <w:highlight w:val="none"/>
        </w:rPr>
        <w:t>保险、税费、包装、加工及加工损耗、运输</w:t>
      </w:r>
      <w:r>
        <w:rPr>
          <w:rFonts w:hint="eastAsia" w:ascii="宋体" w:hAnsi="宋体"/>
          <w:sz w:val="24"/>
          <w:szCs w:val="18"/>
          <w:highlight w:val="none"/>
          <w:lang w:eastAsia="zh-CN"/>
        </w:rPr>
        <w:t>（</w:t>
      </w:r>
      <w:r>
        <w:rPr>
          <w:rFonts w:hint="eastAsia" w:ascii="宋体" w:hAnsi="宋体"/>
          <w:b/>
          <w:bCs/>
          <w:sz w:val="24"/>
          <w:szCs w:val="18"/>
          <w:highlight w:val="none"/>
          <w:lang w:val="en-US" w:eastAsia="zh-CN"/>
        </w:rPr>
        <w:t>含冷链运输</w:t>
      </w:r>
      <w:r>
        <w:rPr>
          <w:rFonts w:hint="eastAsia" w:ascii="宋体" w:hAnsi="宋体"/>
          <w:sz w:val="24"/>
          <w:szCs w:val="18"/>
          <w:highlight w:val="none"/>
          <w:lang w:eastAsia="zh-CN"/>
        </w:rPr>
        <w:t>）</w:t>
      </w:r>
      <w:r>
        <w:rPr>
          <w:rFonts w:hint="eastAsia" w:ascii="宋体" w:hAnsi="宋体"/>
          <w:sz w:val="24"/>
          <w:szCs w:val="18"/>
          <w:highlight w:val="none"/>
        </w:rPr>
        <w:t>、现场落地、安装及安装损耗、调试、检测、验收、施工措施、规费税金和交付后约定期限内免费维保等工作所发生的一切应有费用，</w:t>
      </w:r>
      <w:r>
        <w:rPr>
          <w:rFonts w:hint="eastAsia" w:ascii="宋体" w:hAnsi="宋体"/>
          <w:sz w:val="24"/>
          <w:szCs w:val="18"/>
          <w:highlight w:val="none"/>
          <w:lang w:val="en-US" w:eastAsia="zh-CN"/>
        </w:rPr>
        <w:t>本项目单价不做调整，数量据实结算</w:t>
      </w:r>
      <w:r>
        <w:rPr>
          <w:rFonts w:hint="eastAsia" w:ascii="宋体" w:hAnsi="宋体"/>
          <w:sz w:val="24"/>
          <w:szCs w:val="18"/>
          <w:highlight w:val="none"/>
        </w:rPr>
        <w:t>。以上所有费用均由成交投标人承担，投标人应自行考虑本项目报价风险</w:t>
      </w:r>
      <w:r>
        <w:rPr>
          <w:rFonts w:hint="eastAsia" w:ascii="宋体" w:hAnsi="宋体"/>
          <w:sz w:val="24"/>
          <w:szCs w:val="18"/>
          <w:highlight w:val="none"/>
          <w:lang w:eastAsia="zh-CN"/>
        </w:rPr>
        <w:t>。</w:t>
      </w:r>
    </w:p>
    <w:p w14:paraId="6967CF8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eastAsia="宋体" w:cs="宋体"/>
          <w:sz w:val="24"/>
          <w:szCs w:val="24"/>
          <w:highlight w:val="none"/>
        </w:rPr>
      </w:pPr>
      <w:r>
        <w:rPr>
          <w:rFonts w:hint="eastAsia" w:ascii="宋体" w:hAnsi="宋体"/>
          <w:sz w:val="24"/>
          <w:szCs w:val="18"/>
          <w:highlight w:val="none"/>
          <w:lang w:val="en-US" w:eastAsia="zh-CN"/>
        </w:rPr>
        <w:t>2</w:t>
      </w:r>
      <w:r>
        <w:rPr>
          <w:rFonts w:ascii="宋体" w:hAnsi="宋体" w:eastAsia="宋体" w:cs="宋体"/>
          <w:sz w:val="24"/>
          <w:szCs w:val="24"/>
          <w:highlight w:val="none"/>
        </w:rPr>
        <w:t>因实际检测需求量存在不确定性，本次招标预算金额系预估金额，招标人不保证实际供货量及结算金额。</w:t>
      </w:r>
    </w:p>
    <w:p w14:paraId="182ED9CA">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default" w:ascii="宋体" w:hAnsi="宋体" w:eastAsia="宋体"/>
          <w:b/>
          <w:bCs/>
          <w:sz w:val="24"/>
          <w:szCs w:val="18"/>
          <w:highlight w:val="none"/>
          <w:lang w:val="en-US" w:eastAsia="zh-CN"/>
        </w:rPr>
      </w:pPr>
      <w:r>
        <w:rPr>
          <w:rFonts w:hint="eastAsia" w:ascii="宋体" w:hAnsi="宋体"/>
          <w:b/>
          <w:bCs/>
          <w:sz w:val="24"/>
          <w:szCs w:val="18"/>
          <w:highlight w:val="none"/>
          <w:lang w:val="en-US" w:eastAsia="zh-CN"/>
        </w:rPr>
        <w:t>四</w:t>
      </w:r>
      <w:r>
        <w:rPr>
          <w:rFonts w:hint="eastAsia" w:ascii="宋体" w:hAnsi="宋体"/>
          <w:b/>
          <w:bCs/>
          <w:sz w:val="24"/>
          <w:szCs w:val="18"/>
          <w:highlight w:val="none"/>
        </w:rPr>
        <w:t>、</w:t>
      </w:r>
      <w:r>
        <w:rPr>
          <w:rFonts w:hint="eastAsia" w:ascii="宋体" w:hAnsi="宋体"/>
          <w:b/>
          <w:bCs/>
          <w:sz w:val="24"/>
          <w:szCs w:val="18"/>
          <w:highlight w:val="none"/>
          <w:lang w:val="en-US" w:eastAsia="zh-CN"/>
        </w:rPr>
        <w:t>其他要求</w:t>
      </w:r>
    </w:p>
    <w:p w14:paraId="23293E3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1.供货要求：所投产品须为质量合格的产品，须符合国家标准，无国家标准的，符合部门颁发的标准，无部门标准的，符合行业标准。中标人应保证货物是全新、未使用过的，并完全符合合同规定的质量、规格和性能的要求的正品。中标人应保证其货物在正确使用和保养条的件下，在其使用寿命内应具有满意的性能。在货物最终验收后的质量保证期内，中标人应对由于设计、工艺或材料的缺陷而发生的任何不足或故障负责，费用由中标人负担。</w:t>
      </w:r>
    </w:p>
    <w:p w14:paraId="7E2FA8F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2.在质保期内，中标人在收到招标人关于产品质量问题的通知后七天内，应免费维修或更换有缺陷的货物或部件。</w:t>
      </w:r>
    </w:p>
    <w:p w14:paraId="7863C9F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3.如果中标人在收到通知七天后没有弥补缺陷，招标人可采取必要的补救措施，但风险和费用将由中标人承担。</w:t>
      </w:r>
    </w:p>
    <w:p w14:paraId="7777657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4.验收要求：</w:t>
      </w:r>
    </w:p>
    <w:p w14:paraId="2680CDC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（1）中标人依据合同要求送货至现场，期间一切保证措施由中标人负责，招标人负责组织对进场的货物进行验收。</w:t>
      </w:r>
    </w:p>
    <w:p w14:paraId="71EC6C2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（2）货物开箱检查包括以下内容：①箱号、箱数以及包装情况；②设备的名称、型号、规格和数量；③装箱清单、设备技术文件、资料及专用工具；④货物有无缺损件，表面有无损坏和锈蚀等。</w:t>
      </w:r>
    </w:p>
    <w:p w14:paraId="70A8E47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3）验收条件如下：①货物技术参数与合同一致，性能指标达到规定的标准；②货物设备技术资料、装箱单、合格证等资料齐全；③在货物使用期间所出现的问题得到解决，并能继续正常使用；④在规定时间内完成交货并验收，并经招标人确认。</w:t>
      </w:r>
    </w:p>
    <w:p w14:paraId="2F13227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4）物品运输包装应符合国家发布的包装标准，包装要合理、规范，能保护物品在流通过程中避免或减轻各种外力的损害，便于储运,具有足够的强度、刚度与稳定性，具有防水、防潮、防虫、防腐、防盗等防护能力。</w:t>
      </w:r>
    </w:p>
    <w:p w14:paraId="32A73B7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（5）招标人将邀请产品使用方、相关专业部门、投标人代表等组成的验收小组，对成品进行严格验收，如中标人提供的产品存在不满足货物参数的情况，将不予验收通过，中标人将承担相应的责任和损失。</w:t>
      </w:r>
    </w:p>
    <w:p w14:paraId="37CF8AF1">
      <w:pPr>
        <w:spacing w:line="360" w:lineRule="auto"/>
        <w:jc w:val="center"/>
        <w:outlineLvl w:val="1"/>
        <w:rPr>
          <w:rFonts w:ascii="Times New Roman" w:hAnsi="Times New Roman" w:cs="Times New Roman"/>
          <w:b/>
          <w:sz w:val="28"/>
          <w:highlight w:val="none"/>
        </w:rPr>
      </w:pPr>
      <w:bookmarkStart w:id="29" w:name="_Toc7286"/>
    </w:p>
    <w:p w14:paraId="2F4C9D47">
      <w:pPr>
        <w:spacing w:line="360" w:lineRule="auto"/>
        <w:jc w:val="both"/>
        <w:outlineLvl w:val="1"/>
        <w:rPr>
          <w:rFonts w:ascii="Times New Roman" w:hAnsi="Times New Roman" w:cs="Times New Roman"/>
          <w:b/>
          <w:sz w:val="28"/>
          <w:highlight w:val="none"/>
        </w:rPr>
      </w:pPr>
    </w:p>
    <w:p w14:paraId="43C4FE3F">
      <w:pPr>
        <w:pStyle w:val="2"/>
        <w:rPr>
          <w:rFonts w:ascii="Times New Roman" w:hAnsi="Times New Roman" w:cs="Times New Roman"/>
          <w:b/>
          <w:sz w:val="28"/>
          <w:highlight w:val="none"/>
        </w:rPr>
      </w:pPr>
    </w:p>
    <w:p w14:paraId="1DDB7A72">
      <w:pPr>
        <w:rPr>
          <w:rFonts w:ascii="Times New Roman" w:hAnsi="Times New Roman" w:cs="Times New Roman"/>
          <w:b/>
          <w:sz w:val="28"/>
          <w:highlight w:val="none"/>
        </w:rPr>
      </w:pPr>
    </w:p>
    <w:p w14:paraId="465AAC6B">
      <w:pPr>
        <w:pStyle w:val="2"/>
        <w:rPr>
          <w:rFonts w:ascii="Times New Roman" w:hAnsi="Times New Roman" w:cs="Times New Roman"/>
          <w:b/>
          <w:sz w:val="28"/>
          <w:highlight w:val="none"/>
        </w:rPr>
      </w:pPr>
    </w:p>
    <w:p w14:paraId="7D7ABEDB">
      <w:pPr>
        <w:rPr>
          <w:rFonts w:ascii="Times New Roman" w:hAnsi="Times New Roman" w:cs="Times New Roman"/>
          <w:b/>
          <w:sz w:val="28"/>
          <w:highlight w:val="none"/>
        </w:rPr>
      </w:pPr>
    </w:p>
    <w:p w14:paraId="4F6DD9C8">
      <w:pPr>
        <w:pStyle w:val="2"/>
        <w:rPr>
          <w:rFonts w:ascii="Times New Roman" w:hAnsi="Times New Roman" w:cs="Times New Roman"/>
          <w:b/>
          <w:sz w:val="28"/>
          <w:highlight w:val="none"/>
        </w:rPr>
      </w:pPr>
    </w:p>
    <w:p w14:paraId="56A1547E">
      <w:pPr>
        <w:rPr>
          <w:rFonts w:ascii="Times New Roman" w:hAnsi="Times New Roman" w:cs="Times New Roman"/>
          <w:b/>
          <w:sz w:val="28"/>
          <w:highlight w:val="none"/>
        </w:rPr>
      </w:pPr>
    </w:p>
    <w:p w14:paraId="2BD715BE">
      <w:pPr>
        <w:pStyle w:val="2"/>
        <w:rPr>
          <w:rFonts w:ascii="Times New Roman" w:hAnsi="Times New Roman" w:cs="Times New Roman"/>
          <w:b/>
          <w:sz w:val="28"/>
          <w:highlight w:val="none"/>
        </w:rPr>
      </w:pPr>
    </w:p>
    <w:p w14:paraId="477990D5">
      <w:pPr>
        <w:rPr>
          <w:rFonts w:ascii="Times New Roman" w:hAnsi="Times New Roman" w:cs="Times New Roman"/>
          <w:b/>
          <w:sz w:val="28"/>
          <w:highlight w:val="none"/>
        </w:rPr>
      </w:pPr>
    </w:p>
    <w:p w14:paraId="6C3D0610">
      <w:pPr>
        <w:pStyle w:val="2"/>
        <w:rPr>
          <w:rFonts w:ascii="Times New Roman" w:hAnsi="Times New Roman" w:cs="Times New Roman"/>
          <w:b/>
          <w:sz w:val="28"/>
          <w:highlight w:val="none"/>
        </w:rPr>
      </w:pPr>
    </w:p>
    <w:p w14:paraId="4E8E5B29">
      <w:pPr>
        <w:rPr>
          <w:rFonts w:ascii="Times New Roman" w:hAnsi="Times New Roman" w:cs="Times New Roman"/>
          <w:b/>
          <w:sz w:val="28"/>
          <w:highlight w:val="none"/>
        </w:rPr>
      </w:pPr>
    </w:p>
    <w:p w14:paraId="4C9F2E50">
      <w:pPr>
        <w:pStyle w:val="2"/>
        <w:rPr>
          <w:rFonts w:ascii="Times New Roman" w:hAnsi="Times New Roman" w:cs="Times New Roman"/>
          <w:b/>
          <w:sz w:val="28"/>
          <w:highlight w:val="none"/>
        </w:rPr>
      </w:pPr>
    </w:p>
    <w:p w14:paraId="4FB907E4">
      <w:pPr>
        <w:rPr>
          <w:rFonts w:ascii="Times New Roman" w:hAnsi="Times New Roman" w:cs="Times New Roman"/>
          <w:b/>
          <w:sz w:val="28"/>
          <w:highlight w:val="none"/>
        </w:rPr>
      </w:pPr>
    </w:p>
    <w:p w14:paraId="202EB8E0">
      <w:pPr>
        <w:pStyle w:val="2"/>
        <w:rPr>
          <w:rFonts w:ascii="Times New Roman" w:hAnsi="Times New Roman" w:cs="Times New Roman"/>
          <w:b/>
          <w:sz w:val="28"/>
          <w:highlight w:val="none"/>
        </w:rPr>
      </w:pPr>
    </w:p>
    <w:p w14:paraId="32B5C9C3">
      <w:pPr>
        <w:rPr>
          <w:rFonts w:ascii="Times New Roman" w:hAnsi="Times New Roman" w:cs="Times New Roman"/>
          <w:b/>
          <w:sz w:val="28"/>
          <w:highlight w:val="none"/>
        </w:rPr>
      </w:pPr>
    </w:p>
    <w:p w14:paraId="2977D34E">
      <w:pPr>
        <w:pStyle w:val="2"/>
        <w:rPr>
          <w:rFonts w:ascii="Times New Roman" w:hAnsi="Times New Roman" w:cs="Times New Roman"/>
          <w:b/>
          <w:sz w:val="28"/>
          <w:highlight w:val="none"/>
        </w:rPr>
      </w:pPr>
    </w:p>
    <w:p w14:paraId="11237DB9">
      <w:pPr>
        <w:rPr>
          <w:rFonts w:ascii="Times New Roman" w:hAnsi="Times New Roman" w:cs="Times New Roman"/>
          <w:b/>
          <w:sz w:val="28"/>
          <w:highlight w:val="none"/>
        </w:rPr>
      </w:pPr>
    </w:p>
    <w:p w14:paraId="254FB5C5">
      <w:pPr>
        <w:pStyle w:val="2"/>
        <w:rPr>
          <w:rFonts w:ascii="Times New Roman" w:hAnsi="Times New Roman" w:cs="Times New Roman"/>
          <w:b/>
          <w:sz w:val="28"/>
          <w:highlight w:val="none"/>
        </w:rPr>
      </w:pPr>
    </w:p>
    <w:p w14:paraId="3C77984D">
      <w:pPr>
        <w:rPr>
          <w:rFonts w:ascii="Times New Roman" w:hAnsi="Times New Roman" w:cs="Times New Roman"/>
          <w:b/>
          <w:sz w:val="28"/>
          <w:highlight w:val="none"/>
        </w:rPr>
      </w:pPr>
    </w:p>
    <w:p w14:paraId="799AD82B">
      <w:pPr>
        <w:pStyle w:val="2"/>
        <w:rPr>
          <w:rFonts w:ascii="Times New Roman" w:hAnsi="Times New Roman" w:cs="Times New Roman"/>
          <w:b/>
          <w:sz w:val="28"/>
          <w:highlight w:val="none"/>
        </w:rPr>
      </w:pPr>
    </w:p>
    <w:p w14:paraId="6EE5D51A">
      <w:pPr>
        <w:rPr>
          <w:rFonts w:ascii="Times New Roman" w:hAnsi="Times New Roman" w:cs="Times New Roman"/>
          <w:b/>
          <w:sz w:val="28"/>
          <w:highlight w:val="none"/>
        </w:rPr>
      </w:pPr>
    </w:p>
    <w:p w14:paraId="69E85DA0">
      <w:pPr>
        <w:pStyle w:val="2"/>
        <w:rPr>
          <w:rFonts w:ascii="Times New Roman" w:hAnsi="Times New Roman" w:cs="Times New Roman"/>
          <w:b/>
          <w:sz w:val="28"/>
          <w:highlight w:val="none"/>
        </w:rPr>
      </w:pPr>
    </w:p>
    <w:p w14:paraId="2AEA970A">
      <w:pPr>
        <w:rPr>
          <w:rFonts w:ascii="Times New Roman" w:hAnsi="Times New Roman" w:cs="Times New Roman"/>
          <w:b/>
          <w:sz w:val="28"/>
          <w:highlight w:val="none"/>
        </w:rPr>
      </w:pPr>
    </w:p>
    <w:p w14:paraId="3CA668B8">
      <w:pPr>
        <w:pStyle w:val="2"/>
        <w:rPr>
          <w:rFonts w:ascii="Times New Roman" w:hAnsi="Times New Roman" w:cs="Times New Roman"/>
          <w:b/>
          <w:sz w:val="28"/>
          <w:highlight w:val="none"/>
        </w:rPr>
      </w:pPr>
    </w:p>
    <w:p w14:paraId="4F568DD6">
      <w:pPr>
        <w:rPr>
          <w:rFonts w:ascii="Times New Roman" w:hAnsi="Times New Roman" w:cs="Times New Roman"/>
          <w:b/>
          <w:sz w:val="28"/>
          <w:highlight w:val="none"/>
        </w:rPr>
      </w:pPr>
    </w:p>
    <w:p w14:paraId="6ABECCDE">
      <w:pPr>
        <w:pStyle w:val="2"/>
        <w:rPr>
          <w:rFonts w:ascii="Times New Roman" w:hAnsi="Times New Roman" w:cs="Times New Roman"/>
          <w:b/>
          <w:sz w:val="28"/>
          <w:highlight w:val="none"/>
        </w:rPr>
      </w:pPr>
    </w:p>
    <w:p w14:paraId="4666ACB7">
      <w:pPr>
        <w:rPr>
          <w:rFonts w:ascii="Times New Roman" w:hAnsi="Times New Roman" w:cs="Times New Roman"/>
          <w:b/>
          <w:sz w:val="28"/>
          <w:highlight w:val="none"/>
        </w:rPr>
      </w:pPr>
    </w:p>
    <w:p w14:paraId="77A0C250">
      <w:pPr>
        <w:pStyle w:val="2"/>
        <w:rPr>
          <w:rFonts w:ascii="Times New Roman" w:hAnsi="Times New Roman" w:cs="Times New Roman"/>
          <w:b/>
          <w:sz w:val="28"/>
          <w:highlight w:val="none"/>
        </w:rPr>
      </w:pPr>
    </w:p>
    <w:p w14:paraId="23EE7358">
      <w:pPr>
        <w:rPr>
          <w:rFonts w:ascii="Times New Roman" w:hAnsi="Times New Roman" w:cs="Times New Roman"/>
          <w:b/>
          <w:sz w:val="28"/>
          <w:highlight w:val="none"/>
        </w:rPr>
      </w:pPr>
    </w:p>
    <w:p w14:paraId="42050796">
      <w:pPr>
        <w:pStyle w:val="2"/>
      </w:pPr>
    </w:p>
    <w:p w14:paraId="3C6432C4">
      <w:pPr>
        <w:pStyle w:val="2"/>
        <w:rPr>
          <w:rFonts w:ascii="Times New Roman" w:hAnsi="Times New Roman" w:cs="Times New Roman"/>
          <w:b/>
          <w:sz w:val="28"/>
          <w:highlight w:val="none"/>
        </w:rPr>
      </w:pPr>
    </w:p>
    <w:p w14:paraId="58FAB007">
      <w:pPr>
        <w:rPr>
          <w:highlight w:val="none"/>
        </w:rPr>
      </w:pPr>
    </w:p>
    <w:p w14:paraId="1FC3F5C0">
      <w:pPr>
        <w:spacing w:line="360" w:lineRule="auto"/>
        <w:jc w:val="center"/>
        <w:outlineLvl w:val="1"/>
        <w:rPr>
          <w:rFonts w:ascii="Times New Roman" w:hAnsi="Times New Roman" w:cs="Times New Roman"/>
          <w:b/>
          <w:sz w:val="28"/>
          <w:highlight w:val="none"/>
        </w:rPr>
      </w:pPr>
      <w:r>
        <w:rPr>
          <w:rFonts w:ascii="Times New Roman" w:hAnsi="Times New Roman" w:cs="Times New Roman"/>
          <w:b/>
          <w:sz w:val="28"/>
          <w:highlight w:val="none"/>
        </w:rPr>
        <w:t>第</w:t>
      </w:r>
      <w:r>
        <w:rPr>
          <w:rFonts w:hint="eastAsia" w:ascii="Times New Roman" w:hAnsi="Times New Roman" w:cs="Times New Roman"/>
          <w:b/>
          <w:sz w:val="28"/>
          <w:highlight w:val="none"/>
          <w:lang w:val="en-US" w:eastAsia="zh-CN"/>
        </w:rPr>
        <w:t>四</w:t>
      </w:r>
      <w:r>
        <w:rPr>
          <w:rFonts w:ascii="Times New Roman" w:hAnsi="Times New Roman" w:cs="Times New Roman"/>
          <w:b/>
          <w:sz w:val="28"/>
          <w:highlight w:val="none"/>
        </w:rPr>
        <w:t>章评标办法</w:t>
      </w:r>
    </w:p>
    <w:p w14:paraId="6A0F24D1">
      <w:pPr>
        <w:spacing w:line="360" w:lineRule="auto"/>
        <w:ind w:firstLine="437"/>
        <w:outlineLvl w:val="2"/>
        <w:rPr>
          <w:rFonts w:ascii="Times New Roman" w:hAnsi="Times New Roman" w:cs="Times New Roman"/>
          <w:b/>
          <w:sz w:val="24"/>
          <w:highlight w:val="none"/>
        </w:rPr>
      </w:pPr>
      <w:r>
        <w:rPr>
          <w:rFonts w:ascii="Times New Roman" w:hAnsi="Times New Roman" w:cs="Times New Roman"/>
          <w:b/>
          <w:sz w:val="24"/>
          <w:highlight w:val="none"/>
        </w:rPr>
        <w:t>一、总则</w:t>
      </w:r>
    </w:p>
    <w:p w14:paraId="1D3D51B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本项目将按照招标文件第二章投标人须知的相关要求及本章的规定评标。</w:t>
      </w:r>
    </w:p>
    <w:p w14:paraId="299EF24B">
      <w:pPr>
        <w:spacing w:line="360" w:lineRule="auto"/>
        <w:ind w:firstLine="437"/>
        <w:outlineLvl w:val="2"/>
        <w:rPr>
          <w:rFonts w:ascii="Times New Roman" w:hAnsi="Times New Roman" w:cs="Times New Roman"/>
          <w:b/>
          <w:sz w:val="24"/>
          <w:highlight w:val="none"/>
        </w:rPr>
      </w:pPr>
      <w:r>
        <w:rPr>
          <w:rFonts w:ascii="Times New Roman" w:hAnsi="Times New Roman" w:cs="Times New Roman"/>
          <w:b/>
          <w:sz w:val="24"/>
          <w:highlight w:val="none"/>
        </w:rPr>
        <w:t>二、评标方法</w:t>
      </w:r>
    </w:p>
    <w:p w14:paraId="1239C76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2.1资格审查</w:t>
      </w:r>
    </w:p>
    <w:p w14:paraId="67DFCCC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由评标委员会进行资格审查。资格审查表如下：</w:t>
      </w:r>
    </w:p>
    <w:tbl>
      <w:tblPr>
        <w:tblStyle w:val="15"/>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14:paraId="00EE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noWrap w:val="0"/>
            <w:vAlign w:val="center"/>
          </w:tcPr>
          <w:p w14:paraId="42072622">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b/>
                <w:sz w:val="24"/>
                <w:szCs w:val="22"/>
                <w:highlight w:val="none"/>
              </w:rPr>
              <w:t>资格审查表</w:t>
            </w:r>
          </w:p>
        </w:tc>
      </w:tr>
      <w:tr w14:paraId="30474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noWrap w:val="0"/>
            <w:vAlign w:val="center"/>
          </w:tcPr>
          <w:p w14:paraId="044EFFCD">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序号</w:t>
            </w:r>
          </w:p>
        </w:tc>
        <w:tc>
          <w:tcPr>
            <w:tcW w:w="1650" w:type="dxa"/>
            <w:tcBorders>
              <w:bottom w:val="single" w:color="auto" w:sz="4" w:space="0"/>
            </w:tcBorders>
            <w:noWrap w:val="0"/>
            <w:vAlign w:val="center"/>
          </w:tcPr>
          <w:p w14:paraId="4B67B4A1">
            <w:pPr>
              <w:pStyle w:val="20"/>
              <w:pBdr>
                <w:bottom w:val="none" w:color="auto" w:sz="0" w:space="0"/>
              </w:pBdr>
              <w:snapToGrid w:val="0"/>
              <w:spacing w:line="360" w:lineRule="auto"/>
              <w:ind w:right="-10"/>
              <w:textAlignment w:val="auto"/>
              <w:rPr>
                <w:rFonts w:ascii="Times New Roman" w:hAnsi="Times New Roman" w:cs="Times New Roman"/>
                <w:kern w:val="2"/>
                <w:szCs w:val="24"/>
                <w:highlight w:val="none"/>
              </w:rPr>
            </w:pPr>
            <w:r>
              <w:rPr>
                <w:rFonts w:ascii="Times New Roman" w:hAnsi="Times New Roman" w:cs="Times New Roman"/>
                <w:kern w:val="2"/>
                <w:szCs w:val="24"/>
                <w:highlight w:val="none"/>
              </w:rPr>
              <w:t>评审指标</w:t>
            </w:r>
          </w:p>
        </w:tc>
        <w:tc>
          <w:tcPr>
            <w:tcW w:w="2192" w:type="dxa"/>
            <w:tcBorders>
              <w:bottom w:val="single" w:color="auto" w:sz="4" w:space="0"/>
            </w:tcBorders>
            <w:noWrap w:val="0"/>
            <w:vAlign w:val="center"/>
          </w:tcPr>
          <w:p w14:paraId="71C62FE9">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评审标准</w:t>
            </w:r>
          </w:p>
        </w:tc>
        <w:tc>
          <w:tcPr>
            <w:tcW w:w="4700" w:type="dxa"/>
            <w:tcBorders>
              <w:bottom w:val="single" w:color="auto" w:sz="4" w:space="0"/>
            </w:tcBorders>
            <w:noWrap w:val="0"/>
            <w:vAlign w:val="center"/>
          </w:tcPr>
          <w:p w14:paraId="6A19B0ED">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格式及材料要求</w:t>
            </w:r>
          </w:p>
        </w:tc>
      </w:tr>
      <w:tr w14:paraId="4AB3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noWrap w:val="0"/>
            <w:vAlign w:val="center"/>
          </w:tcPr>
          <w:p w14:paraId="0603A295">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1</w:t>
            </w:r>
          </w:p>
        </w:tc>
        <w:tc>
          <w:tcPr>
            <w:tcW w:w="1650" w:type="dxa"/>
            <w:noWrap w:val="0"/>
            <w:vAlign w:val="center"/>
          </w:tcPr>
          <w:p w14:paraId="0840DBCF">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营业执照</w:t>
            </w:r>
          </w:p>
        </w:tc>
        <w:tc>
          <w:tcPr>
            <w:tcW w:w="2192" w:type="dxa"/>
            <w:tcBorders>
              <w:bottom w:val="single" w:color="auto" w:sz="4" w:space="0"/>
            </w:tcBorders>
            <w:noWrap w:val="0"/>
            <w:vAlign w:val="center"/>
          </w:tcPr>
          <w:p w14:paraId="7AB004B3">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合法有效</w:t>
            </w:r>
          </w:p>
        </w:tc>
        <w:tc>
          <w:tcPr>
            <w:tcW w:w="4700" w:type="dxa"/>
            <w:noWrap w:val="0"/>
            <w:vAlign w:val="center"/>
          </w:tcPr>
          <w:p w14:paraId="3648799C">
            <w:pPr>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提供有效的投标人营业执照（或事业单位法人登记证书）复印件，应完整地体现出营业执照（或事业单位法人登记证书）的全部内容。联合体投标的联合体各方均须提供。</w:t>
            </w:r>
          </w:p>
        </w:tc>
      </w:tr>
      <w:tr w14:paraId="75F0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noWrap w:val="0"/>
            <w:vAlign w:val="center"/>
          </w:tcPr>
          <w:p w14:paraId="3D24052C">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2</w:t>
            </w:r>
          </w:p>
        </w:tc>
        <w:tc>
          <w:tcPr>
            <w:tcW w:w="1650" w:type="dxa"/>
            <w:tcBorders>
              <w:bottom w:val="single" w:color="auto" w:sz="4" w:space="0"/>
            </w:tcBorders>
            <w:noWrap w:val="0"/>
            <w:vAlign w:val="center"/>
          </w:tcPr>
          <w:p w14:paraId="2C13EAFB">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18"/>
                <w:highlight w:val="none"/>
              </w:rPr>
              <w:t>不良信用记录查询</w:t>
            </w:r>
          </w:p>
        </w:tc>
        <w:tc>
          <w:tcPr>
            <w:tcW w:w="2192" w:type="dxa"/>
            <w:tcBorders>
              <w:bottom w:val="single" w:color="auto" w:sz="4" w:space="0"/>
            </w:tcBorders>
            <w:noWrap w:val="0"/>
            <w:vAlign w:val="center"/>
          </w:tcPr>
          <w:p w14:paraId="0628A951">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投标人不得存在投标人</w:t>
            </w:r>
            <w:r>
              <w:rPr>
                <w:rFonts w:hint="eastAsia" w:ascii="Times New Roman" w:hAnsi="Times New Roman" w:cs="Times New Roman"/>
                <w:sz w:val="24"/>
                <w:highlight w:val="none"/>
                <w:lang w:val="en-US" w:eastAsia="zh-CN"/>
              </w:rPr>
              <w:t>资格</w:t>
            </w:r>
            <w:r>
              <w:rPr>
                <w:rFonts w:ascii="Times New Roman" w:hAnsi="Times New Roman" w:cs="Times New Roman"/>
                <w:sz w:val="24"/>
                <w:szCs w:val="28"/>
                <w:highlight w:val="none"/>
              </w:rPr>
              <w:t>中的</w:t>
            </w:r>
            <w:r>
              <w:rPr>
                <w:rFonts w:ascii="Times New Roman" w:hAnsi="Times New Roman" w:cs="Times New Roman"/>
                <w:sz w:val="24"/>
                <w:szCs w:val="18"/>
                <w:highlight w:val="none"/>
              </w:rPr>
              <w:t>不良信用记录情形</w:t>
            </w:r>
          </w:p>
        </w:tc>
        <w:tc>
          <w:tcPr>
            <w:tcW w:w="4700" w:type="dxa"/>
            <w:tcBorders>
              <w:bottom w:val="single" w:color="auto" w:sz="4" w:space="0"/>
            </w:tcBorders>
            <w:noWrap w:val="0"/>
            <w:vAlign w:val="center"/>
          </w:tcPr>
          <w:p w14:paraId="195FB2D3">
            <w:pPr>
              <w:adjustRightInd w:val="0"/>
              <w:snapToGrid w:val="0"/>
              <w:spacing w:line="360" w:lineRule="auto"/>
              <w:ind w:right="-10"/>
              <w:jc w:val="left"/>
              <w:rPr>
                <w:rFonts w:hint="default" w:ascii="Times New Roman" w:hAnsi="Times New Roman" w:eastAsia="宋体" w:cs="Times New Roman"/>
                <w:sz w:val="24"/>
                <w:highlight w:val="none"/>
                <w:lang w:val="en-US" w:eastAsia="zh-CN"/>
              </w:rPr>
            </w:pPr>
            <w:r>
              <w:rPr>
                <w:rFonts w:ascii="Times New Roman" w:hAnsi="Times New Roman" w:cs="Times New Roman"/>
                <w:sz w:val="24"/>
                <w:highlight w:val="none"/>
              </w:rPr>
              <w:t>详见投标人</w:t>
            </w:r>
            <w:r>
              <w:rPr>
                <w:rFonts w:hint="eastAsia" w:ascii="Times New Roman" w:hAnsi="Times New Roman" w:cs="Times New Roman"/>
                <w:sz w:val="24"/>
                <w:highlight w:val="none"/>
                <w:lang w:val="en-US" w:eastAsia="zh-CN"/>
              </w:rPr>
              <w:t>资格</w:t>
            </w:r>
          </w:p>
        </w:tc>
      </w:tr>
      <w:tr w14:paraId="6B19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noWrap w:val="0"/>
            <w:vAlign w:val="center"/>
          </w:tcPr>
          <w:p w14:paraId="2271311D">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3</w:t>
            </w:r>
          </w:p>
        </w:tc>
        <w:tc>
          <w:tcPr>
            <w:tcW w:w="1650" w:type="dxa"/>
            <w:tcBorders>
              <w:bottom w:val="single" w:color="auto" w:sz="4" w:space="0"/>
            </w:tcBorders>
            <w:noWrap w:val="0"/>
            <w:vAlign w:val="center"/>
          </w:tcPr>
          <w:p w14:paraId="10F81086">
            <w:pPr>
              <w:spacing w:after="50" w:line="360" w:lineRule="auto"/>
              <w:ind w:right="-10"/>
              <w:jc w:val="center"/>
              <w:rPr>
                <w:rFonts w:ascii="Times New Roman" w:hAnsi="Times New Roman" w:cs="Times New Roman"/>
                <w:sz w:val="24"/>
                <w:szCs w:val="18"/>
                <w:highlight w:val="none"/>
              </w:rPr>
            </w:pPr>
            <w:r>
              <w:rPr>
                <w:rFonts w:ascii="Times New Roman" w:hAnsi="Times New Roman" w:cs="Times New Roman"/>
                <w:sz w:val="24"/>
                <w:szCs w:val="28"/>
                <w:highlight w:val="none"/>
              </w:rPr>
              <w:t>投标人资质</w:t>
            </w:r>
          </w:p>
        </w:tc>
        <w:tc>
          <w:tcPr>
            <w:tcW w:w="2192" w:type="dxa"/>
            <w:tcBorders>
              <w:bottom w:val="single" w:color="auto" w:sz="4" w:space="0"/>
            </w:tcBorders>
            <w:noWrap w:val="0"/>
            <w:vAlign w:val="center"/>
          </w:tcPr>
          <w:p w14:paraId="07EE41E3">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符合投标人资格中的资质要求</w:t>
            </w:r>
          </w:p>
        </w:tc>
        <w:tc>
          <w:tcPr>
            <w:tcW w:w="4700" w:type="dxa"/>
            <w:tcBorders>
              <w:bottom w:val="single" w:color="auto" w:sz="4" w:space="0"/>
            </w:tcBorders>
            <w:noWrap w:val="0"/>
            <w:vAlign w:val="center"/>
          </w:tcPr>
          <w:p w14:paraId="5B0B7EC9">
            <w:pPr>
              <w:adjustRightInd w:val="0"/>
              <w:snapToGrid w:val="0"/>
              <w:spacing w:line="360" w:lineRule="auto"/>
              <w:ind w:right="-10"/>
              <w:jc w:val="left"/>
              <w:rPr>
                <w:rFonts w:ascii="Times New Roman" w:hAnsi="Times New Roman" w:cs="Times New Roman"/>
                <w:sz w:val="24"/>
                <w:highlight w:val="none"/>
              </w:rPr>
            </w:pPr>
            <w:r>
              <w:rPr>
                <w:rFonts w:ascii="Times New Roman" w:hAnsi="Times New Roman" w:cs="Times New Roman"/>
                <w:sz w:val="24"/>
                <w:highlight w:val="none"/>
              </w:rPr>
              <w:t>提供</w:t>
            </w:r>
            <w:r>
              <w:rPr>
                <w:rFonts w:ascii="Times New Roman" w:hAnsi="Times New Roman" w:cs="Times New Roman"/>
                <w:sz w:val="24"/>
                <w:szCs w:val="28"/>
                <w:highlight w:val="none"/>
              </w:rPr>
              <w:t>符合投标人资格中要求的</w:t>
            </w:r>
            <w:r>
              <w:rPr>
                <w:rFonts w:ascii="Times New Roman" w:hAnsi="Times New Roman" w:cs="Times New Roman"/>
                <w:sz w:val="24"/>
                <w:highlight w:val="none"/>
              </w:rPr>
              <w:t>资质证书复印件</w:t>
            </w:r>
          </w:p>
        </w:tc>
      </w:tr>
    </w:tbl>
    <w:p w14:paraId="38135BCC">
      <w:pPr>
        <w:spacing w:line="360" w:lineRule="auto"/>
        <w:rPr>
          <w:rFonts w:ascii="Times New Roman" w:hAnsi="Times New Roman" w:cs="Times New Roman"/>
          <w:sz w:val="24"/>
          <w:highlight w:val="none"/>
        </w:rPr>
      </w:pPr>
    </w:p>
    <w:p w14:paraId="04FEC4E8">
      <w:pPr>
        <w:spacing w:line="360" w:lineRule="auto"/>
        <w:ind w:firstLine="435"/>
        <w:rPr>
          <w:rFonts w:ascii="Times New Roman" w:hAnsi="Times New Roman" w:cs="Times New Roman"/>
          <w:sz w:val="24"/>
          <w:highlight w:val="none"/>
        </w:rPr>
      </w:pPr>
      <w:r>
        <w:rPr>
          <w:rFonts w:ascii="Times New Roman" w:hAnsi="Times New Roman" w:cs="Times New Roman"/>
          <w:b/>
          <w:bCs/>
          <w:sz w:val="24"/>
          <w:highlight w:val="none"/>
        </w:rPr>
        <w:t>资格审查指标通过标准：</w:t>
      </w:r>
      <w:r>
        <w:rPr>
          <w:rFonts w:ascii="Times New Roman" w:hAnsi="Times New Roman" w:cs="Times New Roman"/>
          <w:sz w:val="24"/>
          <w:highlight w:val="none"/>
        </w:rPr>
        <w:t>投标人必须通过资格审查表中的全部评审指标。</w:t>
      </w:r>
    </w:p>
    <w:p w14:paraId="564F666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2.2符合性审查</w:t>
      </w:r>
    </w:p>
    <w:p w14:paraId="13D4617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评标委员会对通过资格审查的投标人的投标文件进行符合性审查，以确定其是否满足招标文件的实质性要求。符合性审查表如下：</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5B25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noWrap w:val="0"/>
            <w:vAlign w:val="center"/>
          </w:tcPr>
          <w:p w14:paraId="7C498DD4">
            <w:pPr>
              <w:adjustRightInd w:val="0"/>
              <w:snapToGrid w:val="0"/>
              <w:ind w:right="-10"/>
              <w:jc w:val="center"/>
              <w:rPr>
                <w:rFonts w:ascii="Times New Roman" w:hAnsi="Times New Roman" w:cs="Times New Roman"/>
                <w:b/>
                <w:bCs/>
                <w:sz w:val="24"/>
                <w:highlight w:val="none"/>
              </w:rPr>
            </w:pPr>
            <w:r>
              <w:rPr>
                <w:rFonts w:ascii="Times New Roman" w:hAnsi="Times New Roman" w:cs="Times New Roman"/>
                <w:b/>
                <w:bCs/>
                <w:sz w:val="24"/>
                <w:highlight w:val="none"/>
              </w:rPr>
              <w:t>符合性审查表</w:t>
            </w:r>
          </w:p>
        </w:tc>
      </w:tr>
      <w:tr w14:paraId="090F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noWrap w:val="0"/>
            <w:vAlign w:val="center"/>
          </w:tcPr>
          <w:p w14:paraId="0F72620E">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序号</w:t>
            </w:r>
          </w:p>
        </w:tc>
        <w:tc>
          <w:tcPr>
            <w:tcW w:w="2117" w:type="dxa"/>
            <w:tcBorders>
              <w:bottom w:val="single" w:color="auto" w:sz="4" w:space="0"/>
            </w:tcBorders>
            <w:noWrap w:val="0"/>
            <w:vAlign w:val="center"/>
          </w:tcPr>
          <w:p w14:paraId="352F9BD0">
            <w:pPr>
              <w:pStyle w:val="20"/>
              <w:pBdr>
                <w:bottom w:val="none" w:color="auto" w:sz="0" w:space="0"/>
              </w:pBdr>
              <w:snapToGrid w:val="0"/>
              <w:spacing w:line="240" w:lineRule="auto"/>
              <w:ind w:right="-10"/>
              <w:textAlignment w:val="auto"/>
              <w:rPr>
                <w:rFonts w:ascii="Times New Roman" w:hAnsi="Times New Roman" w:cs="Times New Roman"/>
                <w:kern w:val="2"/>
                <w:szCs w:val="24"/>
                <w:highlight w:val="none"/>
              </w:rPr>
            </w:pPr>
            <w:r>
              <w:rPr>
                <w:rFonts w:ascii="Times New Roman" w:hAnsi="Times New Roman" w:cs="Times New Roman"/>
                <w:kern w:val="2"/>
                <w:szCs w:val="24"/>
                <w:highlight w:val="none"/>
              </w:rPr>
              <w:t>评审指标</w:t>
            </w:r>
          </w:p>
        </w:tc>
        <w:tc>
          <w:tcPr>
            <w:tcW w:w="3128" w:type="dxa"/>
            <w:tcBorders>
              <w:bottom w:val="single" w:color="auto" w:sz="4" w:space="0"/>
            </w:tcBorders>
            <w:noWrap w:val="0"/>
            <w:vAlign w:val="center"/>
          </w:tcPr>
          <w:p w14:paraId="039B4BB0">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评审标准</w:t>
            </w:r>
          </w:p>
        </w:tc>
        <w:tc>
          <w:tcPr>
            <w:tcW w:w="2505" w:type="dxa"/>
            <w:tcBorders>
              <w:bottom w:val="single" w:color="auto" w:sz="4" w:space="0"/>
            </w:tcBorders>
            <w:noWrap w:val="0"/>
            <w:vAlign w:val="center"/>
          </w:tcPr>
          <w:p w14:paraId="57F191F4">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格式及材料要求</w:t>
            </w:r>
          </w:p>
        </w:tc>
      </w:tr>
      <w:tr w14:paraId="3A30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14:paraId="5ADF4BA8">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1</w:t>
            </w:r>
          </w:p>
        </w:tc>
        <w:tc>
          <w:tcPr>
            <w:tcW w:w="2117" w:type="dxa"/>
            <w:noWrap w:val="0"/>
            <w:vAlign w:val="center"/>
          </w:tcPr>
          <w:p w14:paraId="12A77CEE">
            <w:pPr>
              <w:spacing w:after="50"/>
              <w:ind w:right="-10"/>
              <w:jc w:val="center"/>
              <w:rPr>
                <w:rFonts w:ascii="Times New Roman" w:hAnsi="Times New Roman" w:cs="Times New Roman"/>
                <w:sz w:val="24"/>
                <w:szCs w:val="28"/>
                <w:highlight w:val="none"/>
              </w:rPr>
            </w:pPr>
            <w:r>
              <w:rPr>
                <w:rFonts w:ascii="Times New Roman" w:hAnsi="Times New Roman" w:cs="Times New Roman"/>
                <w:sz w:val="24"/>
                <w:highlight w:val="none"/>
              </w:rPr>
              <w:t>开标一览表</w:t>
            </w:r>
          </w:p>
        </w:tc>
        <w:tc>
          <w:tcPr>
            <w:tcW w:w="3128" w:type="dxa"/>
            <w:noWrap w:val="0"/>
            <w:vAlign w:val="center"/>
          </w:tcPr>
          <w:p w14:paraId="577EBE14">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格式、填写要求符合招标文件规定并加盖投标人公章</w:t>
            </w:r>
          </w:p>
        </w:tc>
        <w:tc>
          <w:tcPr>
            <w:tcW w:w="2505" w:type="dxa"/>
            <w:noWrap w:val="0"/>
            <w:vAlign w:val="center"/>
          </w:tcPr>
          <w:p w14:paraId="1CF23955">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详见投标文件格式</w:t>
            </w:r>
          </w:p>
        </w:tc>
      </w:tr>
      <w:tr w14:paraId="1872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14:paraId="2DA0053D">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2</w:t>
            </w:r>
          </w:p>
        </w:tc>
        <w:tc>
          <w:tcPr>
            <w:tcW w:w="2117" w:type="dxa"/>
            <w:noWrap w:val="0"/>
            <w:vAlign w:val="center"/>
          </w:tcPr>
          <w:p w14:paraId="192ED0DD">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投标函</w:t>
            </w:r>
          </w:p>
        </w:tc>
        <w:tc>
          <w:tcPr>
            <w:tcW w:w="3128" w:type="dxa"/>
            <w:noWrap w:val="0"/>
            <w:vAlign w:val="center"/>
          </w:tcPr>
          <w:p w14:paraId="0F8A9C3B">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格式、填写要求符合招标文件规定并加盖投标人公章</w:t>
            </w:r>
          </w:p>
        </w:tc>
        <w:tc>
          <w:tcPr>
            <w:tcW w:w="2505" w:type="dxa"/>
            <w:noWrap w:val="0"/>
            <w:vAlign w:val="center"/>
          </w:tcPr>
          <w:p w14:paraId="3953C94D">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详见第投标文件格式</w:t>
            </w:r>
          </w:p>
        </w:tc>
      </w:tr>
      <w:tr w14:paraId="0574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14:paraId="2F796072">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3</w:t>
            </w:r>
          </w:p>
        </w:tc>
        <w:tc>
          <w:tcPr>
            <w:tcW w:w="2117" w:type="dxa"/>
            <w:noWrap w:val="0"/>
            <w:vAlign w:val="center"/>
          </w:tcPr>
          <w:p w14:paraId="3690F8B1">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授权书</w:t>
            </w:r>
          </w:p>
        </w:tc>
        <w:tc>
          <w:tcPr>
            <w:tcW w:w="3128" w:type="dxa"/>
            <w:noWrap w:val="0"/>
            <w:vAlign w:val="center"/>
          </w:tcPr>
          <w:p w14:paraId="75883E6D">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格式、填写要求符合招标文件规定并加盖投标人公章</w:t>
            </w:r>
          </w:p>
        </w:tc>
        <w:tc>
          <w:tcPr>
            <w:tcW w:w="2505" w:type="dxa"/>
            <w:noWrap w:val="0"/>
            <w:vAlign w:val="center"/>
          </w:tcPr>
          <w:p w14:paraId="24E2137D">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法定代表人参加投标的无需此件，提供身份证明即可。详见投标文件格式</w:t>
            </w:r>
          </w:p>
        </w:tc>
      </w:tr>
      <w:tr w14:paraId="54B5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14:paraId="415FD5B2">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4</w:t>
            </w:r>
          </w:p>
        </w:tc>
        <w:tc>
          <w:tcPr>
            <w:tcW w:w="2117" w:type="dxa"/>
            <w:noWrap w:val="0"/>
            <w:vAlign w:val="center"/>
          </w:tcPr>
          <w:p w14:paraId="1E15F5BE">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投标报价</w:t>
            </w:r>
          </w:p>
        </w:tc>
        <w:tc>
          <w:tcPr>
            <w:tcW w:w="3128" w:type="dxa"/>
            <w:noWrap w:val="0"/>
            <w:vAlign w:val="center"/>
          </w:tcPr>
          <w:p w14:paraId="64BE6587">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符合</w:t>
            </w:r>
            <w:r>
              <w:rPr>
                <w:rFonts w:ascii="Times New Roman" w:hAnsi="Times New Roman" w:cs="Times New Roman"/>
                <w:sz w:val="24"/>
                <w:highlight w:val="none"/>
              </w:rPr>
              <w:t>招标文件投标人须知正文要求</w:t>
            </w:r>
          </w:p>
        </w:tc>
        <w:tc>
          <w:tcPr>
            <w:tcW w:w="2505" w:type="dxa"/>
            <w:noWrap w:val="0"/>
            <w:vAlign w:val="center"/>
          </w:tcPr>
          <w:p w14:paraId="1D5446D3">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详见投标文件格式</w:t>
            </w:r>
          </w:p>
        </w:tc>
      </w:tr>
      <w:tr w14:paraId="41B1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14:paraId="053F38DA">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5</w:t>
            </w:r>
          </w:p>
        </w:tc>
        <w:tc>
          <w:tcPr>
            <w:tcW w:w="2117" w:type="dxa"/>
            <w:noWrap w:val="0"/>
            <w:vAlign w:val="center"/>
          </w:tcPr>
          <w:p w14:paraId="7E6C2BF2">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商务响应情况</w:t>
            </w:r>
          </w:p>
        </w:tc>
        <w:tc>
          <w:tcPr>
            <w:tcW w:w="3128" w:type="dxa"/>
            <w:noWrap w:val="0"/>
            <w:vAlign w:val="center"/>
          </w:tcPr>
          <w:p w14:paraId="55812281">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付款响应，服务期限响应</w:t>
            </w:r>
          </w:p>
        </w:tc>
        <w:tc>
          <w:tcPr>
            <w:tcW w:w="2505" w:type="dxa"/>
            <w:noWrap w:val="0"/>
            <w:vAlign w:val="center"/>
          </w:tcPr>
          <w:p w14:paraId="0D4C157E">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详见投标文件格式</w:t>
            </w:r>
          </w:p>
        </w:tc>
      </w:tr>
      <w:tr w14:paraId="071F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14:paraId="12149554">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6</w:t>
            </w:r>
          </w:p>
        </w:tc>
        <w:tc>
          <w:tcPr>
            <w:tcW w:w="2117" w:type="dxa"/>
            <w:noWrap w:val="0"/>
            <w:vAlign w:val="center"/>
          </w:tcPr>
          <w:p w14:paraId="32D6FC0B">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投标文件规范性</w:t>
            </w:r>
          </w:p>
        </w:tc>
        <w:tc>
          <w:tcPr>
            <w:tcW w:w="3128" w:type="dxa"/>
            <w:noWrap w:val="0"/>
            <w:vAlign w:val="center"/>
          </w:tcPr>
          <w:p w14:paraId="799F0284">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投标文件数量、签署、盖章符合招标文件要求；无严重的编排混乱、内容不全或字迹模糊辨认不清情况。</w:t>
            </w:r>
          </w:p>
        </w:tc>
        <w:tc>
          <w:tcPr>
            <w:tcW w:w="2505" w:type="dxa"/>
            <w:noWrap w:val="0"/>
            <w:vAlign w:val="center"/>
          </w:tcPr>
          <w:p w14:paraId="3324AC32">
            <w:pPr>
              <w:adjustRightInd w:val="0"/>
              <w:snapToGrid w:val="0"/>
              <w:ind w:right="-10"/>
              <w:jc w:val="center"/>
              <w:rPr>
                <w:rFonts w:ascii="Times New Roman" w:hAnsi="Times New Roman" w:cs="Times New Roman"/>
                <w:sz w:val="24"/>
                <w:highlight w:val="none"/>
              </w:rPr>
            </w:pPr>
          </w:p>
        </w:tc>
      </w:tr>
      <w:tr w14:paraId="1DE0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14:paraId="3090BD50">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7</w:t>
            </w:r>
          </w:p>
        </w:tc>
        <w:tc>
          <w:tcPr>
            <w:tcW w:w="2117" w:type="dxa"/>
            <w:noWrap w:val="0"/>
            <w:vAlign w:val="center"/>
          </w:tcPr>
          <w:p w14:paraId="798FDB6D">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其他实质性要求</w:t>
            </w:r>
          </w:p>
        </w:tc>
        <w:tc>
          <w:tcPr>
            <w:tcW w:w="3128" w:type="dxa"/>
            <w:noWrap w:val="0"/>
            <w:vAlign w:val="center"/>
          </w:tcPr>
          <w:p w14:paraId="46CF5B43">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符合招标文件列明的其他实质性要求。</w:t>
            </w:r>
          </w:p>
        </w:tc>
        <w:tc>
          <w:tcPr>
            <w:tcW w:w="2505" w:type="dxa"/>
            <w:noWrap w:val="0"/>
            <w:vAlign w:val="center"/>
          </w:tcPr>
          <w:p w14:paraId="3392282C">
            <w:pPr>
              <w:adjustRightInd w:val="0"/>
              <w:snapToGrid w:val="0"/>
              <w:ind w:right="-10"/>
              <w:jc w:val="center"/>
              <w:rPr>
                <w:rFonts w:ascii="Times New Roman" w:hAnsi="Times New Roman" w:cs="Times New Roman"/>
                <w:b/>
                <w:sz w:val="24"/>
                <w:highlight w:val="none"/>
              </w:rPr>
            </w:pPr>
          </w:p>
        </w:tc>
      </w:tr>
    </w:tbl>
    <w:p w14:paraId="7FFA4E9E">
      <w:pPr>
        <w:spacing w:line="360" w:lineRule="auto"/>
        <w:ind w:firstLine="435"/>
        <w:rPr>
          <w:rFonts w:ascii="Times New Roman" w:hAnsi="Times New Roman" w:cs="Times New Roman"/>
          <w:sz w:val="24"/>
          <w:highlight w:val="none"/>
        </w:rPr>
      </w:pPr>
      <w:r>
        <w:rPr>
          <w:rFonts w:ascii="Times New Roman" w:hAnsi="Times New Roman" w:cs="Times New Roman"/>
          <w:b/>
          <w:bCs/>
          <w:sz w:val="24"/>
          <w:highlight w:val="none"/>
        </w:rPr>
        <w:t>符合性审查指标通过标准：</w:t>
      </w:r>
      <w:r>
        <w:rPr>
          <w:rFonts w:ascii="Times New Roman" w:hAnsi="Times New Roman" w:cs="Times New Roman"/>
          <w:sz w:val="24"/>
          <w:highlight w:val="none"/>
        </w:rPr>
        <w:t>投标人必须通过符合性审查表中的全部评审指标。</w:t>
      </w:r>
    </w:p>
    <w:p w14:paraId="5E72A9B9">
      <w:pPr>
        <w:spacing w:line="360" w:lineRule="auto"/>
        <w:ind w:firstLine="435"/>
        <w:rPr>
          <w:rFonts w:hint="eastAsia" w:ascii="Times New Roman" w:hAnsi="Times New Roman" w:eastAsia="宋体" w:cs="Times New Roman"/>
          <w:sz w:val="24"/>
          <w:highlight w:val="none"/>
          <w:lang w:val="en-US" w:eastAsia="zh-CN"/>
        </w:rPr>
      </w:pPr>
      <w:r>
        <w:rPr>
          <w:rFonts w:ascii="Times New Roman" w:hAnsi="Times New Roman" w:cs="Times New Roman"/>
          <w:sz w:val="24"/>
          <w:highlight w:val="none"/>
        </w:rPr>
        <w:t>2.3</w:t>
      </w:r>
      <w:r>
        <w:rPr>
          <w:rFonts w:hint="eastAsia" w:ascii="Times New Roman" w:hAnsi="Times New Roman" w:cs="Times New Roman"/>
          <w:strike w:val="0"/>
          <w:dstrike w:val="0"/>
          <w:sz w:val="24"/>
          <w:highlight w:val="none"/>
          <w:lang w:val="en-US" w:eastAsia="zh-CN"/>
        </w:rPr>
        <w:t>评审方法</w:t>
      </w:r>
    </w:p>
    <w:p w14:paraId="1F44692C">
      <w:pPr>
        <w:adjustRightInd w:val="0"/>
        <w:spacing w:line="360" w:lineRule="auto"/>
        <w:ind w:firstLine="480" w:firstLineChars="200"/>
        <w:jc w:val="left"/>
        <w:outlineLvl w:val="1"/>
        <w:rPr>
          <w:rFonts w:hint="eastAsia" w:ascii="Times New Roman" w:hAnsi="Times New Roman" w:eastAsia="宋体" w:cs="Times New Roman"/>
          <w:sz w:val="24"/>
          <w:highlight w:val="none"/>
          <w:lang w:eastAsia="zh-CN"/>
        </w:rPr>
      </w:pPr>
      <w:r>
        <w:rPr>
          <w:rFonts w:hint="eastAsia" w:ascii="Times New Roman" w:hAnsi="Times New Roman" w:cs="Times New Roman"/>
          <w:sz w:val="24"/>
          <w:highlight w:val="none"/>
          <w:lang w:val="en-US" w:eastAsia="zh-CN"/>
        </w:rPr>
        <w:t>最低评标价法</w:t>
      </w:r>
      <w:r>
        <w:rPr>
          <w:rFonts w:ascii="Times New Roman" w:hAnsi="Times New Roman" w:cs="Times New Roman"/>
          <w:sz w:val="24"/>
          <w:highlight w:val="none"/>
        </w:rPr>
        <w:t>，评标时，对投标人的每一项指标进行</w:t>
      </w:r>
      <w:r>
        <w:rPr>
          <w:rFonts w:hint="eastAsia" w:ascii="Times New Roman" w:hAnsi="Times New Roman" w:cs="Times New Roman"/>
          <w:sz w:val="24"/>
          <w:highlight w:val="none"/>
          <w:lang w:val="en-US" w:eastAsia="zh-CN"/>
        </w:rPr>
        <w:t>资格审查和</w:t>
      </w:r>
      <w:r>
        <w:rPr>
          <w:rFonts w:ascii="Times New Roman" w:hAnsi="Times New Roman" w:cs="Times New Roman"/>
          <w:sz w:val="24"/>
          <w:highlight w:val="none"/>
        </w:rPr>
        <w:t>符合性审查</w:t>
      </w: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通过全部评审指标并报价</w:t>
      </w:r>
      <w:r>
        <w:rPr>
          <w:rFonts w:ascii="Times New Roman" w:hAnsi="Times New Roman" w:cs="Times New Roman"/>
          <w:sz w:val="24"/>
          <w:highlight w:val="none"/>
        </w:rPr>
        <w:t>最</w:t>
      </w:r>
      <w:r>
        <w:rPr>
          <w:rFonts w:hint="eastAsia" w:ascii="Times New Roman" w:hAnsi="Times New Roman" w:cs="Times New Roman"/>
          <w:sz w:val="24"/>
          <w:highlight w:val="none"/>
          <w:lang w:val="en-US" w:eastAsia="zh-CN"/>
        </w:rPr>
        <w:t>低</w:t>
      </w:r>
      <w:r>
        <w:rPr>
          <w:rFonts w:ascii="Times New Roman" w:hAnsi="Times New Roman" w:cs="Times New Roman"/>
          <w:sz w:val="24"/>
          <w:highlight w:val="none"/>
        </w:rPr>
        <w:t>者为</w:t>
      </w:r>
      <w:r>
        <w:rPr>
          <w:highlight w:val="none"/>
        </w:rPr>
        <w:fldChar w:fldCharType="begin"/>
      </w:r>
      <w:r>
        <w:rPr>
          <w:highlight w:val="none"/>
        </w:rPr>
        <w:instrText xml:space="preserve"> HYPERLINK "https://baike.so.com/doc/963733-1018681.html" \t "https://baike.so.com/doc/_blank" </w:instrText>
      </w:r>
      <w:r>
        <w:rPr>
          <w:highlight w:val="none"/>
        </w:rPr>
        <w:fldChar w:fldCharType="separate"/>
      </w:r>
      <w:r>
        <w:rPr>
          <w:rFonts w:ascii="Times New Roman" w:hAnsi="Times New Roman" w:cs="Times New Roman"/>
          <w:sz w:val="24"/>
          <w:highlight w:val="none"/>
        </w:rPr>
        <w:t>中标人</w:t>
      </w:r>
      <w:r>
        <w:rPr>
          <w:rFonts w:ascii="Times New Roman" w:hAnsi="Times New Roman" w:cs="Times New Roman"/>
          <w:sz w:val="24"/>
          <w:highlight w:val="none"/>
        </w:rPr>
        <w:fldChar w:fldCharType="end"/>
      </w:r>
      <w:r>
        <w:rPr>
          <w:rFonts w:ascii="Times New Roman" w:hAnsi="Times New Roman" w:cs="Times New Roman"/>
          <w:sz w:val="24"/>
          <w:highlight w:val="none"/>
        </w:rPr>
        <w:t>。</w:t>
      </w:r>
    </w:p>
    <w:p w14:paraId="683FA2E6">
      <w:pPr>
        <w:pStyle w:val="12"/>
        <w:ind w:left="420" w:hanging="420"/>
        <w:rPr>
          <w:highlight w:val="none"/>
        </w:rPr>
      </w:pPr>
      <w:bookmarkStart w:id="30" w:name="_Toc66363490"/>
    </w:p>
    <w:p w14:paraId="17890C19">
      <w:pPr>
        <w:pStyle w:val="12"/>
        <w:ind w:left="420" w:hanging="420"/>
        <w:rPr>
          <w:highlight w:val="none"/>
        </w:rPr>
      </w:pPr>
    </w:p>
    <w:p w14:paraId="1901B3FB">
      <w:pPr>
        <w:pStyle w:val="12"/>
        <w:ind w:left="420" w:hanging="420"/>
        <w:rPr>
          <w:highlight w:val="none"/>
        </w:rPr>
      </w:pPr>
    </w:p>
    <w:p w14:paraId="2B472CBE">
      <w:pPr>
        <w:pStyle w:val="12"/>
        <w:ind w:left="420" w:hanging="420"/>
        <w:rPr>
          <w:highlight w:val="none"/>
        </w:rPr>
      </w:pPr>
    </w:p>
    <w:p w14:paraId="7C163603">
      <w:pPr>
        <w:pStyle w:val="12"/>
        <w:ind w:left="420" w:hanging="420"/>
        <w:rPr>
          <w:highlight w:val="none"/>
        </w:rPr>
      </w:pPr>
    </w:p>
    <w:p w14:paraId="650A0220">
      <w:pPr>
        <w:pStyle w:val="12"/>
        <w:ind w:left="420" w:hanging="420"/>
        <w:rPr>
          <w:highlight w:val="none"/>
        </w:rPr>
      </w:pPr>
    </w:p>
    <w:p w14:paraId="6208ED6A">
      <w:pPr>
        <w:pStyle w:val="12"/>
        <w:ind w:left="420" w:hanging="420"/>
        <w:rPr>
          <w:highlight w:val="none"/>
        </w:rPr>
      </w:pPr>
    </w:p>
    <w:p w14:paraId="7FBD14F7">
      <w:pPr>
        <w:pStyle w:val="12"/>
        <w:ind w:left="420" w:hanging="420"/>
        <w:rPr>
          <w:highlight w:val="none"/>
        </w:rPr>
      </w:pPr>
    </w:p>
    <w:p w14:paraId="382BAC50">
      <w:pPr>
        <w:pStyle w:val="12"/>
        <w:ind w:left="420" w:hanging="420"/>
        <w:rPr>
          <w:highlight w:val="none"/>
        </w:rPr>
      </w:pPr>
    </w:p>
    <w:p w14:paraId="3E3712FB">
      <w:pPr>
        <w:pStyle w:val="12"/>
        <w:ind w:left="420" w:hanging="420"/>
        <w:rPr>
          <w:highlight w:val="none"/>
        </w:rPr>
      </w:pPr>
    </w:p>
    <w:p w14:paraId="3BFBBA11">
      <w:pPr>
        <w:pStyle w:val="12"/>
        <w:ind w:left="420" w:hanging="420"/>
        <w:rPr>
          <w:highlight w:val="none"/>
        </w:rPr>
      </w:pPr>
    </w:p>
    <w:p w14:paraId="20815337">
      <w:pPr>
        <w:pStyle w:val="12"/>
        <w:ind w:left="420" w:hanging="420"/>
        <w:rPr>
          <w:highlight w:val="none"/>
        </w:rPr>
      </w:pPr>
    </w:p>
    <w:p w14:paraId="1B8E8EC4">
      <w:pPr>
        <w:pStyle w:val="12"/>
        <w:ind w:left="420" w:hanging="420"/>
        <w:rPr>
          <w:highlight w:val="none"/>
        </w:rPr>
      </w:pPr>
    </w:p>
    <w:p w14:paraId="5D2E813E">
      <w:pPr>
        <w:pStyle w:val="12"/>
        <w:ind w:left="420" w:hanging="420"/>
        <w:rPr>
          <w:highlight w:val="none"/>
        </w:rPr>
      </w:pPr>
    </w:p>
    <w:p w14:paraId="7366576C">
      <w:pPr>
        <w:pStyle w:val="12"/>
        <w:ind w:left="420" w:hanging="420"/>
        <w:rPr>
          <w:highlight w:val="none"/>
        </w:rPr>
      </w:pPr>
    </w:p>
    <w:p w14:paraId="179A607C">
      <w:pPr>
        <w:pStyle w:val="12"/>
        <w:ind w:left="420" w:hanging="420"/>
        <w:rPr>
          <w:highlight w:val="none"/>
        </w:rPr>
      </w:pPr>
    </w:p>
    <w:p w14:paraId="0CBE6020">
      <w:pPr>
        <w:pStyle w:val="12"/>
        <w:ind w:left="420" w:hanging="420"/>
        <w:rPr>
          <w:highlight w:val="none"/>
        </w:rPr>
      </w:pPr>
    </w:p>
    <w:p w14:paraId="3439EB3A">
      <w:pPr>
        <w:pStyle w:val="12"/>
        <w:ind w:left="420" w:hanging="420"/>
        <w:rPr>
          <w:highlight w:val="none"/>
        </w:rPr>
      </w:pPr>
    </w:p>
    <w:p w14:paraId="713A0663">
      <w:pPr>
        <w:pStyle w:val="12"/>
        <w:ind w:left="420" w:hanging="420"/>
        <w:rPr>
          <w:highlight w:val="none"/>
        </w:rPr>
      </w:pPr>
    </w:p>
    <w:p w14:paraId="45051EE4">
      <w:pPr>
        <w:pStyle w:val="12"/>
        <w:ind w:left="420" w:hanging="420"/>
        <w:rPr>
          <w:highlight w:val="none"/>
        </w:rPr>
      </w:pPr>
    </w:p>
    <w:p w14:paraId="0D30D16F">
      <w:pPr>
        <w:pStyle w:val="12"/>
        <w:ind w:left="420" w:hanging="420"/>
        <w:rPr>
          <w:highlight w:val="none"/>
        </w:rPr>
      </w:pPr>
    </w:p>
    <w:p w14:paraId="5BDADD6E">
      <w:pPr>
        <w:pStyle w:val="12"/>
        <w:ind w:left="420" w:hanging="420"/>
        <w:rPr>
          <w:highlight w:val="none"/>
        </w:rPr>
      </w:pPr>
    </w:p>
    <w:p w14:paraId="75220E05">
      <w:pPr>
        <w:pStyle w:val="12"/>
        <w:ind w:left="420" w:hanging="420"/>
        <w:rPr>
          <w:highlight w:val="none"/>
        </w:rPr>
      </w:pPr>
    </w:p>
    <w:p w14:paraId="06E0593C">
      <w:pPr>
        <w:pStyle w:val="12"/>
        <w:ind w:left="420" w:hanging="420"/>
        <w:rPr>
          <w:highlight w:val="none"/>
        </w:rPr>
      </w:pPr>
    </w:p>
    <w:p w14:paraId="7962319B">
      <w:pPr>
        <w:pStyle w:val="12"/>
        <w:ind w:left="420" w:hanging="420"/>
        <w:rPr>
          <w:highlight w:val="none"/>
        </w:rPr>
      </w:pPr>
    </w:p>
    <w:p w14:paraId="34B2378B">
      <w:pPr>
        <w:pStyle w:val="12"/>
        <w:ind w:left="420" w:hanging="420"/>
        <w:rPr>
          <w:highlight w:val="none"/>
        </w:rPr>
      </w:pPr>
    </w:p>
    <w:p w14:paraId="2312F026">
      <w:pPr>
        <w:pStyle w:val="12"/>
        <w:ind w:left="420" w:hanging="420"/>
        <w:rPr>
          <w:highlight w:val="none"/>
        </w:rPr>
      </w:pPr>
    </w:p>
    <w:p w14:paraId="4074CE89">
      <w:pPr>
        <w:pStyle w:val="12"/>
        <w:ind w:left="420" w:hanging="420"/>
        <w:rPr>
          <w:highlight w:val="none"/>
        </w:rPr>
      </w:pPr>
    </w:p>
    <w:p w14:paraId="3FC2ADEF">
      <w:pPr>
        <w:pStyle w:val="12"/>
        <w:ind w:left="0" w:leftChars="0" w:firstLine="0" w:firstLineChars="0"/>
        <w:rPr>
          <w:highlight w:val="none"/>
        </w:rPr>
      </w:pPr>
    </w:p>
    <w:p w14:paraId="331E184E">
      <w:pPr>
        <w:jc w:val="both"/>
        <w:rPr>
          <w:rFonts w:ascii="Times New Roman" w:hAnsi="Times New Roman" w:cs="Times New Roman"/>
          <w:b/>
          <w:sz w:val="28"/>
          <w:highlight w:val="none"/>
        </w:rPr>
      </w:pPr>
    </w:p>
    <w:p w14:paraId="2C7CABE8">
      <w:pPr>
        <w:jc w:val="center"/>
        <w:rPr>
          <w:rFonts w:ascii="Times New Roman" w:hAnsi="Times New Roman" w:eastAsia="黑体" w:cs="Times New Roman"/>
          <w:bCs/>
          <w:highlight w:val="none"/>
        </w:rPr>
      </w:pPr>
      <w:r>
        <w:rPr>
          <w:rFonts w:ascii="Times New Roman" w:hAnsi="Times New Roman" w:cs="Times New Roman"/>
          <w:b/>
          <w:sz w:val="28"/>
          <w:highlight w:val="none"/>
        </w:rPr>
        <w:t>第</w:t>
      </w:r>
      <w:r>
        <w:rPr>
          <w:rFonts w:hint="eastAsia" w:ascii="Times New Roman" w:hAnsi="Times New Roman" w:cs="Times New Roman"/>
          <w:b/>
          <w:sz w:val="28"/>
          <w:highlight w:val="none"/>
          <w:lang w:val="en-US" w:eastAsia="zh-CN"/>
        </w:rPr>
        <w:t>五</w:t>
      </w:r>
      <w:r>
        <w:rPr>
          <w:rFonts w:ascii="Times New Roman" w:hAnsi="Times New Roman" w:cs="Times New Roman"/>
          <w:b/>
          <w:sz w:val="28"/>
          <w:highlight w:val="none"/>
        </w:rPr>
        <w:t>章合同条款及格式</w:t>
      </w:r>
    </w:p>
    <w:p w14:paraId="0F9E0D14">
      <w:pPr>
        <w:spacing w:line="360" w:lineRule="auto"/>
        <w:rPr>
          <w:rFonts w:ascii="Times New Roman" w:hAnsi="Times New Roman" w:cs="Times New Roman"/>
          <w:szCs w:val="21"/>
          <w:highlight w:val="none"/>
          <w:lang w:bidi="ar"/>
        </w:rPr>
      </w:pPr>
    </w:p>
    <w:p w14:paraId="654E9D9E">
      <w:pPr>
        <w:jc w:val="center"/>
        <w:rPr>
          <w:rFonts w:ascii="Times New Roman" w:hAnsi="Times New Roman" w:cs="Times New Roman"/>
          <w:b/>
          <w:sz w:val="28"/>
          <w:highlight w:val="none"/>
        </w:rPr>
      </w:pPr>
      <w:r>
        <w:rPr>
          <w:rFonts w:ascii="Times New Roman" w:hAnsi="Times New Roman" w:cs="Times New Roman"/>
          <w:b/>
          <w:sz w:val="28"/>
          <w:highlight w:val="none"/>
        </w:rPr>
        <w:t>合同</w:t>
      </w:r>
      <w:r>
        <w:rPr>
          <w:rFonts w:hint="eastAsia" w:ascii="Times New Roman" w:hAnsi="Times New Roman" w:cs="Times New Roman"/>
          <w:b/>
          <w:sz w:val="28"/>
          <w:highlight w:val="none"/>
        </w:rPr>
        <w:t>参考范本</w:t>
      </w:r>
    </w:p>
    <w:p w14:paraId="73534F1A">
      <w:pPr>
        <w:jc w:val="center"/>
        <w:rPr>
          <w:rFonts w:ascii="Times New Roman" w:hAnsi="Times New Roman" w:cs="Times New Roman"/>
          <w:b/>
          <w:sz w:val="28"/>
          <w:highlight w:val="none"/>
        </w:rPr>
      </w:pPr>
      <w:r>
        <w:rPr>
          <w:rFonts w:hint="eastAsia" w:ascii="Times New Roman" w:hAnsi="Times New Roman" w:cs="Times New Roman"/>
          <w:b/>
          <w:sz w:val="28"/>
          <w:highlight w:val="none"/>
        </w:rPr>
        <w:t>（货物类）</w:t>
      </w:r>
    </w:p>
    <w:p w14:paraId="0A9C3F4D">
      <w:pPr>
        <w:spacing w:line="480" w:lineRule="auto"/>
        <w:jc w:val="center"/>
        <w:rPr>
          <w:rFonts w:ascii="宋体" w:hAnsi="宋体"/>
          <w:b/>
          <w:sz w:val="24"/>
          <w:highlight w:val="none"/>
        </w:rPr>
      </w:pPr>
    </w:p>
    <w:p w14:paraId="5E6E5841">
      <w:pPr>
        <w:spacing w:line="480" w:lineRule="auto"/>
        <w:jc w:val="center"/>
        <w:rPr>
          <w:rFonts w:ascii="宋体" w:hAnsi="宋体"/>
          <w:b/>
          <w:sz w:val="24"/>
          <w:highlight w:val="none"/>
        </w:rPr>
      </w:pPr>
    </w:p>
    <w:p w14:paraId="72C37A34">
      <w:pPr>
        <w:spacing w:line="360" w:lineRule="auto"/>
        <w:jc w:val="center"/>
        <w:outlineLvl w:val="2"/>
        <w:rPr>
          <w:rFonts w:ascii="宋体" w:hAnsi="宋体"/>
          <w:b/>
          <w:sz w:val="24"/>
          <w:highlight w:val="none"/>
        </w:rPr>
      </w:pPr>
      <w:r>
        <w:rPr>
          <w:rFonts w:hint="eastAsia" w:ascii="宋体" w:hAnsi="宋体"/>
          <w:b/>
          <w:sz w:val="24"/>
          <w:highlight w:val="none"/>
        </w:rPr>
        <w:t>第一部分合同书</w:t>
      </w:r>
    </w:p>
    <w:p w14:paraId="05A043EA">
      <w:pPr>
        <w:spacing w:line="480" w:lineRule="auto"/>
        <w:rPr>
          <w:rFonts w:ascii="宋体" w:hAnsi="宋体"/>
          <w:b/>
          <w:sz w:val="24"/>
          <w:highlight w:val="none"/>
        </w:rPr>
      </w:pPr>
    </w:p>
    <w:p w14:paraId="5A2F8A11">
      <w:pPr>
        <w:spacing w:before="120" w:line="480" w:lineRule="auto"/>
        <w:ind w:left="960"/>
        <w:rPr>
          <w:rFonts w:hint="eastAsia" w:ascii="宋体" w:hAnsi="宋体" w:eastAsia="宋体"/>
          <w:sz w:val="24"/>
          <w:highlight w:val="none"/>
          <w:u w:val="single"/>
          <w:lang w:eastAsia="zh-CN"/>
        </w:rPr>
      </w:pPr>
      <w:r>
        <w:rPr>
          <w:rFonts w:hint="eastAsia" w:ascii="宋体" w:hAnsi="宋体"/>
          <w:sz w:val="24"/>
          <w:highlight w:val="none"/>
        </w:rPr>
        <w:t>项目名称：</w:t>
      </w:r>
      <w:r>
        <w:rPr>
          <w:rFonts w:hint="eastAsia" w:ascii="Times New Roman" w:hAnsi="Times New Roman" w:cs="Times New Roman"/>
          <w:spacing w:val="20"/>
          <w:sz w:val="24"/>
          <w:szCs w:val="24"/>
          <w:highlight w:val="none"/>
          <w:u w:val="single"/>
          <w:lang w:eastAsia="zh-CN"/>
        </w:rPr>
        <w:t>合肥维尔健医学检验实验室有限公司试剂耗材采购</w:t>
      </w:r>
    </w:p>
    <w:p w14:paraId="63767833">
      <w:pPr>
        <w:spacing w:before="120" w:line="480" w:lineRule="auto"/>
        <w:ind w:left="960"/>
        <w:rPr>
          <w:rFonts w:hint="eastAsia" w:ascii="宋体" w:hAnsi="宋体" w:eastAsia="宋体"/>
          <w:sz w:val="24"/>
          <w:highlight w:val="none"/>
          <w:u w:val="single"/>
          <w:lang w:eastAsia="zh-CN"/>
        </w:rPr>
      </w:pPr>
      <w:r>
        <w:rPr>
          <w:rFonts w:hint="eastAsia" w:ascii="宋体" w:hAnsi="宋体"/>
          <w:sz w:val="24"/>
          <w:highlight w:val="none"/>
        </w:rPr>
        <w:t>项目编号：</w:t>
      </w:r>
      <w:r>
        <w:rPr>
          <w:rFonts w:hint="eastAsia" w:ascii="宋体" w:hAnsi="宋体"/>
          <w:sz w:val="24"/>
          <w:highlight w:val="none"/>
          <w:u w:val="single"/>
          <w:lang w:eastAsia="zh-CN"/>
        </w:rPr>
        <w:t>BHSG-ZTB-2024-10</w:t>
      </w:r>
    </w:p>
    <w:p w14:paraId="4B926DC1">
      <w:pPr>
        <w:spacing w:before="120" w:line="480" w:lineRule="auto"/>
        <w:ind w:left="960"/>
        <w:rPr>
          <w:rFonts w:hint="eastAsia" w:ascii="宋体" w:hAnsi="宋体" w:eastAsia="宋体"/>
          <w:sz w:val="24"/>
          <w:highlight w:val="none"/>
          <w:u w:val="single"/>
          <w:lang w:eastAsia="zh-CN"/>
        </w:rPr>
      </w:pPr>
      <w:r>
        <w:rPr>
          <w:rFonts w:hint="eastAsia" w:ascii="宋体" w:hAnsi="宋体"/>
          <w:sz w:val="24"/>
          <w:highlight w:val="none"/>
        </w:rPr>
        <w:t>甲方（招标人）：</w:t>
      </w:r>
      <w:r>
        <w:rPr>
          <w:rFonts w:hint="eastAsia" w:ascii="宋体" w:hAnsi="宋体"/>
          <w:sz w:val="24"/>
          <w:highlight w:val="none"/>
          <w:u w:val="single"/>
          <w:lang w:eastAsia="zh-CN"/>
        </w:rPr>
        <w:t>合肥</w:t>
      </w:r>
      <w:r>
        <w:rPr>
          <w:rFonts w:hint="eastAsia" w:ascii="宋体" w:hAnsi="宋体"/>
          <w:sz w:val="24"/>
          <w:highlight w:val="none"/>
          <w:u w:val="single"/>
          <w:lang w:val="en-US" w:eastAsia="zh-CN"/>
        </w:rPr>
        <w:t>维尔健医学检验实验室</w:t>
      </w:r>
      <w:r>
        <w:rPr>
          <w:rFonts w:hint="eastAsia" w:ascii="宋体" w:hAnsi="宋体"/>
          <w:sz w:val="24"/>
          <w:highlight w:val="none"/>
          <w:u w:val="single"/>
          <w:lang w:eastAsia="zh-CN"/>
        </w:rPr>
        <w:t>有限公司</w:t>
      </w:r>
    </w:p>
    <w:p w14:paraId="6487CE05">
      <w:pPr>
        <w:spacing w:before="120" w:line="480" w:lineRule="auto"/>
        <w:ind w:left="960"/>
        <w:rPr>
          <w:rFonts w:hint="eastAsia" w:ascii="宋体" w:hAnsi="宋体" w:eastAsia="宋体"/>
          <w:sz w:val="24"/>
          <w:highlight w:val="none"/>
          <w:u w:val="single"/>
          <w:lang w:eastAsia="zh-CN"/>
        </w:rPr>
      </w:pPr>
      <w:r>
        <w:rPr>
          <w:rFonts w:hint="eastAsia" w:ascii="宋体" w:hAnsi="宋体"/>
          <w:sz w:val="24"/>
          <w:highlight w:val="none"/>
        </w:rPr>
        <w:t>乙方（中标人）：</w:t>
      </w:r>
    </w:p>
    <w:p w14:paraId="0A5832B7">
      <w:pPr>
        <w:spacing w:before="120" w:line="480" w:lineRule="auto"/>
        <w:ind w:firstLine="960" w:firstLineChars="400"/>
        <w:rPr>
          <w:rFonts w:hint="eastAsia" w:ascii="宋体" w:hAnsi="宋体" w:eastAsia="宋体"/>
          <w:sz w:val="24"/>
          <w:highlight w:val="none"/>
          <w:u w:val="single"/>
          <w:lang w:eastAsia="zh-CN"/>
        </w:rPr>
      </w:pPr>
      <w:r>
        <w:rPr>
          <w:rFonts w:hint="eastAsia" w:ascii="宋体" w:hAnsi="宋体"/>
          <w:sz w:val="24"/>
          <w:highlight w:val="none"/>
        </w:rPr>
        <w:t>签订地：</w:t>
      </w:r>
    </w:p>
    <w:p w14:paraId="55A84292">
      <w:pPr>
        <w:spacing w:before="120" w:line="480" w:lineRule="auto"/>
        <w:ind w:firstLine="960" w:firstLineChars="400"/>
        <w:rPr>
          <w:rFonts w:ascii="宋体" w:hAnsi="宋体"/>
          <w:sz w:val="24"/>
          <w:highlight w:val="none"/>
          <w:u w:val="single"/>
        </w:rPr>
      </w:pPr>
      <w:r>
        <w:rPr>
          <w:rFonts w:hint="eastAsia" w:ascii="宋体" w:hAnsi="宋体"/>
          <w:sz w:val="24"/>
          <w:highlight w:val="none"/>
        </w:rPr>
        <w:t>签订日期：年</w:t>
      </w:r>
      <w:r>
        <w:rPr>
          <w:rFonts w:hint="eastAsia" w:ascii="宋体" w:hAnsi="宋体"/>
          <w:sz w:val="24"/>
          <w:highlight w:val="none"/>
          <w:lang w:val="en-US" w:eastAsia="zh-CN"/>
        </w:rPr>
        <w:t xml:space="preserve">   </w:t>
      </w:r>
      <w:r>
        <w:rPr>
          <w:rFonts w:hint="eastAsia" w:ascii="宋体" w:hAnsi="宋体"/>
          <w:sz w:val="24"/>
          <w:highlight w:val="none"/>
        </w:rPr>
        <w:t>月</w:t>
      </w:r>
      <w:r>
        <w:rPr>
          <w:rFonts w:hint="eastAsia" w:ascii="宋体" w:hAnsi="宋体"/>
          <w:sz w:val="24"/>
          <w:highlight w:val="none"/>
          <w:lang w:val="en-US" w:eastAsia="zh-CN"/>
        </w:rPr>
        <w:t xml:space="preserve">   </w:t>
      </w:r>
      <w:r>
        <w:rPr>
          <w:rFonts w:hint="eastAsia" w:ascii="宋体" w:hAnsi="宋体"/>
          <w:sz w:val="24"/>
          <w:highlight w:val="none"/>
        </w:rPr>
        <w:t>日</w:t>
      </w:r>
    </w:p>
    <w:p w14:paraId="244B0CA0">
      <w:pPr>
        <w:autoSpaceDE w:val="0"/>
        <w:autoSpaceDN w:val="0"/>
        <w:adjustRightInd w:val="0"/>
        <w:spacing w:line="600" w:lineRule="exact"/>
        <w:ind w:firstLine="640"/>
        <w:jc w:val="center"/>
        <w:rPr>
          <w:rFonts w:ascii="宋体" w:hAnsi="宋体"/>
          <w:sz w:val="24"/>
          <w:highlight w:val="none"/>
        </w:rPr>
        <w:sectPr>
          <w:footerReference r:id="rId6" w:type="default"/>
          <w:pgSz w:w="11907" w:h="16840"/>
          <w:pgMar w:top="1474" w:right="1814" w:bottom="1474" w:left="1814" w:header="851" w:footer="992" w:gutter="0"/>
          <w:pgNumType w:start="46"/>
          <w:cols w:space="720" w:num="1"/>
          <w:docGrid w:linePitch="462" w:charSpace="0"/>
        </w:sectPr>
      </w:pPr>
    </w:p>
    <w:p w14:paraId="680719DD">
      <w:pPr>
        <w:spacing w:line="360" w:lineRule="auto"/>
        <w:ind w:firstLine="435"/>
        <w:rPr>
          <w:rFonts w:ascii="宋体" w:hAnsi="宋体"/>
          <w:sz w:val="24"/>
          <w:highlight w:val="none"/>
          <w:lang w:val="zh-CN"/>
        </w:rPr>
      </w:pPr>
      <w:r>
        <w:rPr>
          <w:rFonts w:hint="eastAsia" w:ascii="宋体" w:hAnsi="宋体"/>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4C473583">
      <w:pPr>
        <w:spacing w:line="360" w:lineRule="auto"/>
        <w:ind w:firstLine="437"/>
        <w:outlineLvl w:val="3"/>
        <w:rPr>
          <w:rFonts w:ascii="宋体" w:hAnsi="宋体"/>
          <w:b/>
          <w:bCs/>
          <w:sz w:val="24"/>
          <w:highlight w:val="none"/>
          <w:lang w:val="zh-CN"/>
        </w:rPr>
      </w:pPr>
      <w:bookmarkStart w:id="31" w:name="_Toc2232"/>
      <w:bookmarkStart w:id="32" w:name="_Toc24059"/>
      <w:bookmarkStart w:id="33" w:name="_Toc3029"/>
      <w:r>
        <w:rPr>
          <w:rFonts w:hint="eastAsia" w:ascii="宋体" w:hAnsi="宋体"/>
          <w:b/>
          <w:bCs/>
          <w:sz w:val="24"/>
          <w:highlight w:val="none"/>
          <w:lang w:val="zh-CN"/>
        </w:rPr>
        <w:t>1.1合同组成部分</w:t>
      </w:r>
      <w:bookmarkEnd w:id="31"/>
      <w:bookmarkEnd w:id="32"/>
      <w:bookmarkEnd w:id="33"/>
    </w:p>
    <w:p w14:paraId="369DCDD8">
      <w:pPr>
        <w:spacing w:line="360" w:lineRule="auto"/>
        <w:ind w:firstLine="435"/>
        <w:rPr>
          <w:rFonts w:ascii="宋体" w:hAnsi="宋体"/>
          <w:sz w:val="24"/>
          <w:highlight w:val="none"/>
          <w:lang w:val="zh-CN"/>
        </w:rPr>
      </w:pPr>
      <w:r>
        <w:rPr>
          <w:rFonts w:hint="eastAsia" w:ascii="宋体" w:hAnsi="宋体"/>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5211476">
      <w:pPr>
        <w:spacing w:line="360" w:lineRule="auto"/>
        <w:ind w:firstLine="435"/>
        <w:rPr>
          <w:rFonts w:ascii="宋体" w:hAnsi="宋体"/>
          <w:sz w:val="24"/>
          <w:highlight w:val="none"/>
          <w:lang w:val="zh-CN"/>
        </w:rPr>
      </w:pPr>
      <w:r>
        <w:rPr>
          <w:rFonts w:hint="eastAsia" w:ascii="宋体" w:hAnsi="宋体"/>
          <w:sz w:val="24"/>
          <w:highlight w:val="none"/>
          <w:lang w:val="zh-CN"/>
        </w:rPr>
        <w:t>1.1.1本合同及其补充合同、变更协议；</w:t>
      </w:r>
    </w:p>
    <w:p w14:paraId="63751224">
      <w:pPr>
        <w:spacing w:line="360" w:lineRule="auto"/>
        <w:ind w:firstLine="435"/>
        <w:rPr>
          <w:rFonts w:ascii="宋体" w:hAnsi="宋体"/>
          <w:sz w:val="24"/>
          <w:highlight w:val="none"/>
          <w:lang w:val="zh-CN"/>
        </w:rPr>
      </w:pPr>
      <w:r>
        <w:rPr>
          <w:rFonts w:hint="eastAsia" w:ascii="宋体" w:hAnsi="宋体"/>
          <w:sz w:val="24"/>
          <w:highlight w:val="none"/>
          <w:lang w:val="zh-CN"/>
        </w:rPr>
        <w:t>1.1.2中标通知书；</w:t>
      </w:r>
    </w:p>
    <w:p w14:paraId="7EB5CE9B">
      <w:pPr>
        <w:spacing w:line="360" w:lineRule="auto"/>
        <w:ind w:firstLine="435"/>
        <w:rPr>
          <w:rFonts w:ascii="宋体" w:hAnsi="宋体"/>
          <w:sz w:val="24"/>
          <w:highlight w:val="none"/>
          <w:lang w:val="zh-CN"/>
        </w:rPr>
      </w:pPr>
      <w:r>
        <w:rPr>
          <w:rFonts w:hint="eastAsia" w:ascii="宋体" w:hAnsi="宋体"/>
          <w:sz w:val="24"/>
          <w:highlight w:val="none"/>
          <w:lang w:val="zh-CN"/>
        </w:rPr>
        <w:t>1.1.3</w:t>
      </w:r>
      <w:r>
        <w:rPr>
          <w:rFonts w:hint="eastAsia" w:ascii="宋体" w:hAnsi="宋体"/>
          <w:sz w:val="24"/>
          <w:highlight w:val="none"/>
        </w:rPr>
        <w:t>投标</w:t>
      </w:r>
      <w:r>
        <w:rPr>
          <w:rFonts w:hint="eastAsia" w:ascii="宋体" w:hAnsi="宋体"/>
          <w:sz w:val="24"/>
          <w:highlight w:val="none"/>
          <w:lang w:val="zh-CN"/>
        </w:rPr>
        <w:t>文件（含澄清或者说明文件）；</w:t>
      </w:r>
    </w:p>
    <w:p w14:paraId="42B1954B">
      <w:pPr>
        <w:spacing w:line="360" w:lineRule="auto"/>
        <w:ind w:firstLine="435"/>
        <w:rPr>
          <w:rFonts w:ascii="宋体" w:hAnsi="宋体"/>
          <w:sz w:val="24"/>
          <w:highlight w:val="none"/>
          <w:lang w:val="zh-CN"/>
        </w:rPr>
      </w:pPr>
      <w:r>
        <w:rPr>
          <w:rFonts w:hint="eastAsia" w:ascii="宋体" w:hAnsi="宋体"/>
          <w:sz w:val="24"/>
          <w:highlight w:val="none"/>
          <w:lang w:val="zh-CN"/>
        </w:rPr>
        <w:t>1.1.4</w:t>
      </w:r>
      <w:r>
        <w:rPr>
          <w:rFonts w:hint="eastAsia" w:ascii="宋体" w:hAnsi="宋体"/>
          <w:sz w:val="24"/>
          <w:highlight w:val="none"/>
        </w:rPr>
        <w:t>招标</w:t>
      </w:r>
      <w:r>
        <w:rPr>
          <w:rFonts w:hint="eastAsia" w:ascii="宋体" w:hAnsi="宋体"/>
          <w:sz w:val="24"/>
          <w:highlight w:val="none"/>
          <w:lang w:val="zh-CN"/>
        </w:rPr>
        <w:t>文件（含澄清或者修改文件）；</w:t>
      </w:r>
    </w:p>
    <w:p w14:paraId="21AF1ECA">
      <w:pPr>
        <w:spacing w:line="360" w:lineRule="auto"/>
        <w:ind w:firstLine="435"/>
        <w:rPr>
          <w:rFonts w:ascii="宋体" w:hAnsi="宋体"/>
          <w:sz w:val="24"/>
          <w:highlight w:val="none"/>
          <w:lang w:val="zh-CN"/>
        </w:rPr>
      </w:pPr>
      <w:r>
        <w:rPr>
          <w:rFonts w:hint="eastAsia" w:ascii="宋体" w:hAnsi="宋体"/>
          <w:sz w:val="24"/>
          <w:highlight w:val="none"/>
          <w:lang w:val="zh-CN"/>
        </w:rPr>
        <w:t>1.1.5其他相关采购文件。</w:t>
      </w:r>
    </w:p>
    <w:p w14:paraId="64B733EC">
      <w:pPr>
        <w:spacing w:line="360" w:lineRule="auto"/>
        <w:ind w:firstLine="437"/>
        <w:outlineLvl w:val="3"/>
        <w:rPr>
          <w:rFonts w:ascii="宋体" w:hAnsi="宋体"/>
          <w:b/>
          <w:bCs/>
          <w:sz w:val="24"/>
          <w:highlight w:val="none"/>
          <w:lang w:val="zh-CN"/>
        </w:rPr>
      </w:pPr>
      <w:bookmarkStart w:id="34" w:name="_Toc27126"/>
      <w:bookmarkStart w:id="35" w:name="_Toc21295"/>
      <w:bookmarkStart w:id="36" w:name="_Toc24300"/>
      <w:r>
        <w:rPr>
          <w:rFonts w:hint="eastAsia" w:ascii="宋体" w:hAnsi="宋体"/>
          <w:b/>
          <w:bCs/>
          <w:sz w:val="24"/>
          <w:highlight w:val="none"/>
          <w:lang w:val="zh-CN"/>
        </w:rPr>
        <w:t>1.2货物</w:t>
      </w:r>
      <w:bookmarkEnd w:id="34"/>
      <w:bookmarkEnd w:id="35"/>
      <w:bookmarkEnd w:id="36"/>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15"/>
        <w:gridCol w:w="1515"/>
        <w:gridCol w:w="1512"/>
        <w:gridCol w:w="1512"/>
        <w:gridCol w:w="1508"/>
      </w:tblGrid>
      <w:tr w14:paraId="4329A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28FE2429">
            <w:pPr>
              <w:jc w:val="center"/>
              <w:rPr>
                <w:rFonts w:ascii="宋体" w:hAnsi="宋体"/>
                <w:sz w:val="24"/>
                <w:highlight w:val="none"/>
                <w:lang w:val="zh-CN"/>
              </w:rPr>
            </w:pPr>
            <w:r>
              <w:rPr>
                <w:rFonts w:hint="eastAsia" w:ascii="宋体" w:hAnsi="宋体"/>
                <w:sz w:val="24"/>
                <w:highlight w:val="none"/>
                <w:lang w:val="zh-CN"/>
              </w:rPr>
              <w:t>序号</w:t>
            </w:r>
          </w:p>
        </w:tc>
        <w:tc>
          <w:tcPr>
            <w:tcW w:w="1515" w:type="dxa"/>
            <w:noWrap w:val="0"/>
            <w:vAlign w:val="center"/>
          </w:tcPr>
          <w:p w14:paraId="2A45759B">
            <w:pPr>
              <w:jc w:val="center"/>
              <w:rPr>
                <w:rFonts w:ascii="宋体" w:hAnsi="宋体"/>
                <w:sz w:val="24"/>
                <w:highlight w:val="none"/>
                <w:lang w:val="zh-CN"/>
              </w:rPr>
            </w:pPr>
            <w:r>
              <w:rPr>
                <w:rFonts w:hint="eastAsia" w:ascii="宋体" w:hAnsi="宋体"/>
                <w:sz w:val="24"/>
                <w:highlight w:val="none"/>
                <w:lang w:val="zh-CN"/>
              </w:rPr>
              <w:t>货物名称</w:t>
            </w:r>
          </w:p>
        </w:tc>
        <w:tc>
          <w:tcPr>
            <w:tcW w:w="1515" w:type="dxa"/>
            <w:noWrap w:val="0"/>
            <w:vAlign w:val="center"/>
          </w:tcPr>
          <w:p w14:paraId="610E5ED4">
            <w:pPr>
              <w:jc w:val="center"/>
              <w:rPr>
                <w:rFonts w:ascii="宋体" w:hAnsi="宋体"/>
                <w:sz w:val="24"/>
                <w:highlight w:val="none"/>
                <w:lang w:val="zh-CN"/>
              </w:rPr>
            </w:pPr>
            <w:r>
              <w:rPr>
                <w:rFonts w:hint="eastAsia" w:ascii="宋体" w:hAnsi="宋体"/>
                <w:sz w:val="24"/>
                <w:highlight w:val="none"/>
                <w:lang w:val="zh-CN"/>
              </w:rPr>
              <w:t>规格型号</w:t>
            </w:r>
          </w:p>
        </w:tc>
        <w:tc>
          <w:tcPr>
            <w:tcW w:w="1512" w:type="dxa"/>
            <w:noWrap w:val="0"/>
            <w:vAlign w:val="center"/>
          </w:tcPr>
          <w:p w14:paraId="4FFE869C">
            <w:pPr>
              <w:jc w:val="center"/>
              <w:rPr>
                <w:rFonts w:ascii="宋体" w:hAnsi="宋体"/>
                <w:sz w:val="24"/>
                <w:highlight w:val="none"/>
                <w:lang w:val="zh-CN"/>
              </w:rPr>
            </w:pPr>
            <w:r>
              <w:rPr>
                <w:rFonts w:hint="eastAsia" w:ascii="宋体" w:hAnsi="宋体"/>
                <w:sz w:val="24"/>
                <w:highlight w:val="none"/>
                <w:lang w:val="zh-CN"/>
              </w:rPr>
              <w:t>单位</w:t>
            </w:r>
          </w:p>
        </w:tc>
        <w:tc>
          <w:tcPr>
            <w:tcW w:w="1512" w:type="dxa"/>
            <w:noWrap w:val="0"/>
            <w:vAlign w:val="center"/>
          </w:tcPr>
          <w:p w14:paraId="4B94B3E2">
            <w:pPr>
              <w:jc w:val="center"/>
              <w:rPr>
                <w:rFonts w:ascii="宋体" w:hAnsi="宋体"/>
                <w:sz w:val="24"/>
                <w:highlight w:val="none"/>
                <w:lang w:val="zh-CN"/>
              </w:rPr>
            </w:pPr>
            <w:r>
              <w:rPr>
                <w:rFonts w:hint="eastAsia" w:ascii="宋体" w:hAnsi="宋体"/>
                <w:sz w:val="24"/>
                <w:highlight w:val="none"/>
                <w:lang w:val="zh-CN"/>
              </w:rPr>
              <w:t>数量</w:t>
            </w:r>
          </w:p>
        </w:tc>
        <w:tc>
          <w:tcPr>
            <w:tcW w:w="1508" w:type="dxa"/>
            <w:noWrap w:val="0"/>
            <w:vAlign w:val="center"/>
          </w:tcPr>
          <w:p w14:paraId="194F4B45">
            <w:pPr>
              <w:jc w:val="center"/>
              <w:rPr>
                <w:rFonts w:ascii="宋体" w:hAnsi="宋体"/>
                <w:sz w:val="24"/>
                <w:highlight w:val="none"/>
                <w:lang w:val="zh-CN"/>
              </w:rPr>
            </w:pPr>
            <w:r>
              <w:rPr>
                <w:rFonts w:hint="eastAsia" w:ascii="宋体" w:hAnsi="宋体"/>
                <w:sz w:val="24"/>
                <w:highlight w:val="none"/>
                <w:lang w:val="zh-CN"/>
              </w:rPr>
              <w:t>生产厂商</w:t>
            </w:r>
          </w:p>
        </w:tc>
      </w:tr>
      <w:tr w14:paraId="6349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60FC4B7E">
            <w:pPr>
              <w:jc w:val="center"/>
              <w:rPr>
                <w:rFonts w:ascii="宋体" w:hAnsi="宋体"/>
                <w:sz w:val="24"/>
                <w:highlight w:val="none"/>
                <w:lang w:val="zh-CN"/>
              </w:rPr>
            </w:pPr>
            <w:r>
              <w:rPr>
                <w:rFonts w:hint="eastAsia" w:ascii="宋体" w:hAnsi="宋体"/>
                <w:sz w:val="24"/>
                <w:highlight w:val="none"/>
                <w:lang w:val="zh-CN"/>
              </w:rPr>
              <w:t>1</w:t>
            </w:r>
          </w:p>
        </w:tc>
        <w:tc>
          <w:tcPr>
            <w:tcW w:w="1515" w:type="dxa"/>
            <w:noWrap w:val="0"/>
            <w:vAlign w:val="center"/>
          </w:tcPr>
          <w:p w14:paraId="2C62DCBE">
            <w:pPr>
              <w:jc w:val="center"/>
              <w:rPr>
                <w:rFonts w:ascii="宋体" w:hAnsi="宋体"/>
                <w:sz w:val="24"/>
                <w:highlight w:val="none"/>
                <w:lang w:val="zh-CN"/>
              </w:rPr>
            </w:pPr>
          </w:p>
        </w:tc>
        <w:tc>
          <w:tcPr>
            <w:tcW w:w="1515" w:type="dxa"/>
            <w:noWrap w:val="0"/>
            <w:vAlign w:val="center"/>
          </w:tcPr>
          <w:p w14:paraId="7846C33C">
            <w:pPr>
              <w:jc w:val="center"/>
              <w:rPr>
                <w:rFonts w:ascii="宋体" w:hAnsi="宋体"/>
                <w:sz w:val="24"/>
                <w:highlight w:val="none"/>
                <w:lang w:val="zh-CN"/>
              </w:rPr>
            </w:pPr>
          </w:p>
        </w:tc>
        <w:tc>
          <w:tcPr>
            <w:tcW w:w="1512" w:type="dxa"/>
            <w:noWrap w:val="0"/>
            <w:vAlign w:val="center"/>
          </w:tcPr>
          <w:p w14:paraId="41842308">
            <w:pPr>
              <w:jc w:val="center"/>
              <w:rPr>
                <w:rFonts w:ascii="宋体" w:hAnsi="宋体"/>
                <w:sz w:val="24"/>
                <w:highlight w:val="none"/>
                <w:lang w:val="zh-CN"/>
              </w:rPr>
            </w:pPr>
          </w:p>
        </w:tc>
        <w:tc>
          <w:tcPr>
            <w:tcW w:w="1512" w:type="dxa"/>
            <w:noWrap w:val="0"/>
            <w:vAlign w:val="center"/>
          </w:tcPr>
          <w:p w14:paraId="32B3B11B">
            <w:pPr>
              <w:jc w:val="center"/>
              <w:rPr>
                <w:rFonts w:ascii="宋体" w:hAnsi="宋体"/>
                <w:sz w:val="24"/>
                <w:highlight w:val="none"/>
                <w:lang w:val="zh-CN"/>
              </w:rPr>
            </w:pPr>
          </w:p>
        </w:tc>
        <w:tc>
          <w:tcPr>
            <w:tcW w:w="1508" w:type="dxa"/>
            <w:noWrap w:val="0"/>
            <w:vAlign w:val="center"/>
          </w:tcPr>
          <w:p w14:paraId="2B1AE91A">
            <w:pPr>
              <w:jc w:val="center"/>
              <w:rPr>
                <w:rFonts w:ascii="宋体" w:hAnsi="宋体"/>
                <w:sz w:val="24"/>
                <w:highlight w:val="none"/>
                <w:lang w:val="zh-CN"/>
              </w:rPr>
            </w:pPr>
          </w:p>
        </w:tc>
      </w:tr>
      <w:tr w14:paraId="3F01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15B50DF7">
            <w:pPr>
              <w:jc w:val="center"/>
              <w:rPr>
                <w:rFonts w:ascii="宋体" w:hAnsi="宋体"/>
                <w:sz w:val="24"/>
                <w:highlight w:val="none"/>
                <w:lang w:val="zh-CN"/>
              </w:rPr>
            </w:pPr>
            <w:r>
              <w:rPr>
                <w:rFonts w:hint="eastAsia" w:ascii="宋体" w:hAnsi="宋体"/>
                <w:sz w:val="24"/>
                <w:highlight w:val="none"/>
                <w:lang w:val="zh-CN"/>
              </w:rPr>
              <w:t>2</w:t>
            </w:r>
          </w:p>
        </w:tc>
        <w:tc>
          <w:tcPr>
            <w:tcW w:w="1515" w:type="dxa"/>
            <w:noWrap w:val="0"/>
            <w:vAlign w:val="center"/>
          </w:tcPr>
          <w:p w14:paraId="19097023">
            <w:pPr>
              <w:jc w:val="center"/>
              <w:rPr>
                <w:rFonts w:ascii="宋体" w:hAnsi="宋体"/>
                <w:sz w:val="24"/>
                <w:highlight w:val="none"/>
                <w:lang w:val="zh-CN"/>
              </w:rPr>
            </w:pPr>
          </w:p>
        </w:tc>
        <w:tc>
          <w:tcPr>
            <w:tcW w:w="1515" w:type="dxa"/>
            <w:noWrap w:val="0"/>
            <w:vAlign w:val="center"/>
          </w:tcPr>
          <w:p w14:paraId="399B9E98">
            <w:pPr>
              <w:jc w:val="center"/>
              <w:rPr>
                <w:rFonts w:ascii="宋体" w:hAnsi="宋体"/>
                <w:sz w:val="24"/>
                <w:highlight w:val="none"/>
                <w:lang w:val="zh-CN"/>
              </w:rPr>
            </w:pPr>
          </w:p>
        </w:tc>
        <w:tc>
          <w:tcPr>
            <w:tcW w:w="1512" w:type="dxa"/>
            <w:noWrap w:val="0"/>
            <w:vAlign w:val="center"/>
          </w:tcPr>
          <w:p w14:paraId="76278EA9">
            <w:pPr>
              <w:jc w:val="center"/>
              <w:rPr>
                <w:rFonts w:ascii="宋体" w:hAnsi="宋体"/>
                <w:sz w:val="24"/>
                <w:highlight w:val="none"/>
                <w:lang w:val="zh-CN"/>
              </w:rPr>
            </w:pPr>
          </w:p>
        </w:tc>
        <w:tc>
          <w:tcPr>
            <w:tcW w:w="1512" w:type="dxa"/>
            <w:noWrap w:val="0"/>
            <w:vAlign w:val="center"/>
          </w:tcPr>
          <w:p w14:paraId="752D0F92">
            <w:pPr>
              <w:jc w:val="center"/>
              <w:rPr>
                <w:rFonts w:ascii="宋体" w:hAnsi="宋体"/>
                <w:sz w:val="24"/>
                <w:highlight w:val="none"/>
                <w:lang w:val="zh-CN"/>
              </w:rPr>
            </w:pPr>
          </w:p>
        </w:tc>
        <w:tc>
          <w:tcPr>
            <w:tcW w:w="1508" w:type="dxa"/>
            <w:noWrap w:val="0"/>
            <w:vAlign w:val="center"/>
          </w:tcPr>
          <w:p w14:paraId="377DAC90">
            <w:pPr>
              <w:jc w:val="center"/>
              <w:rPr>
                <w:rFonts w:ascii="宋体" w:hAnsi="宋体"/>
                <w:sz w:val="24"/>
                <w:highlight w:val="none"/>
                <w:lang w:val="zh-CN"/>
              </w:rPr>
            </w:pPr>
          </w:p>
        </w:tc>
      </w:tr>
      <w:tr w14:paraId="7AF0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626DFDD0">
            <w:pPr>
              <w:jc w:val="center"/>
              <w:rPr>
                <w:rFonts w:ascii="宋体" w:hAnsi="宋体"/>
                <w:sz w:val="24"/>
                <w:highlight w:val="none"/>
                <w:lang w:val="zh-CN"/>
              </w:rPr>
            </w:pPr>
            <w:r>
              <w:rPr>
                <w:rFonts w:ascii="宋体" w:hAnsi="宋体"/>
                <w:sz w:val="24"/>
                <w:highlight w:val="none"/>
                <w:lang w:val="zh-CN"/>
              </w:rPr>
              <w:t>3</w:t>
            </w:r>
          </w:p>
        </w:tc>
        <w:tc>
          <w:tcPr>
            <w:tcW w:w="1515" w:type="dxa"/>
            <w:noWrap w:val="0"/>
            <w:vAlign w:val="center"/>
          </w:tcPr>
          <w:p w14:paraId="4C9B6FFE">
            <w:pPr>
              <w:jc w:val="center"/>
              <w:rPr>
                <w:rFonts w:ascii="宋体" w:hAnsi="宋体"/>
                <w:sz w:val="24"/>
                <w:highlight w:val="none"/>
                <w:lang w:val="zh-CN"/>
              </w:rPr>
            </w:pPr>
          </w:p>
        </w:tc>
        <w:tc>
          <w:tcPr>
            <w:tcW w:w="1515" w:type="dxa"/>
            <w:noWrap w:val="0"/>
            <w:vAlign w:val="center"/>
          </w:tcPr>
          <w:p w14:paraId="3B568965">
            <w:pPr>
              <w:jc w:val="center"/>
              <w:rPr>
                <w:rFonts w:ascii="宋体" w:hAnsi="宋体"/>
                <w:sz w:val="24"/>
                <w:highlight w:val="none"/>
                <w:lang w:val="zh-CN"/>
              </w:rPr>
            </w:pPr>
          </w:p>
        </w:tc>
        <w:tc>
          <w:tcPr>
            <w:tcW w:w="1512" w:type="dxa"/>
            <w:noWrap w:val="0"/>
            <w:vAlign w:val="center"/>
          </w:tcPr>
          <w:p w14:paraId="40159D4E">
            <w:pPr>
              <w:jc w:val="center"/>
              <w:rPr>
                <w:rFonts w:ascii="宋体" w:hAnsi="宋体"/>
                <w:sz w:val="24"/>
                <w:highlight w:val="none"/>
                <w:lang w:val="zh-CN"/>
              </w:rPr>
            </w:pPr>
          </w:p>
        </w:tc>
        <w:tc>
          <w:tcPr>
            <w:tcW w:w="1512" w:type="dxa"/>
            <w:noWrap w:val="0"/>
            <w:vAlign w:val="center"/>
          </w:tcPr>
          <w:p w14:paraId="13F84864">
            <w:pPr>
              <w:jc w:val="center"/>
              <w:rPr>
                <w:rFonts w:ascii="宋体" w:hAnsi="宋体"/>
                <w:sz w:val="24"/>
                <w:highlight w:val="none"/>
                <w:lang w:val="zh-CN"/>
              </w:rPr>
            </w:pPr>
          </w:p>
        </w:tc>
        <w:tc>
          <w:tcPr>
            <w:tcW w:w="1508" w:type="dxa"/>
            <w:noWrap w:val="0"/>
            <w:vAlign w:val="center"/>
          </w:tcPr>
          <w:p w14:paraId="49CA5D5D">
            <w:pPr>
              <w:jc w:val="center"/>
              <w:rPr>
                <w:rFonts w:ascii="宋体" w:hAnsi="宋体"/>
                <w:sz w:val="24"/>
                <w:highlight w:val="none"/>
                <w:lang w:val="zh-CN"/>
              </w:rPr>
            </w:pPr>
          </w:p>
        </w:tc>
      </w:tr>
      <w:tr w14:paraId="5024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43E1A929">
            <w:pPr>
              <w:jc w:val="center"/>
              <w:rPr>
                <w:rFonts w:ascii="宋体" w:hAnsi="宋体"/>
                <w:sz w:val="24"/>
                <w:highlight w:val="none"/>
                <w:lang w:val="zh-CN"/>
              </w:rPr>
            </w:pPr>
            <w:r>
              <w:rPr>
                <w:rFonts w:hint="eastAsia" w:ascii="宋体" w:hAnsi="宋体"/>
                <w:sz w:val="24"/>
                <w:highlight w:val="none"/>
                <w:lang w:val="zh-CN"/>
              </w:rPr>
              <w:t>……</w:t>
            </w:r>
          </w:p>
        </w:tc>
        <w:tc>
          <w:tcPr>
            <w:tcW w:w="1515" w:type="dxa"/>
            <w:noWrap w:val="0"/>
            <w:vAlign w:val="center"/>
          </w:tcPr>
          <w:p w14:paraId="79C80610">
            <w:pPr>
              <w:jc w:val="center"/>
              <w:rPr>
                <w:rFonts w:ascii="宋体" w:hAnsi="宋体"/>
                <w:sz w:val="24"/>
                <w:highlight w:val="none"/>
                <w:lang w:val="zh-CN"/>
              </w:rPr>
            </w:pPr>
          </w:p>
        </w:tc>
        <w:tc>
          <w:tcPr>
            <w:tcW w:w="1515" w:type="dxa"/>
            <w:noWrap w:val="0"/>
            <w:vAlign w:val="center"/>
          </w:tcPr>
          <w:p w14:paraId="0385422E">
            <w:pPr>
              <w:jc w:val="center"/>
              <w:rPr>
                <w:rFonts w:ascii="宋体" w:hAnsi="宋体"/>
                <w:sz w:val="24"/>
                <w:highlight w:val="none"/>
                <w:lang w:val="zh-CN"/>
              </w:rPr>
            </w:pPr>
          </w:p>
        </w:tc>
        <w:tc>
          <w:tcPr>
            <w:tcW w:w="1512" w:type="dxa"/>
            <w:noWrap w:val="0"/>
            <w:vAlign w:val="center"/>
          </w:tcPr>
          <w:p w14:paraId="0541EECA">
            <w:pPr>
              <w:jc w:val="center"/>
              <w:rPr>
                <w:rFonts w:ascii="宋体" w:hAnsi="宋体"/>
                <w:sz w:val="24"/>
                <w:highlight w:val="none"/>
                <w:lang w:val="zh-CN"/>
              </w:rPr>
            </w:pPr>
          </w:p>
        </w:tc>
        <w:tc>
          <w:tcPr>
            <w:tcW w:w="1512" w:type="dxa"/>
            <w:noWrap w:val="0"/>
            <w:vAlign w:val="center"/>
          </w:tcPr>
          <w:p w14:paraId="402E49CF">
            <w:pPr>
              <w:jc w:val="center"/>
              <w:rPr>
                <w:rFonts w:ascii="宋体" w:hAnsi="宋体"/>
                <w:sz w:val="24"/>
                <w:highlight w:val="none"/>
                <w:lang w:val="zh-CN"/>
              </w:rPr>
            </w:pPr>
          </w:p>
        </w:tc>
        <w:tc>
          <w:tcPr>
            <w:tcW w:w="1508" w:type="dxa"/>
            <w:noWrap w:val="0"/>
            <w:vAlign w:val="center"/>
          </w:tcPr>
          <w:p w14:paraId="369396DD">
            <w:pPr>
              <w:jc w:val="center"/>
              <w:rPr>
                <w:rFonts w:ascii="宋体" w:hAnsi="宋体"/>
                <w:sz w:val="24"/>
                <w:highlight w:val="none"/>
                <w:lang w:val="zh-CN"/>
              </w:rPr>
            </w:pPr>
          </w:p>
        </w:tc>
      </w:tr>
    </w:tbl>
    <w:p w14:paraId="5E2AE89A">
      <w:pPr>
        <w:spacing w:line="360" w:lineRule="auto"/>
        <w:ind w:firstLine="437"/>
        <w:outlineLvl w:val="3"/>
        <w:rPr>
          <w:rFonts w:ascii="宋体" w:hAnsi="宋体"/>
          <w:b/>
          <w:bCs/>
          <w:sz w:val="24"/>
          <w:highlight w:val="none"/>
          <w:lang w:val="zh-CN"/>
        </w:rPr>
      </w:pPr>
      <w:bookmarkStart w:id="37" w:name="_Toc21631"/>
      <w:bookmarkStart w:id="38" w:name="_Toc21551"/>
      <w:bookmarkStart w:id="39" w:name="_Toc23292"/>
      <w:r>
        <w:rPr>
          <w:rFonts w:hint="eastAsia" w:ascii="宋体" w:hAnsi="宋体"/>
          <w:b/>
          <w:bCs/>
          <w:sz w:val="24"/>
          <w:highlight w:val="none"/>
          <w:lang w:val="zh-CN"/>
        </w:rPr>
        <w:t>1.</w:t>
      </w:r>
      <w:r>
        <w:rPr>
          <w:rFonts w:ascii="宋体" w:hAnsi="宋体"/>
          <w:b/>
          <w:bCs/>
          <w:sz w:val="24"/>
          <w:highlight w:val="none"/>
          <w:lang w:val="zh-CN"/>
        </w:rPr>
        <w:t>3</w:t>
      </w:r>
      <w:r>
        <w:rPr>
          <w:rFonts w:hint="eastAsia" w:ascii="宋体" w:hAnsi="宋体"/>
          <w:b/>
          <w:bCs/>
          <w:sz w:val="24"/>
          <w:highlight w:val="none"/>
          <w:lang w:val="zh-CN"/>
        </w:rPr>
        <w:t>价款</w:t>
      </w:r>
      <w:bookmarkEnd w:id="37"/>
      <w:bookmarkEnd w:id="38"/>
      <w:bookmarkEnd w:id="39"/>
    </w:p>
    <w:p w14:paraId="68C99EFD">
      <w:pPr>
        <w:spacing w:line="360" w:lineRule="auto"/>
        <w:ind w:firstLine="435"/>
        <w:rPr>
          <w:rFonts w:ascii="宋体" w:hAnsi="宋体"/>
          <w:sz w:val="24"/>
          <w:highlight w:val="none"/>
        </w:rPr>
      </w:pPr>
      <w:r>
        <w:rPr>
          <w:rFonts w:ascii="宋体" w:hAnsi="宋体"/>
          <w:sz w:val="24"/>
          <w:highlight w:val="none"/>
        </w:rPr>
        <w:t>本合同总价为</w:t>
      </w:r>
      <w:r>
        <w:rPr>
          <w:rFonts w:hint="eastAsia" w:ascii="宋体" w:hAnsi="宋体"/>
          <w:sz w:val="24"/>
          <w:highlight w:val="none"/>
        </w:rPr>
        <w:t>：￥</w:t>
      </w:r>
      <w:r>
        <w:rPr>
          <w:rFonts w:ascii="宋体" w:hAnsi="宋体"/>
          <w:sz w:val="24"/>
          <w:highlight w:val="none"/>
        </w:rPr>
        <w:t>元</w:t>
      </w:r>
      <w:r>
        <w:rPr>
          <w:rFonts w:hint="eastAsia" w:ascii="宋体" w:hAnsi="宋体"/>
          <w:sz w:val="24"/>
          <w:highlight w:val="none"/>
        </w:rPr>
        <w:t>（大写：人民币元）</w:t>
      </w:r>
      <w:r>
        <w:rPr>
          <w:rFonts w:ascii="宋体" w:hAnsi="宋体"/>
          <w:sz w:val="24"/>
          <w:highlight w:val="none"/>
        </w:rPr>
        <w:t>。</w:t>
      </w:r>
    </w:p>
    <w:p w14:paraId="669C5FEB">
      <w:pPr>
        <w:spacing w:line="360" w:lineRule="auto"/>
        <w:ind w:firstLine="435"/>
        <w:rPr>
          <w:rFonts w:ascii="宋体" w:hAnsi="宋体"/>
          <w:sz w:val="24"/>
          <w:highlight w:val="none"/>
          <w:u w:val="single"/>
        </w:rPr>
      </w:pPr>
      <w:r>
        <w:rPr>
          <w:rFonts w:ascii="宋体" w:hAnsi="宋体"/>
          <w:sz w:val="24"/>
          <w:highlight w:val="none"/>
        </w:rPr>
        <w:t>分项价格：</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189E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center"/>
          </w:tcPr>
          <w:p w14:paraId="7CE97DFA">
            <w:pPr>
              <w:jc w:val="center"/>
              <w:rPr>
                <w:rFonts w:ascii="宋体" w:hAnsi="宋体"/>
                <w:sz w:val="24"/>
                <w:highlight w:val="none"/>
                <w:lang w:val="zh-CN"/>
              </w:rPr>
            </w:pPr>
            <w:r>
              <w:rPr>
                <w:rFonts w:ascii="宋体" w:hAnsi="宋体"/>
                <w:sz w:val="24"/>
                <w:highlight w:val="none"/>
                <w:lang w:val="zh-CN"/>
              </w:rPr>
              <w:t>序号</w:t>
            </w:r>
          </w:p>
        </w:tc>
        <w:tc>
          <w:tcPr>
            <w:tcW w:w="4316" w:type="dxa"/>
            <w:noWrap w:val="0"/>
            <w:vAlign w:val="center"/>
          </w:tcPr>
          <w:p w14:paraId="2F81DF16">
            <w:pPr>
              <w:pStyle w:val="26"/>
              <w:ind w:firstLine="200"/>
              <w:jc w:val="center"/>
              <w:rPr>
                <w:rFonts w:ascii="宋体" w:hAnsi="宋体" w:eastAsia="宋体"/>
                <w:sz w:val="24"/>
                <w:szCs w:val="24"/>
                <w:highlight w:val="none"/>
              </w:rPr>
            </w:pPr>
            <w:r>
              <w:rPr>
                <w:rFonts w:hint="eastAsia" w:ascii="宋体" w:hAnsi="宋体" w:eastAsia="宋体"/>
                <w:sz w:val="24"/>
                <w:szCs w:val="24"/>
                <w:highlight w:val="none"/>
              </w:rPr>
              <w:t>分项名称</w:t>
            </w:r>
          </w:p>
        </w:tc>
        <w:tc>
          <w:tcPr>
            <w:tcW w:w="3237" w:type="dxa"/>
            <w:gridSpan w:val="2"/>
            <w:noWrap w:val="0"/>
            <w:vAlign w:val="center"/>
          </w:tcPr>
          <w:p w14:paraId="73F4F09C">
            <w:pPr>
              <w:pStyle w:val="26"/>
              <w:jc w:val="center"/>
              <w:rPr>
                <w:rFonts w:ascii="宋体" w:hAnsi="宋体" w:eastAsia="宋体"/>
                <w:sz w:val="24"/>
                <w:szCs w:val="24"/>
                <w:highlight w:val="none"/>
              </w:rPr>
            </w:pPr>
            <w:r>
              <w:rPr>
                <w:rFonts w:ascii="宋体" w:hAnsi="宋体" w:eastAsia="宋体"/>
                <w:sz w:val="24"/>
                <w:szCs w:val="24"/>
                <w:highlight w:val="none"/>
              </w:rPr>
              <w:t>分项价格</w:t>
            </w:r>
          </w:p>
        </w:tc>
      </w:tr>
      <w:tr w14:paraId="56EC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4A4C6B4A">
            <w:pPr>
              <w:jc w:val="center"/>
              <w:rPr>
                <w:rFonts w:ascii="宋体" w:hAnsi="宋体"/>
                <w:sz w:val="24"/>
                <w:highlight w:val="none"/>
                <w:lang w:val="zh-CN"/>
              </w:rPr>
            </w:pPr>
            <w:r>
              <w:rPr>
                <w:rFonts w:hint="eastAsia" w:ascii="宋体" w:hAnsi="宋体"/>
                <w:sz w:val="24"/>
                <w:highlight w:val="none"/>
                <w:lang w:val="zh-CN"/>
              </w:rPr>
              <w:t>1</w:t>
            </w:r>
          </w:p>
        </w:tc>
        <w:tc>
          <w:tcPr>
            <w:tcW w:w="4316" w:type="dxa"/>
            <w:noWrap w:val="0"/>
            <w:vAlign w:val="center"/>
          </w:tcPr>
          <w:p w14:paraId="2087CE07">
            <w:pPr>
              <w:pStyle w:val="26"/>
              <w:ind w:firstLine="200"/>
              <w:jc w:val="center"/>
              <w:rPr>
                <w:rFonts w:ascii="宋体" w:hAnsi="宋体" w:eastAsia="宋体"/>
                <w:sz w:val="24"/>
                <w:szCs w:val="24"/>
                <w:highlight w:val="none"/>
              </w:rPr>
            </w:pPr>
          </w:p>
        </w:tc>
        <w:tc>
          <w:tcPr>
            <w:tcW w:w="3237" w:type="dxa"/>
            <w:gridSpan w:val="2"/>
            <w:noWrap w:val="0"/>
            <w:vAlign w:val="center"/>
          </w:tcPr>
          <w:p w14:paraId="34B847FE">
            <w:pPr>
              <w:pStyle w:val="26"/>
              <w:ind w:firstLine="200"/>
              <w:jc w:val="center"/>
              <w:rPr>
                <w:rFonts w:ascii="宋体" w:hAnsi="宋体" w:eastAsia="宋体"/>
                <w:sz w:val="24"/>
                <w:szCs w:val="24"/>
                <w:highlight w:val="none"/>
              </w:rPr>
            </w:pPr>
          </w:p>
        </w:tc>
      </w:tr>
      <w:tr w14:paraId="2860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4603AB65">
            <w:pPr>
              <w:jc w:val="center"/>
              <w:rPr>
                <w:rFonts w:ascii="宋体" w:hAnsi="宋体"/>
                <w:sz w:val="24"/>
                <w:highlight w:val="none"/>
                <w:lang w:val="zh-CN"/>
              </w:rPr>
            </w:pPr>
            <w:r>
              <w:rPr>
                <w:rFonts w:hint="eastAsia" w:ascii="宋体" w:hAnsi="宋体"/>
                <w:sz w:val="24"/>
                <w:highlight w:val="none"/>
                <w:lang w:val="zh-CN"/>
              </w:rPr>
              <w:t>2</w:t>
            </w:r>
          </w:p>
        </w:tc>
        <w:tc>
          <w:tcPr>
            <w:tcW w:w="4316" w:type="dxa"/>
            <w:noWrap w:val="0"/>
            <w:vAlign w:val="center"/>
          </w:tcPr>
          <w:p w14:paraId="0096E1EB">
            <w:pPr>
              <w:pStyle w:val="26"/>
              <w:ind w:firstLine="200"/>
              <w:jc w:val="center"/>
              <w:rPr>
                <w:rFonts w:ascii="宋体" w:hAnsi="宋体" w:eastAsia="宋体"/>
                <w:sz w:val="24"/>
                <w:szCs w:val="24"/>
                <w:highlight w:val="none"/>
              </w:rPr>
            </w:pPr>
          </w:p>
        </w:tc>
        <w:tc>
          <w:tcPr>
            <w:tcW w:w="3237" w:type="dxa"/>
            <w:gridSpan w:val="2"/>
            <w:noWrap w:val="0"/>
            <w:vAlign w:val="center"/>
          </w:tcPr>
          <w:p w14:paraId="7CB7E823">
            <w:pPr>
              <w:pStyle w:val="26"/>
              <w:ind w:firstLine="200"/>
              <w:jc w:val="center"/>
              <w:rPr>
                <w:rFonts w:ascii="宋体" w:hAnsi="宋体" w:eastAsia="宋体"/>
                <w:sz w:val="24"/>
                <w:szCs w:val="24"/>
                <w:highlight w:val="none"/>
              </w:rPr>
            </w:pPr>
          </w:p>
        </w:tc>
      </w:tr>
      <w:tr w14:paraId="08E4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27C83E45">
            <w:pPr>
              <w:jc w:val="center"/>
              <w:rPr>
                <w:rFonts w:ascii="宋体" w:hAnsi="宋体"/>
                <w:sz w:val="24"/>
                <w:highlight w:val="none"/>
                <w:lang w:val="zh-CN"/>
              </w:rPr>
            </w:pPr>
            <w:r>
              <w:rPr>
                <w:rFonts w:ascii="宋体" w:hAnsi="宋体"/>
                <w:sz w:val="24"/>
                <w:highlight w:val="none"/>
                <w:lang w:val="zh-CN"/>
              </w:rPr>
              <w:t>3</w:t>
            </w:r>
          </w:p>
        </w:tc>
        <w:tc>
          <w:tcPr>
            <w:tcW w:w="4316" w:type="dxa"/>
            <w:noWrap w:val="0"/>
            <w:vAlign w:val="center"/>
          </w:tcPr>
          <w:p w14:paraId="562976A6">
            <w:pPr>
              <w:pStyle w:val="26"/>
              <w:ind w:firstLine="200"/>
              <w:jc w:val="center"/>
              <w:rPr>
                <w:rFonts w:ascii="宋体" w:hAnsi="宋体" w:eastAsia="宋体"/>
                <w:sz w:val="24"/>
                <w:szCs w:val="24"/>
                <w:highlight w:val="none"/>
              </w:rPr>
            </w:pPr>
          </w:p>
        </w:tc>
        <w:tc>
          <w:tcPr>
            <w:tcW w:w="3237" w:type="dxa"/>
            <w:gridSpan w:val="2"/>
            <w:noWrap w:val="0"/>
            <w:vAlign w:val="center"/>
          </w:tcPr>
          <w:p w14:paraId="468E1E84">
            <w:pPr>
              <w:pStyle w:val="26"/>
              <w:ind w:firstLine="200"/>
              <w:jc w:val="center"/>
              <w:rPr>
                <w:rFonts w:ascii="宋体" w:hAnsi="宋体" w:eastAsia="宋体"/>
                <w:sz w:val="24"/>
                <w:szCs w:val="24"/>
                <w:highlight w:val="none"/>
              </w:rPr>
            </w:pPr>
          </w:p>
        </w:tc>
      </w:tr>
      <w:tr w14:paraId="1C6B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55196F2F">
            <w:pPr>
              <w:jc w:val="center"/>
              <w:rPr>
                <w:rFonts w:ascii="宋体" w:hAnsi="宋体"/>
                <w:sz w:val="24"/>
                <w:highlight w:val="none"/>
                <w:lang w:val="zh-CN"/>
              </w:rPr>
            </w:pPr>
            <w:r>
              <w:rPr>
                <w:rFonts w:hint="eastAsia" w:ascii="宋体" w:hAnsi="宋体"/>
                <w:sz w:val="24"/>
                <w:highlight w:val="none"/>
                <w:lang w:val="zh-CN"/>
              </w:rPr>
              <w:t>……</w:t>
            </w:r>
          </w:p>
        </w:tc>
        <w:tc>
          <w:tcPr>
            <w:tcW w:w="4316" w:type="dxa"/>
            <w:noWrap w:val="0"/>
            <w:vAlign w:val="center"/>
          </w:tcPr>
          <w:p w14:paraId="2477A483">
            <w:pPr>
              <w:pStyle w:val="26"/>
              <w:ind w:firstLine="200"/>
              <w:jc w:val="center"/>
              <w:rPr>
                <w:rFonts w:ascii="宋体" w:hAnsi="宋体" w:eastAsia="宋体"/>
                <w:sz w:val="24"/>
                <w:szCs w:val="24"/>
                <w:highlight w:val="none"/>
              </w:rPr>
            </w:pPr>
          </w:p>
        </w:tc>
        <w:tc>
          <w:tcPr>
            <w:tcW w:w="3237" w:type="dxa"/>
            <w:gridSpan w:val="2"/>
            <w:noWrap w:val="0"/>
            <w:vAlign w:val="center"/>
          </w:tcPr>
          <w:p w14:paraId="7E3C391F">
            <w:pPr>
              <w:pStyle w:val="26"/>
              <w:ind w:firstLine="200"/>
              <w:jc w:val="center"/>
              <w:rPr>
                <w:rFonts w:ascii="宋体" w:hAnsi="宋体" w:eastAsia="宋体"/>
                <w:sz w:val="24"/>
                <w:szCs w:val="24"/>
                <w:highlight w:val="none"/>
              </w:rPr>
            </w:pPr>
          </w:p>
        </w:tc>
      </w:tr>
      <w:tr w14:paraId="6A60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noWrap w:val="0"/>
            <w:vAlign w:val="center"/>
          </w:tcPr>
          <w:p w14:paraId="4236309B">
            <w:pPr>
              <w:pStyle w:val="26"/>
              <w:ind w:firstLine="200"/>
              <w:jc w:val="center"/>
              <w:rPr>
                <w:rFonts w:ascii="宋体" w:hAnsi="宋体" w:eastAsia="宋体"/>
                <w:sz w:val="24"/>
                <w:szCs w:val="24"/>
                <w:highlight w:val="none"/>
              </w:rPr>
            </w:pPr>
            <w:r>
              <w:rPr>
                <w:rFonts w:hint="eastAsia" w:ascii="宋体" w:hAnsi="宋体" w:eastAsia="宋体"/>
                <w:sz w:val="24"/>
                <w:szCs w:val="24"/>
                <w:highlight w:val="none"/>
              </w:rPr>
              <w:t>总价</w:t>
            </w:r>
          </w:p>
        </w:tc>
        <w:tc>
          <w:tcPr>
            <w:tcW w:w="3237" w:type="dxa"/>
            <w:gridSpan w:val="2"/>
            <w:noWrap w:val="0"/>
            <w:vAlign w:val="center"/>
          </w:tcPr>
          <w:p w14:paraId="1B348F0F">
            <w:pPr>
              <w:pStyle w:val="26"/>
              <w:ind w:firstLine="200"/>
              <w:jc w:val="center"/>
              <w:rPr>
                <w:rFonts w:ascii="宋体" w:hAnsi="宋体" w:eastAsia="宋体"/>
                <w:sz w:val="24"/>
                <w:szCs w:val="24"/>
                <w:highlight w:val="none"/>
              </w:rPr>
            </w:pPr>
          </w:p>
        </w:tc>
      </w:tr>
    </w:tbl>
    <w:p w14:paraId="6395DF6F">
      <w:pPr>
        <w:spacing w:line="360" w:lineRule="auto"/>
        <w:ind w:firstLine="437"/>
        <w:outlineLvl w:val="3"/>
        <w:rPr>
          <w:rFonts w:ascii="宋体" w:hAnsi="宋体"/>
          <w:b/>
          <w:bCs/>
          <w:sz w:val="24"/>
          <w:highlight w:val="none"/>
          <w:lang w:val="zh-CN"/>
        </w:rPr>
      </w:pPr>
      <w:bookmarkStart w:id="40" w:name="_Toc1814"/>
      <w:bookmarkStart w:id="41" w:name="_Toc22618"/>
      <w:bookmarkStart w:id="42" w:name="_Toc10340"/>
      <w:r>
        <w:rPr>
          <w:rFonts w:hint="eastAsia" w:ascii="宋体" w:hAnsi="宋体"/>
          <w:b/>
          <w:bCs/>
          <w:sz w:val="24"/>
          <w:highlight w:val="none"/>
          <w:lang w:val="zh-CN"/>
        </w:rPr>
        <w:t>1.</w:t>
      </w:r>
      <w:r>
        <w:rPr>
          <w:rFonts w:ascii="宋体" w:hAnsi="宋体"/>
          <w:b/>
          <w:bCs/>
          <w:sz w:val="24"/>
          <w:highlight w:val="none"/>
          <w:lang w:val="zh-CN"/>
        </w:rPr>
        <w:t>4付款和发票</w:t>
      </w:r>
      <w:bookmarkEnd w:id="40"/>
      <w:bookmarkEnd w:id="41"/>
      <w:bookmarkEnd w:id="42"/>
    </w:p>
    <w:p w14:paraId="67FAD43B">
      <w:pPr>
        <w:spacing w:line="360" w:lineRule="auto"/>
        <w:ind w:firstLine="435"/>
        <w:rPr>
          <w:rFonts w:ascii="宋体" w:hAnsi="宋体"/>
          <w:sz w:val="24"/>
          <w:highlight w:val="none"/>
        </w:rPr>
      </w:pPr>
      <w:r>
        <w:rPr>
          <w:rFonts w:hint="eastAsia" w:ascii="宋体" w:hAnsi="宋体"/>
          <w:sz w:val="24"/>
          <w:highlight w:val="none"/>
        </w:rPr>
        <w:t>1.4.1付款方式：；</w:t>
      </w:r>
    </w:p>
    <w:p w14:paraId="0F95FD55">
      <w:pPr>
        <w:spacing w:line="360" w:lineRule="auto"/>
        <w:ind w:firstLine="435"/>
        <w:rPr>
          <w:rFonts w:ascii="宋体" w:hAnsi="宋体"/>
          <w:sz w:val="24"/>
          <w:highlight w:val="none"/>
        </w:rPr>
      </w:pPr>
      <w:r>
        <w:rPr>
          <w:rFonts w:hint="eastAsia" w:ascii="宋体" w:hAnsi="宋体"/>
          <w:sz w:val="24"/>
          <w:highlight w:val="none"/>
        </w:rPr>
        <w:t>1.4.2发票类型：</w:t>
      </w:r>
      <w:r>
        <w:rPr>
          <w:rFonts w:hint="eastAsia" w:ascii="宋体" w:hAnsi="宋体"/>
          <w:sz w:val="24"/>
          <w:highlight w:val="none"/>
          <w:u w:val="single"/>
        </w:rPr>
        <w:t>增值税专用发票</w:t>
      </w:r>
      <w:r>
        <w:rPr>
          <w:rFonts w:hint="eastAsia" w:ascii="宋体" w:hAnsi="宋体"/>
          <w:sz w:val="24"/>
          <w:highlight w:val="none"/>
        </w:rPr>
        <w:t>；</w:t>
      </w:r>
    </w:p>
    <w:p w14:paraId="5B00100B">
      <w:pPr>
        <w:spacing w:line="360" w:lineRule="auto"/>
        <w:ind w:firstLine="435"/>
        <w:rPr>
          <w:rFonts w:ascii="宋体" w:hAnsi="宋体"/>
          <w:sz w:val="24"/>
          <w:highlight w:val="none"/>
        </w:rPr>
      </w:pPr>
      <w:r>
        <w:rPr>
          <w:rFonts w:hint="eastAsia" w:ascii="宋体" w:hAnsi="宋体"/>
          <w:sz w:val="24"/>
          <w:highlight w:val="none"/>
        </w:rPr>
        <w:t>1.4.3发票开具方式：。</w:t>
      </w:r>
    </w:p>
    <w:p w14:paraId="3D46A249">
      <w:pPr>
        <w:spacing w:line="360" w:lineRule="auto"/>
        <w:ind w:firstLine="437"/>
        <w:outlineLvl w:val="3"/>
        <w:rPr>
          <w:rFonts w:ascii="宋体" w:hAnsi="宋体"/>
          <w:b/>
          <w:bCs/>
          <w:sz w:val="24"/>
          <w:highlight w:val="none"/>
          <w:lang w:val="zh-CN"/>
        </w:rPr>
      </w:pPr>
      <w:bookmarkStart w:id="43" w:name="_Toc32071"/>
      <w:bookmarkStart w:id="44" w:name="_Toc19304"/>
      <w:bookmarkStart w:id="45" w:name="_Toc2846"/>
      <w:r>
        <w:rPr>
          <w:rFonts w:hint="eastAsia" w:ascii="宋体" w:hAnsi="宋体"/>
          <w:b/>
          <w:bCs/>
          <w:sz w:val="24"/>
          <w:highlight w:val="none"/>
          <w:lang w:val="zh-CN"/>
        </w:rPr>
        <w:t>1.</w:t>
      </w:r>
      <w:r>
        <w:rPr>
          <w:rFonts w:ascii="宋体" w:hAnsi="宋体"/>
          <w:b/>
          <w:bCs/>
          <w:sz w:val="24"/>
          <w:highlight w:val="none"/>
          <w:lang w:val="zh-CN"/>
        </w:rPr>
        <w:t>5货物交付期限</w:t>
      </w:r>
      <w:r>
        <w:rPr>
          <w:rFonts w:hint="eastAsia" w:ascii="宋体" w:hAnsi="宋体"/>
          <w:b/>
          <w:bCs/>
          <w:sz w:val="24"/>
          <w:highlight w:val="none"/>
          <w:lang w:val="zh-CN"/>
        </w:rPr>
        <w:t>、地点和方式</w:t>
      </w:r>
      <w:bookmarkEnd w:id="43"/>
      <w:bookmarkEnd w:id="44"/>
      <w:bookmarkEnd w:id="45"/>
    </w:p>
    <w:p w14:paraId="46DFD10C">
      <w:pPr>
        <w:spacing w:line="360" w:lineRule="auto"/>
        <w:ind w:firstLine="435"/>
        <w:rPr>
          <w:rFonts w:ascii="宋体" w:hAnsi="宋体"/>
          <w:sz w:val="24"/>
          <w:highlight w:val="none"/>
          <w:u w:val="single"/>
        </w:rPr>
      </w:pPr>
      <w:r>
        <w:rPr>
          <w:rFonts w:hint="eastAsia" w:ascii="宋体" w:hAnsi="宋体"/>
          <w:sz w:val="24"/>
          <w:highlight w:val="none"/>
        </w:rPr>
        <w:t>1.5.1交付期限</w:t>
      </w:r>
      <w:r>
        <w:rPr>
          <w:rFonts w:ascii="宋体" w:hAnsi="宋体"/>
          <w:sz w:val="24"/>
          <w:highlight w:val="none"/>
        </w:rPr>
        <w:t>：</w:t>
      </w:r>
      <w:r>
        <w:rPr>
          <w:rFonts w:hint="eastAsia" w:ascii="宋体" w:hAnsi="宋体"/>
          <w:sz w:val="24"/>
          <w:highlight w:val="none"/>
        </w:rPr>
        <w:t>；</w:t>
      </w:r>
    </w:p>
    <w:p w14:paraId="159AD8F9">
      <w:pPr>
        <w:spacing w:line="360" w:lineRule="auto"/>
        <w:ind w:firstLine="435"/>
        <w:rPr>
          <w:rFonts w:ascii="宋体" w:hAnsi="宋体"/>
          <w:sz w:val="24"/>
          <w:highlight w:val="none"/>
        </w:rPr>
      </w:pPr>
      <w:r>
        <w:rPr>
          <w:rFonts w:hint="eastAsia" w:ascii="宋体" w:hAnsi="宋体"/>
          <w:sz w:val="24"/>
          <w:highlight w:val="none"/>
        </w:rPr>
        <w:t>1.5.2交付地点</w:t>
      </w:r>
      <w:r>
        <w:rPr>
          <w:rFonts w:ascii="宋体" w:hAnsi="宋体"/>
          <w:sz w:val="24"/>
          <w:highlight w:val="none"/>
        </w:rPr>
        <w:t>：</w:t>
      </w:r>
      <w:r>
        <w:rPr>
          <w:rFonts w:hint="eastAsia" w:ascii="宋体" w:hAnsi="宋体"/>
          <w:sz w:val="24"/>
          <w:highlight w:val="none"/>
        </w:rPr>
        <w:t>；</w:t>
      </w:r>
    </w:p>
    <w:p w14:paraId="6D73172E">
      <w:pPr>
        <w:spacing w:line="360" w:lineRule="auto"/>
        <w:ind w:firstLine="435"/>
        <w:rPr>
          <w:rFonts w:ascii="宋体" w:hAnsi="宋体"/>
          <w:sz w:val="24"/>
          <w:highlight w:val="none"/>
        </w:rPr>
      </w:pPr>
      <w:r>
        <w:rPr>
          <w:rFonts w:hint="eastAsia" w:ascii="宋体" w:hAnsi="宋体"/>
          <w:sz w:val="24"/>
          <w:highlight w:val="none"/>
        </w:rPr>
        <w:t>1.5.3交付方式：。</w:t>
      </w:r>
    </w:p>
    <w:p w14:paraId="54E4BB87">
      <w:pPr>
        <w:spacing w:line="360" w:lineRule="auto"/>
        <w:ind w:firstLine="437"/>
        <w:outlineLvl w:val="3"/>
        <w:rPr>
          <w:rFonts w:ascii="宋体" w:hAnsi="宋体"/>
          <w:b/>
          <w:bCs/>
          <w:sz w:val="24"/>
          <w:highlight w:val="none"/>
          <w:lang w:val="zh-CN"/>
        </w:rPr>
      </w:pPr>
      <w:bookmarkStart w:id="46" w:name="_Toc21423"/>
      <w:bookmarkStart w:id="47" w:name="_Toc19554"/>
      <w:bookmarkStart w:id="48" w:name="_Toc27250"/>
      <w:r>
        <w:rPr>
          <w:rFonts w:hint="eastAsia" w:ascii="宋体" w:hAnsi="宋体"/>
          <w:b/>
          <w:bCs/>
          <w:sz w:val="24"/>
          <w:highlight w:val="none"/>
          <w:lang w:val="zh-CN"/>
        </w:rPr>
        <w:t>1.6违约责任</w:t>
      </w:r>
      <w:bookmarkEnd w:id="46"/>
      <w:bookmarkEnd w:id="47"/>
      <w:bookmarkEnd w:id="48"/>
    </w:p>
    <w:p w14:paraId="70AA5151">
      <w:pPr>
        <w:spacing w:line="360" w:lineRule="auto"/>
        <w:ind w:firstLine="435"/>
        <w:rPr>
          <w:rFonts w:ascii="宋体" w:hAnsi="宋体"/>
          <w:sz w:val="24"/>
          <w:highlight w:val="none"/>
        </w:rPr>
      </w:pPr>
      <w:r>
        <w:rPr>
          <w:rFonts w:hint="eastAsia" w:ascii="宋体" w:hAnsi="宋体"/>
          <w:sz w:val="24"/>
          <w:highlight w:val="none"/>
        </w:rPr>
        <w:t>1.6.1</w:t>
      </w:r>
      <w:r>
        <w:rPr>
          <w:rFonts w:ascii="宋体" w:hAnsi="宋体"/>
          <w:sz w:val="24"/>
          <w:highlight w:val="none"/>
        </w:rPr>
        <w:t>除不可抗力外，如果乙方没有按照本合同约定的期限</w:t>
      </w:r>
      <w:r>
        <w:rPr>
          <w:rFonts w:hint="eastAsia" w:ascii="宋体" w:hAnsi="宋体"/>
          <w:sz w:val="24"/>
          <w:highlight w:val="none"/>
        </w:rPr>
        <w:t>、</w:t>
      </w:r>
      <w:r>
        <w:rPr>
          <w:rFonts w:ascii="宋体" w:hAnsi="宋体"/>
          <w:sz w:val="24"/>
          <w:highlight w:val="none"/>
        </w:rPr>
        <w:t>地点和方式交付货物，那么甲方可要求乙方支付违约金</w:t>
      </w:r>
      <w:r>
        <w:rPr>
          <w:rFonts w:hint="eastAsia" w:ascii="宋体" w:hAnsi="宋体"/>
          <w:sz w:val="24"/>
          <w:highlight w:val="none"/>
        </w:rPr>
        <w:t>，</w:t>
      </w:r>
      <w:r>
        <w:rPr>
          <w:rFonts w:ascii="宋体" w:hAnsi="宋体"/>
          <w:sz w:val="24"/>
          <w:highlight w:val="none"/>
        </w:rPr>
        <w:t>违约金按每迟延交付货物一日的应交付而未交付货物价格的</w:t>
      </w:r>
      <w:r>
        <w:rPr>
          <w:rFonts w:hint="eastAsia" w:ascii="宋体" w:hAnsi="宋体"/>
          <w:sz w:val="24"/>
          <w:highlight w:val="none"/>
          <w:u w:val="single"/>
          <w:lang w:val="en-US" w:eastAsia="zh-CN"/>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最高限额为</w:t>
      </w:r>
      <w:r>
        <w:rPr>
          <w:rFonts w:hint="eastAsia" w:ascii="宋体" w:hAnsi="宋体"/>
          <w:sz w:val="24"/>
          <w:highlight w:val="none"/>
        </w:rPr>
        <w:t>本</w:t>
      </w:r>
      <w:r>
        <w:rPr>
          <w:rFonts w:ascii="宋体" w:hAnsi="宋体"/>
          <w:sz w:val="24"/>
          <w:highlight w:val="none"/>
        </w:rPr>
        <w:t>合同总价的</w:t>
      </w:r>
      <w:r>
        <w:rPr>
          <w:rFonts w:hint="eastAsia" w:ascii="宋体" w:hAnsi="宋体"/>
          <w:sz w:val="24"/>
          <w:highlight w:val="none"/>
          <w:u w:val="single"/>
          <w:lang w:val="en-US" w:eastAsia="zh-CN"/>
        </w:rPr>
        <w:t>/</w:t>
      </w:r>
      <w:r>
        <w:rPr>
          <w:rFonts w:ascii="宋体" w:hAnsi="宋体"/>
          <w:sz w:val="24"/>
          <w:highlight w:val="none"/>
        </w:rPr>
        <w:t>%</w:t>
      </w:r>
      <w:r>
        <w:rPr>
          <w:rFonts w:hint="eastAsia" w:ascii="宋体" w:hAnsi="宋体"/>
          <w:sz w:val="24"/>
          <w:highlight w:val="none"/>
        </w:rPr>
        <w:t>；</w:t>
      </w:r>
      <w:r>
        <w:rPr>
          <w:rFonts w:ascii="宋体" w:hAnsi="宋体"/>
          <w:sz w:val="24"/>
          <w:highlight w:val="none"/>
        </w:rPr>
        <w:t>迟延交付货物的违约金计算数额达到前述最高限额之日起</w:t>
      </w:r>
      <w:r>
        <w:rPr>
          <w:rFonts w:hint="eastAsia" w:ascii="宋体" w:hAnsi="宋体"/>
          <w:sz w:val="24"/>
          <w:highlight w:val="none"/>
        </w:rPr>
        <w:t>，</w:t>
      </w:r>
      <w:r>
        <w:rPr>
          <w:rFonts w:ascii="宋体" w:hAnsi="宋体"/>
          <w:sz w:val="24"/>
          <w:highlight w:val="none"/>
        </w:rPr>
        <w:t>甲方有权在要求乙方支付违约金的同时</w:t>
      </w:r>
      <w:r>
        <w:rPr>
          <w:rFonts w:hint="eastAsia" w:ascii="宋体" w:hAnsi="宋体"/>
          <w:sz w:val="24"/>
          <w:highlight w:val="none"/>
        </w:rPr>
        <w:t>，书面通知乙方</w:t>
      </w:r>
      <w:r>
        <w:rPr>
          <w:rFonts w:ascii="宋体" w:hAnsi="宋体"/>
          <w:sz w:val="24"/>
          <w:highlight w:val="none"/>
        </w:rPr>
        <w:t>解除本合同</w:t>
      </w:r>
      <w:r>
        <w:rPr>
          <w:rFonts w:hint="eastAsia" w:ascii="宋体" w:hAnsi="宋体"/>
          <w:sz w:val="24"/>
          <w:highlight w:val="none"/>
        </w:rPr>
        <w:t>；</w:t>
      </w:r>
    </w:p>
    <w:p w14:paraId="4217CE47">
      <w:pPr>
        <w:spacing w:line="360" w:lineRule="auto"/>
        <w:ind w:firstLine="435"/>
        <w:rPr>
          <w:rFonts w:ascii="宋体" w:hAnsi="宋体"/>
          <w:sz w:val="24"/>
          <w:highlight w:val="none"/>
        </w:rPr>
      </w:pPr>
      <w:r>
        <w:rPr>
          <w:rFonts w:hint="eastAsia" w:ascii="宋体" w:hAnsi="宋体"/>
          <w:sz w:val="24"/>
          <w:highlight w:val="none"/>
        </w:rPr>
        <w:t>1.6.2</w:t>
      </w:r>
      <w:r>
        <w:rPr>
          <w:rFonts w:ascii="宋体" w:hAnsi="宋体"/>
          <w:sz w:val="24"/>
          <w:highlight w:val="none"/>
        </w:rPr>
        <w:t>除不可抗力外，如果甲方没有按照本合同约定的付款方式付款，那么乙方可要求甲方支付违约金</w:t>
      </w:r>
      <w:r>
        <w:rPr>
          <w:rFonts w:hint="eastAsia" w:ascii="宋体" w:hAnsi="宋体"/>
          <w:sz w:val="24"/>
          <w:highlight w:val="none"/>
        </w:rPr>
        <w:t>，</w:t>
      </w:r>
      <w:r>
        <w:rPr>
          <w:rFonts w:ascii="宋体" w:hAnsi="宋体"/>
          <w:sz w:val="24"/>
          <w:highlight w:val="none"/>
        </w:rPr>
        <w:t>违约金按每迟延</w:t>
      </w:r>
      <w:r>
        <w:rPr>
          <w:rFonts w:hint="eastAsia" w:ascii="宋体" w:hAnsi="宋体"/>
          <w:sz w:val="24"/>
          <w:highlight w:val="none"/>
        </w:rPr>
        <w:t>付款</w:t>
      </w:r>
      <w:r>
        <w:rPr>
          <w:rFonts w:ascii="宋体" w:hAnsi="宋体"/>
          <w:sz w:val="24"/>
          <w:highlight w:val="none"/>
        </w:rPr>
        <w:t>一日的应付而未付款的</w:t>
      </w:r>
      <w:r>
        <w:rPr>
          <w:rFonts w:hint="eastAsia" w:ascii="宋体" w:hAnsi="宋体"/>
          <w:sz w:val="24"/>
          <w:highlight w:val="none"/>
          <w:u w:val="single"/>
          <w:lang w:val="en-US" w:eastAsia="zh-CN"/>
        </w:rPr>
        <w:t>0.4</w:t>
      </w:r>
      <w:r>
        <w:rPr>
          <w:rFonts w:ascii="宋体" w:hAnsi="宋体"/>
          <w:sz w:val="24"/>
          <w:highlight w:val="none"/>
        </w:rPr>
        <w:t>%计算</w:t>
      </w:r>
      <w:r>
        <w:rPr>
          <w:rFonts w:hint="eastAsia" w:ascii="宋体" w:hAnsi="宋体"/>
          <w:sz w:val="24"/>
          <w:highlight w:val="none"/>
        </w:rPr>
        <w:t>，</w:t>
      </w:r>
      <w:r>
        <w:rPr>
          <w:rFonts w:ascii="宋体" w:hAnsi="宋体"/>
          <w:sz w:val="24"/>
          <w:highlight w:val="none"/>
        </w:rPr>
        <w:t>最高限额为</w:t>
      </w:r>
      <w:r>
        <w:rPr>
          <w:rFonts w:hint="eastAsia" w:ascii="宋体" w:hAnsi="宋体"/>
          <w:sz w:val="24"/>
          <w:highlight w:val="none"/>
        </w:rPr>
        <w:t>本</w:t>
      </w:r>
      <w:r>
        <w:rPr>
          <w:rFonts w:ascii="宋体" w:hAnsi="宋体"/>
          <w:sz w:val="24"/>
          <w:highlight w:val="none"/>
        </w:rPr>
        <w:t>合同总价的</w:t>
      </w:r>
      <w:r>
        <w:rPr>
          <w:rFonts w:hint="eastAsia" w:ascii="宋体" w:hAnsi="宋体"/>
          <w:sz w:val="24"/>
          <w:highlight w:val="none"/>
          <w:u w:val="single"/>
          <w:lang w:val="en-US" w:eastAsia="zh-CN"/>
        </w:rPr>
        <w:t>2</w:t>
      </w:r>
      <w:r>
        <w:rPr>
          <w:rFonts w:ascii="宋体" w:hAnsi="宋体"/>
          <w:sz w:val="24"/>
          <w:highlight w:val="none"/>
        </w:rPr>
        <w:t>%</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付款</w:t>
      </w:r>
      <w:r>
        <w:rPr>
          <w:rFonts w:ascii="宋体" w:hAnsi="宋体"/>
          <w:sz w:val="24"/>
          <w:highlight w:val="none"/>
        </w:rPr>
        <w:t>的违约金计算数额达到前述最高限额之日起</w:t>
      </w:r>
      <w:r>
        <w:rPr>
          <w:rFonts w:hint="eastAsia" w:ascii="宋体" w:hAnsi="宋体"/>
          <w:sz w:val="24"/>
          <w:highlight w:val="none"/>
        </w:rPr>
        <w:t>，乙</w:t>
      </w:r>
      <w:r>
        <w:rPr>
          <w:rFonts w:ascii="宋体" w:hAnsi="宋体"/>
          <w:sz w:val="24"/>
          <w:highlight w:val="none"/>
        </w:rPr>
        <w:t>方有权在要求甲方支付违约金的同时</w:t>
      </w:r>
      <w:r>
        <w:rPr>
          <w:rFonts w:hint="eastAsia" w:ascii="宋体" w:hAnsi="宋体"/>
          <w:sz w:val="24"/>
          <w:highlight w:val="none"/>
        </w:rPr>
        <w:t>，书面通知甲方</w:t>
      </w:r>
      <w:r>
        <w:rPr>
          <w:rFonts w:ascii="宋体" w:hAnsi="宋体"/>
          <w:sz w:val="24"/>
          <w:highlight w:val="none"/>
        </w:rPr>
        <w:t>解除本合同</w:t>
      </w:r>
      <w:r>
        <w:rPr>
          <w:rFonts w:hint="eastAsia" w:ascii="宋体" w:hAnsi="宋体"/>
          <w:sz w:val="24"/>
          <w:highlight w:val="none"/>
        </w:rPr>
        <w:t>；</w:t>
      </w:r>
    </w:p>
    <w:p w14:paraId="59DB5DC0">
      <w:pPr>
        <w:spacing w:line="360" w:lineRule="auto"/>
        <w:ind w:firstLine="435"/>
        <w:rPr>
          <w:rFonts w:ascii="宋体" w:hAnsi="宋体"/>
          <w:sz w:val="24"/>
          <w:highlight w:val="none"/>
        </w:rPr>
      </w:pPr>
      <w:r>
        <w:rPr>
          <w:rFonts w:hint="eastAsia" w:ascii="宋体" w:hAnsi="宋体"/>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43689A4">
      <w:pPr>
        <w:spacing w:line="360" w:lineRule="auto"/>
        <w:ind w:firstLine="435"/>
        <w:rPr>
          <w:rFonts w:ascii="宋体" w:hAnsi="宋体"/>
          <w:sz w:val="24"/>
          <w:highlight w:val="none"/>
        </w:rPr>
      </w:pPr>
      <w:r>
        <w:rPr>
          <w:rFonts w:hint="eastAsia" w:ascii="宋体" w:hAnsi="宋体"/>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59F85A8">
      <w:pPr>
        <w:spacing w:line="360" w:lineRule="auto"/>
        <w:ind w:firstLine="435"/>
        <w:rPr>
          <w:rFonts w:ascii="宋体" w:hAnsi="宋体"/>
          <w:sz w:val="24"/>
          <w:highlight w:val="none"/>
        </w:rPr>
      </w:pPr>
      <w:r>
        <w:rPr>
          <w:rFonts w:hint="eastAsia" w:ascii="宋体" w:hAnsi="宋体"/>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0F27443">
      <w:pPr>
        <w:spacing w:line="360" w:lineRule="auto"/>
        <w:ind w:firstLine="435"/>
        <w:rPr>
          <w:rFonts w:ascii="宋体" w:hAnsi="宋体"/>
          <w:sz w:val="24"/>
          <w:highlight w:val="none"/>
        </w:rPr>
      </w:pPr>
      <w:r>
        <w:rPr>
          <w:rFonts w:hint="eastAsia" w:ascii="宋体" w:hAnsi="宋体"/>
          <w:sz w:val="24"/>
          <w:highlight w:val="none"/>
        </w:rPr>
        <w:t>1.6.6如果出现招标投标监督管理部门在处理投诉事项期间，书面通知甲方暂停招标活动的情形，或者询问或异议事项可能影响中标结果的，导致甲方中止履行合同的情形，均不视为甲方违约。</w:t>
      </w:r>
    </w:p>
    <w:p w14:paraId="0855F2E9">
      <w:pPr>
        <w:spacing w:line="360" w:lineRule="auto"/>
        <w:ind w:firstLine="437"/>
        <w:outlineLvl w:val="3"/>
        <w:rPr>
          <w:rFonts w:ascii="宋体" w:hAnsi="宋体"/>
          <w:b/>
          <w:bCs/>
          <w:sz w:val="24"/>
          <w:highlight w:val="none"/>
          <w:lang w:val="zh-CN"/>
        </w:rPr>
      </w:pPr>
      <w:bookmarkStart w:id="49" w:name="_Toc28375"/>
      <w:bookmarkStart w:id="50" w:name="_Toc15583"/>
      <w:bookmarkStart w:id="51" w:name="_Toc16021"/>
      <w:r>
        <w:rPr>
          <w:rFonts w:hint="eastAsia" w:ascii="宋体" w:hAnsi="宋体"/>
          <w:b/>
          <w:bCs/>
          <w:sz w:val="24"/>
          <w:highlight w:val="none"/>
          <w:lang w:val="zh-CN"/>
        </w:rPr>
        <w:t>1.7合同</w:t>
      </w:r>
      <w:r>
        <w:rPr>
          <w:rFonts w:ascii="宋体" w:hAnsi="宋体"/>
          <w:b/>
          <w:bCs/>
          <w:sz w:val="24"/>
          <w:highlight w:val="none"/>
          <w:lang w:val="zh-CN"/>
        </w:rPr>
        <w:t>争议的解决</w:t>
      </w:r>
      <w:bookmarkEnd w:id="49"/>
      <w:bookmarkEnd w:id="50"/>
      <w:bookmarkEnd w:id="51"/>
    </w:p>
    <w:p w14:paraId="6A3B4DF8">
      <w:pPr>
        <w:spacing w:line="360" w:lineRule="auto"/>
        <w:ind w:firstLine="435"/>
        <w:rPr>
          <w:rFonts w:ascii="宋体" w:hAnsi="宋体"/>
          <w:sz w:val="24"/>
          <w:highlight w:val="none"/>
        </w:rPr>
      </w:pPr>
      <w:r>
        <w:rPr>
          <w:rFonts w:hint="eastAsia" w:ascii="宋体" w:hAnsi="宋体"/>
          <w:sz w:val="24"/>
          <w:highlight w:val="none"/>
        </w:rPr>
        <w:t>本合</w:t>
      </w:r>
      <w:r>
        <w:rPr>
          <w:rFonts w:ascii="宋体" w:hAnsi="宋体"/>
          <w:sz w:val="24"/>
          <w:highlight w:val="none"/>
        </w:rPr>
        <w:t>同履行过程中发生的任何争议，双方当事人均可</w:t>
      </w:r>
      <w:r>
        <w:rPr>
          <w:rFonts w:hint="eastAsia" w:ascii="宋体" w:hAnsi="宋体"/>
          <w:sz w:val="24"/>
          <w:highlight w:val="none"/>
        </w:rPr>
        <w:t>通过和解或者调解解决；不愿和解、调解或者和解、调解不成的，可以选择下列第种方式解决：</w:t>
      </w:r>
    </w:p>
    <w:p w14:paraId="2A793D9A">
      <w:pPr>
        <w:spacing w:line="360" w:lineRule="auto"/>
        <w:ind w:firstLine="435"/>
        <w:rPr>
          <w:rFonts w:ascii="宋体" w:hAnsi="宋体"/>
          <w:sz w:val="24"/>
          <w:highlight w:val="none"/>
        </w:rPr>
      </w:pPr>
      <w:r>
        <w:rPr>
          <w:rFonts w:hint="eastAsia" w:ascii="宋体" w:hAnsi="宋体"/>
          <w:sz w:val="24"/>
          <w:highlight w:val="none"/>
        </w:rPr>
        <w:t>1.7.1将争议提交仲裁委员会依申请仲裁时其现行有效的仲裁规则裁决；</w:t>
      </w:r>
    </w:p>
    <w:p w14:paraId="35C905BE">
      <w:pPr>
        <w:spacing w:line="360" w:lineRule="auto"/>
        <w:ind w:firstLine="435"/>
        <w:rPr>
          <w:rFonts w:ascii="宋体" w:hAnsi="宋体"/>
          <w:sz w:val="24"/>
          <w:highlight w:val="none"/>
        </w:rPr>
      </w:pPr>
      <w:r>
        <w:rPr>
          <w:rFonts w:hint="eastAsia" w:ascii="宋体" w:hAnsi="宋体"/>
          <w:sz w:val="24"/>
          <w:highlight w:val="none"/>
        </w:rPr>
        <w:t>1.7.2向人民法院起诉。</w:t>
      </w:r>
    </w:p>
    <w:p w14:paraId="6CD68B4D">
      <w:pPr>
        <w:spacing w:line="360" w:lineRule="auto"/>
        <w:ind w:firstLine="437"/>
        <w:outlineLvl w:val="3"/>
        <w:rPr>
          <w:rFonts w:ascii="宋体" w:hAnsi="宋体"/>
          <w:b/>
          <w:bCs/>
          <w:sz w:val="24"/>
          <w:highlight w:val="none"/>
          <w:lang w:val="zh-CN"/>
        </w:rPr>
      </w:pPr>
      <w:bookmarkStart w:id="52" w:name="_Toc7245"/>
      <w:bookmarkStart w:id="53" w:name="_Toc11173"/>
      <w:bookmarkStart w:id="54" w:name="_Toc15322"/>
      <w:r>
        <w:rPr>
          <w:rFonts w:hint="eastAsia" w:ascii="宋体" w:hAnsi="宋体"/>
          <w:b/>
          <w:bCs/>
          <w:sz w:val="24"/>
          <w:highlight w:val="none"/>
          <w:lang w:val="zh-CN"/>
        </w:rPr>
        <w:t>1.8</w:t>
      </w:r>
      <w:r>
        <w:rPr>
          <w:rFonts w:ascii="宋体" w:hAnsi="宋体"/>
          <w:b/>
          <w:bCs/>
          <w:sz w:val="24"/>
          <w:highlight w:val="none"/>
          <w:lang w:val="zh-CN"/>
        </w:rPr>
        <w:t>合同生效</w:t>
      </w:r>
      <w:bookmarkEnd w:id="52"/>
      <w:bookmarkEnd w:id="53"/>
      <w:bookmarkEnd w:id="54"/>
    </w:p>
    <w:p w14:paraId="49913196">
      <w:pPr>
        <w:spacing w:line="360" w:lineRule="auto"/>
        <w:ind w:firstLine="435"/>
        <w:rPr>
          <w:rFonts w:ascii="宋体" w:hAnsi="宋体"/>
          <w:sz w:val="24"/>
          <w:highlight w:val="none"/>
        </w:rPr>
      </w:pPr>
      <w:r>
        <w:rPr>
          <w:rFonts w:ascii="宋体" w:hAnsi="宋体"/>
          <w:sz w:val="24"/>
          <w:highlight w:val="none"/>
        </w:rPr>
        <w:t>本合同自</w:t>
      </w:r>
      <w:r>
        <w:rPr>
          <w:rFonts w:hint="eastAsia" w:ascii="宋体" w:hAnsi="宋体"/>
          <w:sz w:val="24"/>
          <w:highlight w:val="none"/>
        </w:rPr>
        <w:t>双方当事人盖章时</w:t>
      </w:r>
      <w:r>
        <w:rPr>
          <w:rFonts w:ascii="宋体" w:hAnsi="宋体"/>
          <w:sz w:val="24"/>
          <w:highlight w:val="none"/>
        </w:rPr>
        <w:t>生效。</w:t>
      </w:r>
    </w:p>
    <w:p w14:paraId="711638AF">
      <w:pPr>
        <w:autoSpaceDE w:val="0"/>
        <w:autoSpaceDN w:val="0"/>
        <w:adjustRightInd w:val="0"/>
        <w:spacing w:line="560" w:lineRule="exact"/>
        <w:rPr>
          <w:rFonts w:ascii="宋体" w:hAnsi="宋体"/>
          <w:sz w:val="24"/>
          <w:highlight w:val="none"/>
          <w:lang w:val="zh-CN"/>
        </w:rPr>
      </w:pPr>
    </w:p>
    <w:p w14:paraId="7D4CEA40">
      <w:pPr>
        <w:autoSpaceDE w:val="0"/>
        <w:autoSpaceDN w:val="0"/>
        <w:adjustRightInd w:val="0"/>
        <w:spacing w:line="560" w:lineRule="exact"/>
        <w:rPr>
          <w:rFonts w:ascii="宋体" w:hAnsi="宋体"/>
          <w:sz w:val="24"/>
          <w:highlight w:val="none"/>
          <w:lang w:val="zh-CN"/>
        </w:rPr>
      </w:pPr>
    </w:p>
    <w:p w14:paraId="694F2BF3">
      <w:pPr>
        <w:autoSpaceDE w:val="0"/>
        <w:autoSpaceDN w:val="0"/>
        <w:adjustRightInd w:val="0"/>
        <w:spacing w:line="560" w:lineRule="exact"/>
        <w:rPr>
          <w:rFonts w:ascii="宋体" w:hAnsi="宋体"/>
          <w:sz w:val="24"/>
          <w:highlight w:val="none"/>
          <w:lang w:val="zh-CN"/>
        </w:rPr>
      </w:pPr>
    </w:p>
    <w:p w14:paraId="0C5F6B13">
      <w:pPr>
        <w:autoSpaceDE w:val="0"/>
        <w:autoSpaceDN w:val="0"/>
        <w:adjustRightInd w:val="0"/>
        <w:spacing w:line="560" w:lineRule="exact"/>
        <w:rPr>
          <w:rFonts w:ascii="宋体" w:hAnsi="宋体"/>
          <w:bCs/>
          <w:sz w:val="24"/>
          <w:highlight w:val="none"/>
          <w:lang w:val="zh-CN"/>
        </w:rPr>
      </w:pPr>
      <w:r>
        <w:rPr>
          <w:rFonts w:hint="eastAsia" w:ascii="宋体" w:hAnsi="宋体"/>
          <w:bCs/>
          <w:sz w:val="24"/>
          <w:highlight w:val="none"/>
          <w:lang w:val="zh-CN"/>
        </w:rPr>
        <w:t>甲方：</w:t>
      </w:r>
      <w:r>
        <w:rPr>
          <w:rFonts w:hint="eastAsia" w:ascii="宋体" w:hAnsi="宋体"/>
          <w:bCs/>
          <w:sz w:val="24"/>
          <w:highlight w:val="none"/>
          <w:u w:val="single"/>
          <w:lang w:val="zh-CN"/>
        </w:rPr>
        <w:t>（单位盖章）</w:t>
      </w:r>
      <w:r>
        <w:rPr>
          <w:rFonts w:hint="eastAsia" w:ascii="宋体" w:hAnsi="宋体"/>
          <w:bCs/>
          <w:sz w:val="24"/>
          <w:highlight w:val="none"/>
          <w:lang w:val="zh-CN"/>
        </w:rPr>
        <w:t>乙方：</w:t>
      </w:r>
      <w:r>
        <w:rPr>
          <w:rFonts w:hint="eastAsia" w:ascii="宋体" w:hAnsi="宋体"/>
          <w:bCs/>
          <w:sz w:val="24"/>
          <w:highlight w:val="none"/>
          <w:u w:val="single"/>
          <w:lang w:val="zh-CN"/>
        </w:rPr>
        <w:t>（单位盖章）</w:t>
      </w:r>
    </w:p>
    <w:p w14:paraId="051B0923">
      <w:pPr>
        <w:autoSpaceDE w:val="0"/>
        <w:autoSpaceDN w:val="0"/>
        <w:adjustRightInd w:val="0"/>
        <w:spacing w:line="560" w:lineRule="exact"/>
        <w:rPr>
          <w:rFonts w:ascii="宋体" w:hAnsi="宋体"/>
          <w:sz w:val="24"/>
          <w:highlight w:val="none"/>
          <w:lang w:val="zh-CN"/>
        </w:rPr>
      </w:pPr>
      <w:r>
        <w:rPr>
          <w:rFonts w:hint="eastAsia" w:ascii="宋体" w:hAnsi="宋体"/>
          <w:sz w:val="24"/>
          <w:highlight w:val="none"/>
          <w:lang w:val="zh-CN"/>
        </w:rPr>
        <w:t>法定代表人法定代表人</w:t>
      </w:r>
    </w:p>
    <w:p w14:paraId="05A7B016">
      <w:pPr>
        <w:autoSpaceDE w:val="0"/>
        <w:autoSpaceDN w:val="0"/>
        <w:adjustRightInd w:val="0"/>
        <w:spacing w:line="560" w:lineRule="exact"/>
        <w:rPr>
          <w:rFonts w:ascii="宋体" w:hAnsi="宋体"/>
          <w:sz w:val="24"/>
          <w:highlight w:val="none"/>
          <w:lang w:val="zh-CN"/>
        </w:rPr>
      </w:pPr>
      <w:r>
        <w:rPr>
          <w:rFonts w:hint="eastAsia" w:ascii="宋体" w:hAnsi="宋体"/>
          <w:sz w:val="24"/>
          <w:highlight w:val="none"/>
          <w:lang w:val="zh-CN"/>
        </w:rPr>
        <w:t>或授权代表（签字）：或授权代表（签字）：</w:t>
      </w:r>
    </w:p>
    <w:p w14:paraId="0C65186E">
      <w:pPr>
        <w:widowControl/>
        <w:spacing w:line="560" w:lineRule="exact"/>
        <w:jc w:val="left"/>
        <w:rPr>
          <w:rFonts w:ascii="宋体" w:hAnsi="宋体"/>
          <w:bCs/>
          <w:sz w:val="24"/>
          <w:highlight w:val="none"/>
        </w:rPr>
      </w:pPr>
      <w:bookmarkStart w:id="55" w:name="_Toc331685783"/>
      <w:r>
        <w:rPr>
          <w:rFonts w:hint="eastAsia" w:ascii="宋体" w:hAnsi="宋体"/>
          <w:bCs/>
          <w:sz w:val="24"/>
          <w:highlight w:val="none"/>
        </w:rPr>
        <w:t>时间：年月日时间：年月日</w:t>
      </w:r>
    </w:p>
    <w:p w14:paraId="58CA7C7B">
      <w:pPr>
        <w:widowControl/>
        <w:jc w:val="left"/>
        <w:rPr>
          <w:rFonts w:ascii="宋体" w:hAnsi="宋体"/>
          <w:b/>
          <w:sz w:val="24"/>
          <w:highlight w:val="none"/>
        </w:rPr>
      </w:pPr>
      <w:r>
        <w:rPr>
          <w:rFonts w:ascii="宋体" w:hAnsi="宋体"/>
          <w:b/>
          <w:sz w:val="24"/>
          <w:highlight w:val="none"/>
        </w:rPr>
        <w:br w:type="page"/>
      </w:r>
    </w:p>
    <w:p w14:paraId="4E567CF1">
      <w:pPr>
        <w:spacing w:line="360" w:lineRule="auto"/>
        <w:jc w:val="center"/>
        <w:outlineLvl w:val="2"/>
        <w:rPr>
          <w:rFonts w:ascii="宋体" w:hAnsi="宋体"/>
          <w:b/>
          <w:sz w:val="24"/>
          <w:highlight w:val="none"/>
        </w:rPr>
      </w:pPr>
      <w:r>
        <w:rPr>
          <w:rFonts w:hint="eastAsia" w:ascii="宋体" w:hAnsi="宋体"/>
          <w:b/>
          <w:sz w:val="24"/>
          <w:highlight w:val="none"/>
        </w:rPr>
        <w:t>第二部分合同一般条款</w:t>
      </w:r>
      <w:bookmarkEnd w:id="55"/>
    </w:p>
    <w:p w14:paraId="1FA5315A">
      <w:pPr>
        <w:spacing w:line="360" w:lineRule="auto"/>
        <w:ind w:firstLine="437"/>
        <w:outlineLvl w:val="3"/>
        <w:rPr>
          <w:rFonts w:ascii="宋体" w:hAnsi="宋体"/>
          <w:b/>
          <w:bCs/>
          <w:sz w:val="24"/>
          <w:highlight w:val="none"/>
          <w:lang w:val="zh-CN"/>
        </w:rPr>
      </w:pPr>
      <w:bookmarkStart w:id="56" w:name="_Ref467379109"/>
      <w:bookmarkStart w:id="57" w:name="_Ref467378499"/>
      <w:bookmarkStart w:id="58" w:name="_Toc28763"/>
      <w:bookmarkStart w:id="59" w:name="_Ref467379205"/>
      <w:bookmarkStart w:id="60" w:name="_Ref467379225"/>
      <w:bookmarkStart w:id="61" w:name="_Toc19614"/>
      <w:bookmarkStart w:id="62" w:name="_Toc259093669"/>
      <w:bookmarkStart w:id="63" w:name="_Toc279701240"/>
      <w:bookmarkStart w:id="64" w:name="_Ref467379094"/>
      <w:bookmarkStart w:id="65" w:name="_Ref467378404"/>
      <w:bookmarkStart w:id="66" w:name="_Ref467379214"/>
      <w:bookmarkStart w:id="67" w:name="_Ref467379195"/>
      <w:bookmarkStart w:id="68" w:name="_Toc487900349"/>
      <w:bookmarkStart w:id="69" w:name="_Ref467378463"/>
      <w:bookmarkStart w:id="70" w:name="_Ref467379101"/>
      <w:bookmarkStart w:id="71" w:name="_Toc16917"/>
      <w:r>
        <w:rPr>
          <w:rFonts w:hint="eastAsia" w:ascii="宋体" w:hAnsi="宋体"/>
          <w:b/>
          <w:bCs/>
          <w:sz w:val="24"/>
          <w:highlight w:val="none"/>
          <w:lang w:val="zh-CN"/>
        </w:rPr>
        <w:t>2.1</w:t>
      </w:r>
      <w:r>
        <w:rPr>
          <w:rFonts w:ascii="宋体" w:hAnsi="宋体"/>
          <w:b/>
          <w:bCs/>
          <w:sz w:val="24"/>
          <w:highlight w:val="none"/>
          <w:lang w:val="zh-CN"/>
        </w:rPr>
        <w:t>定义</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1DCAB9A">
      <w:pPr>
        <w:spacing w:line="360" w:lineRule="auto"/>
        <w:ind w:firstLine="435"/>
        <w:rPr>
          <w:rFonts w:ascii="宋体" w:hAnsi="宋体"/>
          <w:sz w:val="24"/>
          <w:highlight w:val="none"/>
        </w:rPr>
      </w:pPr>
      <w:r>
        <w:rPr>
          <w:rFonts w:ascii="宋体" w:hAnsi="宋体"/>
          <w:sz w:val="24"/>
          <w:highlight w:val="none"/>
        </w:rPr>
        <w:t>本合同中的下列</w:t>
      </w:r>
      <w:r>
        <w:rPr>
          <w:rFonts w:hint="eastAsia" w:ascii="宋体" w:hAnsi="宋体"/>
          <w:sz w:val="24"/>
          <w:highlight w:val="none"/>
        </w:rPr>
        <w:t>词</w:t>
      </w:r>
      <w:r>
        <w:rPr>
          <w:rFonts w:ascii="宋体" w:hAnsi="宋体"/>
          <w:sz w:val="24"/>
          <w:highlight w:val="none"/>
        </w:rPr>
        <w:t>语应</w:t>
      </w:r>
      <w:r>
        <w:rPr>
          <w:rFonts w:hint="eastAsia" w:ascii="宋体" w:hAnsi="宋体"/>
          <w:sz w:val="24"/>
          <w:highlight w:val="none"/>
        </w:rPr>
        <w:t>按以下内容进行</w:t>
      </w:r>
      <w:r>
        <w:rPr>
          <w:rFonts w:ascii="宋体" w:hAnsi="宋体"/>
          <w:sz w:val="24"/>
          <w:highlight w:val="none"/>
        </w:rPr>
        <w:t>解释：</w:t>
      </w:r>
    </w:p>
    <w:p w14:paraId="669AFB71">
      <w:pPr>
        <w:spacing w:line="360" w:lineRule="auto"/>
        <w:ind w:firstLine="435"/>
        <w:rPr>
          <w:rFonts w:ascii="宋体" w:hAnsi="宋体"/>
          <w:sz w:val="24"/>
          <w:highlight w:val="none"/>
        </w:rPr>
      </w:pPr>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.1</w:t>
      </w:r>
      <w:r>
        <w:rPr>
          <w:rFonts w:ascii="宋体" w:hAnsi="宋体"/>
          <w:sz w:val="24"/>
          <w:highlight w:val="none"/>
        </w:rPr>
        <w:t>“合同”系指招标人和中标人签订的载明双方当事人所达成的协议，并包括所有的附件、附录和构成合同的其他文件。</w:t>
      </w:r>
    </w:p>
    <w:p w14:paraId="42583B19">
      <w:pPr>
        <w:spacing w:line="360" w:lineRule="auto"/>
        <w:ind w:firstLine="435"/>
        <w:rPr>
          <w:rFonts w:ascii="宋体" w:hAnsi="宋体"/>
          <w:sz w:val="24"/>
          <w:highlight w:val="none"/>
        </w:rPr>
      </w:pPr>
      <w:r>
        <w:rPr>
          <w:rFonts w:hint="eastAsia" w:ascii="宋体" w:hAnsi="宋体"/>
          <w:sz w:val="24"/>
          <w:highlight w:val="none"/>
        </w:rPr>
        <w:t>2.</w:t>
      </w:r>
      <w:r>
        <w:rPr>
          <w:rFonts w:ascii="宋体" w:hAnsi="宋体"/>
          <w:sz w:val="24"/>
          <w:highlight w:val="none"/>
        </w:rPr>
        <w:t>1.2“合同价”系指根据合同约定，中标人在完全履行合同义务后</w:t>
      </w:r>
      <w:r>
        <w:rPr>
          <w:rFonts w:hint="eastAsia" w:ascii="宋体" w:hAnsi="宋体"/>
          <w:sz w:val="24"/>
          <w:highlight w:val="none"/>
        </w:rPr>
        <w:t>，</w:t>
      </w:r>
      <w:r>
        <w:rPr>
          <w:rFonts w:ascii="宋体" w:hAnsi="宋体"/>
          <w:sz w:val="24"/>
          <w:highlight w:val="none"/>
        </w:rPr>
        <w:t>招标人应支付给中标人的价格。</w:t>
      </w:r>
    </w:p>
    <w:p w14:paraId="550BE0CA">
      <w:pPr>
        <w:spacing w:line="360" w:lineRule="auto"/>
        <w:ind w:firstLine="435"/>
        <w:rPr>
          <w:rFonts w:ascii="宋体" w:hAnsi="宋体"/>
          <w:sz w:val="24"/>
          <w:highlight w:val="none"/>
        </w:rPr>
      </w:pPr>
      <w:r>
        <w:rPr>
          <w:rFonts w:hint="eastAsia" w:ascii="宋体" w:hAnsi="宋体"/>
          <w:sz w:val="24"/>
          <w:highlight w:val="none"/>
        </w:rPr>
        <w:t>2.</w:t>
      </w:r>
      <w:r>
        <w:rPr>
          <w:rFonts w:ascii="宋体" w:hAnsi="宋体"/>
          <w:sz w:val="24"/>
          <w:highlight w:val="none"/>
        </w:rPr>
        <w:t>1.3“货物”系指</w:t>
      </w:r>
      <w:r>
        <w:rPr>
          <w:rFonts w:hint="eastAsia" w:ascii="宋体" w:hAnsi="宋体"/>
          <w:sz w:val="24"/>
          <w:highlight w:val="none"/>
        </w:rPr>
        <w:t>中标人</w:t>
      </w:r>
      <w:r>
        <w:rPr>
          <w:rFonts w:ascii="宋体" w:hAnsi="宋体"/>
          <w:sz w:val="24"/>
          <w:highlight w:val="none"/>
        </w:rPr>
        <w:t>根据合同约定应向招标人交付的一切</w:t>
      </w:r>
      <w:r>
        <w:rPr>
          <w:rFonts w:hint="eastAsia" w:ascii="宋体" w:hAnsi="宋体"/>
          <w:sz w:val="24"/>
          <w:highlight w:val="none"/>
        </w:rPr>
        <w:t>各种形态和种类的物品，包括原材料、燃料、设备、</w:t>
      </w:r>
      <w:r>
        <w:rPr>
          <w:rFonts w:ascii="宋体" w:hAnsi="宋体"/>
          <w:sz w:val="24"/>
          <w:highlight w:val="none"/>
        </w:rPr>
        <w:t>机械、仪表、备件</w:t>
      </w:r>
      <w:r>
        <w:rPr>
          <w:rFonts w:hint="eastAsia" w:ascii="宋体" w:hAnsi="宋体"/>
          <w:sz w:val="24"/>
          <w:highlight w:val="none"/>
        </w:rPr>
        <w:t>、计算机软件、产品等</w:t>
      </w:r>
      <w:r>
        <w:rPr>
          <w:rFonts w:ascii="宋体" w:hAnsi="宋体"/>
          <w:sz w:val="24"/>
          <w:highlight w:val="none"/>
        </w:rPr>
        <w:t>，并包括工具、手册等其他相关资料。</w:t>
      </w:r>
    </w:p>
    <w:p w14:paraId="578F846B">
      <w:pPr>
        <w:spacing w:line="360" w:lineRule="auto"/>
        <w:ind w:firstLine="435"/>
        <w:rPr>
          <w:rFonts w:ascii="宋体" w:hAnsi="宋体"/>
          <w:sz w:val="24"/>
          <w:highlight w:val="none"/>
        </w:rPr>
      </w:pPr>
      <w:bookmarkStart w:id="72" w:name="_Ref467378840"/>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甲方</w:t>
      </w:r>
      <w:r>
        <w:rPr>
          <w:rFonts w:ascii="宋体" w:hAnsi="宋体"/>
          <w:sz w:val="24"/>
          <w:highlight w:val="none"/>
        </w:rPr>
        <w:t>”系指与</w:t>
      </w:r>
      <w:r>
        <w:rPr>
          <w:rFonts w:hint="eastAsia" w:ascii="宋体" w:hAnsi="宋体"/>
          <w:sz w:val="24"/>
          <w:highlight w:val="none"/>
        </w:rPr>
        <w:t>中标人</w:t>
      </w:r>
      <w:r>
        <w:rPr>
          <w:rFonts w:ascii="宋体" w:hAnsi="宋体"/>
          <w:sz w:val="24"/>
          <w:highlight w:val="none"/>
        </w:rPr>
        <w:t>签署合同的招标人</w:t>
      </w:r>
      <w:bookmarkEnd w:id="72"/>
      <w:r>
        <w:rPr>
          <w:rFonts w:hint="eastAsia" w:ascii="宋体" w:hAnsi="宋体"/>
          <w:sz w:val="24"/>
          <w:highlight w:val="none"/>
        </w:rPr>
        <w:t>；招标人委托招标代理机构代表其与乙方签订合同的，招标人的授权委托书作为合同附件。</w:t>
      </w:r>
    </w:p>
    <w:p w14:paraId="6E02959E">
      <w:pPr>
        <w:spacing w:line="360" w:lineRule="auto"/>
        <w:ind w:firstLine="435"/>
        <w:rPr>
          <w:rFonts w:ascii="宋体" w:hAnsi="宋体"/>
          <w:sz w:val="24"/>
          <w:highlight w:val="none"/>
        </w:rPr>
      </w:pPr>
      <w:bookmarkStart w:id="73" w:name="_Ref467379400"/>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5</w:t>
      </w:r>
      <w:r>
        <w:rPr>
          <w:rFonts w:ascii="宋体" w:hAnsi="宋体"/>
          <w:sz w:val="24"/>
          <w:highlight w:val="none"/>
        </w:rPr>
        <w:t>“乙方”系指根据合同约定交付货物的中标人</w:t>
      </w:r>
      <w:bookmarkEnd w:id="73"/>
      <w:r>
        <w:rPr>
          <w:rFonts w:hint="eastAsia" w:ascii="宋体" w:hAnsi="宋体"/>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4F3FA5DA">
      <w:pPr>
        <w:spacing w:line="360" w:lineRule="auto"/>
        <w:ind w:firstLine="435"/>
        <w:rPr>
          <w:rFonts w:ascii="宋体" w:hAnsi="宋体"/>
          <w:sz w:val="24"/>
          <w:highlight w:val="none"/>
        </w:rPr>
      </w:pPr>
      <w:bookmarkStart w:id="74" w:name="_Ref467379436"/>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6</w:t>
      </w:r>
      <w:r>
        <w:rPr>
          <w:rFonts w:ascii="宋体" w:hAnsi="宋体"/>
          <w:sz w:val="24"/>
          <w:highlight w:val="none"/>
        </w:rPr>
        <w:t>“现场”系指合同约定货物将要运至</w:t>
      </w:r>
      <w:r>
        <w:rPr>
          <w:rFonts w:hint="eastAsia" w:ascii="宋体" w:hAnsi="宋体"/>
          <w:sz w:val="24"/>
          <w:highlight w:val="none"/>
        </w:rPr>
        <w:t>或者</w:t>
      </w:r>
      <w:r>
        <w:rPr>
          <w:rFonts w:ascii="宋体" w:hAnsi="宋体"/>
          <w:sz w:val="24"/>
          <w:highlight w:val="none"/>
        </w:rPr>
        <w:t>安装的地点。</w:t>
      </w:r>
      <w:bookmarkEnd w:id="74"/>
    </w:p>
    <w:p w14:paraId="41F6C7B2">
      <w:pPr>
        <w:spacing w:line="360" w:lineRule="auto"/>
        <w:ind w:firstLine="437"/>
        <w:outlineLvl w:val="3"/>
        <w:rPr>
          <w:rFonts w:ascii="宋体" w:hAnsi="宋体"/>
          <w:b/>
          <w:bCs/>
          <w:sz w:val="24"/>
          <w:highlight w:val="none"/>
          <w:lang w:val="zh-CN"/>
        </w:rPr>
      </w:pPr>
      <w:bookmarkStart w:id="75" w:name="_Toc27635"/>
      <w:bookmarkStart w:id="76" w:name="_Toc32504"/>
      <w:bookmarkStart w:id="77" w:name="_Toc259093670"/>
      <w:bookmarkStart w:id="78" w:name="_Toc279701241"/>
      <w:bookmarkStart w:id="79" w:name="_Toc487900350"/>
      <w:bookmarkStart w:id="80" w:name="_Toc13336"/>
      <w:r>
        <w:rPr>
          <w:rFonts w:hint="eastAsia" w:ascii="宋体" w:hAnsi="宋体"/>
          <w:b/>
          <w:bCs/>
          <w:sz w:val="24"/>
          <w:highlight w:val="none"/>
          <w:lang w:val="zh-CN"/>
        </w:rPr>
        <w:t>2.</w:t>
      </w:r>
      <w:r>
        <w:rPr>
          <w:rFonts w:ascii="宋体" w:hAnsi="宋体"/>
          <w:b/>
          <w:bCs/>
          <w:sz w:val="24"/>
          <w:highlight w:val="none"/>
          <w:lang w:val="zh-CN"/>
        </w:rPr>
        <w:t>2技术规范</w:t>
      </w:r>
      <w:bookmarkEnd w:id="75"/>
      <w:bookmarkEnd w:id="76"/>
      <w:bookmarkEnd w:id="77"/>
      <w:bookmarkEnd w:id="78"/>
      <w:bookmarkEnd w:id="79"/>
      <w:bookmarkEnd w:id="80"/>
    </w:p>
    <w:p w14:paraId="13E39BB0">
      <w:pPr>
        <w:spacing w:line="360" w:lineRule="auto"/>
        <w:ind w:firstLine="435"/>
        <w:rPr>
          <w:rFonts w:ascii="宋体" w:hAnsi="宋体"/>
          <w:sz w:val="24"/>
          <w:highlight w:val="none"/>
        </w:rPr>
      </w:pPr>
      <w:r>
        <w:rPr>
          <w:rFonts w:ascii="宋体" w:hAnsi="宋体"/>
          <w:sz w:val="24"/>
          <w:highlight w:val="none"/>
        </w:rPr>
        <w:t>货物所应遵守的技术规范应与采购文件规定的技术规范和技术规范附件(如果有的话)及其技术规范偏差表(如果被甲方接受的话)相一致</w:t>
      </w:r>
      <w:r>
        <w:rPr>
          <w:rFonts w:hint="eastAsia" w:ascii="宋体" w:hAnsi="宋体"/>
          <w:sz w:val="24"/>
          <w:highlight w:val="none"/>
        </w:rPr>
        <w:t>；</w:t>
      </w:r>
      <w:r>
        <w:rPr>
          <w:rFonts w:ascii="宋体" w:hAnsi="宋体"/>
          <w:sz w:val="24"/>
          <w:highlight w:val="none"/>
        </w:rPr>
        <w:t>如果采购文件中没有技术规范的相应说明，那么应以国家有关部门最新颁布的相应标准</w:t>
      </w:r>
      <w:r>
        <w:rPr>
          <w:rFonts w:hint="eastAsia" w:ascii="宋体" w:hAnsi="宋体"/>
          <w:sz w:val="24"/>
          <w:highlight w:val="none"/>
        </w:rPr>
        <w:t>和</w:t>
      </w:r>
      <w:r>
        <w:rPr>
          <w:rFonts w:ascii="宋体" w:hAnsi="宋体"/>
          <w:sz w:val="24"/>
          <w:highlight w:val="none"/>
        </w:rPr>
        <w:t>规范为准。</w:t>
      </w:r>
    </w:p>
    <w:p w14:paraId="51BEB08C">
      <w:pPr>
        <w:spacing w:line="360" w:lineRule="auto"/>
        <w:ind w:firstLine="437"/>
        <w:outlineLvl w:val="3"/>
        <w:rPr>
          <w:rFonts w:ascii="宋体" w:hAnsi="宋体"/>
          <w:b/>
          <w:bCs/>
          <w:sz w:val="24"/>
          <w:highlight w:val="none"/>
          <w:lang w:val="zh-CN"/>
        </w:rPr>
      </w:pPr>
      <w:bookmarkStart w:id="81" w:name="_Toc27853"/>
      <w:bookmarkStart w:id="82" w:name="_Toc259093671"/>
      <w:bookmarkStart w:id="83" w:name="_Toc487900351"/>
      <w:bookmarkStart w:id="84" w:name="_Toc9829"/>
      <w:bookmarkStart w:id="85" w:name="_Toc279701242"/>
      <w:bookmarkStart w:id="86" w:name="_Toc31634"/>
      <w:r>
        <w:rPr>
          <w:rFonts w:hint="eastAsia" w:ascii="宋体" w:hAnsi="宋体"/>
          <w:b/>
          <w:bCs/>
          <w:sz w:val="24"/>
          <w:highlight w:val="none"/>
          <w:lang w:val="zh-CN"/>
        </w:rPr>
        <w:t>2.</w:t>
      </w:r>
      <w:r>
        <w:rPr>
          <w:rFonts w:ascii="宋体" w:hAnsi="宋体"/>
          <w:b/>
          <w:bCs/>
          <w:sz w:val="24"/>
          <w:highlight w:val="none"/>
          <w:lang w:val="zh-CN"/>
        </w:rPr>
        <w:t>3知识产权</w:t>
      </w:r>
      <w:bookmarkEnd w:id="81"/>
      <w:bookmarkEnd w:id="82"/>
      <w:bookmarkEnd w:id="83"/>
      <w:bookmarkEnd w:id="84"/>
      <w:bookmarkEnd w:id="85"/>
      <w:bookmarkEnd w:id="86"/>
    </w:p>
    <w:p w14:paraId="3E0ABEF7">
      <w:pPr>
        <w:spacing w:line="360" w:lineRule="auto"/>
        <w:ind w:firstLine="435"/>
        <w:rPr>
          <w:rFonts w:ascii="宋体" w:hAnsi="宋体"/>
          <w:sz w:val="24"/>
          <w:highlight w:val="none"/>
        </w:rPr>
      </w:pPr>
      <w:r>
        <w:rPr>
          <w:rFonts w:hint="eastAsia" w:ascii="宋体" w:hAnsi="宋体"/>
          <w:sz w:val="24"/>
          <w:highlight w:val="none"/>
        </w:rPr>
        <w:t>2.3.1乙</w:t>
      </w:r>
      <w:r>
        <w:rPr>
          <w:rFonts w:ascii="宋体" w:hAnsi="宋体"/>
          <w:sz w:val="24"/>
          <w:highlight w:val="none"/>
        </w:rPr>
        <w:t>方应保证甲方在使用该货物或其任何一部分时不受任何第三方提出的侵犯其著作权、商标权、专利权等知识产权方面的起诉</w:t>
      </w:r>
      <w:r>
        <w:rPr>
          <w:rFonts w:hint="eastAsia" w:ascii="宋体" w:hAnsi="宋体"/>
          <w:sz w:val="24"/>
          <w:highlight w:val="none"/>
        </w:rPr>
        <w:t>；</w:t>
      </w:r>
      <w:r>
        <w:rPr>
          <w:rFonts w:ascii="宋体" w:hAnsi="宋体"/>
          <w:sz w:val="24"/>
          <w:highlight w:val="none"/>
        </w:rPr>
        <w:t>如果任何第三方提出侵权</w:t>
      </w:r>
      <w:r>
        <w:rPr>
          <w:rFonts w:hint="eastAsia" w:ascii="宋体" w:hAnsi="宋体"/>
          <w:sz w:val="24"/>
          <w:highlight w:val="none"/>
        </w:rPr>
        <w:t>指控</w:t>
      </w:r>
      <w:r>
        <w:rPr>
          <w:rFonts w:ascii="宋体" w:hAnsi="宋体"/>
          <w:sz w:val="24"/>
          <w:highlight w:val="none"/>
        </w:rPr>
        <w:t>，那么乙方须与该第三方交涉并承担由此发生的一切责任、费用和赔偿</w:t>
      </w:r>
      <w:r>
        <w:rPr>
          <w:rFonts w:hint="eastAsia" w:ascii="宋体" w:hAnsi="宋体"/>
          <w:sz w:val="24"/>
          <w:highlight w:val="none"/>
        </w:rPr>
        <w:t>；</w:t>
      </w:r>
    </w:p>
    <w:p w14:paraId="5137E0FA">
      <w:pPr>
        <w:spacing w:line="360" w:lineRule="auto"/>
        <w:ind w:firstLine="435"/>
        <w:rPr>
          <w:rFonts w:ascii="宋体" w:hAnsi="宋体"/>
          <w:sz w:val="24"/>
          <w:highlight w:val="none"/>
        </w:rPr>
      </w:pPr>
      <w:r>
        <w:rPr>
          <w:rFonts w:hint="eastAsia" w:ascii="宋体" w:hAnsi="宋体"/>
          <w:sz w:val="24"/>
          <w:highlight w:val="none"/>
        </w:rPr>
        <w:t>2.3.2具有知识产权的计算机软件等货物的知识产权归属，</w:t>
      </w:r>
      <w:r>
        <w:rPr>
          <w:rFonts w:ascii="宋体" w:hAnsi="宋体"/>
          <w:sz w:val="24"/>
          <w:highlight w:val="none"/>
        </w:rPr>
        <w:t>详见</w:t>
      </w:r>
      <w:r>
        <w:rPr>
          <w:rFonts w:ascii="宋体" w:hAnsi="宋体"/>
          <w:b/>
          <w:i/>
          <w:sz w:val="24"/>
          <w:highlight w:val="none"/>
          <w:u w:val="single"/>
        </w:rPr>
        <w:t>合同专用条款</w:t>
      </w:r>
      <w:r>
        <w:rPr>
          <w:rFonts w:ascii="宋体" w:hAnsi="宋体"/>
          <w:sz w:val="24"/>
          <w:highlight w:val="none"/>
        </w:rPr>
        <w:t>。</w:t>
      </w:r>
    </w:p>
    <w:p w14:paraId="1912115F">
      <w:pPr>
        <w:spacing w:line="360" w:lineRule="auto"/>
        <w:ind w:firstLine="437"/>
        <w:outlineLvl w:val="3"/>
        <w:rPr>
          <w:rFonts w:ascii="宋体" w:hAnsi="宋体"/>
          <w:b/>
          <w:sz w:val="24"/>
          <w:highlight w:val="none"/>
        </w:rPr>
      </w:pPr>
      <w:bookmarkStart w:id="87" w:name="_Toc11932"/>
      <w:bookmarkStart w:id="88" w:name="_Toc4194"/>
      <w:bookmarkStart w:id="89" w:name="_Toc29149"/>
      <w:r>
        <w:rPr>
          <w:rFonts w:hint="eastAsia" w:ascii="宋体" w:hAnsi="宋体"/>
          <w:b/>
          <w:bCs/>
          <w:sz w:val="24"/>
          <w:highlight w:val="none"/>
          <w:lang w:val="zh-CN"/>
        </w:rPr>
        <w:t>2.4包装和装运</w:t>
      </w:r>
      <w:bookmarkEnd w:id="87"/>
      <w:bookmarkEnd w:id="88"/>
      <w:bookmarkEnd w:id="89"/>
    </w:p>
    <w:p w14:paraId="19FA8BE9">
      <w:pPr>
        <w:spacing w:line="360" w:lineRule="auto"/>
        <w:ind w:firstLine="435"/>
        <w:rPr>
          <w:rFonts w:ascii="宋体" w:hAnsi="宋体"/>
          <w:sz w:val="24"/>
          <w:highlight w:val="none"/>
        </w:rPr>
      </w:pPr>
      <w:r>
        <w:rPr>
          <w:rFonts w:hint="eastAsia" w:ascii="宋体" w:hAnsi="宋体"/>
          <w:sz w:val="24"/>
          <w:highlight w:val="none"/>
        </w:rPr>
        <w:t>2.4.1除</w:t>
      </w:r>
      <w:r>
        <w:rPr>
          <w:rFonts w:ascii="宋体" w:hAnsi="宋体"/>
          <w:b/>
          <w:i/>
          <w:sz w:val="24"/>
          <w:highlight w:val="none"/>
          <w:u w:val="single"/>
        </w:rPr>
        <w:t>合同专用条款</w:t>
      </w:r>
      <w:r>
        <w:rPr>
          <w:rFonts w:hint="eastAsia" w:ascii="宋体" w:hAnsi="宋体"/>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595DB34D">
      <w:pPr>
        <w:spacing w:line="360" w:lineRule="auto"/>
        <w:ind w:firstLine="435"/>
        <w:rPr>
          <w:rFonts w:ascii="宋体" w:hAnsi="宋体"/>
          <w:sz w:val="24"/>
          <w:highlight w:val="none"/>
        </w:rPr>
      </w:pPr>
      <w:r>
        <w:rPr>
          <w:rFonts w:hint="eastAsia" w:ascii="宋体" w:hAnsi="宋体"/>
          <w:sz w:val="24"/>
          <w:highlight w:val="none"/>
        </w:rPr>
        <w:t>2.4.2装运货物的要求和通知，详见</w:t>
      </w:r>
      <w:r>
        <w:rPr>
          <w:rFonts w:ascii="宋体" w:hAnsi="宋体"/>
          <w:b/>
          <w:i/>
          <w:sz w:val="24"/>
          <w:highlight w:val="none"/>
          <w:u w:val="single"/>
        </w:rPr>
        <w:t>合同专用条款</w:t>
      </w:r>
      <w:r>
        <w:rPr>
          <w:rFonts w:hint="eastAsia" w:ascii="宋体" w:hAnsi="宋体"/>
          <w:sz w:val="24"/>
          <w:highlight w:val="none"/>
        </w:rPr>
        <w:t>。</w:t>
      </w:r>
    </w:p>
    <w:p w14:paraId="2BC99703">
      <w:pPr>
        <w:spacing w:line="360" w:lineRule="auto"/>
        <w:ind w:firstLine="437"/>
        <w:outlineLvl w:val="3"/>
        <w:rPr>
          <w:rFonts w:ascii="宋体" w:hAnsi="宋体"/>
          <w:b/>
          <w:bCs/>
          <w:sz w:val="24"/>
          <w:highlight w:val="none"/>
          <w:lang w:val="zh-CN"/>
        </w:rPr>
      </w:pPr>
      <w:bookmarkStart w:id="90" w:name="_Ref467379536"/>
      <w:bookmarkStart w:id="91" w:name="_Ref467378541"/>
      <w:bookmarkStart w:id="92" w:name="_Ref467378591"/>
      <w:bookmarkStart w:id="93" w:name="_Toc487900354"/>
      <w:bookmarkStart w:id="94" w:name="_Ref467379527"/>
      <w:bookmarkStart w:id="95" w:name="_Ref467379542"/>
      <w:bookmarkStart w:id="96" w:name="_Toc279701245"/>
      <w:bookmarkStart w:id="97" w:name="_Toc259093674"/>
      <w:bookmarkStart w:id="98" w:name="_Toc26182"/>
      <w:bookmarkStart w:id="99" w:name="_Toc30272"/>
      <w:bookmarkStart w:id="100" w:name="_Toc19074"/>
      <w:r>
        <w:rPr>
          <w:rFonts w:hint="eastAsia" w:ascii="宋体" w:hAnsi="宋体"/>
          <w:b/>
          <w:bCs/>
          <w:sz w:val="24"/>
          <w:highlight w:val="none"/>
          <w:lang w:val="zh-CN"/>
        </w:rPr>
        <w:t>2.</w:t>
      </w:r>
      <w:bookmarkEnd w:id="90"/>
      <w:bookmarkEnd w:id="91"/>
      <w:bookmarkEnd w:id="92"/>
      <w:bookmarkEnd w:id="93"/>
      <w:bookmarkEnd w:id="94"/>
      <w:bookmarkEnd w:id="95"/>
      <w:bookmarkEnd w:id="96"/>
      <w:bookmarkEnd w:id="97"/>
      <w:r>
        <w:rPr>
          <w:rFonts w:hint="eastAsia" w:ascii="宋体" w:hAnsi="宋体"/>
          <w:b/>
          <w:bCs/>
          <w:sz w:val="24"/>
          <w:highlight w:val="none"/>
          <w:lang w:val="zh-CN"/>
        </w:rPr>
        <w:t>5履约检查和问题反馈</w:t>
      </w:r>
      <w:bookmarkEnd w:id="98"/>
      <w:bookmarkEnd w:id="99"/>
      <w:bookmarkEnd w:id="100"/>
    </w:p>
    <w:p w14:paraId="742374C2">
      <w:pPr>
        <w:spacing w:line="360" w:lineRule="auto"/>
        <w:ind w:firstLine="435"/>
        <w:rPr>
          <w:rFonts w:ascii="宋体" w:hAnsi="宋体"/>
          <w:sz w:val="24"/>
          <w:highlight w:val="none"/>
        </w:rPr>
      </w:pPr>
      <w:bookmarkStart w:id="101" w:name="_Ref467379657"/>
      <w:r>
        <w:rPr>
          <w:rFonts w:hint="eastAsia" w:ascii="宋体" w:hAnsi="宋体"/>
          <w:sz w:val="24"/>
          <w:highlight w:val="none"/>
        </w:rPr>
        <w:t>2.5</w:t>
      </w:r>
      <w:r>
        <w:rPr>
          <w:rFonts w:ascii="宋体" w:hAnsi="宋体"/>
          <w:sz w:val="24"/>
          <w:highlight w:val="none"/>
        </w:rPr>
        <w:t>.1</w:t>
      </w:r>
      <w:bookmarkEnd w:id="101"/>
      <w:bookmarkStart w:id="102" w:name="_Toc186431854"/>
      <w:bookmarkStart w:id="103" w:name="_Ref467379807"/>
      <w:bookmarkStart w:id="104" w:name="_Toc279701247"/>
      <w:bookmarkStart w:id="105" w:name="_Toc487900357"/>
      <w:bookmarkStart w:id="106" w:name="_Toc259093676"/>
      <w:bookmarkStart w:id="107" w:name="_Ref467379793"/>
      <w:r>
        <w:rPr>
          <w:rFonts w:ascii="宋体" w:hAnsi="宋体"/>
          <w:sz w:val="24"/>
          <w:highlight w:val="none"/>
        </w:rPr>
        <w:t>甲方</w:t>
      </w:r>
      <w:r>
        <w:rPr>
          <w:rFonts w:hint="eastAsia" w:ascii="宋体" w:hAnsi="宋体"/>
          <w:sz w:val="24"/>
          <w:highlight w:val="none"/>
        </w:rPr>
        <w:t>有权</w:t>
      </w:r>
      <w:r>
        <w:rPr>
          <w:rFonts w:ascii="宋体" w:hAnsi="宋体"/>
          <w:sz w:val="24"/>
          <w:highlight w:val="none"/>
        </w:rPr>
        <w:t>在其认为必要时</w:t>
      </w:r>
      <w:r>
        <w:rPr>
          <w:rFonts w:hint="eastAsia" w:ascii="宋体" w:hAnsi="宋体"/>
          <w:sz w:val="24"/>
          <w:highlight w:val="none"/>
        </w:rPr>
        <w:t>，对乙方是否能够按照合同约定交付货物进行履约检查，以确保乙方所交付的货物能够依约满足甲方项目需求，但不得因履约检查妨碍乙方的正常工作，乙方应予积极配合；</w:t>
      </w:r>
    </w:p>
    <w:p w14:paraId="164FC912">
      <w:pPr>
        <w:spacing w:line="360" w:lineRule="auto"/>
        <w:ind w:firstLine="435"/>
        <w:rPr>
          <w:rFonts w:ascii="宋体" w:hAnsi="宋体"/>
          <w:sz w:val="24"/>
          <w:highlight w:val="none"/>
        </w:rPr>
      </w:pPr>
      <w:r>
        <w:rPr>
          <w:rFonts w:hint="eastAsia" w:ascii="宋体" w:hAnsi="宋体"/>
          <w:sz w:val="24"/>
          <w:highlight w:val="none"/>
        </w:rPr>
        <w:t>2.5.2合同履行期间，甲方有权将履行过程中出现的问题反馈给乙方，双方当事人应以书面形式约定需要完善和改进的内容</w:t>
      </w:r>
      <w:bookmarkEnd w:id="102"/>
      <w:bookmarkStart w:id="108" w:name="_Toc186431855"/>
      <w:r>
        <w:rPr>
          <w:rFonts w:hint="eastAsia" w:ascii="宋体" w:hAnsi="宋体"/>
          <w:sz w:val="24"/>
          <w:highlight w:val="none"/>
        </w:rPr>
        <w:t>。</w:t>
      </w:r>
    </w:p>
    <w:bookmarkEnd w:id="108"/>
    <w:p w14:paraId="321F2D91">
      <w:pPr>
        <w:spacing w:line="360" w:lineRule="auto"/>
        <w:ind w:firstLine="437"/>
        <w:outlineLvl w:val="3"/>
        <w:rPr>
          <w:rFonts w:ascii="宋体" w:hAnsi="宋体"/>
          <w:b/>
          <w:bCs/>
          <w:sz w:val="24"/>
          <w:highlight w:val="none"/>
          <w:lang w:val="zh-CN"/>
        </w:rPr>
      </w:pPr>
      <w:bookmarkStart w:id="109" w:name="_Toc7836"/>
      <w:bookmarkStart w:id="110" w:name="_Toc28451"/>
      <w:bookmarkStart w:id="111" w:name="_Toc19219"/>
      <w:r>
        <w:rPr>
          <w:rFonts w:hint="eastAsia" w:ascii="宋体" w:hAnsi="宋体"/>
          <w:b/>
          <w:bCs/>
          <w:sz w:val="24"/>
          <w:highlight w:val="none"/>
          <w:lang w:val="zh-CN"/>
        </w:rPr>
        <w:t>2.6</w:t>
      </w:r>
      <w:r>
        <w:rPr>
          <w:rFonts w:ascii="宋体" w:hAnsi="宋体"/>
          <w:b/>
          <w:bCs/>
          <w:sz w:val="24"/>
          <w:highlight w:val="none"/>
          <w:lang w:val="zh-CN"/>
        </w:rPr>
        <w:t>结算方式和付款条件</w:t>
      </w:r>
      <w:bookmarkEnd w:id="103"/>
      <w:bookmarkEnd w:id="104"/>
      <w:bookmarkEnd w:id="105"/>
      <w:bookmarkEnd w:id="106"/>
      <w:bookmarkEnd w:id="107"/>
      <w:bookmarkEnd w:id="109"/>
      <w:bookmarkEnd w:id="110"/>
      <w:bookmarkEnd w:id="111"/>
    </w:p>
    <w:p w14:paraId="393E82C6">
      <w:pPr>
        <w:spacing w:line="360" w:lineRule="auto"/>
        <w:ind w:firstLine="435"/>
        <w:rPr>
          <w:rFonts w:ascii="宋体" w:hAnsi="宋体"/>
          <w:sz w:val="24"/>
          <w:highlight w:val="none"/>
        </w:rPr>
      </w:pPr>
      <w:r>
        <w:rPr>
          <w:rFonts w:ascii="宋体" w:hAnsi="宋体"/>
          <w:sz w:val="24"/>
          <w:highlight w:val="none"/>
        </w:rPr>
        <w:t>详见</w:t>
      </w:r>
      <w:r>
        <w:rPr>
          <w:rFonts w:ascii="宋体" w:hAnsi="宋体"/>
          <w:b/>
          <w:i/>
          <w:sz w:val="24"/>
          <w:highlight w:val="none"/>
          <w:u w:val="single"/>
        </w:rPr>
        <w:t>合同专用条款</w:t>
      </w:r>
      <w:r>
        <w:rPr>
          <w:rFonts w:ascii="宋体" w:hAnsi="宋体"/>
          <w:sz w:val="24"/>
          <w:highlight w:val="none"/>
        </w:rPr>
        <w:t>。</w:t>
      </w:r>
    </w:p>
    <w:p w14:paraId="3F7635FD">
      <w:pPr>
        <w:spacing w:line="360" w:lineRule="auto"/>
        <w:ind w:firstLine="437"/>
        <w:outlineLvl w:val="3"/>
        <w:rPr>
          <w:rFonts w:ascii="宋体" w:hAnsi="宋体"/>
          <w:b/>
          <w:bCs/>
          <w:sz w:val="24"/>
          <w:highlight w:val="none"/>
          <w:lang w:val="zh-CN"/>
        </w:rPr>
      </w:pPr>
      <w:bookmarkStart w:id="112" w:name="_Toc279701248"/>
      <w:bookmarkStart w:id="113" w:name="_Toc259093677"/>
      <w:bookmarkStart w:id="114" w:name="_Ref467379852"/>
      <w:bookmarkStart w:id="115" w:name="_Ref467379863"/>
      <w:bookmarkStart w:id="116" w:name="_Toc487900358"/>
      <w:bookmarkStart w:id="117" w:name="_Ref467379923"/>
      <w:bookmarkStart w:id="118" w:name="_Toc774"/>
      <w:bookmarkStart w:id="119" w:name="_Toc16110"/>
      <w:bookmarkStart w:id="120" w:name="_Toc3225"/>
      <w:r>
        <w:rPr>
          <w:rFonts w:hint="eastAsia" w:ascii="宋体" w:hAnsi="宋体"/>
          <w:b/>
          <w:bCs/>
          <w:sz w:val="24"/>
          <w:highlight w:val="none"/>
          <w:lang w:val="zh-CN"/>
        </w:rPr>
        <w:t>2.7</w:t>
      </w:r>
      <w:r>
        <w:rPr>
          <w:rFonts w:ascii="宋体" w:hAnsi="宋体"/>
          <w:b/>
          <w:bCs/>
          <w:sz w:val="24"/>
          <w:highlight w:val="none"/>
          <w:lang w:val="zh-CN"/>
        </w:rPr>
        <w:t>技术资料</w:t>
      </w:r>
      <w:bookmarkEnd w:id="112"/>
      <w:bookmarkEnd w:id="113"/>
      <w:bookmarkEnd w:id="114"/>
      <w:bookmarkEnd w:id="115"/>
      <w:bookmarkEnd w:id="116"/>
      <w:bookmarkEnd w:id="117"/>
      <w:r>
        <w:rPr>
          <w:rFonts w:ascii="宋体" w:hAnsi="宋体"/>
          <w:b/>
          <w:bCs/>
          <w:sz w:val="24"/>
          <w:highlight w:val="none"/>
          <w:lang w:val="zh-CN"/>
        </w:rPr>
        <w:t>和保密义务</w:t>
      </w:r>
      <w:bookmarkEnd w:id="118"/>
      <w:bookmarkEnd w:id="119"/>
      <w:bookmarkEnd w:id="120"/>
    </w:p>
    <w:p w14:paraId="792515C7">
      <w:pPr>
        <w:spacing w:line="360" w:lineRule="auto"/>
        <w:ind w:firstLine="435"/>
        <w:rPr>
          <w:rFonts w:ascii="宋体" w:hAnsi="宋体"/>
          <w:sz w:val="24"/>
          <w:highlight w:val="none"/>
        </w:rPr>
      </w:pPr>
      <w:r>
        <w:rPr>
          <w:rFonts w:hint="eastAsia" w:ascii="宋体" w:hAnsi="宋体"/>
          <w:sz w:val="24"/>
          <w:highlight w:val="none"/>
        </w:rPr>
        <w:t>2.7</w:t>
      </w:r>
      <w:r>
        <w:rPr>
          <w:rFonts w:ascii="宋体" w:hAnsi="宋体"/>
          <w:sz w:val="24"/>
          <w:highlight w:val="none"/>
        </w:rPr>
        <w:t>.1</w:t>
      </w:r>
      <w:r>
        <w:rPr>
          <w:rFonts w:hint="eastAsia" w:ascii="宋体" w:hAnsi="宋体"/>
          <w:sz w:val="24"/>
          <w:highlight w:val="none"/>
        </w:rPr>
        <w:t>乙方有权依据合同约定和项目需要，向甲方了解有关情况，调阅有关资料等，甲方应予积极配合；</w:t>
      </w:r>
    </w:p>
    <w:p w14:paraId="2CD30E38">
      <w:pPr>
        <w:spacing w:line="360" w:lineRule="auto"/>
        <w:ind w:firstLine="435"/>
        <w:rPr>
          <w:rFonts w:ascii="宋体" w:hAnsi="宋体"/>
          <w:sz w:val="24"/>
          <w:highlight w:val="none"/>
        </w:rPr>
      </w:pPr>
      <w:r>
        <w:rPr>
          <w:rFonts w:hint="eastAsia" w:ascii="宋体" w:hAnsi="宋体"/>
          <w:sz w:val="24"/>
          <w:highlight w:val="none"/>
        </w:rPr>
        <w:t>2.7.2乙方有义务妥善保管和保护由甲方提供的前款信息和资料等；</w:t>
      </w:r>
    </w:p>
    <w:p w14:paraId="5764A1D2">
      <w:pPr>
        <w:spacing w:line="360" w:lineRule="auto"/>
        <w:ind w:firstLine="435"/>
        <w:rPr>
          <w:rFonts w:ascii="宋体" w:hAnsi="宋体"/>
          <w:sz w:val="24"/>
          <w:highlight w:val="none"/>
        </w:rPr>
      </w:pPr>
      <w:r>
        <w:rPr>
          <w:rFonts w:hint="eastAsia" w:ascii="宋体" w:hAnsi="宋体"/>
          <w:sz w:val="24"/>
          <w:highlight w:val="none"/>
        </w:rPr>
        <w:t>2.7</w:t>
      </w:r>
      <w:r>
        <w:rPr>
          <w:rFonts w:ascii="宋体" w:hAnsi="宋体"/>
          <w:sz w:val="24"/>
          <w:highlight w:val="none"/>
        </w:rPr>
        <w:t>.</w:t>
      </w:r>
      <w:r>
        <w:rPr>
          <w:rFonts w:hint="eastAsia" w:ascii="宋体" w:hAnsi="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highlight w:val="none"/>
        </w:rPr>
        <w:t>技术情报</w:t>
      </w:r>
      <w:r>
        <w:rPr>
          <w:rFonts w:hint="eastAsia" w:ascii="宋体" w:hAnsi="宋体"/>
          <w:sz w:val="24"/>
          <w:highlight w:val="none"/>
        </w:rPr>
        <w:t>、</w:t>
      </w:r>
      <w:r>
        <w:rPr>
          <w:rFonts w:ascii="宋体" w:hAnsi="宋体"/>
          <w:sz w:val="24"/>
          <w:highlight w:val="none"/>
        </w:rPr>
        <w:t>技术资料</w:t>
      </w:r>
      <w:r>
        <w:rPr>
          <w:rFonts w:hint="eastAsia" w:ascii="宋体" w:hAnsi="宋体"/>
          <w:sz w:val="24"/>
          <w:highlight w:val="none"/>
        </w:rPr>
        <w:t>、商业秘密和商业信息等，并采取一切合理和必要措施和方式防止任何第三方接触到对方当事人的上述保密信息和资料。</w:t>
      </w:r>
    </w:p>
    <w:p w14:paraId="4A7F0D53">
      <w:pPr>
        <w:spacing w:line="360" w:lineRule="auto"/>
        <w:ind w:firstLine="437"/>
        <w:outlineLvl w:val="3"/>
        <w:rPr>
          <w:rFonts w:ascii="宋体" w:hAnsi="宋体"/>
          <w:b/>
          <w:bCs/>
          <w:sz w:val="24"/>
          <w:highlight w:val="none"/>
          <w:lang w:val="zh-CN"/>
        </w:rPr>
      </w:pPr>
      <w:bookmarkStart w:id="121" w:name="_Toc7860"/>
      <w:r>
        <w:rPr>
          <w:rFonts w:ascii="宋体" w:hAnsi="宋体"/>
          <w:b/>
          <w:bCs/>
          <w:sz w:val="24"/>
          <w:highlight w:val="none"/>
          <w:lang w:val="zh-CN"/>
        </w:rPr>
        <w:t>2.8质量保证</w:t>
      </w:r>
      <w:bookmarkEnd w:id="121"/>
    </w:p>
    <w:p w14:paraId="1C255905">
      <w:pPr>
        <w:spacing w:line="360" w:lineRule="auto"/>
        <w:ind w:firstLine="435"/>
        <w:rPr>
          <w:rFonts w:ascii="宋体" w:hAnsi="宋体"/>
          <w:sz w:val="24"/>
          <w:highlight w:val="none"/>
        </w:rPr>
      </w:pPr>
      <w:r>
        <w:rPr>
          <w:rFonts w:hint="eastAsia" w:ascii="宋体" w:hAnsi="宋体"/>
          <w:sz w:val="24"/>
          <w:highlight w:val="none"/>
        </w:rPr>
        <w:t>2.8.1乙方应建立和完善履行合同的内部质量保证体系，并提供相关内部规章制度给甲方，以便甲方进行监督检查；</w:t>
      </w:r>
    </w:p>
    <w:p w14:paraId="3C8F6109">
      <w:pPr>
        <w:spacing w:line="360" w:lineRule="auto"/>
        <w:ind w:firstLine="435"/>
        <w:rPr>
          <w:rFonts w:ascii="宋体" w:hAnsi="宋体"/>
          <w:sz w:val="24"/>
          <w:highlight w:val="none"/>
        </w:rPr>
      </w:pPr>
      <w:r>
        <w:rPr>
          <w:rFonts w:hint="eastAsia" w:ascii="宋体" w:hAnsi="宋体"/>
          <w:sz w:val="24"/>
          <w:highlight w:val="none"/>
        </w:rPr>
        <w:t>2.8.2乙方应保证履行合同的人员数量和素质、软件和硬件设备的配置、场地、环境和设施等满足全面履行合同的要求，并应接受甲方的监督检查。</w:t>
      </w:r>
    </w:p>
    <w:p w14:paraId="6E5D6112">
      <w:pPr>
        <w:spacing w:line="360" w:lineRule="auto"/>
        <w:ind w:firstLine="437"/>
        <w:outlineLvl w:val="3"/>
        <w:rPr>
          <w:rFonts w:ascii="宋体" w:hAnsi="宋体"/>
          <w:b/>
          <w:bCs/>
          <w:sz w:val="24"/>
          <w:highlight w:val="none"/>
          <w:lang w:val="zh-CN"/>
        </w:rPr>
      </w:pPr>
      <w:bookmarkStart w:id="122" w:name="_Toc17244"/>
      <w:bookmarkStart w:id="123" w:name="_Toc279701252"/>
      <w:bookmarkStart w:id="124" w:name="_Toc487900362"/>
      <w:bookmarkStart w:id="125" w:name="_Toc259093681"/>
      <w:r>
        <w:rPr>
          <w:rFonts w:ascii="宋体" w:hAnsi="宋体"/>
          <w:b/>
          <w:bCs/>
          <w:sz w:val="24"/>
          <w:highlight w:val="none"/>
          <w:lang w:val="zh-CN"/>
        </w:rPr>
        <w:t>2.9货物的风险负担</w:t>
      </w:r>
      <w:bookmarkEnd w:id="122"/>
    </w:p>
    <w:p w14:paraId="321E1222">
      <w:pPr>
        <w:spacing w:line="360" w:lineRule="auto"/>
        <w:ind w:firstLine="435"/>
        <w:rPr>
          <w:rFonts w:ascii="宋体" w:hAnsi="宋体"/>
          <w:b/>
          <w:sz w:val="24"/>
          <w:highlight w:val="none"/>
        </w:rPr>
      </w:pPr>
      <w:r>
        <w:rPr>
          <w:rFonts w:hint="eastAsia" w:ascii="宋体" w:hAnsi="宋体"/>
          <w:sz w:val="24"/>
          <w:highlight w:val="none"/>
        </w:rPr>
        <w:t>货物或者在途货物或者交付给第一承运人后的货物毁损、灭失的风险负担</w:t>
      </w:r>
      <w:r>
        <w:rPr>
          <w:rFonts w:ascii="宋体" w:hAnsi="宋体"/>
          <w:sz w:val="24"/>
          <w:highlight w:val="none"/>
        </w:rPr>
        <w:t>详见</w:t>
      </w:r>
      <w:r>
        <w:rPr>
          <w:rFonts w:ascii="宋体" w:hAnsi="宋体"/>
          <w:b/>
          <w:i/>
          <w:sz w:val="24"/>
          <w:highlight w:val="none"/>
          <w:u w:val="single"/>
        </w:rPr>
        <w:t>合同专用条款</w:t>
      </w:r>
      <w:r>
        <w:rPr>
          <w:rFonts w:ascii="宋体" w:hAnsi="宋体"/>
          <w:sz w:val="24"/>
          <w:highlight w:val="none"/>
        </w:rPr>
        <w:t>。</w:t>
      </w:r>
    </w:p>
    <w:p w14:paraId="6E701736">
      <w:pPr>
        <w:spacing w:line="360" w:lineRule="auto"/>
        <w:ind w:firstLine="437"/>
        <w:outlineLvl w:val="3"/>
        <w:rPr>
          <w:rFonts w:ascii="宋体" w:hAnsi="宋体"/>
          <w:b/>
          <w:bCs/>
          <w:sz w:val="24"/>
          <w:highlight w:val="none"/>
          <w:lang w:val="zh-CN"/>
        </w:rPr>
      </w:pPr>
      <w:bookmarkStart w:id="126" w:name="_Toc14055"/>
      <w:r>
        <w:rPr>
          <w:rFonts w:ascii="宋体" w:hAnsi="宋体"/>
          <w:b/>
          <w:bCs/>
          <w:sz w:val="24"/>
          <w:highlight w:val="none"/>
          <w:lang w:val="zh-CN"/>
        </w:rPr>
        <w:t>2.10延迟交货</w:t>
      </w:r>
      <w:bookmarkEnd w:id="123"/>
      <w:bookmarkEnd w:id="124"/>
      <w:bookmarkEnd w:id="125"/>
      <w:bookmarkEnd w:id="126"/>
    </w:p>
    <w:p w14:paraId="730C4115">
      <w:pPr>
        <w:spacing w:line="360" w:lineRule="auto"/>
        <w:ind w:firstLine="435"/>
        <w:rPr>
          <w:rFonts w:ascii="宋体" w:hAnsi="宋体"/>
          <w:sz w:val="24"/>
          <w:highlight w:val="none"/>
        </w:rPr>
      </w:pPr>
      <w:r>
        <w:rPr>
          <w:rFonts w:ascii="宋体" w:hAnsi="宋体"/>
          <w:sz w:val="24"/>
          <w:highlight w:val="none"/>
        </w:rPr>
        <w:t>在合同履行过程中，如果乙方遇到不能按时交付货物的情况，应及时以书面形式将不能按时</w:t>
      </w:r>
      <w:r>
        <w:rPr>
          <w:rFonts w:hint="eastAsia" w:ascii="宋体" w:hAnsi="宋体"/>
          <w:sz w:val="24"/>
          <w:highlight w:val="none"/>
        </w:rPr>
        <w:t>交付货物</w:t>
      </w:r>
      <w:r>
        <w:rPr>
          <w:rFonts w:ascii="宋体" w:hAnsi="宋体"/>
          <w:sz w:val="24"/>
          <w:highlight w:val="none"/>
        </w:rPr>
        <w:t>的理由、预期延误时间通知甲方</w:t>
      </w:r>
      <w:r>
        <w:rPr>
          <w:rFonts w:hint="eastAsia" w:ascii="宋体" w:hAnsi="宋体"/>
          <w:sz w:val="24"/>
          <w:highlight w:val="none"/>
        </w:rPr>
        <w:t>；甲</w:t>
      </w:r>
      <w:r>
        <w:rPr>
          <w:rFonts w:ascii="宋体" w:hAnsi="宋体"/>
          <w:sz w:val="24"/>
          <w:highlight w:val="none"/>
        </w:rPr>
        <w:t>方收到乙方通知后，认为其理由正当的，可以书面形式酌情同意乙方可以延长交货的具体时间。</w:t>
      </w:r>
    </w:p>
    <w:p w14:paraId="6F5C96A6">
      <w:pPr>
        <w:spacing w:line="360" w:lineRule="auto"/>
        <w:ind w:firstLine="437"/>
        <w:outlineLvl w:val="3"/>
        <w:rPr>
          <w:rFonts w:ascii="宋体" w:hAnsi="宋体"/>
          <w:b/>
          <w:bCs/>
          <w:sz w:val="24"/>
          <w:highlight w:val="none"/>
          <w:lang w:val="zh-CN"/>
        </w:rPr>
      </w:pPr>
      <w:bookmarkStart w:id="127" w:name="_Toc7502"/>
      <w:bookmarkStart w:id="128" w:name="_Toc259093683"/>
      <w:bookmarkStart w:id="129" w:name="_Toc487900364"/>
      <w:bookmarkStart w:id="130" w:name="_Ref467378121"/>
      <w:bookmarkStart w:id="131" w:name="_Toc279701254"/>
      <w:r>
        <w:rPr>
          <w:rFonts w:ascii="宋体" w:hAnsi="宋体"/>
          <w:b/>
          <w:bCs/>
          <w:sz w:val="24"/>
          <w:highlight w:val="none"/>
          <w:lang w:val="zh-CN"/>
        </w:rPr>
        <w:t>2.11合同变更</w:t>
      </w:r>
      <w:bookmarkEnd w:id="127"/>
    </w:p>
    <w:p w14:paraId="558BAFD1">
      <w:pPr>
        <w:spacing w:line="360" w:lineRule="auto"/>
        <w:ind w:firstLine="435"/>
        <w:rPr>
          <w:rFonts w:ascii="宋体" w:hAnsi="宋体"/>
          <w:sz w:val="24"/>
          <w:highlight w:val="none"/>
        </w:rPr>
      </w:pPr>
      <w:r>
        <w:rPr>
          <w:rFonts w:hint="eastAsia" w:ascii="宋体" w:hAnsi="宋体"/>
          <w:sz w:val="24"/>
          <w:highlight w:val="none"/>
        </w:rPr>
        <w:t>2.11.1双方当事人协商一致，可以签订书面补充合同的形式变更合同，但不得违背采购文件确定的事项；</w:t>
      </w:r>
    </w:p>
    <w:p w14:paraId="2E38BE07">
      <w:pPr>
        <w:spacing w:line="360" w:lineRule="auto"/>
        <w:ind w:firstLine="435"/>
        <w:rPr>
          <w:rFonts w:ascii="宋体" w:hAnsi="宋体"/>
          <w:sz w:val="24"/>
          <w:highlight w:val="none"/>
        </w:rPr>
      </w:pPr>
      <w:r>
        <w:rPr>
          <w:rFonts w:hint="eastAsia" w:ascii="宋体" w:hAnsi="宋体"/>
          <w:sz w:val="24"/>
          <w:highlight w:val="none"/>
        </w:rPr>
        <w:t>2.11.2合同继续履行将损害国家利益和社会公共利益的，双方当事人应当以书面形式变更合同。有过错的一方应当承担赔偿责任，双方当事人都有过错的，各自承担相应的责任。</w:t>
      </w:r>
      <w:bookmarkStart w:id="132" w:name="_Toc487900369"/>
      <w:bookmarkStart w:id="133" w:name="_Toc279701259"/>
      <w:bookmarkStart w:id="134" w:name="_Toc259093688"/>
    </w:p>
    <w:p w14:paraId="459C45AA">
      <w:pPr>
        <w:spacing w:line="360" w:lineRule="auto"/>
        <w:ind w:firstLine="437"/>
        <w:outlineLvl w:val="3"/>
        <w:rPr>
          <w:rFonts w:ascii="宋体" w:hAnsi="宋体"/>
          <w:b/>
          <w:bCs/>
          <w:sz w:val="24"/>
          <w:highlight w:val="none"/>
          <w:lang w:val="zh-CN"/>
        </w:rPr>
      </w:pPr>
      <w:bookmarkStart w:id="135" w:name="_Toc10366"/>
      <w:bookmarkStart w:id="136" w:name="_Toc22955"/>
      <w:bookmarkStart w:id="137" w:name="_Toc15237"/>
      <w:r>
        <w:rPr>
          <w:rFonts w:hint="eastAsia" w:ascii="宋体" w:hAnsi="宋体"/>
          <w:b/>
          <w:bCs/>
          <w:sz w:val="24"/>
          <w:highlight w:val="none"/>
          <w:lang w:val="zh-CN"/>
        </w:rPr>
        <w:t>2.12</w:t>
      </w:r>
      <w:r>
        <w:rPr>
          <w:rFonts w:ascii="宋体" w:hAnsi="宋体"/>
          <w:b/>
          <w:bCs/>
          <w:sz w:val="24"/>
          <w:highlight w:val="none"/>
          <w:lang w:val="zh-CN"/>
        </w:rPr>
        <w:t>合同转让</w:t>
      </w:r>
      <w:bookmarkEnd w:id="132"/>
      <w:bookmarkEnd w:id="133"/>
      <w:bookmarkEnd w:id="134"/>
      <w:r>
        <w:rPr>
          <w:rFonts w:ascii="宋体" w:hAnsi="宋体"/>
          <w:b/>
          <w:bCs/>
          <w:sz w:val="24"/>
          <w:highlight w:val="none"/>
          <w:lang w:val="zh-CN"/>
        </w:rPr>
        <w:t>和分包</w:t>
      </w:r>
      <w:bookmarkEnd w:id="135"/>
      <w:bookmarkEnd w:id="136"/>
      <w:bookmarkEnd w:id="137"/>
    </w:p>
    <w:p w14:paraId="3FD16151">
      <w:pPr>
        <w:spacing w:line="360" w:lineRule="auto"/>
        <w:ind w:firstLine="435"/>
        <w:rPr>
          <w:rFonts w:ascii="宋体" w:hAnsi="宋体"/>
          <w:sz w:val="24"/>
          <w:highlight w:val="none"/>
        </w:rPr>
      </w:pPr>
      <w:r>
        <w:rPr>
          <w:rFonts w:ascii="宋体" w:hAnsi="宋体"/>
          <w:sz w:val="24"/>
          <w:highlight w:val="none"/>
        </w:rPr>
        <w:t>合同的权利义务依法不</w:t>
      </w:r>
      <w:r>
        <w:rPr>
          <w:rFonts w:hint="eastAsia" w:ascii="宋体" w:hAnsi="宋体"/>
          <w:sz w:val="24"/>
          <w:highlight w:val="none"/>
        </w:rPr>
        <w:t>得</w:t>
      </w:r>
      <w:r>
        <w:rPr>
          <w:rFonts w:ascii="宋体" w:hAnsi="宋体"/>
          <w:sz w:val="24"/>
          <w:highlight w:val="none"/>
        </w:rPr>
        <w:t>转让</w:t>
      </w:r>
      <w:r>
        <w:rPr>
          <w:rFonts w:hint="eastAsia" w:ascii="宋体" w:hAnsi="宋体"/>
          <w:sz w:val="24"/>
          <w:highlight w:val="none"/>
        </w:rPr>
        <w:t>，</w:t>
      </w:r>
      <w:r>
        <w:rPr>
          <w:rFonts w:ascii="宋体" w:hAnsi="宋体"/>
          <w:sz w:val="24"/>
          <w:highlight w:val="none"/>
        </w:rPr>
        <w:t>但经甲方</w:t>
      </w:r>
      <w:r>
        <w:rPr>
          <w:rFonts w:hint="eastAsia" w:ascii="宋体" w:hAnsi="宋体"/>
          <w:sz w:val="24"/>
          <w:highlight w:val="none"/>
        </w:rPr>
        <w:t>同意，乙方可以依法采取分包方式履行合同，即：依法可以</w:t>
      </w:r>
      <w:r>
        <w:rPr>
          <w:rFonts w:ascii="宋体" w:hAnsi="宋体"/>
          <w:sz w:val="24"/>
          <w:highlight w:val="none"/>
        </w:rPr>
        <w:t>将合同项下的部分非主体、非关键性工作分包给他人完成</w:t>
      </w:r>
      <w:r>
        <w:rPr>
          <w:rFonts w:hint="eastAsia" w:ascii="宋体" w:hAnsi="宋体"/>
          <w:sz w:val="24"/>
          <w:highlight w:val="none"/>
        </w:rPr>
        <w:t>，</w:t>
      </w:r>
      <w:r>
        <w:rPr>
          <w:rFonts w:ascii="宋体" w:hAnsi="宋体"/>
          <w:sz w:val="24"/>
          <w:highlight w:val="none"/>
        </w:rPr>
        <w:t>接受分包的人应当具备相应的资格条件，并不得再次分包</w:t>
      </w:r>
      <w:r>
        <w:rPr>
          <w:rFonts w:hint="eastAsia" w:ascii="宋体" w:hAnsi="宋体"/>
          <w:sz w:val="24"/>
          <w:highlight w:val="none"/>
        </w:rPr>
        <w:t>，</w:t>
      </w:r>
      <w:r>
        <w:rPr>
          <w:rFonts w:ascii="宋体" w:hAnsi="宋体"/>
          <w:sz w:val="24"/>
          <w:highlight w:val="none"/>
        </w:rPr>
        <w:t>且乙方应就分包项目向甲方负责</w:t>
      </w:r>
      <w:r>
        <w:rPr>
          <w:rFonts w:hint="eastAsia" w:ascii="宋体" w:hAnsi="宋体"/>
          <w:sz w:val="24"/>
          <w:highlight w:val="none"/>
        </w:rPr>
        <w:t>，</w:t>
      </w:r>
      <w:r>
        <w:rPr>
          <w:rFonts w:ascii="宋体" w:hAnsi="宋体"/>
          <w:sz w:val="24"/>
          <w:highlight w:val="none"/>
        </w:rPr>
        <w:t>并</w:t>
      </w:r>
      <w:r>
        <w:rPr>
          <w:rFonts w:hint="eastAsia" w:ascii="宋体" w:hAnsi="宋体"/>
          <w:sz w:val="24"/>
          <w:highlight w:val="none"/>
        </w:rPr>
        <w:t>与分包投标人就分包项目向甲方承担连带责任。</w:t>
      </w:r>
    </w:p>
    <w:p w14:paraId="75F14565">
      <w:pPr>
        <w:spacing w:line="360" w:lineRule="auto"/>
        <w:ind w:firstLine="437"/>
        <w:outlineLvl w:val="3"/>
        <w:rPr>
          <w:rFonts w:ascii="宋体" w:hAnsi="宋体"/>
          <w:b/>
          <w:bCs/>
          <w:sz w:val="24"/>
          <w:highlight w:val="none"/>
          <w:lang w:val="zh-CN"/>
        </w:rPr>
      </w:pPr>
      <w:bookmarkStart w:id="138" w:name="_Toc16508"/>
      <w:bookmarkStart w:id="139" w:name="_Toc14066"/>
      <w:bookmarkStart w:id="140" w:name="_Toc13566"/>
      <w:r>
        <w:rPr>
          <w:rFonts w:hint="eastAsia" w:ascii="宋体" w:hAnsi="宋体"/>
          <w:b/>
          <w:bCs/>
          <w:sz w:val="24"/>
          <w:highlight w:val="none"/>
          <w:lang w:val="zh-CN"/>
        </w:rPr>
        <w:t>2.13</w:t>
      </w:r>
      <w:r>
        <w:rPr>
          <w:rFonts w:ascii="宋体" w:hAnsi="宋体"/>
          <w:b/>
          <w:bCs/>
          <w:sz w:val="24"/>
          <w:highlight w:val="none"/>
          <w:lang w:val="zh-CN"/>
        </w:rPr>
        <w:t>不可抗力</w:t>
      </w:r>
      <w:bookmarkEnd w:id="138"/>
      <w:bookmarkEnd w:id="139"/>
      <w:bookmarkEnd w:id="140"/>
    </w:p>
    <w:p w14:paraId="0CDBC7CB">
      <w:pPr>
        <w:spacing w:line="360" w:lineRule="auto"/>
        <w:ind w:firstLine="435"/>
        <w:rPr>
          <w:rFonts w:ascii="宋体" w:hAnsi="宋体"/>
          <w:sz w:val="24"/>
          <w:highlight w:val="none"/>
        </w:rPr>
      </w:pPr>
      <w:r>
        <w:rPr>
          <w:rFonts w:hint="eastAsia" w:ascii="宋体" w:hAnsi="宋体"/>
          <w:sz w:val="24"/>
          <w:highlight w:val="none"/>
        </w:rPr>
        <w:t>2.13</w:t>
      </w:r>
      <w:r>
        <w:rPr>
          <w:rFonts w:ascii="宋体" w:hAnsi="宋体"/>
          <w:sz w:val="24"/>
          <w:highlight w:val="none"/>
        </w:rPr>
        <w:t>.1如果任何一方遭遇法律规定的不可抗力，致使合同履行受阻时，履行合同的期限应予延长，延长的期限应相当于不可抗力所影响的时间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14:paraId="52D5ACCA">
      <w:pPr>
        <w:spacing w:line="360" w:lineRule="auto"/>
        <w:ind w:firstLine="435"/>
        <w:rPr>
          <w:rFonts w:ascii="宋体" w:hAnsi="宋体"/>
          <w:sz w:val="24"/>
          <w:highlight w:val="none"/>
        </w:rPr>
      </w:pPr>
      <w:r>
        <w:rPr>
          <w:rFonts w:hint="eastAsia" w:ascii="宋体" w:hAnsi="宋体"/>
          <w:sz w:val="24"/>
          <w:highlight w:val="none"/>
        </w:rPr>
        <w:t>2.13.2因不可抗力致使不能实现合同目的的，当事人可以解除合同；</w:t>
      </w:r>
    </w:p>
    <w:p w14:paraId="014C3CC7">
      <w:pPr>
        <w:spacing w:line="360" w:lineRule="auto"/>
        <w:ind w:firstLine="435"/>
        <w:rPr>
          <w:rFonts w:ascii="宋体" w:hAnsi="宋体"/>
          <w:sz w:val="24"/>
          <w:highlight w:val="none"/>
        </w:rPr>
      </w:pPr>
      <w:r>
        <w:rPr>
          <w:rFonts w:hint="eastAsia" w:ascii="宋体" w:hAnsi="宋体"/>
          <w:sz w:val="24"/>
          <w:highlight w:val="none"/>
        </w:rPr>
        <w:t>2.13.3因</w:t>
      </w:r>
      <w:r>
        <w:rPr>
          <w:rFonts w:ascii="宋体" w:hAnsi="宋体"/>
          <w:sz w:val="24"/>
          <w:highlight w:val="none"/>
        </w:rPr>
        <w:t>不可抗力致使合同有变更必要的，双方当事人应在</w:t>
      </w:r>
      <w:r>
        <w:rPr>
          <w:rFonts w:ascii="宋体" w:hAnsi="宋体"/>
          <w:b/>
          <w:i/>
          <w:sz w:val="24"/>
          <w:highlight w:val="none"/>
          <w:u w:val="single"/>
        </w:rPr>
        <w:t>合同专用条款</w:t>
      </w:r>
      <w:r>
        <w:rPr>
          <w:rFonts w:ascii="宋体" w:hAnsi="宋体"/>
          <w:sz w:val="24"/>
          <w:highlight w:val="none"/>
        </w:rPr>
        <w:t>约定时间内以书面形式变更合同</w:t>
      </w:r>
      <w:r>
        <w:rPr>
          <w:rFonts w:hint="eastAsia" w:ascii="宋体" w:hAnsi="宋体"/>
          <w:sz w:val="24"/>
          <w:highlight w:val="none"/>
        </w:rPr>
        <w:t>；</w:t>
      </w:r>
    </w:p>
    <w:p w14:paraId="0256ECE7">
      <w:pPr>
        <w:spacing w:line="360" w:lineRule="auto"/>
        <w:ind w:firstLine="435"/>
        <w:rPr>
          <w:rFonts w:ascii="宋体" w:hAnsi="宋体"/>
          <w:sz w:val="24"/>
          <w:highlight w:val="none"/>
        </w:rPr>
      </w:pPr>
      <w:r>
        <w:rPr>
          <w:rFonts w:hint="eastAsia" w:ascii="宋体" w:hAnsi="宋体"/>
          <w:sz w:val="24"/>
          <w:highlight w:val="none"/>
        </w:rPr>
        <w:t>2.13</w:t>
      </w:r>
      <w:r>
        <w:rPr>
          <w:rFonts w:ascii="宋体" w:hAnsi="宋体"/>
          <w:sz w:val="24"/>
          <w:highlight w:val="none"/>
        </w:rPr>
        <w:t>.</w:t>
      </w: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ascii="宋体" w:hAnsi="宋体"/>
          <w:b/>
          <w:i/>
          <w:sz w:val="24"/>
          <w:highlight w:val="none"/>
          <w:u w:val="single"/>
        </w:rPr>
        <w:t>合同专用条款</w:t>
      </w:r>
      <w:r>
        <w:rPr>
          <w:rFonts w:ascii="宋体" w:hAnsi="宋体"/>
          <w:sz w:val="24"/>
          <w:highlight w:val="none"/>
        </w:rPr>
        <w:t>约定时间内以书面形式通知</w:t>
      </w:r>
      <w:r>
        <w:rPr>
          <w:rFonts w:hint="eastAsia" w:ascii="宋体" w:hAnsi="宋体"/>
          <w:sz w:val="24"/>
          <w:highlight w:val="none"/>
        </w:rPr>
        <w:t>对</w:t>
      </w:r>
      <w:r>
        <w:rPr>
          <w:rFonts w:ascii="宋体" w:hAnsi="宋体"/>
          <w:sz w:val="24"/>
          <w:highlight w:val="none"/>
        </w:rPr>
        <w:t>方当事人，并在</w:t>
      </w:r>
      <w:r>
        <w:rPr>
          <w:rFonts w:ascii="宋体" w:hAnsi="宋体"/>
          <w:b/>
          <w:i/>
          <w:sz w:val="24"/>
          <w:highlight w:val="none"/>
          <w:u w:val="single"/>
        </w:rPr>
        <w:t>合同专用条款</w:t>
      </w:r>
      <w:r>
        <w:rPr>
          <w:rFonts w:ascii="宋体" w:hAnsi="宋体"/>
          <w:sz w:val="24"/>
          <w:highlight w:val="none"/>
        </w:rPr>
        <w:t>约定时间内，将有关部门出具的证明文件送达</w:t>
      </w:r>
      <w:r>
        <w:rPr>
          <w:rFonts w:hint="eastAsia" w:ascii="宋体" w:hAnsi="宋体"/>
          <w:sz w:val="24"/>
          <w:highlight w:val="none"/>
        </w:rPr>
        <w:t>对方当事人</w:t>
      </w:r>
      <w:r>
        <w:rPr>
          <w:rFonts w:ascii="宋体" w:hAnsi="宋体"/>
          <w:sz w:val="24"/>
          <w:highlight w:val="none"/>
        </w:rPr>
        <w:t>。</w:t>
      </w:r>
    </w:p>
    <w:p w14:paraId="36FF26BF">
      <w:pPr>
        <w:spacing w:line="360" w:lineRule="auto"/>
        <w:ind w:firstLine="437"/>
        <w:outlineLvl w:val="3"/>
        <w:rPr>
          <w:rFonts w:ascii="宋体" w:hAnsi="宋体"/>
          <w:b/>
          <w:bCs/>
          <w:sz w:val="24"/>
          <w:highlight w:val="none"/>
          <w:lang w:val="zh-CN"/>
        </w:rPr>
      </w:pPr>
      <w:bookmarkStart w:id="141" w:name="_Toc689"/>
      <w:bookmarkStart w:id="142" w:name="_Toc6969"/>
      <w:bookmarkStart w:id="143" w:name="_Toc487900365"/>
      <w:bookmarkStart w:id="144" w:name="_Toc30676"/>
      <w:bookmarkStart w:id="145" w:name="_Toc279701255"/>
      <w:bookmarkStart w:id="146" w:name="_Toc259093684"/>
      <w:r>
        <w:rPr>
          <w:rFonts w:hint="eastAsia" w:ascii="宋体" w:hAnsi="宋体"/>
          <w:b/>
          <w:bCs/>
          <w:sz w:val="24"/>
          <w:highlight w:val="none"/>
          <w:lang w:val="zh-CN"/>
        </w:rPr>
        <w:t>2.</w:t>
      </w:r>
      <w:r>
        <w:rPr>
          <w:rFonts w:ascii="宋体" w:hAnsi="宋体"/>
          <w:b/>
          <w:bCs/>
          <w:sz w:val="24"/>
          <w:highlight w:val="none"/>
          <w:lang w:val="zh-CN"/>
        </w:rPr>
        <w:t>1</w:t>
      </w:r>
      <w:r>
        <w:rPr>
          <w:rFonts w:hint="eastAsia" w:ascii="宋体" w:hAnsi="宋体"/>
          <w:b/>
          <w:bCs/>
          <w:sz w:val="24"/>
          <w:highlight w:val="none"/>
          <w:lang w:val="zh-CN"/>
        </w:rPr>
        <w:t>4</w:t>
      </w:r>
      <w:r>
        <w:rPr>
          <w:rFonts w:ascii="宋体" w:hAnsi="宋体"/>
          <w:b/>
          <w:bCs/>
          <w:sz w:val="24"/>
          <w:highlight w:val="none"/>
          <w:lang w:val="zh-CN"/>
        </w:rPr>
        <w:t>税费</w:t>
      </w:r>
      <w:bookmarkEnd w:id="141"/>
      <w:bookmarkEnd w:id="142"/>
      <w:bookmarkEnd w:id="143"/>
      <w:bookmarkEnd w:id="144"/>
      <w:bookmarkEnd w:id="145"/>
      <w:bookmarkEnd w:id="146"/>
    </w:p>
    <w:p w14:paraId="527FF6E5">
      <w:pPr>
        <w:spacing w:line="360" w:lineRule="auto"/>
        <w:ind w:firstLine="435"/>
        <w:rPr>
          <w:rFonts w:ascii="宋体" w:hAnsi="宋体"/>
          <w:sz w:val="24"/>
          <w:highlight w:val="none"/>
        </w:rPr>
      </w:pPr>
      <w:r>
        <w:rPr>
          <w:rFonts w:ascii="宋体" w:hAnsi="宋体"/>
          <w:sz w:val="24"/>
          <w:highlight w:val="none"/>
        </w:rPr>
        <w:t>与合同有关的一切税费</w:t>
      </w:r>
      <w:r>
        <w:rPr>
          <w:rFonts w:hint="eastAsia" w:ascii="宋体" w:hAnsi="宋体"/>
          <w:sz w:val="24"/>
          <w:highlight w:val="none"/>
        </w:rPr>
        <w:t>，</w:t>
      </w:r>
      <w:r>
        <w:rPr>
          <w:rFonts w:ascii="宋体" w:hAnsi="宋体"/>
          <w:sz w:val="24"/>
          <w:highlight w:val="none"/>
        </w:rPr>
        <w:t>均按照中华人民共和国法律的相关规定</w:t>
      </w:r>
      <w:r>
        <w:rPr>
          <w:rFonts w:hint="eastAsia" w:ascii="宋体" w:hAnsi="宋体"/>
          <w:sz w:val="24"/>
          <w:highlight w:val="none"/>
        </w:rPr>
        <w:t>缴纳</w:t>
      </w:r>
      <w:r>
        <w:rPr>
          <w:rFonts w:ascii="宋体" w:hAnsi="宋体"/>
          <w:sz w:val="24"/>
          <w:highlight w:val="none"/>
        </w:rPr>
        <w:t>。</w:t>
      </w:r>
    </w:p>
    <w:p w14:paraId="25B71578">
      <w:pPr>
        <w:spacing w:line="360" w:lineRule="auto"/>
        <w:ind w:firstLine="437"/>
        <w:outlineLvl w:val="3"/>
        <w:rPr>
          <w:rFonts w:ascii="宋体" w:hAnsi="宋体"/>
          <w:b/>
          <w:bCs/>
          <w:sz w:val="24"/>
          <w:highlight w:val="none"/>
          <w:lang w:val="zh-CN"/>
        </w:rPr>
      </w:pPr>
      <w:bookmarkStart w:id="147" w:name="_Toc279701258"/>
      <w:bookmarkStart w:id="148" w:name="_Toc7102"/>
      <w:bookmarkStart w:id="149" w:name="_Toc487900368"/>
      <w:bookmarkStart w:id="150" w:name="_Toc259093687"/>
      <w:bookmarkStart w:id="151" w:name="_Toc16959"/>
      <w:bookmarkStart w:id="152" w:name="_Toc8298"/>
      <w:r>
        <w:rPr>
          <w:rFonts w:hint="eastAsia" w:ascii="宋体" w:hAnsi="宋体"/>
          <w:b/>
          <w:bCs/>
          <w:sz w:val="24"/>
          <w:highlight w:val="none"/>
          <w:lang w:val="zh-CN"/>
        </w:rPr>
        <w:t>2.</w:t>
      </w:r>
      <w:r>
        <w:rPr>
          <w:rFonts w:ascii="宋体" w:hAnsi="宋体"/>
          <w:b/>
          <w:bCs/>
          <w:sz w:val="24"/>
          <w:highlight w:val="none"/>
          <w:lang w:val="zh-CN"/>
        </w:rPr>
        <w:t>1</w:t>
      </w:r>
      <w:r>
        <w:rPr>
          <w:rFonts w:hint="eastAsia" w:ascii="宋体" w:hAnsi="宋体"/>
          <w:b/>
          <w:bCs/>
          <w:sz w:val="24"/>
          <w:highlight w:val="none"/>
          <w:lang w:val="zh-CN"/>
        </w:rPr>
        <w:t>5</w:t>
      </w:r>
      <w:r>
        <w:rPr>
          <w:rFonts w:ascii="宋体" w:hAnsi="宋体"/>
          <w:b/>
          <w:bCs/>
          <w:sz w:val="24"/>
          <w:highlight w:val="none"/>
          <w:lang w:val="zh-CN"/>
        </w:rPr>
        <w:t>乙方破产</w:t>
      </w:r>
      <w:bookmarkEnd w:id="147"/>
      <w:bookmarkEnd w:id="148"/>
      <w:bookmarkEnd w:id="149"/>
      <w:bookmarkEnd w:id="150"/>
      <w:bookmarkEnd w:id="151"/>
      <w:bookmarkEnd w:id="152"/>
    </w:p>
    <w:p w14:paraId="58D1087F">
      <w:pPr>
        <w:spacing w:line="360" w:lineRule="auto"/>
        <w:ind w:firstLine="435"/>
        <w:rPr>
          <w:rFonts w:ascii="宋体" w:hAnsi="宋体"/>
          <w:sz w:val="24"/>
          <w:highlight w:val="none"/>
        </w:rPr>
      </w:pPr>
      <w:r>
        <w:rPr>
          <w:rFonts w:ascii="宋体" w:hAnsi="宋体"/>
          <w:sz w:val="24"/>
          <w:highlight w:val="none"/>
        </w:rPr>
        <w:t>如果乙方破产导致合同无法履行时，甲方可以书面形式通知乙方终止合同且不给予乙方任何补偿和赔偿</w:t>
      </w:r>
      <w:r>
        <w:rPr>
          <w:rFonts w:hint="eastAsia" w:ascii="宋体" w:hAnsi="宋体"/>
          <w:sz w:val="24"/>
          <w:highlight w:val="none"/>
        </w:rPr>
        <w:t>，但合同的</w:t>
      </w:r>
      <w:r>
        <w:rPr>
          <w:rFonts w:ascii="宋体" w:hAnsi="宋体"/>
          <w:sz w:val="24"/>
          <w:highlight w:val="none"/>
        </w:rPr>
        <w:t>终止不损害或不影响甲方已经采取或将要采取的任何要求乙方支付违约金</w:t>
      </w:r>
      <w:r>
        <w:rPr>
          <w:rFonts w:hint="eastAsia" w:ascii="宋体" w:hAnsi="宋体"/>
          <w:sz w:val="24"/>
          <w:highlight w:val="none"/>
        </w:rPr>
        <w:t>、</w:t>
      </w:r>
      <w:r>
        <w:rPr>
          <w:rFonts w:ascii="宋体" w:hAnsi="宋体"/>
          <w:sz w:val="24"/>
          <w:highlight w:val="none"/>
        </w:rPr>
        <w:t>赔偿损失等的行动或补救措施的权利</w:t>
      </w:r>
      <w:r>
        <w:rPr>
          <w:rFonts w:hint="eastAsia" w:ascii="宋体" w:hAnsi="宋体"/>
          <w:sz w:val="24"/>
          <w:highlight w:val="none"/>
        </w:rPr>
        <w:t>。</w:t>
      </w:r>
    </w:p>
    <w:p w14:paraId="25E542C0">
      <w:pPr>
        <w:spacing w:line="360" w:lineRule="auto"/>
        <w:ind w:firstLine="437"/>
        <w:outlineLvl w:val="3"/>
        <w:rPr>
          <w:rFonts w:ascii="宋体" w:hAnsi="宋体"/>
          <w:b/>
          <w:sz w:val="24"/>
          <w:highlight w:val="none"/>
        </w:rPr>
      </w:pPr>
      <w:bookmarkStart w:id="153" w:name="_Toc15387"/>
      <w:bookmarkStart w:id="154" w:name="_Toc6134"/>
      <w:bookmarkStart w:id="155" w:name="_Toc29333"/>
      <w:r>
        <w:rPr>
          <w:rFonts w:hint="eastAsia" w:ascii="宋体" w:hAnsi="宋体"/>
          <w:b/>
          <w:bCs/>
          <w:sz w:val="24"/>
          <w:highlight w:val="none"/>
          <w:lang w:val="zh-CN"/>
        </w:rPr>
        <w:t>2.16合同中止、终止</w:t>
      </w:r>
      <w:bookmarkEnd w:id="153"/>
      <w:bookmarkEnd w:id="154"/>
      <w:bookmarkEnd w:id="155"/>
    </w:p>
    <w:p w14:paraId="501B1B1E">
      <w:pPr>
        <w:spacing w:line="360" w:lineRule="auto"/>
        <w:ind w:firstLine="435"/>
        <w:rPr>
          <w:rFonts w:ascii="宋体" w:hAnsi="宋体"/>
          <w:sz w:val="24"/>
          <w:highlight w:val="none"/>
        </w:rPr>
      </w:pPr>
      <w:r>
        <w:rPr>
          <w:rFonts w:hint="eastAsia" w:ascii="宋体" w:hAnsi="宋体"/>
          <w:sz w:val="24"/>
          <w:highlight w:val="none"/>
        </w:rPr>
        <w:t>2.16.1双方当事人不得擅自中止或者终止合同；</w:t>
      </w:r>
    </w:p>
    <w:p w14:paraId="798DA4F4">
      <w:pPr>
        <w:spacing w:line="360" w:lineRule="auto"/>
        <w:ind w:firstLine="435"/>
        <w:rPr>
          <w:rFonts w:ascii="宋体" w:hAnsi="宋体"/>
          <w:sz w:val="24"/>
          <w:highlight w:val="none"/>
        </w:rPr>
      </w:pPr>
      <w:r>
        <w:rPr>
          <w:rFonts w:hint="eastAsia" w:ascii="宋体" w:hAnsi="宋体"/>
          <w:sz w:val="24"/>
          <w:highlight w:val="none"/>
        </w:rPr>
        <w:t>2.16.2合同继续履行将损害国家利益和社会公共利益的，双方当事人应当中止或者终止合同。有过错的一方应当承担赔偿责任，双方当事人都有过错的，各自承担相应的责任。</w:t>
      </w:r>
    </w:p>
    <w:p w14:paraId="3A08928F">
      <w:pPr>
        <w:spacing w:line="360" w:lineRule="auto"/>
        <w:ind w:firstLine="437"/>
        <w:outlineLvl w:val="3"/>
        <w:rPr>
          <w:rFonts w:ascii="宋体" w:hAnsi="宋体"/>
          <w:b/>
          <w:bCs/>
          <w:sz w:val="24"/>
          <w:highlight w:val="none"/>
          <w:lang w:val="zh-CN"/>
        </w:rPr>
      </w:pPr>
      <w:bookmarkStart w:id="156" w:name="_Toc14563"/>
      <w:bookmarkStart w:id="157" w:name="_Toc6596"/>
      <w:bookmarkStart w:id="158" w:name="_Toc1125"/>
      <w:r>
        <w:rPr>
          <w:rFonts w:hint="eastAsia" w:ascii="宋体" w:hAnsi="宋体"/>
          <w:b/>
          <w:bCs/>
          <w:sz w:val="24"/>
          <w:highlight w:val="none"/>
          <w:lang w:val="zh-CN"/>
        </w:rPr>
        <w:t>2.17检验和验收</w:t>
      </w:r>
      <w:bookmarkEnd w:id="156"/>
      <w:bookmarkEnd w:id="157"/>
      <w:bookmarkEnd w:id="158"/>
    </w:p>
    <w:p w14:paraId="74190E13">
      <w:pPr>
        <w:spacing w:line="360" w:lineRule="auto"/>
        <w:ind w:firstLine="435"/>
        <w:rPr>
          <w:rFonts w:ascii="宋体" w:hAnsi="宋体"/>
          <w:sz w:val="24"/>
          <w:highlight w:val="none"/>
        </w:rPr>
      </w:pPr>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7</w:t>
      </w:r>
      <w:r>
        <w:rPr>
          <w:rFonts w:ascii="宋体" w:hAnsi="宋体"/>
          <w:sz w:val="24"/>
          <w:highlight w:val="none"/>
        </w:rPr>
        <w:t>.</w:t>
      </w:r>
      <w:r>
        <w:rPr>
          <w:rFonts w:hint="eastAsia" w:ascii="宋体" w:hAnsi="宋体"/>
          <w:sz w:val="24"/>
          <w:highlight w:val="none"/>
        </w:rPr>
        <w:t>1货物交付前，乙方应对货物的质量、数量等方面进行详细、全面的检验，并向甲方出具证明货物符合合同约定的文件；货物交付时，乙方在</w:t>
      </w:r>
      <w:r>
        <w:rPr>
          <w:rFonts w:hint="eastAsia" w:ascii="宋体" w:hAnsi="宋体"/>
          <w:b/>
          <w:i/>
          <w:sz w:val="24"/>
          <w:highlight w:val="none"/>
          <w:u w:val="single"/>
        </w:rPr>
        <w:t>合同专用条款</w:t>
      </w:r>
      <w:r>
        <w:rPr>
          <w:rFonts w:hint="eastAsia" w:ascii="宋体" w:hAnsi="宋体"/>
          <w:sz w:val="24"/>
          <w:highlight w:val="none"/>
        </w:rPr>
        <w:t>约定时间内组织验收，并可依法邀请相关方参加，验收应出具验收书。</w:t>
      </w:r>
    </w:p>
    <w:p w14:paraId="3BA5558F">
      <w:pPr>
        <w:spacing w:line="360" w:lineRule="auto"/>
        <w:ind w:firstLine="435"/>
        <w:rPr>
          <w:rFonts w:ascii="宋体" w:hAnsi="宋体"/>
          <w:sz w:val="24"/>
          <w:highlight w:val="none"/>
        </w:rPr>
      </w:pPr>
      <w:r>
        <w:rPr>
          <w:rFonts w:hint="eastAsia" w:ascii="宋体" w:hAnsi="宋体"/>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1E74EC4">
      <w:pPr>
        <w:spacing w:line="360" w:lineRule="auto"/>
        <w:ind w:firstLine="435"/>
        <w:rPr>
          <w:rFonts w:ascii="宋体" w:hAnsi="宋体"/>
          <w:sz w:val="24"/>
          <w:highlight w:val="none"/>
        </w:rPr>
      </w:pPr>
      <w:r>
        <w:rPr>
          <w:rFonts w:hint="eastAsia" w:ascii="宋体" w:hAnsi="宋体"/>
          <w:sz w:val="24"/>
          <w:highlight w:val="none"/>
        </w:rPr>
        <w:t>2.17.3检验和验收标准、程序等具体内容以及前述验收书的效力详见</w:t>
      </w:r>
      <w:r>
        <w:rPr>
          <w:rFonts w:ascii="宋体" w:hAnsi="宋体"/>
          <w:b/>
          <w:i/>
          <w:sz w:val="24"/>
          <w:highlight w:val="none"/>
          <w:u w:val="single"/>
        </w:rPr>
        <w:t>合同专用条款</w:t>
      </w:r>
      <w:r>
        <w:rPr>
          <w:rFonts w:hint="eastAsia" w:ascii="宋体" w:hAnsi="宋体"/>
          <w:i/>
          <w:sz w:val="24"/>
          <w:highlight w:val="none"/>
        </w:rPr>
        <w:t>。</w:t>
      </w:r>
    </w:p>
    <w:bookmarkEnd w:id="128"/>
    <w:bookmarkEnd w:id="129"/>
    <w:bookmarkEnd w:id="130"/>
    <w:bookmarkEnd w:id="131"/>
    <w:p w14:paraId="1F449214">
      <w:pPr>
        <w:spacing w:line="360" w:lineRule="auto"/>
        <w:ind w:firstLine="437"/>
        <w:outlineLvl w:val="3"/>
        <w:rPr>
          <w:rFonts w:ascii="宋体" w:hAnsi="宋体"/>
          <w:b/>
          <w:sz w:val="24"/>
          <w:highlight w:val="none"/>
        </w:rPr>
      </w:pPr>
      <w:bookmarkStart w:id="159" w:name="_Toc279701262"/>
      <w:bookmarkStart w:id="160" w:name="_Toc4355"/>
      <w:bookmarkStart w:id="161" w:name="_Toc487900372"/>
      <w:bookmarkStart w:id="162" w:name="_Toc259093691"/>
      <w:bookmarkStart w:id="163" w:name="_Toc18540"/>
      <w:bookmarkStart w:id="164" w:name="_Toc30599"/>
      <w:r>
        <w:rPr>
          <w:rFonts w:hint="eastAsia" w:ascii="宋体" w:hAnsi="宋体"/>
          <w:b/>
          <w:bCs/>
          <w:sz w:val="24"/>
          <w:highlight w:val="none"/>
          <w:lang w:val="zh-CN"/>
        </w:rPr>
        <w:t>2.1</w:t>
      </w:r>
      <w:r>
        <w:rPr>
          <w:rFonts w:ascii="宋体" w:hAnsi="宋体"/>
          <w:b/>
          <w:bCs/>
          <w:sz w:val="24"/>
          <w:highlight w:val="none"/>
          <w:lang w:val="zh-CN"/>
        </w:rPr>
        <w:t>8计量单位</w:t>
      </w:r>
      <w:bookmarkEnd w:id="159"/>
      <w:bookmarkEnd w:id="160"/>
      <w:bookmarkEnd w:id="161"/>
      <w:bookmarkEnd w:id="162"/>
      <w:bookmarkEnd w:id="163"/>
      <w:bookmarkEnd w:id="164"/>
    </w:p>
    <w:p w14:paraId="1A54C758">
      <w:pPr>
        <w:spacing w:line="360" w:lineRule="auto"/>
        <w:ind w:firstLine="435"/>
        <w:rPr>
          <w:rFonts w:ascii="宋体" w:hAnsi="宋体"/>
          <w:sz w:val="24"/>
          <w:highlight w:val="none"/>
        </w:rPr>
      </w:pPr>
      <w:r>
        <w:rPr>
          <w:rFonts w:ascii="宋体" w:hAnsi="宋体"/>
          <w:sz w:val="24"/>
          <w:highlight w:val="none"/>
        </w:rPr>
        <w:t>除技术规范中另有规定外,合同的计量单位均使用国家法定计量单位。</w:t>
      </w:r>
    </w:p>
    <w:p w14:paraId="49A85963">
      <w:pPr>
        <w:spacing w:line="360" w:lineRule="auto"/>
        <w:ind w:firstLine="437"/>
        <w:outlineLvl w:val="3"/>
        <w:rPr>
          <w:rFonts w:ascii="宋体" w:hAnsi="宋体"/>
          <w:b/>
          <w:bCs/>
          <w:sz w:val="24"/>
          <w:highlight w:val="none"/>
        </w:rPr>
      </w:pPr>
      <w:bookmarkStart w:id="165" w:name="_Toc18567"/>
      <w:bookmarkStart w:id="166" w:name="_Toc487900373"/>
      <w:bookmarkStart w:id="167" w:name="_Toc259093692"/>
      <w:bookmarkStart w:id="168" w:name="_Toc12773"/>
      <w:bookmarkStart w:id="169" w:name="_Toc10330"/>
      <w:bookmarkStart w:id="170" w:name="_Toc279701263"/>
      <w:r>
        <w:rPr>
          <w:rFonts w:hint="eastAsia" w:ascii="宋体" w:hAnsi="宋体"/>
          <w:b/>
          <w:bCs/>
          <w:sz w:val="24"/>
          <w:highlight w:val="none"/>
        </w:rPr>
        <w:t>2.</w:t>
      </w:r>
      <w:r>
        <w:rPr>
          <w:rFonts w:ascii="宋体" w:hAnsi="宋体"/>
          <w:b/>
          <w:bCs/>
          <w:sz w:val="24"/>
          <w:highlight w:val="none"/>
        </w:rPr>
        <w:t>19</w:t>
      </w:r>
      <w:r>
        <w:rPr>
          <w:rFonts w:hint="eastAsia" w:ascii="宋体" w:hAnsi="宋体"/>
          <w:b/>
          <w:bCs/>
          <w:sz w:val="24"/>
          <w:highlight w:val="none"/>
          <w:lang w:val="zh-CN"/>
        </w:rPr>
        <w:t>合同使用的文字和</w:t>
      </w:r>
      <w:r>
        <w:rPr>
          <w:rFonts w:ascii="宋体" w:hAnsi="宋体"/>
          <w:b/>
          <w:bCs/>
          <w:sz w:val="24"/>
          <w:highlight w:val="none"/>
          <w:lang w:val="zh-CN"/>
        </w:rPr>
        <w:t>适用的法律</w:t>
      </w:r>
      <w:bookmarkEnd w:id="165"/>
      <w:bookmarkEnd w:id="166"/>
      <w:bookmarkEnd w:id="167"/>
      <w:bookmarkEnd w:id="168"/>
      <w:bookmarkEnd w:id="169"/>
      <w:bookmarkEnd w:id="170"/>
    </w:p>
    <w:p w14:paraId="7BAD698A">
      <w:pPr>
        <w:spacing w:line="360" w:lineRule="auto"/>
        <w:ind w:firstLine="435"/>
        <w:rPr>
          <w:rFonts w:ascii="宋体" w:hAnsi="宋体"/>
          <w:sz w:val="24"/>
          <w:highlight w:val="none"/>
        </w:rPr>
      </w:pPr>
      <w:r>
        <w:rPr>
          <w:rFonts w:hint="eastAsia" w:ascii="宋体" w:hAnsi="宋体"/>
          <w:sz w:val="24"/>
          <w:highlight w:val="none"/>
        </w:rPr>
        <w:t>2.</w:t>
      </w:r>
      <w:r>
        <w:rPr>
          <w:rFonts w:ascii="宋体" w:hAnsi="宋体"/>
          <w:sz w:val="24"/>
          <w:highlight w:val="none"/>
        </w:rPr>
        <w:t>19.1合同使用汉语书就</w:t>
      </w:r>
      <w:r>
        <w:rPr>
          <w:rFonts w:hint="eastAsia" w:ascii="宋体" w:hAnsi="宋体"/>
          <w:sz w:val="24"/>
          <w:highlight w:val="none"/>
        </w:rPr>
        <w:t>、</w:t>
      </w:r>
      <w:r>
        <w:rPr>
          <w:rFonts w:ascii="宋体" w:hAnsi="宋体"/>
          <w:sz w:val="24"/>
          <w:highlight w:val="none"/>
        </w:rPr>
        <w:t>变更和解释</w:t>
      </w:r>
      <w:r>
        <w:rPr>
          <w:rFonts w:hint="eastAsia" w:ascii="宋体" w:hAnsi="宋体"/>
          <w:sz w:val="24"/>
          <w:highlight w:val="none"/>
        </w:rPr>
        <w:t>；</w:t>
      </w:r>
    </w:p>
    <w:p w14:paraId="4D96AEC1">
      <w:pPr>
        <w:spacing w:line="360" w:lineRule="auto"/>
        <w:ind w:firstLine="435"/>
        <w:rPr>
          <w:rFonts w:ascii="宋体" w:hAnsi="宋体"/>
          <w:sz w:val="24"/>
          <w:highlight w:val="none"/>
        </w:rPr>
      </w:pPr>
      <w:r>
        <w:rPr>
          <w:rFonts w:hint="eastAsia" w:ascii="宋体" w:hAnsi="宋体"/>
          <w:sz w:val="24"/>
          <w:highlight w:val="none"/>
        </w:rPr>
        <w:t>2.</w:t>
      </w:r>
      <w:r>
        <w:rPr>
          <w:rFonts w:ascii="宋体" w:hAnsi="宋体"/>
          <w:sz w:val="24"/>
          <w:highlight w:val="none"/>
        </w:rPr>
        <w:t>19</w:t>
      </w:r>
      <w:r>
        <w:rPr>
          <w:rFonts w:hint="eastAsia" w:ascii="宋体" w:hAnsi="宋体"/>
          <w:sz w:val="24"/>
          <w:highlight w:val="none"/>
        </w:rPr>
        <w:t>.2合同适用</w:t>
      </w:r>
      <w:r>
        <w:rPr>
          <w:rFonts w:ascii="宋体" w:hAnsi="宋体"/>
          <w:sz w:val="24"/>
          <w:highlight w:val="none"/>
        </w:rPr>
        <w:t>中华人民共和国法律。</w:t>
      </w:r>
    </w:p>
    <w:p w14:paraId="0774443E">
      <w:pPr>
        <w:spacing w:line="360" w:lineRule="auto"/>
        <w:ind w:firstLine="437"/>
        <w:outlineLvl w:val="3"/>
        <w:rPr>
          <w:rFonts w:ascii="宋体" w:hAnsi="宋体"/>
          <w:b/>
          <w:sz w:val="24"/>
          <w:highlight w:val="none"/>
        </w:rPr>
      </w:pPr>
      <w:bookmarkStart w:id="171" w:name="_Toc279701264"/>
      <w:bookmarkStart w:id="172" w:name="_Toc3148"/>
      <w:bookmarkStart w:id="173" w:name="_Toc12004"/>
      <w:bookmarkStart w:id="174" w:name="_Toc259093693"/>
      <w:bookmarkStart w:id="175" w:name="_Toc16673"/>
      <w:bookmarkStart w:id="176" w:name="_Toc487900374"/>
      <w:r>
        <w:rPr>
          <w:rFonts w:hint="eastAsia" w:ascii="宋体" w:hAnsi="宋体"/>
          <w:b/>
          <w:bCs/>
          <w:sz w:val="24"/>
          <w:highlight w:val="none"/>
          <w:lang w:val="zh-CN"/>
        </w:rPr>
        <w:t>2.2</w:t>
      </w:r>
      <w:r>
        <w:rPr>
          <w:rFonts w:ascii="宋体" w:hAnsi="宋体"/>
          <w:b/>
          <w:bCs/>
          <w:sz w:val="24"/>
          <w:highlight w:val="none"/>
          <w:lang w:val="zh-CN"/>
        </w:rPr>
        <w:t>0履约保证金</w:t>
      </w:r>
      <w:bookmarkEnd w:id="171"/>
      <w:bookmarkEnd w:id="172"/>
      <w:bookmarkEnd w:id="173"/>
      <w:bookmarkEnd w:id="174"/>
      <w:bookmarkEnd w:id="175"/>
    </w:p>
    <w:p w14:paraId="25A20D5F">
      <w:pPr>
        <w:spacing w:line="360" w:lineRule="auto"/>
        <w:ind w:firstLine="435"/>
        <w:rPr>
          <w:rFonts w:ascii="宋体" w:hAnsi="宋体"/>
          <w:sz w:val="24"/>
          <w:highlight w:val="none"/>
        </w:rPr>
      </w:pPr>
      <w:r>
        <w:rPr>
          <w:rFonts w:hint="eastAsia" w:ascii="宋体" w:hAnsi="宋体"/>
          <w:sz w:val="24"/>
          <w:highlight w:val="none"/>
        </w:rPr>
        <w:t>2.2</w:t>
      </w:r>
      <w:r>
        <w:rPr>
          <w:rFonts w:ascii="宋体" w:hAnsi="宋体"/>
          <w:sz w:val="24"/>
          <w:highlight w:val="none"/>
        </w:rPr>
        <w:t>0</w:t>
      </w:r>
      <w:r>
        <w:rPr>
          <w:rFonts w:hint="eastAsia" w:ascii="宋体" w:hAnsi="宋体"/>
          <w:sz w:val="24"/>
          <w:highlight w:val="none"/>
        </w:rPr>
        <w:t>.1招标文件要求乙方提交履约保证金的，乙方</w:t>
      </w:r>
      <w:r>
        <w:rPr>
          <w:rFonts w:ascii="宋体" w:hAnsi="宋体"/>
          <w:sz w:val="24"/>
          <w:highlight w:val="none"/>
        </w:rPr>
        <w:t>应按</w:t>
      </w:r>
      <w:r>
        <w:rPr>
          <w:rFonts w:ascii="宋体" w:hAnsi="宋体"/>
          <w:b/>
          <w:i/>
          <w:sz w:val="24"/>
          <w:highlight w:val="none"/>
          <w:u w:val="single"/>
        </w:rPr>
        <w:t>合同专用条款</w:t>
      </w:r>
      <w:r>
        <w:rPr>
          <w:rFonts w:ascii="宋体" w:hAnsi="宋体"/>
          <w:sz w:val="24"/>
          <w:highlight w:val="none"/>
        </w:rPr>
        <w:t>约定的方式</w:t>
      </w:r>
      <w:r>
        <w:rPr>
          <w:rFonts w:hint="eastAsia" w:ascii="宋体" w:hAnsi="宋体"/>
          <w:sz w:val="24"/>
          <w:highlight w:val="none"/>
        </w:rPr>
        <w:t>，以支票、汇票、本票或者金融机构、担保机构出具的保函等非现金形式，提交不超过合同价10%的履约保证金；</w:t>
      </w:r>
    </w:p>
    <w:p w14:paraId="11348EE1">
      <w:pPr>
        <w:spacing w:line="360" w:lineRule="auto"/>
        <w:ind w:firstLine="435"/>
        <w:rPr>
          <w:rFonts w:ascii="宋体" w:hAnsi="宋体"/>
          <w:sz w:val="24"/>
          <w:highlight w:val="none"/>
        </w:rPr>
      </w:pPr>
      <w:r>
        <w:rPr>
          <w:rFonts w:hint="eastAsia" w:ascii="宋体" w:hAnsi="宋体"/>
          <w:sz w:val="24"/>
          <w:highlight w:val="none"/>
        </w:rPr>
        <w:t>2.2</w:t>
      </w:r>
      <w:r>
        <w:rPr>
          <w:rFonts w:ascii="宋体" w:hAnsi="宋体"/>
          <w:sz w:val="24"/>
          <w:highlight w:val="none"/>
        </w:rPr>
        <w:t>0.2履约保证金在</w:t>
      </w:r>
      <w:r>
        <w:rPr>
          <w:rFonts w:ascii="宋体" w:hAnsi="宋体"/>
          <w:b/>
          <w:i/>
          <w:sz w:val="24"/>
          <w:highlight w:val="none"/>
          <w:u w:val="single"/>
        </w:rPr>
        <w:t>合同专用条款</w:t>
      </w:r>
      <w:r>
        <w:rPr>
          <w:rFonts w:ascii="宋体" w:hAnsi="宋体"/>
          <w:sz w:val="24"/>
          <w:highlight w:val="none"/>
        </w:rPr>
        <w:t>约定期间内或者货物质量保证期内不予退还或者应完全有效</w:t>
      </w:r>
      <w:r>
        <w:rPr>
          <w:rFonts w:hint="eastAsia" w:ascii="宋体" w:hAnsi="宋体"/>
          <w:sz w:val="24"/>
          <w:highlight w:val="none"/>
        </w:rPr>
        <w:t>，前述约定期间届满或者</w:t>
      </w:r>
      <w:r>
        <w:rPr>
          <w:rFonts w:ascii="宋体" w:hAnsi="宋体"/>
          <w:sz w:val="24"/>
          <w:highlight w:val="none"/>
        </w:rPr>
        <w:t>货物质量保证期届满之日起</w:t>
      </w:r>
      <w:r>
        <w:rPr>
          <w:rFonts w:hint="eastAsia" w:ascii="宋体" w:hAnsi="宋体"/>
          <w:sz w:val="24"/>
          <w:highlight w:val="none"/>
        </w:rPr>
        <w:t>个</w:t>
      </w:r>
      <w:r>
        <w:rPr>
          <w:rFonts w:ascii="宋体" w:hAnsi="宋体"/>
          <w:sz w:val="24"/>
          <w:highlight w:val="none"/>
        </w:rPr>
        <w:t>工作日内，甲方应将履约保证金退还乙方</w:t>
      </w:r>
      <w:r>
        <w:rPr>
          <w:rFonts w:hint="eastAsia" w:ascii="宋体" w:hAnsi="宋体"/>
          <w:sz w:val="24"/>
          <w:highlight w:val="none"/>
        </w:rPr>
        <w:t>；</w:t>
      </w:r>
    </w:p>
    <w:p w14:paraId="3591A9AB">
      <w:pPr>
        <w:spacing w:line="360" w:lineRule="auto"/>
        <w:ind w:firstLine="435"/>
        <w:rPr>
          <w:rFonts w:ascii="宋体" w:hAnsi="宋体"/>
          <w:sz w:val="24"/>
          <w:highlight w:val="none"/>
        </w:rPr>
      </w:pPr>
      <w:r>
        <w:rPr>
          <w:rFonts w:hint="eastAsia" w:ascii="宋体" w:hAnsi="宋体"/>
          <w:sz w:val="24"/>
          <w:highlight w:val="none"/>
        </w:rPr>
        <w:t>2.2</w:t>
      </w:r>
      <w:r>
        <w:rPr>
          <w:rFonts w:ascii="宋体" w:hAnsi="宋体"/>
          <w:sz w:val="24"/>
          <w:highlight w:val="none"/>
        </w:rPr>
        <w:t>0</w:t>
      </w:r>
      <w:r>
        <w:rPr>
          <w:rFonts w:hint="eastAsia" w:ascii="宋体" w:hAnsi="宋体"/>
          <w:sz w:val="24"/>
          <w:highlight w:val="none"/>
        </w:rPr>
        <w:t>.3</w:t>
      </w:r>
      <w:r>
        <w:rPr>
          <w:rFonts w:ascii="宋体" w:hAnsi="宋体"/>
          <w:sz w:val="24"/>
          <w:highlight w:val="none"/>
        </w:rPr>
        <w:t>如果乙方不履行合同</w:t>
      </w:r>
      <w:r>
        <w:rPr>
          <w:rFonts w:hint="eastAsia" w:ascii="宋体" w:hAnsi="宋体"/>
          <w:sz w:val="24"/>
          <w:highlight w:val="none"/>
        </w:rPr>
        <w:t>，履约保证金不予退还；如果乙方</w:t>
      </w:r>
      <w:r>
        <w:rPr>
          <w:rFonts w:ascii="宋体" w:hAnsi="宋体"/>
          <w:sz w:val="24"/>
          <w:highlight w:val="none"/>
        </w:rPr>
        <w:t>未能按合同</w:t>
      </w:r>
      <w:r>
        <w:rPr>
          <w:rFonts w:hint="eastAsia" w:ascii="宋体" w:hAnsi="宋体"/>
          <w:sz w:val="24"/>
          <w:highlight w:val="none"/>
        </w:rPr>
        <w:t>约</w:t>
      </w:r>
      <w:r>
        <w:rPr>
          <w:rFonts w:ascii="宋体" w:hAnsi="宋体"/>
          <w:sz w:val="24"/>
          <w:highlight w:val="none"/>
        </w:rPr>
        <w:t>定全面履行义务，那么甲方有权从履约保证金中取得补偿或赔偿</w:t>
      </w:r>
      <w:r>
        <w:rPr>
          <w:rFonts w:hint="eastAsia" w:ascii="宋体" w:hAnsi="宋体"/>
          <w:sz w:val="24"/>
          <w:highlight w:val="none"/>
        </w:rPr>
        <w:t>，同时不影响甲方要求乙方承担合同约定的超过履约保证金的违约责任的权利。</w:t>
      </w:r>
    </w:p>
    <w:bookmarkEnd w:id="176"/>
    <w:p w14:paraId="63566736">
      <w:pPr>
        <w:spacing w:line="360" w:lineRule="auto"/>
        <w:ind w:firstLine="437"/>
        <w:outlineLvl w:val="3"/>
        <w:rPr>
          <w:rFonts w:ascii="宋体" w:hAnsi="宋体"/>
          <w:b/>
          <w:sz w:val="24"/>
          <w:highlight w:val="none"/>
        </w:rPr>
      </w:pPr>
      <w:bookmarkStart w:id="177" w:name="_Toc19890"/>
      <w:bookmarkStart w:id="178" w:name="_Toc14001"/>
      <w:bookmarkStart w:id="179" w:name="_Toc6885"/>
      <w:r>
        <w:rPr>
          <w:rFonts w:hint="eastAsia" w:ascii="宋体" w:hAnsi="宋体"/>
          <w:b/>
          <w:bCs/>
          <w:sz w:val="24"/>
          <w:highlight w:val="none"/>
          <w:lang w:val="zh-CN"/>
        </w:rPr>
        <w:t>2.2</w:t>
      </w:r>
      <w:r>
        <w:rPr>
          <w:rFonts w:ascii="宋体" w:hAnsi="宋体"/>
          <w:b/>
          <w:bCs/>
          <w:sz w:val="24"/>
          <w:highlight w:val="none"/>
          <w:lang w:val="zh-CN"/>
        </w:rPr>
        <w:t>1</w:t>
      </w:r>
      <w:r>
        <w:rPr>
          <w:rFonts w:hint="eastAsia" w:ascii="宋体" w:hAnsi="宋体"/>
          <w:b/>
          <w:bCs/>
          <w:sz w:val="24"/>
          <w:highlight w:val="none"/>
          <w:lang w:val="zh-CN"/>
        </w:rPr>
        <w:t>合同份数</w:t>
      </w:r>
      <w:bookmarkEnd w:id="177"/>
      <w:bookmarkEnd w:id="178"/>
      <w:bookmarkEnd w:id="179"/>
    </w:p>
    <w:p w14:paraId="2F4DD4FC">
      <w:pPr>
        <w:spacing w:line="360" w:lineRule="auto"/>
        <w:ind w:firstLine="435"/>
        <w:rPr>
          <w:rFonts w:ascii="宋体" w:hAnsi="宋体"/>
          <w:sz w:val="24"/>
          <w:highlight w:val="none"/>
        </w:rPr>
      </w:pPr>
      <w:r>
        <w:rPr>
          <w:rFonts w:ascii="宋体" w:hAnsi="宋体"/>
          <w:sz w:val="24"/>
          <w:highlight w:val="none"/>
        </w:rPr>
        <w:t>合同份数按</w:t>
      </w:r>
      <w:r>
        <w:rPr>
          <w:rFonts w:ascii="宋体" w:hAnsi="宋体"/>
          <w:b/>
          <w:i/>
          <w:sz w:val="24"/>
          <w:highlight w:val="none"/>
          <w:u w:val="single"/>
        </w:rPr>
        <w:t>合同专用条款</w:t>
      </w:r>
      <w:r>
        <w:rPr>
          <w:rFonts w:ascii="宋体" w:hAnsi="宋体"/>
          <w:sz w:val="24"/>
          <w:highlight w:val="none"/>
        </w:rPr>
        <w:t>规定</w:t>
      </w:r>
      <w:r>
        <w:rPr>
          <w:rFonts w:hint="eastAsia" w:ascii="宋体" w:hAnsi="宋体"/>
          <w:sz w:val="24"/>
          <w:highlight w:val="none"/>
        </w:rPr>
        <w:t>，</w:t>
      </w:r>
      <w:r>
        <w:rPr>
          <w:rFonts w:ascii="宋体" w:hAnsi="宋体"/>
          <w:sz w:val="24"/>
          <w:highlight w:val="none"/>
        </w:rPr>
        <w:t>每份均具有同等法律效力</w:t>
      </w:r>
      <w:r>
        <w:rPr>
          <w:rFonts w:hint="eastAsia" w:ascii="宋体" w:hAnsi="宋体"/>
          <w:sz w:val="24"/>
          <w:highlight w:val="none"/>
        </w:rPr>
        <w:t>。</w:t>
      </w:r>
    </w:p>
    <w:p w14:paraId="79E97033">
      <w:pPr>
        <w:spacing w:line="360" w:lineRule="auto"/>
        <w:jc w:val="center"/>
        <w:outlineLvl w:val="2"/>
        <w:rPr>
          <w:rFonts w:ascii="宋体" w:hAnsi="宋体"/>
          <w:b/>
          <w:sz w:val="24"/>
          <w:highlight w:val="none"/>
        </w:rPr>
      </w:pPr>
      <w:r>
        <w:rPr>
          <w:rFonts w:ascii="宋体" w:hAnsi="宋体"/>
          <w:sz w:val="24"/>
          <w:highlight w:val="none"/>
        </w:rPr>
        <w:br w:type="page"/>
      </w:r>
      <w:bookmarkStart w:id="180" w:name="_Toc331685784"/>
      <w:r>
        <w:rPr>
          <w:rFonts w:hint="eastAsia" w:ascii="宋体" w:hAnsi="宋体"/>
          <w:b/>
          <w:sz w:val="24"/>
          <w:highlight w:val="none"/>
        </w:rPr>
        <w:t>第三部分合同专用条款</w:t>
      </w:r>
      <w:bookmarkEnd w:id="180"/>
    </w:p>
    <w:p w14:paraId="0DD24C2B">
      <w:pPr>
        <w:spacing w:line="360" w:lineRule="auto"/>
        <w:ind w:firstLine="435"/>
        <w:rPr>
          <w:rFonts w:ascii="宋体" w:hAnsi="宋体"/>
          <w:sz w:val="24"/>
          <w:highlight w:val="none"/>
        </w:rPr>
      </w:pPr>
      <w:r>
        <w:rPr>
          <w:rFonts w:hint="eastAsia" w:ascii="宋体" w:hAnsi="宋体"/>
          <w:sz w:val="24"/>
          <w:highlight w:val="none"/>
        </w:rPr>
        <w:t>本部分</w:t>
      </w:r>
      <w:r>
        <w:rPr>
          <w:rFonts w:ascii="宋体" w:hAnsi="宋体"/>
          <w:sz w:val="24"/>
          <w:highlight w:val="none"/>
        </w:rPr>
        <w:t>是对</w:t>
      </w:r>
      <w:r>
        <w:rPr>
          <w:rFonts w:hint="eastAsia" w:ascii="宋体" w:hAnsi="宋体"/>
          <w:sz w:val="24"/>
          <w:highlight w:val="none"/>
        </w:rPr>
        <w:t>前两</w:t>
      </w:r>
      <w:r>
        <w:rPr>
          <w:rFonts w:ascii="宋体" w:hAnsi="宋体"/>
          <w:sz w:val="24"/>
          <w:highlight w:val="none"/>
        </w:rPr>
        <w:t>部分的补充和修改</w:t>
      </w:r>
      <w:r>
        <w:rPr>
          <w:rFonts w:hint="eastAsia" w:ascii="宋体" w:hAnsi="宋体"/>
          <w:sz w:val="24"/>
          <w:highlight w:val="none"/>
        </w:rPr>
        <w:t>，</w:t>
      </w:r>
      <w:r>
        <w:rPr>
          <w:rFonts w:ascii="宋体" w:hAnsi="宋体"/>
          <w:sz w:val="24"/>
          <w:highlight w:val="none"/>
        </w:rPr>
        <w:t>如果</w:t>
      </w:r>
      <w:r>
        <w:rPr>
          <w:rFonts w:hint="eastAsia" w:ascii="宋体" w:hAnsi="宋体"/>
          <w:sz w:val="24"/>
          <w:highlight w:val="none"/>
        </w:rPr>
        <w:t>前两</w:t>
      </w:r>
      <w:r>
        <w:rPr>
          <w:rFonts w:ascii="宋体" w:hAnsi="宋体"/>
          <w:sz w:val="24"/>
          <w:highlight w:val="none"/>
        </w:rPr>
        <w:t>部分和本部分的约定不一致</w:t>
      </w:r>
      <w:r>
        <w:rPr>
          <w:rFonts w:hint="eastAsia" w:ascii="宋体" w:hAnsi="宋体"/>
          <w:sz w:val="24"/>
          <w:highlight w:val="none"/>
        </w:rPr>
        <w:t>，</w:t>
      </w:r>
      <w:r>
        <w:rPr>
          <w:rFonts w:ascii="宋体" w:hAnsi="宋体"/>
          <w:sz w:val="24"/>
          <w:highlight w:val="none"/>
        </w:rPr>
        <w:t>应以本部分的约定为准</w:t>
      </w:r>
      <w:r>
        <w:rPr>
          <w:rFonts w:hint="eastAsia" w:ascii="宋体" w:hAnsi="宋体"/>
          <w:sz w:val="24"/>
          <w:highlight w:val="none"/>
        </w:rPr>
        <w:t>。</w:t>
      </w:r>
      <w:r>
        <w:rPr>
          <w:rFonts w:ascii="宋体" w:hAnsi="宋体"/>
          <w:sz w:val="24"/>
          <w:highlight w:val="none"/>
        </w:rPr>
        <w:t>本部分的条款号应与</w:t>
      </w:r>
      <w:r>
        <w:rPr>
          <w:rFonts w:hint="eastAsia" w:ascii="宋体" w:hAnsi="宋体"/>
          <w:sz w:val="24"/>
          <w:highlight w:val="none"/>
        </w:rPr>
        <w:t>前两部分</w:t>
      </w:r>
      <w:r>
        <w:rPr>
          <w:rFonts w:ascii="宋体" w:hAnsi="宋体"/>
          <w:sz w:val="24"/>
          <w:highlight w:val="none"/>
        </w:rPr>
        <w:t>的条款号保持对应</w:t>
      </w:r>
      <w:r>
        <w:rPr>
          <w:rFonts w:hint="eastAsia" w:ascii="宋体" w:hAnsi="宋体"/>
          <w:sz w:val="24"/>
          <w:highlight w:val="none"/>
        </w:rPr>
        <w:t>；与前两部分</w:t>
      </w:r>
      <w:r>
        <w:rPr>
          <w:rFonts w:ascii="宋体" w:hAnsi="宋体"/>
          <w:sz w:val="24"/>
          <w:highlight w:val="none"/>
        </w:rPr>
        <w:t>无对应关系的内容可另行编制条款号</w:t>
      </w:r>
      <w:r>
        <w:rPr>
          <w:rFonts w:hint="eastAsia" w:ascii="宋体" w:hAnsi="宋体"/>
          <w:sz w:val="24"/>
          <w:highlight w:val="none"/>
        </w:rPr>
        <w:t>。</w:t>
      </w:r>
    </w:p>
    <w:tbl>
      <w:tblPr>
        <w:tblStyle w:val="15"/>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1D0BB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noWrap w:val="0"/>
            <w:vAlign w:val="center"/>
          </w:tcPr>
          <w:p w14:paraId="19B54DD9">
            <w:pPr>
              <w:jc w:val="center"/>
              <w:rPr>
                <w:rFonts w:ascii="宋体" w:hAnsi="宋体"/>
                <w:b/>
                <w:sz w:val="24"/>
                <w:highlight w:val="none"/>
              </w:rPr>
            </w:pPr>
            <w:r>
              <w:rPr>
                <w:rFonts w:ascii="宋体" w:hAnsi="宋体"/>
                <w:b/>
                <w:sz w:val="24"/>
                <w:highlight w:val="none"/>
              </w:rPr>
              <w:t>条款号</w:t>
            </w:r>
          </w:p>
        </w:tc>
        <w:tc>
          <w:tcPr>
            <w:tcW w:w="7568" w:type="dxa"/>
            <w:noWrap w:val="0"/>
            <w:vAlign w:val="center"/>
          </w:tcPr>
          <w:p w14:paraId="6192563A">
            <w:pPr>
              <w:jc w:val="center"/>
              <w:rPr>
                <w:rFonts w:ascii="宋体" w:hAnsi="宋体"/>
                <w:b/>
                <w:sz w:val="24"/>
                <w:highlight w:val="none"/>
              </w:rPr>
            </w:pPr>
            <w:r>
              <w:rPr>
                <w:rFonts w:ascii="宋体" w:hAnsi="宋体"/>
                <w:b/>
                <w:sz w:val="24"/>
                <w:highlight w:val="none"/>
              </w:rPr>
              <w:t>约定内容</w:t>
            </w:r>
          </w:p>
        </w:tc>
      </w:tr>
      <w:tr w14:paraId="30634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noWrap w:val="0"/>
            <w:vAlign w:val="center"/>
          </w:tcPr>
          <w:p w14:paraId="1B359E8B">
            <w:pPr>
              <w:spacing w:line="560" w:lineRule="exact"/>
              <w:rPr>
                <w:rFonts w:ascii="宋体" w:hAnsi="宋体"/>
                <w:sz w:val="24"/>
                <w:highlight w:val="none"/>
              </w:rPr>
            </w:pPr>
          </w:p>
        </w:tc>
        <w:tc>
          <w:tcPr>
            <w:tcW w:w="7568" w:type="dxa"/>
            <w:noWrap w:val="0"/>
            <w:vAlign w:val="center"/>
          </w:tcPr>
          <w:p w14:paraId="5DDAB34F">
            <w:pPr>
              <w:spacing w:line="560" w:lineRule="exact"/>
              <w:rPr>
                <w:rFonts w:ascii="宋体" w:hAnsi="宋体"/>
                <w:sz w:val="24"/>
                <w:highlight w:val="none"/>
              </w:rPr>
            </w:pPr>
          </w:p>
        </w:tc>
      </w:tr>
      <w:tr w14:paraId="1DC92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64A88A59">
            <w:pPr>
              <w:spacing w:line="560" w:lineRule="exact"/>
              <w:rPr>
                <w:rFonts w:ascii="宋体" w:hAnsi="宋体"/>
                <w:sz w:val="24"/>
                <w:highlight w:val="none"/>
              </w:rPr>
            </w:pPr>
          </w:p>
        </w:tc>
        <w:tc>
          <w:tcPr>
            <w:tcW w:w="7568" w:type="dxa"/>
            <w:noWrap w:val="0"/>
            <w:vAlign w:val="center"/>
          </w:tcPr>
          <w:p w14:paraId="023E3EFC">
            <w:pPr>
              <w:spacing w:line="560" w:lineRule="exact"/>
              <w:rPr>
                <w:rFonts w:ascii="宋体" w:hAnsi="宋体"/>
                <w:sz w:val="24"/>
                <w:highlight w:val="none"/>
              </w:rPr>
            </w:pPr>
          </w:p>
        </w:tc>
      </w:tr>
      <w:tr w14:paraId="7BE63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52B36893">
            <w:pPr>
              <w:spacing w:line="560" w:lineRule="exact"/>
              <w:rPr>
                <w:rFonts w:ascii="宋体" w:hAnsi="宋体"/>
                <w:sz w:val="24"/>
                <w:highlight w:val="none"/>
              </w:rPr>
            </w:pPr>
          </w:p>
        </w:tc>
        <w:tc>
          <w:tcPr>
            <w:tcW w:w="7568" w:type="dxa"/>
            <w:noWrap w:val="0"/>
            <w:vAlign w:val="center"/>
          </w:tcPr>
          <w:p w14:paraId="66CCDA39">
            <w:pPr>
              <w:spacing w:line="560" w:lineRule="exact"/>
              <w:rPr>
                <w:rFonts w:ascii="宋体" w:hAnsi="宋体"/>
                <w:sz w:val="24"/>
                <w:highlight w:val="none"/>
              </w:rPr>
            </w:pPr>
          </w:p>
        </w:tc>
      </w:tr>
      <w:tr w14:paraId="1720A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555F101C">
            <w:pPr>
              <w:spacing w:line="560" w:lineRule="exact"/>
              <w:rPr>
                <w:rFonts w:ascii="宋体" w:hAnsi="宋体"/>
                <w:sz w:val="24"/>
                <w:highlight w:val="none"/>
              </w:rPr>
            </w:pPr>
          </w:p>
        </w:tc>
        <w:tc>
          <w:tcPr>
            <w:tcW w:w="7568" w:type="dxa"/>
            <w:noWrap w:val="0"/>
            <w:vAlign w:val="center"/>
          </w:tcPr>
          <w:p w14:paraId="6BEF1088">
            <w:pPr>
              <w:spacing w:line="560" w:lineRule="exact"/>
              <w:rPr>
                <w:rFonts w:ascii="宋体" w:hAnsi="宋体"/>
                <w:sz w:val="24"/>
                <w:highlight w:val="none"/>
              </w:rPr>
            </w:pPr>
          </w:p>
        </w:tc>
      </w:tr>
      <w:tr w14:paraId="136E5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194E3DC0">
            <w:pPr>
              <w:spacing w:line="560" w:lineRule="exact"/>
              <w:rPr>
                <w:rFonts w:ascii="宋体" w:hAnsi="宋体"/>
                <w:sz w:val="24"/>
                <w:highlight w:val="none"/>
              </w:rPr>
            </w:pPr>
          </w:p>
        </w:tc>
        <w:tc>
          <w:tcPr>
            <w:tcW w:w="7568" w:type="dxa"/>
            <w:noWrap w:val="0"/>
            <w:vAlign w:val="center"/>
          </w:tcPr>
          <w:p w14:paraId="574D0C6A">
            <w:pPr>
              <w:spacing w:line="560" w:lineRule="exact"/>
              <w:rPr>
                <w:rFonts w:ascii="宋体" w:hAnsi="宋体"/>
                <w:sz w:val="24"/>
                <w:highlight w:val="none"/>
                <w:u w:val="single"/>
              </w:rPr>
            </w:pPr>
          </w:p>
        </w:tc>
      </w:tr>
      <w:tr w14:paraId="6794EE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59C06F7E">
            <w:pPr>
              <w:spacing w:line="560" w:lineRule="exact"/>
              <w:rPr>
                <w:rFonts w:ascii="宋体" w:hAnsi="宋体"/>
                <w:sz w:val="24"/>
                <w:highlight w:val="none"/>
              </w:rPr>
            </w:pPr>
          </w:p>
        </w:tc>
        <w:tc>
          <w:tcPr>
            <w:tcW w:w="7568" w:type="dxa"/>
            <w:noWrap w:val="0"/>
            <w:vAlign w:val="center"/>
          </w:tcPr>
          <w:p w14:paraId="53184E1D">
            <w:pPr>
              <w:spacing w:line="560" w:lineRule="exact"/>
              <w:rPr>
                <w:rFonts w:ascii="宋体" w:hAnsi="宋体"/>
                <w:sz w:val="24"/>
                <w:highlight w:val="none"/>
              </w:rPr>
            </w:pPr>
          </w:p>
        </w:tc>
      </w:tr>
      <w:tr w14:paraId="4DC32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55BE65AB">
            <w:pPr>
              <w:spacing w:line="560" w:lineRule="exact"/>
              <w:rPr>
                <w:rFonts w:ascii="宋体" w:hAnsi="宋体"/>
                <w:sz w:val="24"/>
                <w:highlight w:val="none"/>
              </w:rPr>
            </w:pPr>
          </w:p>
        </w:tc>
        <w:tc>
          <w:tcPr>
            <w:tcW w:w="7568" w:type="dxa"/>
            <w:noWrap w:val="0"/>
            <w:vAlign w:val="center"/>
          </w:tcPr>
          <w:p w14:paraId="7324217A">
            <w:pPr>
              <w:spacing w:line="560" w:lineRule="exact"/>
              <w:rPr>
                <w:rFonts w:ascii="宋体" w:hAnsi="宋体"/>
                <w:sz w:val="24"/>
                <w:highlight w:val="none"/>
                <w:u w:val="single"/>
              </w:rPr>
            </w:pPr>
          </w:p>
        </w:tc>
      </w:tr>
      <w:tr w14:paraId="382FE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2C80A148">
            <w:pPr>
              <w:spacing w:line="560" w:lineRule="exact"/>
              <w:rPr>
                <w:rFonts w:ascii="宋体" w:hAnsi="宋体"/>
                <w:sz w:val="24"/>
                <w:highlight w:val="none"/>
              </w:rPr>
            </w:pPr>
          </w:p>
        </w:tc>
        <w:tc>
          <w:tcPr>
            <w:tcW w:w="7568" w:type="dxa"/>
            <w:noWrap w:val="0"/>
            <w:vAlign w:val="center"/>
          </w:tcPr>
          <w:p w14:paraId="12966595">
            <w:pPr>
              <w:spacing w:line="560" w:lineRule="exact"/>
              <w:rPr>
                <w:rFonts w:ascii="宋体" w:hAnsi="宋体"/>
                <w:sz w:val="24"/>
                <w:highlight w:val="none"/>
              </w:rPr>
            </w:pPr>
          </w:p>
        </w:tc>
      </w:tr>
      <w:tr w14:paraId="0E150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7E055EEE">
            <w:pPr>
              <w:spacing w:line="560" w:lineRule="exact"/>
              <w:rPr>
                <w:rFonts w:ascii="宋体" w:hAnsi="宋体"/>
                <w:sz w:val="24"/>
                <w:highlight w:val="none"/>
              </w:rPr>
            </w:pPr>
          </w:p>
        </w:tc>
        <w:tc>
          <w:tcPr>
            <w:tcW w:w="7568" w:type="dxa"/>
            <w:noWrap w:val="0"/>
            <w:vAlign w:val="center"/>
          </w:tcPr>
          <w:p w14:paraId="5C0D8C91">
            <w:pPr>
              <w:spacing w:line="560" w:lineRule="exact"/>
              <w:rPr>
                <w:rFonts w:ascii="宋体" w:hAnsi="宋体"/>
                <w:sz w:val="24"/>
                <w:highlight w:val="none"/>
              </w:rPr>
            </w:pPr>
          </w:p>
        </w:tc>
      </w:tr>
      <w:tr w14:paraId="40961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51754EDD">
            <w:pPr>
              <w:spacing w:line="560" w:lineRule="exact"/>
              <w:rPr>
                <w:rFonts w:ascii="宋体" w:hAnsi="宋体"/>
                <w:sz w:val="24"/>
                <w:highlight w:val="none"/>
              </w:rPr>
            </w:pPr>
          </w:p>
        </w:tc>
        <w:tc>
          <w:tcPr>
            <w:tcW w:w="7568" w:type="dxa"/>
            <w:noWrap w:val="0"/>
            <w:vAlign w:val="center"/>
          </w:tcPr>
          <w:p w14:paraId="4DAECEF7">
            <w:pPr>
              <w:spacing w:line="560" w:lineRule="exact"/>
              <w:rPr>
                <w:rFonts w:ascii="宋体" w:hAnsi="宋体"/>
                <w:sz w:val="24"/>
                <w:highlight w:val="none"/>
              </w:rPr>
            </w:pPr>
          </w:p>
        </w:tc>
      </w:tr>
      <w:tr w14:paraId="25DEF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noWrap w:val="0"/>
            <w:vAlign w:val="center"/>
          </w:tcPr>
          <w:p w14:paraId="793A1532">
            <w:pPr>
              <w:spacing w:line="560" w:lineRule="exact"/>
              <w:rPr>
                <w:rFonts w:ascii="宋体" w:hAnsi="宋体"/>
                <w:sz w:val="24"/>
                <w:highlight w:val="none"/>
              </w:rPr>
            </w:pPr>
          </w:p>
        </w:tc>
        <w:tc>
          <w:tcPr>
            <w:tcW w:w="7568" w:type="dxa"/>
            <w:tcBorders>
              <w:top w:val="single" w:color="auto" w:sz="6" w:space="0"/>
              <w:left w:val="single" w:color="auto" w:sz="6" w:space="0"/>
              <w:bottom w:val="single" w:color="auto" w:sz="6" w:space="0"/>
              <w:right w:val="single" w:color="auto" w:sz="6" w:space="0"/>
            </w:tcBorders>
            <w:noWrap w:val="0"/>
            <w:vAlign w:val="center"/>
          </w:tcPr>
          <w:p w14:paraId="7889BCA9">
            <w:pPr>
              <w:spacing w:line="560" w:lineRule="exact"/>
              <w:rPr>
                <w:rFonts w:ascii="宋体" w:hAnsi="宋体"/>
                <w:sz w:val="24"/>
                <w:highlight w:val="none"/>
              </w:rPr>
            </w:pPr>
          </w:p>
        </w:tc>
      </w:tr>
      <w:tr w14:paraId="6C527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noWrap w:val="0"/>
            <w:vAlign w:val="center"/>
          </w:tcPr>
          <w:p w14:paraId="439B23F0">
            <w:pPr>
              <w:spacing w:line="560" w:lineRule="exact"/>
              <w:rPr>
                <w:rFonts w:ascii="宋体" w:hAnsi="宋体"/>
                <w:sz w:val="24"/>
                <w:highlight w:val="none"/>
              </w:rPr>
            </w:pPr>
          </w:p>
        </w:tc>
        <w:tc>
          <w:tcPr>
            <w:tcW w:w="7568" w:type="dxa"/>
            <w:tcBorders>
              <w:top w:val="single" w:color="auto" w:sz="6" w:space="0"/>
              <w:left w:val="single" w:color="auto" w:sz="6" w:space="0"/>
              <w:bottom w:val="single" w:color="auto" w:sz="6" w:space="0"/>
              <w:right w:val="single" w:color="auto" w:sz="6" w:space="0"/>
            </w:tcBorders>
            <w:noWrap w:val="0"/>
            <w:vAlign w:val="center"/>
          </w:tcPr>
          <w:p w14:paraId="676E240D">
            <w:pPr>
              <w:spacing w:line="560" w:lineRule="exact"/>
              <w:rPr>
                <w:rFonts w:ascii="宋体" w:hAnsi="宋体"/>
                <w:sz w:val="24"/>
                <w:highlight w:val="none"/>
              </w:rPr>
            </w:pPr>
          </w:p>
        </w:tc>
      </w:tr>
    </w:tbl>
    <w:p w14:paraId="74236848">
      <w:pPr>
        <w:widowControl/>
        <w:jc w:val="left"/>
        <w:rPr>
          <w:rFonts w:ascii="宋体" w:hAnsi="宋体"/>
          <w:sz w:val="24"/>
          <w:highlight w:val="none"/>
        </w:rPr>
      </w:pPr>
    </w:p>
    <w:p w14:paraId="6037E3B2">
      <w:pPr>
        <w:spacing w:line="360" w:lineRule="auto"/>
        <w:ind w:firstLine="435"/>
        <w:rPr>
          <w:rFonts w:ascii="宋体" w:hAnsi="宋体"/>
          <w:sz w:val="24"/>
          <w:highlight w:val="none"/>
        </w:rPr>
      </w:pPr>
    </w:p>
    <w:p w14:paraId="276708ED">
      <w:pPr>
        <w:widowControl/>
        <w:tabs>
          <w:tab w:val="left" w:pos="993"/>
        </w:tabs>
        <w:adjustRightInd w:val="0"/>
        <w:snapToGrid w:val="0"/>
        <w:spacing w:line="360" w:lineRule="auto"/>
        <w:outlineLvl w:val="1"/>
        <w:rPr>
          <w:rFonts w:ascii="Times New Roman" w:hAnsi="Times New Roman" w:cs="Times New Roman"/>
          <w:highlight w:val="none"/>
        </w:rPr>
      </w:pPr>
      <w:bookmarkStart w:id="181" w:name="_Toc184635123"/>
      <w:bookmarkStart w:id="182" w:name="_Toc300835200"/>
      <w:bookmarkStart w:id="183" w:name="_Toc26646056"/>
      <w:bookmarkStart w:id="184" w:name="_Toc247527799"/>
      <w:bookmarkStart w:id="185" w:name="_Toc247514198"/>
    </w:p>
    <w:p w14:paraId="4BFC03DE">
      <w:pPr>
        <w:pStyle w:val="2"/>
        <w:rPr>
          <w:rFonts w:ascii="Times New Roman" w:hAnsi="Times New Roman" w:cs="Times New Roman"/>
          <w:highlight w:val="none"/>
        </w:rPr>
      </w:pPr>
    </w:p>
    <w:p w14:paraId="10B9BF0C">
      <w:pPr>
        <w:pStyle w:val="13"/>
        <w:ind w:left="0" w:leftChars="0" w:firstLine="0" w:firstLineChars="0"/>
        <w:jc w:val="both"/>
        <w:rPr>
          <w:rFonts w:ascii="宋体" w:hAnsi="宋体"/>
          <w:b/>
          <w:sz w:val="24"/>
          <w:highlight w:val="none"/>
        </w:rPr>
      </w:pPr>
    </w:p>
    <w:p w14:paraId="44CD18B3">
      <w:pPr>
        <w:rPr>
          <w:rFonts w:ascii="宋体" w:hAnsi="宋体"/>
          <w:b/>
          <w:sz w:val="24"/>
          <w:highlight w:val="none"/>
        </w:rPr>
      </w:pPr>
    </w:p>
    <w:p w14:paraId="6AE1970E">
      <w:pPr>
        <w:pStyle w:val="2"/>
      </w:pPr>
    </w:p>
    <w:bookmarkEnd w:id="181"/>
    <w:bookmarkEnd w:id="182"/>
    <w:bookmarkEnd w:id="183"/>
    <w:bookmarkEnd w:id="184"/>
    <w:bookmarkEnd w:id="185"/>
    <w:p w14:paraId="3457DFCA">
      <w:pPr>
        <w:pStyle w:val="5"/>
        <w:widowControl/>
        <w:rPr>
          <w:rFonts w:ascii="Times New Roman" w:hAnsi="Times New Roman" w:cs="Times New Roman"/>
          <w:bCs w:val="0"/>
          <w:kern w:val="0"/>
          <w:sz w:val="30"/>
          <w:szCs w:val="30"/>
          <w:highlight w:val="none"/>
        </w:rPr>
      </w:pPr>
      <w:r>
        <w:rPr>
          <w:rFonts w:ascii="Times New Roman" w:hAnsi="Times New Roman" w:cs="Times New Roman"/>
          <w:bCs w:val="0"/>
          <w:kern w:val="0"/>
          <w:sz w:val="30"/>
          <w:szCs w:val="30"/>
          <w:highlight w:val="none"/>
        </w:rPr>
        <w:t>附件</w:t>
      </w:r>
      <w:r>
        <w:rPr>
          <w:rFonts w:hint="eastAsia" w:ascii="Times New Roman" w:hAnsi="Times New Roman" w:cs="Times New Roman"/>
          <w:bCs w:val="0"/>
          <w:kern w:val="0"/>
          <w:sz w:val="30"/>
          <w:szCs w:val="30"/>
          <w:highlight w:val="none"/>
        </w:rPr>
        <w:t>1</w:t>
      </w:r>
      <w:r>
        <w:rPr>
          <w:rFonts w:ascii="Times New Roman" w:hAnsi="Times New Roman" w:cs="Times New Roman"/>
          <w:bCs w:val="0"/>
          <w:kern w:val="0"/>
          <w:sz w:val="30"/>
          <w:szCs w:val="30"/>
          <w:highlight w:val="none"/>
        </w:rPr>
        <w:t>：</w:t>
      </w:r>
    </w:p>
    <w:p w14:paraId="17678009">
      <w:pPr>
        <w:widowControl/>
        <w:spacing w:line="360" w:lineRule="auto"/>
        <w:ind w:firstLine="643"/>
        <w:jc w:val="center"/>
        <w:rPr>
          <w:rFonts w:ascii="Times New Roman" w:hAnsi="Times New Roman" w:cs="Times New Roman"/>
          <w:b/>
          <w:bCs/>
          <w:kern w:val="0"/>
          <w:sz w:val="32"/>
          <w:szCs w:val="32"/>
          <w:highlight w:val="none"/>
        </w:rPr>
      </w:pPr>
      <w:r>
        <w:rPr>
          <w:rFonts w:ascii="Times New Roman" w:hAnsi="Times New Roman" w:cs="Times New Roman"/>
          <w:b/>
          <w:bCs/>
          <w:kern w:val="0"/>
          <w:sz w:val="32"/>
          <w:szCs w:val="32"/>
          <w:highlight w:val="none"/>
          <w:lang w:bidi="ar"/>
        </w:rPr>
        <w:t>廉政协议</w:t>
      </w:r>
    </w:p>
    <w:p w14:paraId="3622CCD4">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为促进双方诚信经营、廉洁从业，防范商业贿赂，保护国家、集体和当事人的合法权益，根据国家有关法律法规和安徽省、合肥市廉政建设的规定，(以下称甲方)与(以下称乙方)，特此订立本协议共同遵照执行。</w:t>
      </w:r>
    </w:p>
    <w:p w14:paraId="104DF08A">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第一条甲乙双方的权利和义务</w:t>
      </w:r>
    </w:p>
    <w:p w14:paraId="39F6DA07">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3365A515">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（二）严格执行的合同要求，自觉履行合同约定的相关义务。</w:t>
      </w:r>
    </w:p>
    <w:p w14:paraId="10AC3260">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（三）在业务活动中坚持公开、公正、诚信、透明的原则，不得损害国家、集体利益。</w:t>
      </w:r>
    </w:p>
    <w:p w14:paraId="084E4E38">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（四）建立健全廉政制度，开展廉政教育，公布举报电话，监督并认真查处违法违纪行为。</w:t>
      </w:r>
    </w:p>
    <w:p w14:paraId="61436E61">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（五）发现对方在业务活动中有违反廉政规定的行为，应及时提醒对方纠正。情节严重的，应向其上级有关部门举报、建议给予处理，并有权要求告知处理结果。</w:t>
      </w:r>
    </w:p>
    <w:p w14:paraId="5B6070B8">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第二条甲方的义务</w:t>
      </w:r>
    </w:p>
    <w:p w14:paraId="4F09BE48">
      <w:pPr>
        <w:widowControl/>
        <w:spacing w:line="360" w:lineRule="auto"/>
        <w:ind w:firstLine="525" w:firstLineChars="25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(一)甲方及其工作人员不得索要或接受乙方的礼金、有价证券和贵重物品，不得在乙方报销任何应由甲方单位或个人支付的费用等。</w:t>
      </w:r>
    </w:p>
    <w:p w14:paraId="37E58ABA">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1B391A4C">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（三）甲方及其工作人员不得要求或者接受乙方为其住房装修、婚丧嫁娶活动、配偶子女工作安排以及出国出境、旅游等提供方便等。</w:t>
      </w:r>
    </w:p>
    <w:p w14:paraId="1AAB30FA">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（四）甲方工作人员不得在乙方有股权关联的企业兼职，不得向乙方介绍家属或者亲友从事与甲方业务有关的经济活动。</w:t>
      </w:r>
    </w:p>
    <w:p w14:paraId="3FB93890">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（五）甲方工作人员不得以明显低于市场的价格向乙方购买房屋、汽车等物品；不得以明显高于市场的价格向乙方出售房屋、汽车等物品；不得以其他交易形式非法收受请托人财物。</w:t>
      </w:r>
    </w:p>
    <w:p w14:paraId="52668633">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（六）甲方工作人员不得利用职务之便收受乙方以回扣、手续费、加班费、咨询费、劳务费、协调费、辛苦费等各种名义给予或赠送的钱物。</w:t>
      </w:r>
    </w:p>
    <w:p w14:paraId="4A9EDDDF">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（七）甲方工作人员不得接受乙方给予或赠送的干股或红利。</w:t>
      </w:r>
    </w:p>
    <w:p w14:paraId="53927119">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（八）甲方任何人不得以个人的名义向乙方推荐设备、部件等供货商以及其它合作单位。</w:t>
      </w:r>
    </w:p>
    <w:p w14:paraId="736614B5">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第三条乙方的义务</w:t>
      </w:r>
    </w:p>
    <w:p w14:paraId="52378C9C">
      <w:pPr>
        <w:widowControl/>
        <w:spacing w:line="360" w:lineRule="auto"/>
        <w:ind w:firstLine="525" w:firstLineChars="25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(一)乙方不得以任何理由向甲方及其工作人员行贿或馈赠礼金、有价证券、贵重礼品。</w:t>
      </w:r>
    </w:p>
    <w:p w14:paraId="09CBB883">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（二)乙方不得以任何名义为甲方及其工作人员报销应由甲方单位或个人支付的任何费用。</w:t>
      </w:r>
    </w:p>
    <w:p w14:paraId="5B31F826">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(三)乙方不得以任何理由安排甲方工作人员参加可能影响相关业务公开、公正、公平性的宴请及娱乐活动。</w:t>
      </w:r>
    </w:p>
    <w:p w14:paraId="4B242670">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（四）乙方不得为甲方单位和个人购置或提供通讯工具和高档办公用品等物品，也不得为甲方提供与工作无关的房屋、汽车等。</w:t>
      </w:r>
    </w:p>
    <w:p w14:paraId="1EECA05E">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（五）乙方不得与甲方工作人员就合同中的质量、数量、价格、工程量、验收等条款进行私下商谈或者达成默契。</w:t>
      </w:r>
    </w:p>
    <w:p w14:paraId="4101C34B">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（六）乙方不得以回扣、手续费、加班费、咨询费、劳务费、协调费、辛苦费等各种名义向甲方工作人员给予或赠送钱物。</w:t>
      </w:r>
    </w:p>
    <w:p w14:paraId="00B4CC93">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（七）乙方不得向甲方工作人员提供干股或红利。</w:t>
      </w:r>
    </w:p>
    <w:p w14:paraId="0B9C12A4">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（八）乙方须按专项纪检监察工作组(如有)要求开展相关工作。</w:t>
      </w:r>
    </w:p>
    <w:p w14:paraId="062C3340">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第四条违约责任</w:t>
      </w:r>
    </w:p>
    <w:p w14:paraId="1D9592C0">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390AEE87">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甲方投诉联系部门：，联系电话：。</w:t>
      </w:r>
    </w:p>
    <w:p w14:paraId="2746B123">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（二）乙方及其工作人员违反本协议第一、三条规定。根据具体情节和造成的后果，甲方有权对乙方采取以下一种或多种处理办法：</w:t>
      </w:r>
    </w:p>
    <w:p w14:paraId="55393F36">
      <w:pPr>
        <w:widowControl/>
        <w:spacing w:line="360" w:lineRule="auto"/>
        <w:ind w:firstLine="420" w:firstLineChars="200"/>
        <w:jc w:val="left"/>
        <w:rPr>
          <w:rFonts w:hint="eastAsia" w:ascii="Times New Roman" w:hAnsi="Times New Roman" w:eastAsia="宋体" w:cs="Times New Roman"/>
          <w:kern w:val="0"/>
          <w:szCs w:val="21"/>
          <w:highlight w:val="none"/>
          <w:lang w:eastAsia="zh-CN"/>
        </w:rPr>
      </w:pPr>
      <w:r>
        <w:rPr>
          <w:rFonts w:ascii="Times New Roman" w:hAnsi="Times New Roman" w:cs="Times New Roman"/>
          <w:kern w:val="0"/>
          <w:szCs w:val="21"/>
          <w:highlight w:val="none"/>
          <w:lang w:bidi="ar"/>
        </w:rPr>
        <w:t>1.全额收取乙方合同履约保证金不予退还；</w:t>
      </w:r>
    </w:p>
    <w:p w14:paraId="2272141B">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2.追究乙方其他违约责任；</w:t>
      </w:r>
    </w:p>
    <w:p w14:paraId="4B779EE2">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3.终止或解除双方已签订的包括本合同在内的所有合同；</w:t>
      </w:r>
    </w:p>
    <w:p w14:paraId="2AAF762B">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4.乙方一定期限内（6个月至3年，具体由甲方根据情况而定）不得参与甲方作为发包人（业主）的工程项目投标。</w:t>
      </w:r>
    </w:p>
    <w:p w14:paraId="41A90283">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甲方作出的处理意见，乙方应无条件接受并承担给甲方造成的损失，全额返还通过不正当手段从甲方获取的非法所得，并承担相应的法律责任。</w:t>
      </w:r>
    </w:p>
    <w:p w14:paraId="54D534BB">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第五条双方约定</w:t>
      </w:r>
    </w:p>
    <w:p w14:paraId="786E0609">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本协议由双方或双方上级单位负责监督。可由甲方或甲方上级单位的纪检监察部门约请乙方或乙方上级单位的纪检监察部门对本协议履行情况进行检查，提出在本协议规定范围内的裁定意见。</w:t>
      </w:r>
    </w:p>
    <w:p w14:paraId="518C84DC">
      <w:pPr>
        <w:widowControl/>
        <w:spacing w:line="360" w:lineRule="auto"/>
        <w:ind w:firstLine="420" w:firstLineChars="200"/>
        <w:jc w:val="left"/>
        <w:rPr>
          <w:rFonts w:hint="eastAsia" w:ascii="Times New Roman" w:hAnsi="Times New Roman" w:eastAsia="宋体" w:cs="Times New Roman"/>
          <w:kern w:val="0"/>
          <w:szCs w:val="21"/>
          <w:highlight w:val="none"/>
          <w:lang w:eastAsia="zh-CN"/>
        </w:rPr>
      </w:pPr>
      <w:r>
        <w:rPr>
          <w:rFonts w:ascii="Times New Roman" w:hAnsi="Times New Roman" w:cs="Times New Roman"/>
          <w:kern w:val="0"/>
          <w:szCs w:val="21"/>
          <w:highlight w:val="none"/>
          <w:lang w:bidi="ar"/>
        </w:rPr>
        <w:t>第六条本协议有效期为甲乙双方签署之日起至合同终止。</w:t>
      </w:r>
    </w:p>
    <w:p w14:paraId="3A707447">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第七条本协议作为合同的附件，与本合同具有同等法律效力。</w:t>
      </w:r>
    </w:p>
    <w:p w14:paraId="068DD50F">
      <w:pPr>
        <w:widowControl/>
        <w:spacing w:line="360" w:lineRule="auto"/>
        <w:ind w:firstLine="420" w:firstLineChars="200"/>
        <w:jc w:val="left"/>
        <w:rPr>
          <w:rFonts w:hint="eastAsia" w:ascii="Times New Roman" w:hAnsi="Times New Roman" w:eastAsia="宋体" w:cs="Times New Roman"/>
          <w:kern w:val="0"/>
          <w:szCs w:val="21"/>
          <w:highlight w:val="none"/>
          <w:lang w:eastAsia="zh-CN"/>
        </w:rPr>
      </w:pPr>
    </w:p>
    <w:p w14:paraId="1BEAB45F">
      <w:pPr>
        <w:widowControl/>
        <w:spacing w:line="360" w:lineRule="auto"/>
        <w:ind w:firstLine="420" w:firstLineChars="200"/>
        <w:jc w:val="left"/>
        <w:rPr>
          <w:rFonts w:ascii="Times New Roman" w:hAnsi="Times New Roman" w:cs="Times New Roman"/>
          <w:kern w:val="0"/>
          <w:szCs w:val="21"/>
          <w:highlight w:val="none"/>
        </w:rPr>
      </w:pPr>
    </w:p>
    <w:p w14:paraId="332E6604">
      <w:pPr>
        <w:widowControl/>
        <w:spacing w:line="360" w:lineRule="auto"/>
        <w:ind w:firstLine="420" w:firstLineChars="200"/>
        <w:jc w:val="left"/>
        <w:rPr>
          <w:rFonts w:ascii="Times New Roman" w:hAnsi="Times New Roman" w:cs="Times New Roman"/>
          <w:kern w:val="0"/>
          <w:szCs w:val="21"/>
          <w:highlight w:val="none"/>
        </w:rPr>
      </w:pPr>
    </w:p>
    <w:p w14:paraId="16CA9981">
      <w:pPr>
        <w:widowControl/>
        <w:spacing w:line="360" w:lineRule="auto"/>
        <w:ind w:firstLine="420" w:firstLineChars="200"/>
        <w:jc w:val="left"/>
        <w:rPr>
          <w:rFonts w:hint="eastAsia" w:ascii="Times New Roman" w:hAnsi="Times New Roman" w:eastAsia="宋体" w:cs="Times New Roman"/>
          <w:kern w:val="0"/>
          <w:szCs w:val="21"/>
          <w:highlight w:val="none"/>
          <w:lang w:eastAsia="zh-CN"/>
        </w:rPr>
      </w:pPr>
      <w:r>
        <w:rPr>
          <w:rFonts w:ascii="Times New Roman" w:hAnsi="Times New Roman" w:cs="Times New Roman"/>
          <w:kern w:val="0"/>
          <w:szCs w:val="21"/>
          <w:highlight w:val="none"/>
          <w:lang w:bidi="ar"/>
        </w:rPr>
        <w:t>甲方（盖章）：乙方（盖章）：</w:t>
      </w:r>
    </w:p>
    <w:p w14:paraId="066CE045">
      <w:pPr>
        <w:widowControl/>
        <w:spacing w:line="360" w:lineRule="auto"/>
        <w:ind w:firstLine="420" w:firstLineChars="200"/>
        <w:jc w:val="left"/>
        <w:rPr>
          <w:rFonts w:ascii="Times New Roman" w:hAnsi="Times New Roman" w:cs="Times New Roman"/>
          <w:kern w:val="0"/>
          <w:szCs w:val="21"/>
          <w:highlight w:val="none"/>
        </w:rPr>
      </w:pPr>
    </w:p>
    <w:p w14:paraId="3112661A">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法定代表人或法定代表人或</w:t>
      </w:r>
    </w:p>
    <w:p w14:paraId="294E1139">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授权代表：(职务)授权代表：(职务)</w:t>
      </w:r>
    </w:p>
    <w:p w14:paraId="5696409F">
      <w:pPr>
        <w:widowControl/>
        <w:spacing w:line="360" w:lineRule="auto"/>
        <w:ind w:firstLine="420" w:firstLineChars="200"/>
        <w:jc w:val="left"/>
        <w:rPr>
          <w:rFonts w:hint="eastAsia" w:ascii="Times New Roman" w:hAnsi="Times New Roman" w:eastAsia="宋体" w:cs="Times New Roman"/>
          <w:kern w:val="0"/>
          <w:szCs w:val="21"/>
          <w:highlight w:val="none"/>
          <w:lang w:eastAsia="zh-CN"/>
        </w:rPr>
      </w:pPr>
      <w:r>
        <w:rPr>
          <w:rFonts w:ascii="Times New Roman" w:hAnsi="Times New Roman" w:cs="Times New Roman"/>
          <w:kern w:val="0"/>
          <w:szCs w:val="21"/>
          <w:highlight w:val="none"/>
          <w:lang w:bidi="ar"/>
        </w:rPr>
        <w:t>姓名：姓名：</w:t>
      </w:r>
    </w:p>
    <w:p w14:paraId="237DE9D5">
      <w:pPr>
        <w:widowControl/>
        <w:spacing w:line="360" w:lineRule="auto"/>
        <w:ind w:firstLine="420" w:firstLineChars="200"/>
        <w:jc w:val="left"/>
        <w:rPr>
          <w:rFonts w:hint="eastAsia" w:ascii="Times New Roman" w:hAnsi="Times New Roman" w:eastAsia="宋体" w:cs="Times New Roman"/>
          <w:kern w:val="0"/>
          <w:szCs w:val="21"/>
          <w:highlight w:val="none"/>
          <w:lang w:eastAsia="zh-CN"/>
        </w:rPr>
      </w:pPr>
      <w:r>
        <w:rPr>
          <w:rFonts w:ascii="Times New Roman" w:hAnsi="Times New Roman" w:cs="Times New Roman"/>
          <w:kern w:val="0"/>
          <w:szCs w:val="21"/>
          <w:highlight w:val="none"/>
          <w:lang w:bidi="ar"/>
        </w:rPr>
        <w:t>签字：签字：</w:t>
      </w:r>
    </w:p>
    <w:p w14:paraId="60715B8B">
      <w:pPr>
        <w:widowControl/>
        <w:spacing w:line="360" w:lineRule="auto"/>
        <w:ind w:firstLine="420" w:firstLineChars="200"/>
        <w:jc w:val="left"/>
        <w:rPr>
          <w:rFonts w:ascii="Times New Roman" w:hAnsi="Times New Roman" w:cs="Times New Roman"/>
          <w:kern w:val="0"/>
          <w:szCs w:val="21"/>
          <w:highlight w:val="none"/>
        </w:rPr>
      </w:pPr>
    </w:p>
    <w:p w14:paraId="559C1AFA">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廉政监督联系人廉政监督联系人</w:t>
      </w:r>
    </w:p>
    <w:p w14:paraId="6DB85951">
      <w:pPr>
        <w:widowControl/>
        <w:spacing w:line="360" w:lineRule="auto"/>
        <w:ind w:firstLine="420" w:firstLineChars="200"/>
        <w:jc w:val="left"/>
        <w:rPr>
          <w:rFonts w:hint="eastAsia" w:ascii="Times New Roman" w:hAnsi="Times New Roman" w:eastAsia="宋体" w:cs="Times New Roman"/>
          <w:kern w:val="0"/>
          <w:szCs w:val="21"/>
          <w:highlight w:val="none"/>
          <w:lang w:eastAsia="zh-CN"/>
        </w:rPr>
      </w:pPr>
      <w:r>
        <w:rPr>
          <w:rFonts w:ascii="Times New Roman" w:hAnsi="Times New Roman" w:cs="Times New Roman"/>
          <w:kern w:val="0"/>
          <w:szCs w:val="21"/>
          <w:highlight w:val="none"/>
          <w:lang w:bidi="ar"/>
        </w:rPr>
        <w:t>姓名：姓名：</w:t>
      </w:r>
    </w:p>
    <w:p w14:paraId="61AD7911">
      <w:pPr>
        <w:widowControl/>
        <w:spacing w:line="360" w:lineRule="auto"/>
        <w:ind w:firstLine="420" w:firstLineChars="200"/>
        <w:jc w:val="left"/>
        <w:rPr>
          <w:rFonts w:hint="eastAsia" w:ascii="Times New Roman" w:hAnsi="Times New Roman" w:eastAsia="宋体" w:cs="Times New Roman"/>
          <w:kern w:val="0"/>
          <w:szCs w:val="21"/>
          <w:highlight w:val="none"/>
          <w:lang w:eastAsia="zh-CN"/>
        </w:rPr>
      </w:pPr>
      <w:r>
        <w:rPr>
          <w:rFonts w:ascii="Times New Roman" w:hAnsi="Times New Roman" w:cs="Times New Roman"/>
          <w:kern w:val="0"/>
          <w:szCs w:val="21"/>
          <w:highlight w:val="none"/>
          <w:lang w:bidi="ar"/>
        </w:rPr>
        <w:t>签字：签字：</w:t>
      </w:r>
    </w:p>
    <w:p w14:paraId="15E0E3AC">
      <w:pPr>
        <w:widowControl/>
        <w:spacing w:line="360" w:lineRule="auto"/>
        <w:ind w:firstLine="420" w:firstLineChars="200"/>
        <w:jc w:val="left"/>
        <w:rPr>
          <w:rFonts w:hint="eastAsia" w:ascii="Times New Roman" w:hAnsi="Times New Roman" w:eastAsia="宋体" w:cs="Times New Roman"/>
          <w:kern w:val="0"/>
          <w:szCs w:val="21"/>
          <w:highlight w:val="none"/>
          <w:lang w:eastAsia="zh-CN"/>
        </w:rPr>
      </w:pPr>
      <w:r>
        <w:rPr>
          <w:rFonts w:ascii="Times New Roman" w:hAnsi="Times New Roman" w:cs="Times New Roman"/>
          <w:kern w:val="0"/>
          <w:szCs w:val="21"/>
          <w:highlight w:val="none"/>
          <w:lang w:bidi="ar"/>
        </w:rPr>
        <w:t>电话：电话：</w:t>
      </w:r>
    </w:p>
    <w:p w14:paraId="6095C6A2">
      <w:pPr>
        <w:widowControl/>
        <w:spacing w:line="360" w:lineRule="auto"/>
        <w:ind w:firstLine="420" w:firstLineChars="200"/>
        <w:jc w:val="left"/>
        <w:rPr>
          <w:rFonts w:hint="eastAsia" w:ascii="Times New Roman" w:hAnsi="Times New Roman" w:eastAsia="宋体" w:cs="Times New Roman"/>
          <w:kern w:val="0"/>
          <w:szCs w:val="21"/>
          <w:highlight w:val="none"/>
          <w:lang w:eastAsia="zh-CN"/>
        </w:rPr>
      </w:pPr>
      <w:r>
        <w:rPr>
          <w:rFonts w:ascii="Times New Roman" w:hAnsi="Times New Roman" w:cs="Times New Roman"/>
          <w:kern w:val="0"/>
          <w:szCs w:val="21"/>
          <w:highlight w:val="none"/>
          <w:lang w:bidi="ar"/>
        </w:rPr>
        <w:t>地址：地址：</w:t>
      </w:r>
    </w:p>
    <w:p w14:paraId="53D45BED">
      <w:pPr>
        <w:widowControl/>
        <w:spacing w:line="360" w:lineRule="auto"/>
        <w:ind w:firstLine="420" w:firstLineChars="200"/>
        <w:jc w:val="left"/>
        <w:rPr>
          <w:rFonts w:hint="eastAsia" w:ascii="Times New Roman" w:hAnsi="Times New Roman" w:eastAsia="宋体" w:cs="Times New Roman"/>
          <w:kern w:val="0"/>
          <w:szCs w:val="21"/>
          <w:highlight w:val="none"/>
          <w:lang w:eastAsia="zh-CN"/>
        </w:rPr>
      </w:pPr>
      <w:r>
        <w:rPr>
          <w:rFonts w:ascii="Times New Roman" w:hAnsi="Times New Roman" w:cs="Times New Roman"/>
          <w:kern w:val="0"/>
          <w:szCs w:val="21"/>
          <w:highlight w:val="none"/>
          <w:lang w:bidi="ar"/>
        </w:rPr>
        <w:t>日期：日期：</w:t>
      </w:r>
    </w:p>
    <w:p w14:paraId="49D42D5B">
      <w:pPr>
        <w:rPr>
          <w:highlight w:val="none"/>
        </w:rPr>
      </w:pPr>
    </w:p>
    <w:p w14:paraId="186982B3">
      <w:pPr>
        <w:pStyle w:val="2"/>
        <w:ind w:left="0" w:leftChars="0" w:firstLine="0" w:firstLineChars="0"/>
        <w:rPr>
          <w:highlight w:val="none"/>
        </w:rPr>
      </w:pPr>
    </w:p>
    <w:bookmarkEnd w:id="29"/>
    <w:bookmarkEnd w:id="30"/>
    <w:p w14:paraId="3FAD8B8F">
      <w:pPr>
        <w:jc w:val="center"/>
        <w:rPr>
          <w:rFonts w:ascii="Times New Roman" w:hAnsi="Times New Roman" w:cs="Times New Roman"/>
          <w:b/>
          <w:sz w:val="28"/>
          <w:highlight w:val="none"/>
        </w:rPr>
      </w:pPr>
      <w:bookmarkStart w:id="186" w:name="_Toc29760"/>
      <w:bookmarkStart w:id="187" w:name="_Toc10441"/>
      <w:r>
        <w:rPr>
          <w:rFonts w:ascii="Times New Roman" w:hAnsi="Times New Roman" w:cs="Times New Roman"/>
          <w:b/>
          <w:sz w:val="28"/>
          <w:highlight w:val="none"/>
        </w:rPr>
        <w:t>第</w:t>
      </w:r>
      <w:r>
        <w:rPr>
          <w:rFonts w:hint="eastAsia" w:ascii="Times New Roman" w:hAnsi="Times New Roman" w:cs="Times New Roman"/>
          <w:b/>
          <w:sz w:val="28"/>
          <w:highlight w:val="none"/>
          <w:lang w:val="en-US" w:eastAsia="zh-CN"/>
        </w:rPr>
        <w:t>六</w:t>
      </w:r>
      <w:r>
        <w:rPr>
          <w:rFonts w:ascii="Times New Roman" w:hAnsi="Times New Roman" w:cs="Times New Roman"/>
          <w:b/>
          <w:sz w:val="28"/>
          <w:highlight w:val="none"/>
        </w:rPr>
        <w:t>章投标文件格式</w:t>
      </w:r>
      <w:bookmarkEnd w:id="186"/>
      <w:bookmarkEnd w:id="187"/>
    </w:p>
    <w:p w14:paraId="7DCFF512">
      <w:pPr>
        <w:spacing w:line="500" w:lineRule="exact"/>
        <w:jc w:val="right"/>
        <w:rPr>
          <w:rFonts w:ascii="Times New Roman" w:hAnsi="Times New Roman" w:cs="Times New Roman"/>
          <w:b/>
          <w:sz w:val="32"/>
          <w:highlight w:val="none"/>
        </w:rPr>
      </w:pPr>
      <w:r>
        <w:rPr>
          <w:rFonts w:ascii="Times New Roman" w:hAnsi="Times New Roman" w:cs="Times New Roman"/>
          <w:b/>
          <w:sz w:val="32"/>
          <w:highlight w:val="none"/>
        </w:rPr>
        <w:t>【正/副本】</w:t>
      </w:r>
    </w:p>
    <w:p w14:paraId="12A73440">
      <w:pPr>
        <w:spacing w:line="500" w:lineRule="exact"/>
        <w:jc w:val="center"/>
        <w:rPr>
          <w:rFonts w:ascii="Times New Roman" w:hAnsi="Times New Roman" w:cs="Times New Roman"/>
          <w:b/>
          <w:sz w:val="32"/>
          <w:highlight w:val="none"/>
        </w:rPr>
      </w:pPr>
    </w:p>
    <w:p w14:paraId="59545FE0">
      <w:pPr>
        <w:spacing w:line="500" w:lineRule="exact"/>
        <w:jc w:val="center"/>
        <w:rPr>
          <w:rFonts w:ascii="Times New Roman" w:hAnsi="Times New Roman" w:cs="Times New Roman"/>
          <w:b/>
          <w:sz w:val="32"/>
          <w:highlight w:val="none"/>
        </w:rPr>
      </w:pPr>
    </w:p>
    <w:p w14:paraId="2AE424EA">
      <w:pPr>
        <w:spacing w:line="500" w:lineRule="exact"/>
        <w:jc w:val="center"/>
        <w:rPr>
          <w:rFonts w:hint="eastAsia" w:ascii="Times New Roman" w:hAnsi="Times New Roman" w:eastAsia="宋体" w:cs="Times New Roman"/>
          <w:b/>
          <w:spacing w:val="20"/>
          <w:kern w:val="0"/>
          <w:sz w:val="32"/>
          <w:szCs w:val="32"/>
          <w:highlight w:val="none"/>
          <w:u w:val="single"/>
          <w:lang w:eastAsia="zh-CN"/>
        </w:rPr>
      </w:pPr>
      <w:r>
        <w:rPr>
          <w:rFonts w:hint="eastAsia" w:ascii="Times New Roman" w:hAnsi="Times New Roman" w:cs="Times New Roman"/>
          <w:b/>
          <w:sz w:val="32"/>
          <w:highlight w:val="none"/>
          <w:u w:val="single"/>
          <w:lang w:eastAsia="zh-CN"/>
        </w:rPr>
        <w:t>合肥维尔健医学检验实验室有限公司试剂耗材采购</w:t>
      </w:r>
    </w:p>
    <w:p w14:paraId="2671C3FD">
      <w:pPr>
        <w:pStyle w:val="2"/>
        <w:rPr>
          <w:highlight w:val="none"/>
        </w:rPr>
      </w:pPr>
    </w:p>
    <w:p w14:paraId="46886033">
      <w:pPr>
        <w:spacing w:line="500" w:lineRule="exact"/>
        <w:jc w:val="center"/>
        <w:rPr>
          <w:rFonts w:ascii="Times New Roman" w:hAnsi="Times New Roman" w:cs="Times New Roman"/>
          <w:b/>
          <w:sz w:val="32"/>
          <w:highlight w:val="none"/>
        </w:rPr>
      </w:pPr>
      <w:r>
        <w:rPr>
          <w:rFonts w:ascii="Times New Roman" w:hAnsi="Times New Roman" w:cs="Times New Roman"/>
          <w:b/>
          <w:sz w:val="32"/>
          <w:highlight w:val="none"/>
        </w:rPr>
        <w:t>（项目编号：</w:t>
      </w:r>
      <w:r>
        <w:rPr>
          <w:rFonts w:hint="eastAsia" w:ascii="Times New Roman" w:hAnsi="Times New Roman" w:cs="Times New Roman"/>
          <w:b/>
          <w:spacing w:val="20"/>
          <w:kern w:val="0"/>
          <w:sz w:val="32"/>
          <w:szCs w:val="32"/>
          <w:highlight w:val="none"/>
          <w:u w:val="single"/>
          <w:lang w:val="en-US" w:eastAsia="zh-CN"/>
        </w:rPr>
        <w:t>BHSG-ZTB-2024-10</w:t>
      </w:r>
      <w:r>
        <w:rPr>
          <w:rFonts w:ascii="Times New Roman" w:hAnsi="Times New Roman" w:cs="Times New Roman"/>
          <w:b/>
          <w:sz w:val="32"/>
          <w:highlight w:val="none"/>
        </w:rPr>
        <w:t>）</w:t>
      </w:r>
    </w:p>
    <w:p w14:paraId="75E8C75A">
      <w:pPr>
        <w:spacing w:line="900" w:lineRule="exact"/>
        <w:jc w:val="center"/>
        <w:rPr>
          <w:rFonts w:ascii="Times New Roman" w:hAnsi="Times New Roman" w:cs="Times New Roman"/>
          <w:b/>
          <w:sz w:val="72"/>
          <w:highlight w:val="none"/>
        </w:rPr>
      </w:pPr>
    </w:p>
    <w:p w14:paraId="4B0D6DA7">
      <w:pPr>
        <w:spacing w:line="900" w:lineRule="exact"/>
        <w:jc w:val="center"/>
        <w:rPr>
          <w:rFonts w:ascii="Times New Roman" w:hAnsi="Times New Roman" w:cs="Times New Roman"/>
          <w:b/>
          <w:sz w:val="72"/>
          <w:highlight w:val="none"/>
        </w:rPr>
      </w:pPr>
      <w:r>
        <w:rPr>
          <w:rFonts w:ascii="Times New Roman" w:hAnsi="Times New Roman" w:cs="Times New Roman"/>
          <w:b/>
          <w:sz w:val="72"/>
          <w:highlight w:val="none"/>
        </w:rPr>
        <w:t>投</w:t>
      </w:r>
    </w:p>
    <w:p w14:paraId="1DA2DA61">
      <w:pPr>
        <w:spacing w:line="900" w:lineRule="exact"/>
        <w:jc w:val="center"/>
        <w:rPr>
          <w:rFonts w:ascii="Times New Roman" w:hAnsi="Times New Roman" w:cs="Times New Roman"/>
          <w:b/>
          <w:sz w:val="72"/>
          <w:highlight w:val="none"/>
        </w:rPr>
      </w:pPr>
    </w:p>
    <w:p w14:paraId="5829D870">
      <w:pPr>
        <w:spacing w:line="900" w:lineRule="exact"/>
        <w:jc w:val="center"/>
        <w:rPr>
          <w:rFonts w:ascii="Times New Roman" w:hAnsi="Times New Roman" w:cs="Times New Roman"/>
          <w:b/>
          <w:sz w:val="72"/>
          <w:highlight w:val="none"/>
        </w:rPr>
      </w:pPr>
      <w:r>
        <w:rPr>
          <w:rFonts w:ascii="Times New Roman" w:hAnsi="Times New Roman" w:cs="Times New Roman"/>
          <w:b/>
          <w:sz w:val="72"/>
          <w:highlight w:val="none"/>
        </w:rPr>
        <w:t>标</w:t>
      </w:r>
    </w:p>
    <w:p w14:paraId="0D757D4C">
      <w:pPr>
        <w:spacing w:line="900" w:lineRule="exact"/>
        <w:jc w:val="center"/>
        <w:rPr>
          <w:rFonts w:ascii="Times New Roman" w:hAnsi="Times New Roman" w:cs="Times New Roman"/>
          <w:b/>
          <w:sz w:val="72"/>
          <w:highlight w:val="none"/>
        </w:rPr>
      </w:pPr>
    </w:p>
    <w:p w14:paraId="33FC8694">
      <w:pPr>
        <w:spacing w:line="900" w:lineRule="exact"/>
        <w:jc w:val="center"/>
        <w:rPr>
          <w:rFonts w:ascii="Times New Roman" w:hAnsi="Times New Roman" w:cs="Times New Roman"/>
          <w:b/>
          <w:sz w:val="72"/>
          <w:highlight w:val="none"/>
        </w:rPr>
      </w:pPr>
      <w:r>
        <w:rPr>
          <w:rFonts w:ascii="Times New Roman" w:hAnsi="Times New Roman" w:cs="Times New Roman"/>
          <w:b/>
          <w:sz w:val="72"/>
          <w:highlight w:val="none"/>
        </w:rPr>
        <w:t>文</w:t>
      </w:r>
    </w:p>
    <w:p w14:paraId="07831964">
      <w:pPr>
        <w:spacing w:line="900" w:lineRule="exact"/>
        <w:jc w:val="center"/>
        <w:rPr>
          <w:rFonts w:ascii="Times New Roman" w:hAnsi="Times New Roman" w:cs="Times New Roman"/>
          <w:b/>
          <w:sz w:val="72"/>
          <w:highlight w:val="none"/>
        </w:rPr>
      </w:pPr>
    </w:p>
    <w:p w14:paraId="02F06796">
      <w:pPr>
        <w:jc w:val="center"/>
        <w:rPr>
          <w:rFonts w:ascii="Times New Roman" w:hAnsi="Times New Roman" w:cs="Times New Roman"/>
          <w:b/>
          <w:sz w:val="72"/>
          <w:highlight w:val="none"/>
        </w:rPr>
      </w:pPr>
      <w:r>
        <w:rPr>
          <w:rFonts w:ascii="Times New Roman" w:hAnsi="Times New Roman" w:cs="Times New Roman"/>
          <w:b/>
          <w:sz w:val="72"/>
          <w:highlight w:val="none"/>
        </w:rPr>
        <w:t>件</w:t>
      </w:r>
    </w:p>
    <w:p w14:paraId="0520296C">
      <w:pPr>
        <w:spacing w:after="156" w:afterLines="50" w:line="500" w:lineRule="exact"/>
        <w:jc w:val="center"/>
        <w:rPr>
          <w:rFonts w:ascii="Times New Roman" w:hAnsi="Times New Roman" w:cs="Times New Roman"/>
          <w:b/>
          <w:sz w:val="72"/>
          <w:highlight w:val="none"/>
        </w:rPr>
      </w:pPr>
    </w:p>
    <w:p w14:paraId="34C37E36">
      <w:pPr>
        <w:spacing w:after="156" w:afterLines="50" w:line="500" w:lineRule="exact"/>
        <w:jc w:val="center"/>
        <w:rPr>
          <w:rFonts w:ascii="Times New Roman" w:hAnsi="Times New Roman" w:cs="Times New Roman"/>
          <w:b/>
          <w:sz w:val="32"/>
          <w:highlight w:val="none"/>
          <w:u w:val="single"/>
        </w:rPr>
      </w:pPr>
      <w:r>
        <w:rPr>
          <w:rFonts w:ascii="Times New Roman" w:hAnsi="Times New Roman" w:cs="Times New Roman"/>
          <w:b/>
          <w:sz w:val="32"/>
          <w:highlight w:val="none"/>
        </w:rPr>
        <w:t>投标人：（加盖投标人公章）</w:t>
      </w:r>
    </w:p>
    <w:p w14:paraId="602F253E">
      <w:pPr>
        <w:spacing w:after="156" w:afterLines="50" w:line="500" w:lineRule="exact"/>
        <w:ind w:firstLine="2612" w:firstLineChars="813"/>
        <w:rPr>
          <w:rFonts w:ascii="Times New Roman" w:hAnsi="Times New Roman" w:cs="Times New Roman"/>
          <w:b/>
          <w:sz w:val="32"/>
          <w:highlight w:val="none"/>
        </w:rPr>
      </w:pPr>
      <w:r>
        <w:rPr>
          <w:rFonts w:ascii="Times New Roman" w:hAnsi="Times New Roman" w:cs="Times New Roman"/>
          <w:b/>
          <w:sz w:val="32"/>
          <w:highlight w:val="none"/>
        </w:rPr>
        <w:t>年</w:t>
      </w:r>
      <w:r>
        <w:rPr>
          <w:rFonts w:hint="eastAsia" w:ascii="Times New Roman" w:hAnsi="Times New Roman" w:cs="Times New Roman"/>
          <w:b/>
          <w:sz w:val="32"/>
          <w:highlight w:val="none"/>
          <w:lang w:val="en-US" w:eastAsia="zh-CN"/>
        </w:rPr>
        <w:t xml:space="preserve">   </w:t>
      </w:r>
      <w:r>
        <w:rPr>
          <w:rFonts w:ascii="Times New Roman" w:hAnsi="Times New Roman" w:cs="Times New Roman"/>
          <w:b/>
          <w:sz w:val="32"/>
          <w:highlight w:val="none"/>
        </w:rPr>
        <w:t>月</w:t>
      </w:r>
      <w:r>
        <w:rPr>
          <w:rFonts w:hint="eastAsia" w:ascii="Times New Roman" w:hAnsi="Times New Roman" w:cs="Times New Roman"/>
          <w:b/>
          <w:sz w:val="32"/>
          <w:highlight w:val="none"/>
          <w:lang w:val="en-US" w:eastAsia="zh-CN"/>
        </w:rPr>
        <w:t xml:space="preserve">   </w:t>
      </w:r>
      <w:r>
        <w:rPr>
          <w:rFonts w:ascii="Times New Roman" w:hAnsi="Times New Roman" w:cs="Times New Roman"/>
          <w:b/>
          <w:sz w:val="32"/>
          <w:highlight w:val="none"/>
        </w:rPr>
        <w:t>日</w:t>
      </w:r>
    </w:p>
    <w:p w14:paraId="762D4726">
      <w:pPr>
        <w:widowControl/>
        <w:jc w:val="left"/>
        <w:rPr>
          <w:rFonts w:ascii="Times New Roman" w:hAnsi="Times New Roman" w:cs="Times New Roman"/>
          <w:b/>
          <w:sz w:val="28"/>
          <w:highlight w:val="none"/>
        </w:rPr>
      </w:pPr>
      <w:r>
        <w:rPr>
          <w:rFonts w:ascii="Times New Roman" w:hAnsi="Times New Roman" w:cs="Times New Roman"/>
          <w:b/>
          <w:sz w:val="28"/>
          <w:highlight w:val="none"/>
        </w:rPr>
        <w:br w:type="page"/>
      </w:r>
    </w:p>
    <w:p w14:paraId="2D40A160">
      <w:pPr>
        <w:spacing w:line="360" w:lineRule="auto"/>
        <w:jc w:val="center"/>
        <w:outlineLvl w:val="2"/>
        <w:rPr>
          <w:rFonts w:ascii="宋体" w:hAnsi="宋体"/>
          <w:b/>
          <w:sz w:val="24"/>
          <w:highlight w:val="none"/>
        </w:rPr>
      </w:pPr>
      <w:bookmarkStart w:id="188" w:name="_Toc461056631"/>
      <w:bookmarkStart w:id="189" w:name="_Toc461053086"/>
      <w:bookmarkStart w:id="190" w:name="_Toc520983587"/>
      <w:r>
        <w:rPr>
          <w:rFonts w:hint="eastAsia" w:ascii="宋体" w:hAnsi="宋体"/>
          <w:b/>
          <w:sz w:val="24"/>
          <w:highlight w:val="none"/>
        </w:rPr>
        <w:t>一</w:t>
      </w:r>
      <w:bookmarkEnd w:id="188"/>
      <w:bookmarkEnd w:id="189"/>
      <w:r>
        <w:rPr>
          <w:rFonts w:hint="eastAsia" w:ascii="宋体" w:hAnsi="宋体"/>
          <w:b/>
          <w:sz w:val="24"/>
          <w:highlight w:val="none"/>
        </w:rPr>
        <w:t>、报价表格式</w:t>
      </w:r>
      <w:bookmarkEnd w:id="190"/>
    </w:p>
    <w:p w14:paraId="33B4EC83">
      <w:pPr>
        <w:spacing w:before="156" w:beforeLines="50" w:after="156" w:afterLines="50" w:line="360" w:lineRule="auto"/>
        <w:jc w:val="left"/>
        <w:rPr>
          <w:rFonts w:ascii="宋体" w:hAnsi="宋体"/>
          <w:b/>
          <w:sz w:val="24"/>
          <w:szCs w:val="28"/>
          <w:highlight w:val="none"/>
        </w:rPr>
      </w:pPr>
      <w:r>
        <w:rPr>
          <w:rFonts w:hint="eastAsia" w:ascii="宋体" w:hAnsi="宋体"/>
          <w:b/>
          <w:sz w:val="24"/>
          <w:szCs w:val="28"/>
          <w:highlight w:val="none"/>
        </w:rPr>
        <w:t>1-1报价表</w:t>
      </w:r>
    </w:p>
    <w:p w14:paraId="52A71FC2">
      <w:pPr>
        <w:snapToGrid w:val="0"/>
        <w:spacing w:line="360" w:lineRule="auto"/>
        <w:jc w:val="left"/>
        <w:rPr>
          <w:rFonts w:hint="eastAsia" w:ascii="宋体" w:hAnsi="宋体" w:eastAsia="宋体"/>
          <w:b/>
          <w:sz w:val="24"/>
          <w:szCs w:val="28"/>
          <w:highlight w:val="none"/>
          <w:lang w:eastAsia="zh-CN"/>
        </w:rPr>
      </w:pPr>
      <w:r>
        <w:rPr>
          <w:rFonts w:hint="eastAsia" w:ascii="宋体" w:hAnsi="宋体"/>
          <w:b/>
          <w:sz w:val="24"/>
          <w:szCs w:val="28"/>
          <w:highlight w:val="none"/>
        </w:rPr>
        <w:t>项目名称：</w:t>
      </w:r>
      <w:r>
        <w:rPr>
          <w:rFonts w:hint="eastAsia" w:ascii="宋体" w:hAnsi="宋体"/>
          <w:b/>
          <w:sz w:val="24"/>
          <w:szCs w:val="28"/>
          <w:highlight w:val="none"/>
          <w:u w:val="single"/>
          <w:lang w:eastAsia="zh-CN"/>
        </w:rPr>
        <w:t>合肥维尔健医学检验实验室有限公司试剂耗材采购</w:t>
      </w:r>
    </w:p>
    <w:p w14:paraId="26E31330">
      <w:pPr>
        <w:snapToGrid w:val="0"/>
        <w:spacing w:after="156" w:afterLines="50" w:line="360" w:lineRule="auto"/>
        <w:jc w:val="left"/>
        <w:rPr>
          <w:rFonts w:hint="eastAsia" w:ascii="宋体" w:hAnsi="宋体" w:eastAsia="宋体"/>
          <w:b/>
          <w:bCs/>
          <w:sz w:val="24"/>
          <w:szCs w:val="28"/>
          <w:highlight w:val="none"/>
          <w:u w:val="single"/>
          <w:lang w:eastAsia="zh-CN"/>
        </w:rPr>
      </w:pPr>
      <w:r>
        <w:rPr>
          <w:rFonts w:hint="eastAsia" w:ascii="宋体" w:hAnsi="宋体"/>
          <w:b/>
          <w:sz w:val="24"/>
          <w:szCs w:val="28"/>
          <w:highlight w:val="none"/>
        </w:rPr>
        <w:t>项目编号：</w:t>
      </w:r>
      <w:r>
        <w:rPr>
          <w:rFonts w:hint="eastAsia" w:ascii="宋体" w:hAnsi="宋体"/>
          <w:b/>
          <w:sz w:val="24"/>
          <w:szCs w:val="28"/>
          <w:highlight w:val="none"/>
          <w:u w:val="single"/>
          <w:lang w:val="en-US" w:eastAsia="zh-CN"/>
        </w:rPr>
        <w:t>BHSG-ZTB-2024-10</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103B5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noWrap w:val="0"/>
            <w:vAlign w:val="center"/>
          </w:tcPr>
          <w:p w14:paraId="3A83744C">
            <w:pPr>
              <w:spacing w:line="360" w:lineRule="auto"/>
              <w:jc w:val="center"/>
              <w:rPr>
                <w:rFonts w:ascii="宋体" w:hAnsi="宋体"/>
                <w:b/>
                <w:sz w:val="24"/>
                <w:highlight w:val="none"/>
              </w:rPr>
            </w:pPr>
            <w:r>
              <w:rPr>
                <w:rFonts w:hint="eastAsia" w:ascii="宋体" w:hAnsi="宋体"/>
                <w:b/>
                <w:sz w:val="24"/>
                <w:highlight w:val="none"/>
              </w:rPr>
              <w:t>投标人名称</w:t>
            </w:r>
          </w:p>
        </w:tc>
        <w:tc>
          <w:tcPr>
            <w:tcW w:w="6063" w:type="dxa"/>
            <w:tcBorders>
              <w:left w:val="single" w:color="auto" w:sz="4" w:space="0"/>
            </w:tcBorders>
            <w:noWrap w:val="0"/>
            <w:vAlign w:val="top"/>
          </w:tcPr>
          <w:p w14:paraId="39B3C36D">
            <w:pPr>
              <w:spacing w:line="360" w:lineRule="auto"/>
              <w:rPr>
                <w:rFonts w:ascii="宋体" w:hAnsi="宋体"/>
                <w:b/>
                <w:sz w:val="24"/>
                <w:highlight w:val="none"/>
              </w:rPr>
            </w:pPr>
          </w:p>
        </w:tc>
      </w:tr>
      <w:tr w14:paraId="6675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noWrap w:val="0"/>
            <w:vAlign w:val="center"/>
          </w:tcPr>
          <w:p w14:paraId="54FCD977">
            <w:pPr>
              <w:spacing w:line="360" w:lineRule="exact"/>
              <w:jc w:val="center"/>
              <w:rPr>
                <w:rFonts w:ascii="宋体" w:hAnsi="宋体"/>
                <w:b/>
                <w:sz w:val="24"/>
                <w:highlight w:val="none"/>
              </w:rPr>
            </w:pPr>
            <w:r>
              <w:rPr>
                <w:rFonts w:hint="eastAsia" w:ascii="宋体" w:hAnsi="宋体"/>
                <w:b/>
                <w:sz w:val="24"/>
                <w:highlight w:val="none"/>
              </w:rPr>
              <w:t>招标范围</w:t>
            </w:r>
          </w:p>
        </w:tc>
        <w:tc>
          <w:tcPr>
            <w:tcW w:w="6063" w:type="dxa"/>
            <w:tcBorders>
              <w:left w:val="single" w:color="auto" w:sz="4" w:space="0"/>
            </w:tcBorders>
            <w:noWrap w:val="0"/>
            <w:vAlign w:val="center"/>
          </w:tcPr>
          <w:p w14:paraId="60AB6D8F">
            <w:pPr>
              <w:widowControl/>
              <w:spacing w:line="360" w:lineRule="exact"/>
              <w:rPr>
                <w:rFonts w:hint="eastAsia" w:ascii="宋体" w:hAnsi="宋体" w:eastAsia="宋体"/>
                <w:b/>
                <w:sz w:val="24"/>
                <w:highlight w:val="none"/>
                <w:lang w:eastAsia="zh-CN"/>
              </w:rPr>
            </w:pPr>
            <w:r>
              <w:rPr>
                <w:rFonts w:hint="eastAsia" w:ascii="宋体" w:hAnsi="宋体"/>
                <w:sz w:val="24"/>
                <w:szCs w:val="28"/>
                <w:highlight w:val="none"/>
              </w:rPr>
              <w:t>全部</w:t>
            </w:r>
          </w:p>
        </w:tc>
      </w:tr>
      <w:tr w14:paraId="5BB8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noWrap w:val="0"/>
            <w:vAlign w:val="center"/>
          </w:tcPr>
          <w:p w14:paraId="4F8CC1D9">
            <w:pPr>
              <w:spacing w:line="360" w:lineRule="auto"/>
              <w:jc w:val="center"/>
              <w:rPr>
                <w:rFonts w:ascii="宋体" w:hAnsi="宋体"/>
                <w:b/>
                <w:sz w:val="24"/>
                <w:highlight w:val="none"/>
              </w:rPr>
            </w:pPr>
            <w:r>
              <w:rPr>
                <w:rFonts w:hint="eastAsia" w:ascii="宋体" w:hAnsi="宋体"/>
                <w:b/>
                <w:sz w:val="24"/>
                <w:highlight w:val="none"/>
              </w:rPr>
              <w:t>报价</w:t>
            </w:r>
          </w:p>
          <w:p w14:paraId="3876E7A0">
            <w:pPr>
              <w:spacing w:line="360" w:lineRule="auto"/>
              <w:jc w:val="center"/>
              <w:rPr>
                <w:rFonts w:ascii="宋体" w:hAnsi="宋体"/>
                <w:b/>
                <w:sz w:val="24"/>
                <w:highlight w:val="none"/>
              </w:rPr>
            </w:pPr>
            <w:r>
              <w:rPr>
                <w:rFonts w:hint="eastAsia" w:ascii="宋体" w:hAnsi="宋体"/>
                <w:b/>
                <w:sz w:val="24"/>
                <w:highlight w:val="none"/>
              </w:rPr>
              <w:t>（详见备注说明）</w:t>
            </w:r>
          </w:p>
        </w:tc>
        <w:tc>
          <w:tcPr>
            <w:tcW w:w="6063" w:type="dxa"/>
            <w:noWrap w:val="0"/>
            <w:vAlign w:val="center"/>
          </w:tcPr>
          <w:p w14:paraId="24F73D76">
            <w:pPr>
              <w:snapToGrid w:val="0"/>
              <w:spacing w:line="360" w:lineRule="auto"/>
              <w:rPr>
                <w:rFonts w:ascii="宋体" w:hAnsi="宋体"/>
                <w:sz w:val="24"/>
                <w:szCs w:val="28"/>
                <w:highlight w:val="none"/>
              </w:rPr>
            </w:pPr>
          </w:p>
          <w:p w14:paraId="24BB326C">
            <w:pPr>
              <w:snapToGrid w:val="0"/>
              <w:spacing w:line="360" w:lineRule="auto"/>
              <w:rPr>
                <w:rFonts w:hint="eastAsia" w:ascii="宋体" w:hAnsi="宋体" w:eastAsia="宋体"/>
                <w:bCs/>
                <w:sz w:val="24"/>
                <w:highlight w:val="none"/>
                <w:lang w:val="en-US" w:eastAsia="zh-CN"/>
              </w:rPr>
            </w:pPr>
            <w:r>
              <w:rPr>
                <w:rFonts w:hint="eastAsia" w:ascii="宋体" w:hAnsi="宋体"/>
                <w:bCs/>
                <w:sz w:val="24"/>
                <w:highlight w:val="none"/>
              </w:rPr>
              <w:t>人民币大写：</w:t>
            </w:r>
            <w:r>
              <w:rPr>
                <w:rFonts w:hint="eastAsia" w:ascii="宋体" w:hAnsi="宋体"/>
                <w:bCs/>
                <w:sz w:val="24"/>
                <w:highlight w:val="none"/>
                <w:u w:val="single"/>
                <w:lang w:val="en-US" w:eastAsia="zh-CN"/>
              </w:rPr>
              <w:t xml:space="preserve">                  </w:t>
            </w:r>
            <w:r>
              <w:rPr>
                <w:rFonts w:hint="eastAsia" w:ascii="宋体" w:hAnsi="宋体"/>
                <w:bCs/>
                <w:sz w:val="24"/>
                <w:highlight w:val="none"/>
                <w:u w:val="none"/>
                <w:lang w:val="en-US" w:eastAsia="zh-CN"/>
              </w:rPr>
              <w:t>元</w:t>
            </w:r>
          </w:p>
          <w:p w14:paraId="78D469CE">
            <w:pPr>
              <w:snapToGrid w:val="0"/>
              <w:spacing w:line="360" w:lineRule="auto"/>
              <w:rPr>
                <w:rFonts w:ascii="宋体" w:hAnsi="宋体"/>
                <w:b/>
                <w:sz w:val="24"/>
                <w:highlight w:val="none"/>
              </w:rPr>
            </w:pPr>
          </w:p>
        </w:tc>
      </w:tr>
      <w:tr w14:paraId="1732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noWrap w:val="0"/>
            <w:vAlign w:val="center"/>
          </w:tcPr>
          <w:p w14:paraId="4FD5C9FE">
            <w:pPr>
              <w:spacing w:line="360" w:lineRule="auto"/>
              <w:jc w:val="center"/>
              <w:rPr>
                <w:rFonts w:ascii="宋体" w:hAnsi="宋体"/>
                <w:b/>
                <w:sz w:val="24"/>
                <w:highlight w:val="none"/>
              </w:rPr>
            </w:pPr>
            <w:r>
              <w:rPr>
                <w:rFonts w:hint="eastAsia" w:ascii="宋体" w:hAnsi="宋体"/>
                <w:b/>
                <w:sz w:val="24"/>
                <w:highlight w:val="none"/>
              </w:rPr>
              <w:t>备注说明</w:t>
            </w:r>
          </w:p>
        </w:tc>
        <w:tc>
          <w:tcPr>
            <w:tcW w:w="6063" w:type="dxa"/>
            <w:noWrap w:val="0"/>
            <w:vAlign w:val="top"/>
          </w:tcPr>
          <w:p w14:paraId="7CF7016B">
            <w:pPr>
              <w:spacing w:line="360" w:lineRule="auto"/>
              <w:rPr>
                <w:rFonts w:ascii="宋体" w:hAnsi="宋体"/>
                <w:b/>
                <w:sz w:val="24"/>
                <w:highlight w:val="none"/>
              </w:rPr>
            </w:pPr>
          </w:p>
        </w:tc>
      </w:tr>
    </w:tbl>
    <w:p w14:paraId="49344F2A">
      <w:pPr>
        <w:spacing w:line="360" w:lineRule="auto"/>
        <w:ind w:firstLine="4560" w:firstLineChars="1900"/>
        <w:rPr>
          <w:rFonts w:hint="eastAsia" w:ascii="宋体" w:hAnsi="宋体" w:eastAsia="宋体"/>
          <w:sz w:val="24"/>
          <w:highlight w:val="none"/>
          <w:lang w:eastAsia="zh-CN"/>
        </w:rPr>
      </w:pPr>
      <w:r>
        <w:rPr>
          <w:rFonts w:hint="eastAsia" w:ascii="宋体" w:hAnsi="宋体"/>
          <w:sz w:val="24"/>
          <w:highlight w:val="none"/>
        </w:rPr>
        <w:t>投标人电子签章：</w:t>
      </w:r>
    </w:p>
    <w:p w14:paraId="34484732">
      <w:pPr>
        <w:spacing w:line="360" w:lineRule="auto"/>
        <w:ind w:firstLine="4560" w:firstLineChars="1900"/>
        <w:rPr>
          <w:rFonts w:hint="eastAsia" w:ascii="宋体" w:hAnsi="宋体" w:eastAsia="宋体"/>
          <w:sz w:val="24"/>
          <w:highlight w:val="none"/>
          <w:u w:val="single"/>
          <w:lang w:eastAsia="zh-CN"/>
        </w:rPr>
      </w:pPr>
      <w:r>
        <w:rPr>
          <w:rFonts w:hint="eastAsia" w:ascii="宋体" w:hAnsi="宋体"/>
          <w:sz w:val="24"/>
          <w:highlight w:val="none"/>
        </w:rPr>
        <w:t>日期：</w:t>
      </w:r>
    </w:p>
    <w:p w14:paraId="5C574A2A">
      <w:pPr>
        <w:adjustRightInd w:val="0"/>
        <w:snapToGrid w:val="0"/>
        <w:spacing w:line="360" w:lineRule="auto"/>
        <w:rPr>
          <w:rFonts w:ascii="宋体" w:hAnsi="宋体"/>
          <w:b/>
          <w:bCs/>
          <w:sz w:val="24"/>
          <w:szCs w:val="28"/>
          <w:highlight w:val="none"/>
        </w:rPr>
      </w:pPr>
      <w:r>
        <w:rPr>
          <w:rFonts w:hint="eastAsia" w:ascii="宋体" w:hAnsi="宋体"/>
          <w:b/>
          <w:bCs/>
          <w:sz w:val="24"/>
          <w:szCs w:val="28"/>
          <w:highlight w:val="none"/>
        </w:rPr>
        <w:t>注：</w:t>
      </w:r>
    </w:p>
    <w:p w14:paraId="612377AA">
      <w:pPr>
        <w:numPr>
          <w:ilvl w:val="0"/>
          <w:numId w:val="4"/>
        </w:numPr>
        <w:adjustRightInd w:val="0"/>
        <w:snapToGrid w:val="0"/>
        <w:spacing w:line="360" w:lineRule="auto"/>
        <w:ind w:firstLine="482" w:firstLineChars="200"/>
        <w:rPr>
          <w:rFonts w:ascii="宋体" w:hAnsi="宋体"/>
          <w:b/>
          <w:bCs/>
          <w:sz w:val="24"/>
          <w:highlight w:val="none"/>
        </w:rPr>
      </w:pPr>
      <w:r>
        <w:rPr>
          <w:rFonts w:hint="eastAsia" w:ascii="宋体" w:hAnsi="宋体"/>
          <w:b/>
          <w:bCs/>
          <w:sz w:val="24"/>
          <w:highlight w:val="none"/>
        </w:rPr>
        <w:t>此表用于开标唱标之用。</w:t>
      </w:r>
    </w:p>
    <w:p w14:paraId="6DBE77DA">
      <w:pPr>
        <w:numPr>
          <w:ilvl w:val="0"/>
          <w:numId w:val="4"/>
        </w:numPr>
        <w:adjustRightInd w:val="0"/>
        <w:snapToGrid w:val="0"/>
        <w:spacing w:line="360" w:lineRule="auto"/>
        <w:ind w:firstLine="482" w:firstLineChars="200"/>
        <w:rPr>
          <w:rFonts w:ascii="宋体" w:hAnsi="宋体"/>
          <w:sz w:val="24"/>
          <w:highlight w:val="none"/>
        </w:rPr>
      </w:pPr>
      <w:r>
        <w:rPr>
          <w:rFonts w:hint="eastAsia" w:ascii="宋体" w:hAnsi="宋体"/>
          <w:b/>
          <w:bCs/>
          <w:sz w:val="24"/>
          <w:szCs w:val="28"/>
          <w:highlight w:val="none"/>
        </w:rPr>
        <w:t>本表内容根据招标文件要求包括了服务及其配套的设计、采购、制造、检测、试验、运输、保险、仓储、税费以及现场落地、安装及安装耗损、调试、验收、培训、技术服务（包括技术资料、图纸的提供）质保期内的售后服务保障等所有费用。</w:t>
      </w:r>
    </w:p>
    <w:p w14:paraId="7F10F7C4">
      <w:pPr>
        <w:adjustRightInd w:val="0"/>
        <w:snapToGrid w:val="0"/>
        <w:spacing w:line="360" w:lineRule="auto"/>
        <w:ind w:firstLine="482" w:firstLineChars="200"/>
        <w:rPr>
          <w:rFonts w:ascii="宋体" w:hAnsi="宋体"/>
          <w:b/>
          <w:bCs/>
          <w:sz w:val="24"/>
          <w:szCs w:val="28"/>
          <w:highlight w:val="none"/>
        </w:rPr>
      </w:pPr>
      <w:r>
        <w:rPr>
          <w:rFonts w:hint="eastAsia" w:ascii="宋体" w:hAnsi="宋体"/>
          <w:b/>
          <w:bCs/>
          <w:sz w:val="24"/>
          <w:szCs w:val="28"/>
          <w:highlight w:val="none"/>
        </w:rPr>
        <w:t>3.特殊事项在备注中注明。</w:t>
      </w:r>
    </w:p>
    <w:p w14:paraId="0D6F2CD4">
      <w:pPr>
        <w:spacing w:line="360" w:lineRule="auto"/>
        <w:rPr>
          <w:rFonts w:ascii="宋体" w:hAnsi="宋体"/>
          <w:b/>
          <w:sz w:val="24"/>
          <w:highlight w:val="none"/>
        </w:rPr>
      </w:pPr>
    </w:p>
    <w:p w14:paraId="4224904A">
      <w:pPr>
        <w:spacing w:before="156" w:beforeLines="50" w:after="156" w:afterLines="50" w:line="360" w:lineRule="auto"/>
        <w:jc w:val="left"/>
        <w:rPr>
          <w:rFonts w:ascii="宋体" w:hAnsi="宋体"/>
          <w:b/>
          <w:sz w:val="24"/>
          <w:szCs w:val="28"/>
          <w:highlight w:val="none"/>
        </w:rPr>
      </w:pPr>
      <w:r>
        <w:rPr>
          <w:rFonts w:hint="eastAsia" w:ascii="宋体" w:hAnsi="宋体"/>
          <w:b/>
          <w:sz w:val="24"/>
          <w:szCs w:val="28"/>
          <w:highlight w:val="none"/>
        </w:rPr>
        <w:t>1-2分项报价明细表</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4446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noWrap w:val="0"/>
            <w:vAlign w:val="center"/>
          </w:tcPr>
          <w:p w14:paraId="6A8AA7A8">
            <w:pPr>
              <w:pStyle w:val="18"/>
              <w:widowControl w:val="0"/>
              <w:spacing w:before="0" w:beforeAutospacing="0" w:after="0" w:afterAutospacing="0"/>
              <w:rPr>
                <w:rFonts w:ascii="宋体" w:hAnsi="宋体"/>
                <w:bCs w:val="0"/>
                <w:kern w:val="2"/>
                <w:sz w:val="24"/>
                <w:szCs w:val="20"/>
                <w:highlight w:val="none"/>
              </w:rPr>
            </w:pPr>
            <w:r>
              <w:rPr>
                <w:rFonts w:hint="eastAsia" w:ascii="宋体" w:hAnsi="宋体"/>
                <w:bCs w:val="0"/>
                <w:kern w:val="2"/>
                <w:sz w:val="24"/>
                <w:szCs w:val="20"/>
                <w:highlight w:val="none"/>
              </w:rPr>
              <w:t>序号</w:t>
            </w:r>
          </w:p>
        </w:tc>
        <w:tc>
          <w:tcPr>
            <w:tcW w:w="1323" w:type="dxa"/>
            <w:noWrap w:val="0"/>
            <w:vAlign w:val="center"/>
          </w:tcPr>
          <w:p w14:paraId="5D8DEE9C">
            <w:pPr>
              <w:jc w:val="center"/>
              <w:rPr>
                <w:rFonts w:ascii="宋体" w:hAnsi="宋体"/>
                <w:b/>
                <w:sz w:val="24"/>
                <w:highlight w:val="none"/>
              </w:rPr>
            </w:pPr>
            <w:r>
              <w:rPr>
                <w:rFonts w:hint="eastAsia" w:ascii="宋体" w:hAnsi="宋体"/>
                <w:b/>
                <w:sz w:val="24"/>
                <w:highlight w:val="none"/>
              </w:rPr>
              <w:t>货物名称</w:t>
            </w:r>
          </w:p>
        </w:tc>
        <w:tc>
          <w:tcPr>
            <w:tcW w:w="1318" w:type="dxa"/>
            <w:noWrap w:val="0"/>
            <w:vAlign w:val="center"/>
          </w:tcPr>
          <w:p w14:paraId="25D6ED78">
            <w:pPr>
              <w:jc w:val="center"/>
              <w:rPr>
                <w:rFonts w:ascii="宋体" w:hAnsi="宋体"/>
                <w:b/>
                <w:sz w:val="24"/>
                <w:highlight w:val="none"/>
              </w:rPr>
            </w:pPr>
            <w:r>
              <w:rPr>
                <w:rFonts w:hint="eastAsia" w:ascii="宋体" w:hAnsi="宋体"/>
                <w:b/>
                <w:sz w:val="24"/>
                <w:highlight w:val="none"/>
              </w:rPr>
              <w:t>品牌、型</w:t>
            </w:r>
          </w:p>
          <w:p w14:paraId="7CB6DB8D">
            <w:pPr>
              <w:jc w:val="center"/>
              <w:rPr>
                <w:rFonts w:ascii="宋体" w:hAnsi="宋体"/>
                <w:b/>
                <w:sz w:val="24"/>
                <w:highlight w:val="none"/>
              </w:rPr>
            </w:pPr>
            <w:r>
              <w:rPr>
                <w:rFonts w:hint="eastAsia" w:ascii="宋体" w:hAnsi="宋体"/>
                <w:b/>
                <w:sz w:val="24"/>
                <w:highlight w:val="none"/>
              </w:rPr>
              <w:t>号规格</w:t>
            </w:r>
          </w:p>
        </w:tc>
        <w:tc>
          <w:tcPr>
            <w:tcW w:w="1318" w:type="dxa"/>
            <w:noWrap w:val="0"/>
            <w:vAlign w:val="center"/>
          </w:tcPr>
          <w:p w14:paraId="6C861BC5">
            <w:pPr>
              <w:jc w:val="center"/>
              <w:rPr>
                <w:rFonts w:ascii="宋体" w:hAnsi="宋体"/>
                <w:b/>
                <w:sz w:val="24"/>
                <w:highlight w:val="none"/>
              </w:rPr>
            </w:pPr>
            <w:r>
              <w:rPr>
                <w:rFonts w:hint="eastAsia" w:ascii="宋体" w:hAnsi="宋体"/>
                <w:b/>
                <w:sz w:val="24"/>
                <w:highlight w:val="none"/>
              </w:rPr>
              <w:t>原产地及</w:t>
            </w:r>
          </w:p>
          <w:p w14:paraId="4292E0B8">
            <w:pPr>
              <w:jc w:val="center"/>
              <w:rPr>
                <w:rFonts w:ascii="宋体" w:hAnsi="宋体"/>
                <w:b/>
                <w:sz w:val="24"/>
                <w:highlight w:val="none"/>
              </w:rPr>
            </w:pPr>
            <w:r>
              <w:rPr>
                <w:rFonts w:hint="eastAsia" w:ascii="宋体" w:hAnsi="宋体"/>
                <w:b/>
                <w:sz w:val="24"/>
                <w:highlight w:val="none"/>
              </w:rPr>
              <w:t>生产厂商</w:t>
            </w:r>
          </w:p>
        </w:tc>
        <w:tc>
          <w:tcPr>
            <w:tcW w:w="672" w:type="dxa"/>
            <w:noWrap w:val="0"/>
            <w:vAlign w:val="center"/>
          </w:tcPr>
          <w:p w14:paraId="29421897">
            <w:pPr>
              <w:jc w:val="center"/>
              <w:rPr>
                <w:rFonts w:ascii="宋体" w:hAnsi="宋体"/>
                <w:b/>
                <w:sz w:val="24"/>
                <w:highlight w:val="none"/>
              </w:rPr>
            </w:pPr>
            <w:r>
              <w:rPr>
                <w:rFonts w:hint="eastAsia" w:ascii="宋体" w:hAnsi="宋体"/>
                <w:b/>
                <w:sz w:val="24"/>
                <w:highlight w:val="none"/>
              </w:rPr>
              <w:t>单位</w:t>
            </w:r>
          </w:p>
        </w:tc>
        <w:tc>
          <w:tcPr>
            <w:tcW w:w="672" w:type="dxa"/>
            <w:noWrap w:val="0"/>
            <w:vAlign w:val="center"/>
          </w:tcPr>
          <w:p w14:paraId="44B7116D">
            <w:pPr>
              <w:jc w:val="center"/>
              <w:rPr>
                <w:rFonts w:ascii="宋体" w:hAnsi="宋体"/>
                <w:b/>
                <w:sz w:val="24"/>
                <w:highlight w:val="none"/>
              </w:rPr>
            </w:pPr>
            <w:r>
              <w:rPr>
                <w:rFonts w:hint="eastAsia" w:ascii="宋体" w:hAnsi="宋体"/>
                <w:b/>
                <w:sz w:val="24"/>
                <w:highlight w:val="none"/>
              </w:rPr>
              <w:t>数量</w:t>
            </w:r>
          </w:p>
        </w:tc>
        <w:tc>
          <w:tcPr>
            <w:tcW w:w="939" w:type="dxa"/>
            <w:noWrap w:val="0"/>
            <w:vAlign w:val="center"/>
          </w:tcPr>
          <w:p w14:paraId="38817DBF">
            <w:pPr>
              <w:jc w:val="center"/>
              <w:rPr>
                <w:rFonts w:ascii="宋体" w:hAnsi="宋体"/>
                <w:b/>
                <w:sz w:val="24"/>
                <w:highlight w:val="none"/>
              </w:rPr>
            </w:pPr>
            <w:r>
              <w:rPr>
                <w:rFonts w:hint="eastAsia" w:ascii="宋体" w:hAnsi="宋体"/>
                <w:b/>
                <w:sz w:val="24"/>
                <w:highlight w:val="none"/>
              </w:rPr>
              <w:t>单价</w:t>
            </w:r>
          </w:p>
          <w:p w14:paraId="2C3224C7">
            <w:pPr>
              <w:jc w:val="center"/>
              <w:rPr>
                <w:rFonts w:ascii="宋体" w:hAnsi="宋体"/>
                <w:b/>
                <w:sz w:val="24"/>
                <w:highlight w:val="none"/>
              </w:rPr>
            </w:pPr>
            <w:r>
              <w:rPr>
                <w:rFonts w:hint="eastAsia" w:ascii="宋体" w:hAnsi="宋体"/>
                <w:b/>
                <w:sz w:val="24"/>
                <w:highlight w:val="none"/>
              </w:rPr>
              <w:t>（元）</w:t>
            </w:r>
          </w:p>
        </w:tc>
        <w:tc>
          <w:tcPr>
            <w:tcW w:w="939" w:type="dxa"/>
            <w:noWrap w:val="0"/>
            <w:vAlign w:val="center"/>
          </w:tcPr>
          <w:p w14:paraId="663EBBA4">
            <w:pPr>
              <w:jc w:val="center"/>
              <w:rPr>
                <w:rFonts w:ascii="宋体" w:hAnsi="宋体"/>
                <w:b/>
                <w:sz w:val="24"/>
                <w:highlight w:val="none"/>
              </w:rPr>
            </w:pPr>
            <w:r>
              <w:rPr>
                <w:rFonts w:hint="eastAsia" w:ascii="宋体" w:hAnsi="宋体"/>
                <w:b/>
                <w:sz w:val="24"/>
                <w:highlight w:val="none"/>
              </w:rPr>
              <w:t>小计</w:t>
            </w:r>
          </w:p>
          <w:p w14:paraId="2608B86D">
            <w:pPr>
              <w:jc w:val="center"/>
              <w:rPr>
                <w:rFonts w:ascii="宋体" w:hAnsi="宋体"/>
                <w:b/>
                <w:sz w:val="24"/>
                <w:highlight w:val="none"/>
              </w:rPr>
            </w:pPr>
            <w:r>
              <w:rPr>
                <w:rFonts w:hint="eastAsia" w:ascii="宋体" w:hAnsi="宋体"/>
                <w:b/>
                <w:sz w:val="24"/>
                <w:highlight w:val="none"/>
              </w:rPr>
              <w:t>（元）</w:t>
            </w:r>
          </w:p>
        </w:tc>
        <w:tc>
          <w:tcPr>
            <w:tcW w:w="670" w:type="dxa"/>
            <w:noWrap w:val="0"/>
            <w:vAlign w:val="center"/>
          </w:tcPr>
          <w:p w14:paraId="3E30ED69">
            <w:pPr>
              <w:jc w:val="center"/>
              <w:rPr>
                <w:rFonts w:ascii="宋体" w:hAnsi="宋体"/>
                <w:b/>
                <w:sz w:val="24"/>
                <w:highlight w:val="none"/>
              </w:rPr>
            </w:pPr>
            <w:r>
              <w:rPr>
                <w:rFonts w:hint="eastAsia" w:ascii="宋体" w:hAnsi="宋体"/>
                <w:b/>
                <w:sz w:val="24"/>
                <w:highlight w:val="none"/>
              </w:rPr>
              <w:t>备注</w:t>
            </w:r>
          </w:p>
        </w:tc>
      </w:tr>
      <w:tr w14:paraId="333F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Borders>
              <w:bottom w:val="single" w:color="auto" w:sz="4" w:space="0"/>
            </w:tcBorders>
            <w:noWrap w:val="0"/>
            <w:vAlign w:val="top"/>
          </w:tcPr>
          <w:p w14:paraId="7350DD91">
            <w:pPr>
              <w:jc w:val="center"/>
              <w:rPr>
                <w:rFonts w:ascii="宋体" w:hAnsi="宋体"/>
                <w:sz w:val="24"/>
                <w:highlight w:val="none"/>
              </w:rPr>
            </w:pPr>
            <w:r>
              <w:rPr>
                <w:rFonts w:hint="eastAsia" w:ascii="宋体" w:hAnsi="宋体"/>
                <w:sz w:val="24"/>
                <w:highlight w:val="none"/>
              </w:rPr>
              <w:t>1</w:t>
            </w:r>
          </w:p>
        </w:tc>
        <w:tc>
          <w:tcPr>
            <w:tcW w:w="1323" w:type="dxa"/>
            <w:noWrap w:val="0"/>
            <w:vAlign w:val="top"/>
          </w:tcPr>
          <w:p w14:paraId="6457B987">
            <w:pPr>
              <w:rPr>
                <w:rFonts w:ascii="宋体" w:hAnsi="宋体"/>
                <w:sz w:val="24"/>
                <w:highlight w:val="none"/>
              </w:rPr>
            </w:pPr>
          </w:p>
        </w:tc>
        <w:tc>
          <w:tcPr>
            <w:tcW w:w="1318" w:type="dxa"/>
            <w:noWrap w:val="0"/>
            <w:vAlign w:val="top"/>
          </w:tcPr>
          <w:p w14:paraId="3E32F6BE">
            <w:pPr>
              <w:rPr>
                <w:rFonts w:ascii="宋体" w:hAnsi="宋体"/>
                <w:sz w:val="24"/>
                <w:highlight w:val="none"/>
              </w:rPr>
            </w:pPr>
          </w:p>
        </w:tc>
        <w:tc>
          <w:tcPr>
            <w:tcW w:w="1318" w:type="dxa"/>
            <w:noWrap w:val="0"/>
            <w:vAlign w:val="top"/>
          </w:tcPr>
          <w:p w14:paraId="5F33A53A">
            <w:pPr>
              <w:rPr>
                <w:rFonts w:ascii="宋体" w:hAnsi="宋体"/>
                <w:sz w:val="24"/>
                <w:highlight w:val="none"/>
              </w:rPr>
            </w:pPr>
          </w:p>
        </w:tc>
        <w:tc>
          <w:tcPr>
            <w:tcW w:w="672" w:type="dxa"/>
            <w:noWrap w:val="0"/>
            <w:vAlign w:val="top"/>
          </w:tcPr>
          <w:p w14:paraId="563C82BB">
            <w:pPr>
              <w:rPr>
                <w:rFonts w:ascii="宋体" w:hAnsi="宋体"/>
                <w:sz w:val="24"/>
                <w:highlight w:val="none"/>
              </w:rPr>
            </w:pPr>
          </w:p>
        </w:tc>
        <w:tc>
          <w:tcPr>
            <w:tcW w:w="672" w:type="dxa"/>
            <w:noWrap w:val="0"/>
            <w:vAlign w:val="top"/>
          </w:tcPr>
          <w:p w14:paraId="167D6DC4">
            <w:pPr>
              <w:rPr>
                <w:rFonts w:ascii="宋体" w:hAnsi="宋体"/>
                <w:sz w:val="24"/>
                <w:highlight w:val="none"/>
              </w:rPr>
            </w:pPr>
          </w:p>
        </w:tc>
        <w:tc>
          <w:tcPr>
            <w:tcW w:w="939" w:type="dxa"/>
            <w:noWrap w:val="0"/>
            <w:vAlign w:val="top"/>
          </w:tcPr>
          <w:p w14:paraId="649D2C31">
            <w:pPr>
              <w:rPr>
                <w:rFonts w:ascii="宋体" w:hAnsi="宋体"/>
                <w:sz w:val="24"/>
                <w:highlight w:val="none"/>
              </w:rPr>
            </w:pPr>
          </w:p>
        </w:tc>
        <w:tc>
          <w:tcPr>
            <w:tcW w:w="939" w:type="dxa"/>
            <w:noWrap w:val="0"/>
            <w:vAlign w:val="top"/>
          </w:tcPr>
          <w:p w14:paraId="74846C5F">
            <w:pPr>
              <w:rPr>
                <w:rFonts w:ascii="宋体" w:hAnsi="宋体"/>
                <w:sz w:val="24"/>
                <w:highlight w:val="none"/>
              </w:rPr>
            </w:pPr>
          </w:p>
        </w:tc>
        <w:tc>
          <w:tcPr>
            <w:tcW w:w="670" w:type="dxa"/>
            <w:noWrap w:val="0"/>
            <w:vAlign w:val="top"/>
          </w:tcPr>
          <w:p w14:paraId="4690AFAF">
            <w:pPr>
              <w:rPr>
                <w:rFonts w:ascii="宋体" w:hAnsi="宋体"/>
                <w:sz w:val="24"/>
                <w:highlight w:val="none"/>
              </w:rPr>
            </w:pPr>
          </w:p>
        </w:tc>
      </w:tr>
      <w:tr w14:paraId="7DAAC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noWrap w:val="0"/>
            <w:vAlign w:val="top"/>
          </w:tcPr>
          <w:p w14:paraId="11F558EC">
            <w:pPr>
              <w:jc w:val="center"/>
              <w:rPr>
                <w:rFonts w:ascii="宋体" w:hAnsi="宋体"/>
                <w:sz w:val="24"/>
                <w:highlight w:val="none"/>
              </w:rPr>
            </w:pPr>
            <w:r>
              <w:rPr>
                <w:rFonts w:hint="eastAsia" w:ascii="宋体" w:hAnsi="宋体"/>
                <w:sz w:val="24"/>
                <w:highlight w:val="none"/>
              </w:rPr>
              <w:t>2</w:t>
            </w:r>
          </w:p>
        </w:tc>
        <w:tc>
          <w:tcPr>
            <w:tcW w:w="1323" w:type="dxa"/>
            <w:noWrap w:val="0"/>
            <w:vAlign w:val="top"/>
          </w:tcPr>
          <w:p w14:paraId="212964FE">
            <w:pPr>
              <w:rPr>
                <w:rFonts w:ascii="宋体" w:hAnsi="宋体"/>
                <w:sz w:val="24"/>
                <w:highlight w:val="none"/>
              </w:rPr>
            </w:pPr>
          </w:p>
        </w:tc>
        <w:tc>
          <w:tcPr>
            <w:tcW w:w="1318" w:type="dxa"/>
            <w:noWrap w:val="0"/>
            <w:vAlign w:val="top"/>
          </w:tcPr>
          <w:p w14:paraId="55DEB93B">
            <w:pPr>
              <w:rPr>
                <w:rFonts w:ascii="宋体" w:hAnsi="宋体"/>
                <w:sz w:val="24"/>
                <w:highlight w:val="none"/>
              </w:rPr>
            </w:pPr>
          </w:p>
        </w:tc>
        <w:tc>
          <w:tcPr>
            <w:tcW w:w="1318" w:type="dxa"/>
            <w:noWrap w:val="0"/>
            <w:vAlign w:val="top"/>
          </w:tcPr>
          <w:p w14:paraId="3D868050">
            <w:pPr>
              <w:rPr>
                <w:rFonts w:ascii="宋体" w:hAnsi="宋体"/>
                <w:sz w:val="24"/>
                <w:highlight w:val="none"/>
              </w:rPr>
            </w:pPr>
          </w:p>
        </w:tc>
        <w:tc>
          <w:tcPr>
            <w:tcW w:w="672" w:type="dxa"/>
            <w:noWrap w:val="0"/>
            <w:vAlign w:val="top"/>
          </w:tcPr>
          <w:p w14:paraId="2F241BF5">
            <w:pPr>
              <w:rPr>
                <w:rFonts w:ascii="宋体" w:hAnsi="宋体"/>
                <w:sz w:val="24"/>
                <w:highlight w:val="none"/>
              </w:rPr>
            </w:pPr>
          </w:p>
        </w:tc>
        <w:tc>
          <w:tcPr>
            <w:tcW w:w="672" w:type="dxa"/>
            <w:noWrap w:val="0"/>
            <w:vAlign w:val="top"/>
          </w:tcPr>
          <w:p w14:paraId="16B11AA5">
            <w:pPr>
              <w:rPr>
                <w:rFonts w:ascii="宋体" w:hAnsi="宋体"/>
                <w:sz w:val="24"/>
                <w:highlight w:val="none"/>
              </w:rPr>
            </w:pPr>
          </w:p>
        </w:tc>
        <w:tc>
          <w:tcPr>
            <w:tcW w:w="939" w:type="dxa"/>
            <w:noWrap w:val="0"/>
            <w:vAlign w:val="top"/>
          </w:tcPr>
          <w:p w14:paraId="00C3AE05">
            <w:pPr>
              <w:rPr>
                <w:rFonts w:ascii="宋体" w:hAnsi="宋体"/>
                <w:sz w:val="24"/>
                <w:highlight w:val="none"/>
              </w:rPr>
            </w:pPr>
          </w:p>
        </w:tc>
        <w:tc>
          <w:tcPr>
            <w:tcW w:w="939" w:type="dxa"/>
            <w:noWrap w:val="0"/>
            <w:vAlign w:val="top"/>
          </w:tcPr>
          <w:p w14:paraId="4DC6635B">
            <w:pPr>
              <w:rPr>
                <w:rFonts w:ascii="宋体" w:hAnsi="宋体"/>
                <w:sz w:val="24"/>
                <w:highlight w:val="none"/>
              </w:rPr>
            </w:pPr>
          </w:p>
        </w:tc>
        <w:tc>
          <w:tcPr>
            <w:tcW w:w="670" w:type="dxa"/>
            <w:noWrap w:val="0"/>
            <w:vAlign w:val="top"/>
          </w:tcPr>
          <w:p w14:paraId="5AEA777F">
            <w:pPr>
              <w:rPr>
                <w:rFonts w:ascii="宋体" w:hAnsi="宋体"/>
                <w:sz w:val="24"/>
                <w:highlight w:val="none"/>
              </w:rPr>
            </w:pPr>
          </w:p>
        </w:tc>
      </w:tr>
      <w:tr w14:paraId="36D4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noWrap w:val="0"/>
            <w:vAlign w:val="top"/>
          </w:tcPr>
          <w:p w14:paraId="6A97F9AE">
            <w:pPr>
              <w:jc w:val="center"/>
              <w:rPr>
                <w:rFonts w:ascii="宋体" w:hAnsi="宋体"/>
                <w:sz w:val="24"/>
                <w:highlight w:val="none"/>
              </w:rPr>
            </w:pPr>
            <w:r>
              <w:rPr>
                <w:rFonts w:hint="eastAsia" w:ascii="宋体" w:hAnsi="宋体"/>
                <w:sz w:val="24"/>
                <w:highlight w:val="none"/>
              </w:rPr>
              <w:t>3</w:t>
            </w:r>
          </w:p>
        </w:tc>
        <w:tc>
          <w:tcPr>
            <w:tcW w:w="1323" w:type="dxa"/>
            <w:noWrap w:val="0"/>
            <w:vAlign w:val="top"/>
          </w:tcPr>
          <w:p w14:paraId="30AC271F">
            <w:pPr>
              <w:rPr>
                <w:rFonts w:ascii="宋体" w:hAnsi="宋体"/>
                <w:sz w:val="24"/>
                <w:highlight w:val="none"/>
              </w:rPr>
            </w:pPr>
          </w:p>
        </w:tc>
        <w:tc>
          <w:tcPr>
            <w:tcW w:w="1318" w:type="dxa"/>
            <w:noWrap w:val="0"/>
            <w:vAlign w:val="top"/>
          </w:tcPr>
          <w:p w14:paraId="19B58601">
            <w:pPr>
              <w:rPr>
                <w:rFonts w:ascii="宋体" w:hAnsi="宋体"/>
                <w:sz w:val="24"/>
                <w:highlight w:val="none"/>
              </w:rPr>
            </w:pPr>
          </w:p>
        </w:tc>
        <w:tc>
          <w:tcPr>
            <w:tcW w:w="1318" w:type="dxa"/>
            <w:noWrap w:val="0"/>
            <w:vAlign w:val="top"/>
          </w:tcPr>
          <w:p w14:paraId="007BBE78">
            <w:pPr>
              <w:rPr>
                <w:rFonts w:ascii="宋体" w:hAnsi="宋体"/>
                <w:sz w:val="24"/>
                <w:highlight w:val="none"/>
              </w:rPr>
            </w:pPr>
          </w:p>
        </w:tc>
        <w:tc>
          <w:tcPr>
            <w:tcW w:w="672" w:type="dxa"/>
            <w:noWrap w:val="0"/>
            <w:vAlign w:val="top"/>
          </w:tcPr>
          <w:p w14:paraId="217A2D9D">
            <w:pPr>
              <w:rPr>
                <w:rFonts w:ascii="宋体" w:hAnsi="宋体"/>
                <w:sz w:val="24"/>
                <w:highlight w:val="none"/>
              </w:rPr>
            </w:pPr>
          </w:p>
        </w:tc>
        <w:tc>
          <w:tcPr>
            <w:tcW w:w="672" w:type="dxa"/>
            <w:noWrap w:val="0"/>
            <w:vAlign w:val="top"/>
          </w:tcPr>
          <w:p w14:paraId="14FC464E">
            <w:pPr>
              <w:rPr>
                <w:rFonts w:ascii="宋体" w:hAnsi="宋体"/>
                <w:sz w:val="24"/>
                <w:highlight w:val="none"/>
              </w:rPr>
            </w:pPr>
          </w:p>
        </w:tc>
        <w:tc>
          <w:tcPr>
            <w:tcW w:w="939" w:type="dxa"/>
            <w:noWrap w:val="0"/>
            <w:vAlign w:val="top"/>
          </w:tcPr>
          <w:p w14:paraId="0E73D69F">
            <w:pPr>
              <w:rPr>
                <w:rFonts w:ascii="宋体" w:hAnsi="宋体"/>
                <w:sz w:val="24"/>
                <w:highlight w:val="none"/>
              </w:rPr>
            </w:pPr>
          </w:p>
        </w:tc>
        <w:tc>
          <w:tcPr>
            <w:tcW w:w="939" w:type="dxa"/>
            <w:noWrap w:val="0"/>
            <w:vAlign w:val="top"/>
          </w:tcPr>
          <w:p w14:paraId="6AA348F4">
            <w:pPr>
              <w:rPr>
                <w:rFonts w:ascii="宋体" w:hAnsi="宋体"/>
                <w:sz w:val="24"/>
                <w:highlight w:val="none"/>
              </w:rPr>
            </w:pPr>
          </w:p>
        </w:tc>
        <w:tc>
          <w:tcPr>
            <w:tcW w:w="670" w:type="dxa"/>
            <w:noWrap w:val="0"/>
            <w:vAlign w:val="top"/>
          </w:tcPr>
          <w:p w14:paraId="6FE5DF85">
            <w:pPr>
              <w:rPr>
                <w:rFonts w:ascii="宋体" w:hAnsi="宋体"/>
                <w:sz w:val="24"/>
                <w:highlight w:val="none"/>
              </w:rPr>
            </w:pPr>
          </w:p>
        </w:tc>
      </w:tr>
      <w:tr w14:paraId="662D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noWrap w:val="0"/>
            <w:vAlign w:val="top"/>
          </w:tcPr>
          <w:p w14:paraId="523AF36E">
            <w:pPr>
              <w:jc w:val="center"/>
              <w:rPr>
                <w:rFonts w:ascii="宋体" w:hAnsi="宋体"/>
                <w:sz w:val="24"/>
                <w:highlight w:val="none"/>
              </w:rPr>
            </w:pPr>
            <w:r>
              <w:rPr>
                <w:rFonts w:hint="eastAsia" w:ascii="宋体" w:hAnsi="宋体"/>
                <w:sz w:val="24"/>
                <w:highlight w:val="none"/>
              </w:rPr>
              <w:t>4</w:t>
            </w:r>
          </w:p>
        </w:tc>
        <w:tc>
          <w:tcPr>
            <w:tcW w:w="1323" w:type="dxa"/>
            <w:noWrap w:val="0"/>
            <w:vAlign w:val="top"/>
          </w:tcPr>
          <w:p w14:paraId="77123F36">
            <w:pPr>
              <w:rPr>
                <w:rFonts w:ascii="宋体" w:hAnsi="宋体"/>
                <w:sz w:val="24"/>
                <w:highlight w:val="none"/>
              </w:rPr>
            </w:pPr>
          </w:p>
        </w:tc>
        <w:tc>
          <w:tcPr>
            <w:tcW w:w="1318" w:type="dxa"/>
            <w:noWrap w:val="0"/>
            <w:vAlign w:val="top"/>
          </w:tcPr>
          <w:p w14:paraId="713DF0A8">
            <w:pPr>
              <w:rPr>
                <w:rFonts w:ascii="宋体" w:hAnsi="宋体"/>
                <w:sz w:val="24"/>
                <w:highlight w:val="none"/>
              </w:rPr>
            </w:pPr>
          </w:p>
        </w:tc>
        <w:tc>
          <w:tcPr>
            <w:tcW w:w="1318" w:type="dxa"/>
            <w:noWrap w:val="0"/>
            <w:vAlign w:val="top"/>
          </w:tcPr>
          <w:p w14:paraId="0E743BF5">
            <w:pPr>
              <w:rPr>
                <w:rFonts w:ascii="宋体" w:hAnsi="宋体"/>
                <w:sz w:val="24"/>
                <w:highlight w:val="none"/>
              </w:rPr>
            </w:pPr>
          </w:p>
        </w:tc>
        <w:tc>
          <w:tcPr>
            <w:tcW w:w="672" w:type="dxa"/>
            <w:noWrap w:val="0"/>
            <w:vAlign w:val="top"/>
          </w:tcPr>
          <w:p w14:paraId="10BA827F">
            <w:pPr>
              <w:rPr>
                <w:rFonts w:ascii="宋体" w:hAnsi="宋体"/>
                <w:sz w:val="24"/>
                <w:highlight w:val="none"/>
              </w:rPr>
            </w:pPr>
          </w:p>
        </w:tc>
        <w:tc>
          <w:tcPr>
            <w:tcW w:w="672" w:type="dxa"/>
            <w:noWrap w:val="0"/>
            <w:vAlign w:val="top"/>
          </w:tcPr>
          <w:p w14:paraId="1F546C6F">
            <w:pPr>
              <w:rPr>
                <w:rFonts w:ascii="宋体" w:hAnsi="宋体"/>
                <w:sz w:val="24"/>
                <w:highlight w:val="none"/>
              </w:rPr>
            </w:pPr>
          </w:p>
        </w:tc>
        <w:tc>
          <w:tcPr>
            <w:tcW w:w="939" w:type="dxa"/>
            <w:noWrap w:val="0"/>
            <w:vAlign w:val="top"/>
          </w:tcPr>
          <w:p w14:paraId="1F8C9F79">
            <w:pPr>
              <w:rPr>
                <w:rFonts w:ascii="宋体" w:hAnsi="宋体"/>
                <w:sz w:val="24"/>
                <w:highlight w:val="none"/>
              </w:rPr>
            </w:pPr>
          </w:p>
        </w:tc>
        <w:tc>
          <w:tcPr>
            <w:tcW w:w="939" w:type="dxa"/>
            <w:noWrap w:val="0"/>
            <w:vAlign w:val="top"/>
          </w:tcPr>
          <w:p w14:paraId="42648606">
            <w:pPr>
              <w:rPr>
                <w:rFonts w:ascii="宋体" w:hAnsi="宋体"/>
                <w:sz w:val="24"/>
                <w:highlight w:val="none"/>
              </w:rPr>
            </w:pPr>
          </w:p>
        </w:tc>
        <w:tc>
          <w:tcPr>
            <w:tcW w:w="670" w:type="dxa"/>
            <w:noWrap w:val="0"/>
            <w:vAlign w:val="top"/>
          </w:tcPr>
          <w:p w14:paraId="1908FA73">
            <w:pPr>
              <w:rPr>
                <w:rFonts w:ascii="宋体" w:hAnsi="宋体"/>
                <w:sz w:val="24"/>
                <w:highlight w:val="none"/>
              </w:rPr>
            </w:pPr>
          </w:p>
        </w:tc>
      </w:tr>
      <w:tr w14:paraId="07B0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noWrap w:val="0"/>
            <w:vAlign w:val="top"/>
          </w:tcPr>
          <w:p w14:paraId="59336E4E">
            <w:pPr>
              <w:jc w:val="center"/>
              <w:rPr>
                <w:rFonts w:ascii="宋体" w:hAnsi="宋体"/>
                <w:sz w:val="24"/>
                <w:highlight w:val="none"/>
              </w:rPr>
            </w:pPr>
            <w:r>
              <w:rPr>
                <w:rFonts w:hint="eastAsia" w:ascii="宋体" w:hAnsi="宋体"/>
                <w:sz w:val="24"/>
                <w:highlight w:val="none"/>
              </w:rPr>
              <w:t>5</w:t>
            </w:r>
          </w:p>
        </w:tc>
        <w:tc>
          <w:tcPr>
            <w:tcW w:w="1323" w:type="dxa"/>
            <w:noWrap w:val="0"/>
            <w:vAlign w:val="top"/>
          </w:tcPr>
          <w:p w14:paraId="12F4F39C">
            <w:pPr>
              <w:rPr>
                <w:rFonts w:ascii="宋体" w:hAnsi="宋体"/>
                <w:sz w:val="24"/>
                <w:highlight w:val="none"/>
              </w:rPr>
            </w:pPr>
          </w:p>
        </w:tc>
        <w:tc>
          <w:tcPr>
            <w:tcW w:w="1318" w:type="dxa"/>
            <w:noWrap w:val="0"/>
            <w:vAlign w:val="top"/>
          </w:tcPr>
          <w:p w14:paraId="38E77F5D">
            <w:pPr>
              <w:rPr>
                <w:rFonts w:ascii="宋体" w:hAnsi="宋体"/>
                <w:sz w:val="24"/>
                <w:highlight w:val="none"/>
              </w:rPr>
            </w:pPr>
          </w:p>
        </w:tc>
        <w:tc>
          <w:tcPr>
            <w:tcW w:w="1318" w:type="dxa"/>
            <w:noWrap w:val="0"/>
            <w:vAlign w:val="top"/>
          </w:tcPr>
          <w:p w14:paraId="6782CEC7">
            <w:pPr>
              <w:rPr>
                <w:rFonts w:ascii="宋体" w:hAnsi="宋体"/>
                <w:sz w:val="24"/>
                <w:highlight w:val="none"/>
              </w:rPr>
            </w:pPr>
          </w:p>
        </w:tc>
        <w:tc>
          <w:tcPr>
            <w:tcW w:w="672" w:type="dxa"/>
            <w:noWrap w:val="0"/>
            <w:vAlign w:val="top"/>
          </w:tcPr>
          <w:p w14:paraId="4D75F928">
            <w:pPr>
              <w:rPr>
                <w:rFonts w:ascii="宋体" w:hAnsi="宋体"/>
                <w:sz w:val="24"/>
                <w:highlight w:val="none"/>
              </w:rPr>
            </w:pPr>
          </w:p>
        </w:tc>
        <w:tc>
          <w:tcPr>
            <w:tcW w:w="672" w:type="dxa"/>
            <w:noWrap w:val="0"/>
            <w:vAlign w:val="top"/>
          </w:tcPr>
          <w:p w14:paraId="64EEC321">
            <w:pPr>
              <w:rPr>
                <w:rFonts w:ascii="宋体" w:hAnsi="宋体"/>
                <w:sz w:val="24"/>
                <w:highlight w:val="none"/>
              </w:rPr>
            </w:pPr>
          </w:p>
        </w:tc>
        <w:tc>
          <w:tcPr>
            <w:tcW w:w="939" w:type="dxa"/>
            <w:noWrap w:val="0"/>
            <w:vAlign w:val="top"/>
          </w:tcPr>
          <w:p w14:paraId="2DC2E93D">
            <w:pPr>
              <w:rPr>
                <w:rFonts w:ascii="宋体" w:hAnsi="宋体"/>
                <w:sz w:val="24"/>
                <w:highlight w:val="none"/>
              </w:rPr>
            </w:pPr>
          </w:p>
        </w:tc>
        <w:tc>
          <w:tcPr>
            <w:tcW w:w="939" w:type="dxa"/>
            <w:noWrap w:val="0"/>
            <w:vAlign w:val="top"/>
          </w:tcPr>
          <w:p w14:paraId="2416133D">
            <w:pPr>
              <w:rPr>
                <w:rFonts w:ascii="宋体" w:hAnsi="宋体"/>
                <w:sz w:val="24"/>
                <w:highlight w:val="none"/>
              </w:rPr>
            </w:pPr>
          </w:p>
        </w:tc>
        <w:tc>
          <w:tcPr>
            <w:tcW w:w="670" w:type="dxa"/>
            <w:noWrap w:val="0"/>
            <w:vAlign w:val="top"/>
          </w:tcPr>
          <w:p w14:paraId="10013B81">
            <w:pPr>
              <w:rPr>
                <w:rFonts w:ascii="宋体" w:hAnsi="宋体"/>
                <w:sz w:val="24"/>
                <w:highlight w:val="none"/>
              </w:rPr>
            </w:pPr>
          </w:p>
        </w:tc>
      </w:tr>
      <w:tr w14:paraId="1739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noWrap w:val="0"/>
            <w:vAlign w:val="top"/>
          </w:tcPr>
          <w:p w14:paraId="48F5D588">
            <w:pPr>
              <w:jc w:val="center"/>
              <w:rPr>
                <w:rFonts w:ascii="宋体" w:hAnsi="宋体"/>
                <w:sz w:val="24"/>
                <w:highlight w:val="none"/>
              </w:rPr>
            </w:pPr>
            <w:r>
              <w:rPr>
                <w:rFonts w:hint="eastAsia" w:ascii="宋体" w:hAnsi="宋体"/>
                <w:sz w:val="24"/>
                <w:highlight w:val="none"/>
              </w:rPr>
              <w:t>6</w:t>
            </w:r>
          </w:p>
        </w:tc>
        <w:tc>
          <w:tcPr>
            <w:tcW w:w="1323" w:type="dxa"/>
            <w:noWrap w:val="0"/>
            <w:vAlign w:val="top"/>
          </w:tcPr>
          <w:p w14:paraId="6E3FB361">
            <w:pPr>
              <w:rPr>
                <w:rFonts w:ascii="宋体" w:hAnsi="宋体"/>
                <w:sz w:val="24"/>
                <w:highlight w:val="none"/>
              </w:rPr>
            </w:pPr>
          </w:p>
        </w:tc>
        <w:tc>
          <w:tcPr>
            <w:tcW w:w="1318" w:type="dxa"/>
            <w:noWrap w:val="0"/>
            <w:vAlign w:val="top"/>
          </w:tcPr>
          <w:p w14:paraId="41612BA9">
            <w:pPr>
              <w:rPr>
                <w:rFonts w:ascii="宋体" w:hAnsi="宋体"/>
                <w:sz w:val="24"/>
                <w:highlight w:val="none"/>
              </w:rPr>
            </w:pPr>
          </w:p>
        </w:tc>
        <w:tc>
          <w:tcPr>
            <w:tcW w:w="1318" w:type="dxa"/>
            <w:noWrap w:val="0"/>
            <w:vAlign w:val="top"/>
          </w:tcPr>
          <w:p w14:paraId="59BCBFF9">
            <w:pPr>
              <w:rPr>
                <w:rFonts w:ascii="宋体" w:hAnsi="宋体"/>
                <w:sz w:val="24"/>
                <w:highlight w:val="none"/>
              </w:rPr>
            </w:pPr>
          </w:p>
        </w:tc>
        <w:tc>
          <w:tcPr>
            <w:tcW w:w="672" w:type="dxa"/>
            <w:noWrap w:val="0"/>
            <w:vAlign w:val="top"/>
          </w:tcPr>
          <w:p w14:paraId="480EB3CC">
            <w:pPr>
              <w:rPr>
                <w:rFonts w:ascii="宋体" w:hAnsi="宋体"/>
                <w:sz w:val="24"/>
                <w:highlight w:val="none"/>
              </w:rPr>
            </w:pPr>
          </w:p>
        </w:tc>
        <w:tc>
          <w:tcPr>
            <w:tcW w:w="672" w:type="dxa"/>
            <w:noWrap w:val="0"/>
            <w:vAlign w:val="top"/>
          </w:tcPr>
          <w:p w14:paraId="21FC9F24">
            <w:pPr>
              <w:rPr>
                <w:rFonts w:ascii="宋体" w:hAnsi="宋体"/>
                <w:sz w:val="24"/>
                <w:highlight w:val="none"/>
              </w:rPr>
            </w:pPr>
          </w:p>
        </w:tc>
        <w:tc>
          <w:tcPr>
            <w:tcW w:w="939" w:type="dxa"/>
            <w:noWrap w:val="0"/>
            <w:vAlign w:val="top"/>
          </w:tcPr>
          <w:p w14:paraId="5F61599D">
            <w:pPr>
              <w:rPr>
                <w:rFonts w:ascii="宋体" w:hAnsi="宋体"/>
                <w:sz w:val="24"/>
                <w:highlight w:val="none"/>
              </w:rPr>
            </w:pPr>
          </w:p>
        </w:tc>
        <w:tc>
          <w:tcPr>
            <w:tcW w:w="939" w:type="dxa"/>
            <w:noWrap w:val="0"/>
            <w:vAlign w:val="top"/>
          </w:tcPr>
          <w:p w14:paraId="5046621C">
            <w:pPr>
              <w:rPr>
                <w:rFonts w:ascii="宋体" w:hAnsi="宋体"/>
                <w:sz w:val="24"/>
                <w:highlight w:val="none"/>
              </w:rPr>
            </w:pPr>
          </w:p>
        </w:tc>
        <w:tc>
          <w:tcPr>
            <w:tcW w:w="670" w:type="dxa"/>
            <w:noWrap w:val="0"/>
            <w:vAlign w:val="top"/>
          </w:tcPr>
          <w:p w14:paraId="625805E4">
            <w:pPr>
              <w:rPr>
                <w:rFonts w:ascii="宋体" w:hAnsi="宋体"/>
                <w:sz w:val="24"/>
                <w:highlight w:val="none"/>
              </w:rPr>
            </w:pPr>
          </w:p>
        </w:tc>
      </w:tr>
      <w:tr w14:paraId="0779D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noWrap w:val="0"/>
            <w:vAlign w:val="top"/>
          </w:tcPr>
          <w:p w14:paraId="6EF04EA1">
            <w:pPr>
              <w:jc w:val="center"/>
              <w:rPr>
                <w:rFonts w:ascii="宋体" w:hAnsi="宋体"/>
                <w:sz w:val="24"/>
                <w:highlight w:val="none"/>
              </w:rPr>
            </w:pPr>
          </w:p>
        </w:tc>
        <w:tc>
          <w:tcPr>
            <w:tcW w:w="1323" w:type="dxa"/>
            <w:noWrap w:val="0"/>
            <w:vAlign w:val="center"/>
          </w:tcPr>
          <w:p w14:paraId="49953C31">
            <w:pPr>
              <w:pStyle w:val="27"/>
              <w:rPr>
                <w:rFonts w:ascii="宋体" w:hAnsi="宋体"/>
                <w:highlight w:val="none"/>
              </w:rPr>
            </w:pPr>
            <w:r>
              <w:rPr>
                <w:rFonts w:hint="eastAsia" w:ascii="宋体" w:hAnsi="宋体"/>
                <w:highlight w:val="none"/>
              </w:rPr>
              <w:t>其他费用</w:t>
            </w:r>
          </w:p>
        </w:tc>
        <w:tc>
          <w:tcPr>
            <w:tcW w:w="1318" w:type="dxa"/>
            <w:noWrap w:val="0"/>
            <w:vAlign w:val="top"/>
          </w:tcPr>
          <w:p w14:paraId="04E8C517">
            <w:pPr>
              <w:rPr>
                <w:rFonts w:ascii="宋体" w:hAnsi="宋体"/>
                <w:sz w:val="24"/>
                <w:highlight w:val="none"/>
              </w:rPr>
            </w:pPr>
          </w:p>
        </w:tc>
        <w:tc>
          <w:tcPr>
            <w:tcW w:w="1318" w:type="dxa"/>
            <w:noWrap w:val="0"/>
            <w:vAlign w:val="top"/>
          </w:tcPr>
          <w:p w14:paraId="50438E86">
            <w:pPr>
              <w:rPr>
                <w:rFonts w:ascii="宋体" w:hAnsi="宋体"/>
                <w:sz w:val="24"/>
                <w:highlight w:val="none"/>
              </w:rPr>
            </w:pPr>
          </w:p>
        </w:tc>
        <w:tc>
          <w:tcPr>
            <w:tcW w:w="672" w:type="dxa"/>
            <w:noWrap w:val="0"/>
            <w:vAlign w:val="top"/>
          </w:tcPr>
          <w:p w14:paraId="28C75DA6">
            <w:pPr>
              <w:rPr>
                <w:rFonts w:ascii="宋体" w:hAnsi="宋体"/>
                <w:sz w:val="24"/>
                <w:highlight w:val="none"/>
              </w:rPr>
            </w:pPr>
          </w:p>
        </w:tc>
        <w:tc>
          <w:tcPr>
            <w:tcW w:w="672" w:type="dxa"/>
            <w:noWrap w:val="0"/>
            <w:vAlign w:val="top"/>
          </w:tcPr>
          <w:p w14:paraId="5F49DF19">
            <w:pPr>
              <w:rPr>
                <w:rFonts w:ascii="宋体" w:hAnsi="宋体"/>
                <w:sz w:val="24"/>
                <w:highlight w:val="none"/>
              </w:rPr>
            </w:pPr>
          </w:p>
        </w:tc>
        <w:tc>
          <w:tcPr>
            <w:tcW w:w="939" w:type="dxa"/>
            <w:noWrap w:val="0"/>
            <w:vAlign w:val="top"/>
          </w:tcPr>
          <w:p w14:paraId="7629BD6F">
            <w:pPr>
              <w:rPr>
                <w:rFonts w:ascii="宋体" w:hAnsi="宋体"/>
                <w:sz w:val="24"/>
                <w:highlight w:val="none"/>
              </w:rPr>
            </w:pPr>
          </w:p>
        </w:tc>
        <w:tc>
          <w:tcPr>
            <w:tcW w:w="939" w:type="dxa"/>
            <w:noWrap w:val="0"/>
            <w:vAlign w:val="top"/>
          </w:tcPr>
          <w:p w14:paraId="10B2EE93">
            <w:pPr>
              <w:rPr>
                <w:rFonts w:ascii="宋体" w:hAnsi="宋体"/>
                <w:sz w:val="24"/>
                <w:highlight w:val="none"/>
              </w:rPr>
            </w:pPr>
          </w:p>
        </w:tc>
        <w:tc>
          <w:tcPr>
            <w:tcW w:w="670" w:type="dxa"/>
            <w:noWrap w:val="0"/>
            <w:vAlign w:val="top"/>
          </w:tcPr>
          <w:p w14:paraId="24435A47">
            <w:pPr>
              <w:rPr>
                <w:rFonts w:ascii="宋体" w:hAnsi="宋体"/>
                <w:sz w:val="24"/>
                <w:highlight w:val="none"/>
              </w:rPr>
            </w:pPr>
          </w:p>
        </w:tc>
      </w:tr>
      <w:tr w14:paraId="39CE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noWrap w:val="0"/>
            <w:vAlign w:val="top"/>
          </w:tcPr>
          <w:p w14:paraId="63B19150">
            <w:pPr>
              <w:jc w:val="center"/>
              <w:rPr>
                <w:rFonts w:ascii="宋体" w:hAnsi="宋体"/>
                <w:sz w:val="24"/>
                <w:highlight w:val="none"/>
              </w:rPr>
            </w:pPr>
          </w:p>
        </w:tc>
        <w:tc>
          <w:tcPr>
            <w:tcW w:w="1323" w:type="dxa"/>
            <w:noWrap w:val="0"/>
            <w:vAlign w:val="top"/>
          </w:tcPr>
          <w:p w14:paraId="0444BAAD">
            <w:pPr>
              <w:rPr>
                <w:rFonts w:ascii="宋体" w:hAnsi="宋体"/>
                <w:sz w:val="24"/>
                <w:highlight w:val="none"/>
              </w:rPr>
            </w:pPr>
            <w:r>
              <w:rPr>
                <w:rFonts w:hint="eastAsia" w:ascii="宋体" w:hAnsi="宋体"/>
                <w:sz w:val="24"/>
                <w:highlight w:val="none"/>
              </w:rPr>
              <w:t>…</w:t>
            </w:r>
          </w:p>
        </w:tc>
        <w:tc>
          <w:tcPr>
            <w:tcW w:w="1318" w:type="dxa"/>
            <w:noWrap w:val="0"/>
            <w:vAlign w:val="top"/>
          </w:tcPr>
          <w:p w14:paraId="649FB303">
            <w:pPr>
              <w:rPr>
                <w:rFonts w:ascii="宋体" w:hAnsi="宋体"/>
                <w:sz w:val="24"/>
                <w:highlight w:val="none"/>
              </w:rPr>
            </w:pPr>
          </w:p>
        </w:tc>
        <w:tc>
          <w:tcPr>
            <w:tcW w:w="1318" w:type="dxa"/>
            <w:noWrap w:val="0"/>
            <w:vAlign w:val="top"/>
          </w:tcPr>
          <w:p w14:paraId="60730126">
            <w:pPr>
              <w:rPr>
                <w:rFonts w:ascii="宋体" w:hAnsi="宋体"/>
                <w:sz w:val="24"/>
                <w:highlight w:val="none"/>
              </w:rPr>
            </w:pPr>
          </w:p>
        </w:tc>
        <w:tc>
          <w:tcPr>
            <w:tcW w:w="672" w:type="dxa"/>
            <w:noWrap w:val="0"/>
            <w:vAlign w:val="top"/>
          </w:tcPr>
          <w:p w14:paraId="680728BB">
            <w:pPr>
              <w:rPr>
                <w:rFonts w:ascii="宋体" w:hAnsi="宋体"/>
                <w:sz w:val="24"/>
                <w:highlight w:val="none"/>
              </w:rPr>
            </w:pPr>
          </w:p>
        </w:tc>
        <w:tc>
          <w:tcPr>
            <w:tcW w:w="672" w:type="dxa"/>
            <w:noWrap w:val="0"/>
            <w:vAlign w:val="top"/>
          </w:tcPr>
          <w:p w14:paraId="4D384BD7">
            <w:pPr>
              <w:rPr>
                <w:rFonts w:ascii="宋体" w:hAnsi="宋体"/>
                <w:sz w:val="24"/>
                <w:highlight w:val="none"/>
              </w:rPr>
            </w:pPr>
          </w:p>
        </w:tc>
        <w:tc>
          <w:tcPr>
            <w:tcW w:w="939" w:type="dxa"/>
            <w:noWrap w:val="0"/>
            <w:vAlign w:val="top"/>
          </w:tcPr>
          <w:p w14:paraId="49258905">
            <w:pPr>
              <w:rPr>
                <w:rFonts w:ascii="宋体" w:hAnsi="宋体"/>
                <w:sz w:val="24"/>
                <w:highlight w:val="none"/>
              </w:rPr>
            </w:pPr>
          </w:p>
        </w:tc>
        <w:tc>
          <w:tcPr>
            <w:tcW w:w="939" w:type="dxa"/>
            <w:noWrap w:val="0"/>
            <w:vAlign w:val="top"/>
          </w:tcPr>
          <w:p w14:paraId="5AD396E5">
            <w:pPr>
              <w:rPr>
                <w:rFonts w:ascii="宋体" w:hAnsi="宋体"/>
                <w:sz w:val="24"/>
                <w:highlight w:val="none"/>
              </w:rPr>
            </w:pPr>
          </w:p>
        </w:tc>
        <w:tc>
          <w:tcPr>
            <w:tcW w:w="670" w:type="dxa"/>
            <w:noWrap w:val="0"/>
            <w:vAlign w:val="top"/>
          </w:tcPr>
          <w:p w14:paraId="76457C80">
            <w:pPr>
              <w:rPr>
                <w:rFonts w:ascii="宋体" w:hAnsi="宋体"/>
                <w:sz w:val="24"/>
                <w:highlight w:val="none"/>
              </w:rPr>
            </w:pPr>
          </w:p>
        </w:tc>
      </w:tr>
      <w:tr w14:paraId="2476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noWrap w:val="0"/>
            <w:vAlign w:val="top"/>
          </w:tcPr>
          <w:p w14:paraId="6052828D">
            <w:pPr>
              <w:jc w:val="center"/>
              <w:rPr>
                <w:rFonts w:ascii="宋体" w:hAnsi="宋体"/>
                <w:sz w:val="24"/>
                <w:highlight w:val="none"/>
              </w:rPr>
            </w:pPr>
          </w:p>
        </w:tc>
        <w:tc>
          <w:tcPr>
            <w:tcW w:w="1323" w:type="dxa"/>
            <w:noWrap w:val="0"/>
            <w:vAlign w:val="top"/>
          </w:tcPr>
          <w:p w14:paraId="028FDAAC">
            <w:pPr>
              <w:pStyle w:val="27"/>
              <w:rPr>
                <w:rFonts w:ascii="宋体" w:hAnsi="宋体"/>
                <w:highlight w:val="none"/>
              </w:rPr>
            </w:pPr>
            <w:r>
              <w:rPr>
                <w:rFonts w:hint="eastAsia" w:ascii="宋体" w:hAnsi="宋体"/>
                <w:highlight w:val="none"/>
              </w:rPr>
              <w:t>…</w:t>
            </w:r>
          </w:p>
        </w:tc>
        <w:tc>
          <w:tcPr>
            <w:tcW w:w="1318" w:type="dxa"/>
            <w:noWrap w:val="0"/>
            <w:vAlign w:val="top"/>
          </w:tcPr>
          <w:p w14:paraId="61042DDD">
            <w:pPr>
              <w:rPr>
                <w:rFonts w:ascii="宋体" w:hAnsi="宋体"/>
                <w:sz w:val="24"/>
                <w:highlight w:val="none"/>
              </w:rPr>
            </w:pPr>
          </w:p>
        </w:tc>
        <w:tc>
          <w:tcPr>
            <w:tcW w:w="1318" w:type="dxa"/>
            <w:noWrap w:val="0"/>
            <w:vAlign w:val="top"/>
          </w:tcPr>
          <w:p w14:paraId="086C6BD0">
            <w:pPr>
              <w:rPr>
                <w:rFonts w:ascii="宋体" w:hAnsi="宋体"/>
                <w:sz w:val="24"/>
                <w:highlight w:val="none"/>
              </w:rPr>
            </w:pPr>
          </w:p>
        </w:tc>
        <w:tc>
          <w:tcPr>
            <w:tcW w:w="672" w:type="dxa"/>
            <w:noWrap w:val="0"/>
            <w:vAlign w:val="top"/>
          </w:tcPr>
          <w:p w14:paraId="34EEC161">
            <w:pPr>
              <w:rPr>
                <w:rFonts w:ascii="宋体" w:hAnsi="宋体"/>
                <w:sz w:val="24"/>
                <w:highlight w:val="none"/>
              </w:rPr>
            </w:pPr>
          </w:p>
        </w:tc>
        <w:tc>
          <w:tcPr>
            <w:tcW w:w="672" w:type="dxa"/>
            <w:noWrap w:val="0"/>
            <w:vAlign w:val="top"/>
          </w:tcPr>
          <w:p w14:paraId="78178902">
            <w:pPr>
              <w:rPr>
                <w:rFonts w:ascii="宋体" w:hAnsi="宋体"/>
                <w:sz w:val="24"/>
                <w:highlight w:val="none"/>
              </w:rPr>
            </w:pPr>
          </w:p>
        </w:tc>
        <w:tc>
          <w:tcPr>
            <w:tcW w:w="939" w:type="dxa"/>
            <w:noWrap w:val="0"/>
            <w:vAlign w:val="top"/>
          </w:tcPr>
          <w:p w14:paraId="4C1AA798">
            <w:pPr>
              <w:rPr>
                <w:rFonts w:ascii="宋体" w:hAnsi="宋体"/>
                <w:sz w:val="24"/>
                <w:highlight w:val="none"/>
              </w:rPr>
            </w:pPr>
          </w:p>
        </w:tc>
        <w:tc>
          <w:tcPr>
            <w:tcW w:w="939" w:type="dxa"/>
            <w:noWrap w:val="0"/>
            <w:vAlign w:val="top"/>
          </w:tcPr>
          <w:p w14:paraId="7622625E">
            <w:pPr>
              <w:rPr>
                <w:rFonts w:ascii="宋体" w:hAnsi="宋体"/>
                <w:sz w:val="24"/>
                <w:highlight w:val="none"/>
              </w:rPr>
            </w:pPr>
          </w:p>
        </w:tc>
        <w:tc>
          <w:tcPr>
            <w:tcW w:w="670" w:type="dxa"/>
            <w:noWrap w:val="0"/>
            <w:vAlign w:val="top"/>
          </w:tcPr>
          <w:p w14:paraId="2225F7D1">
            <w:pPr>
              <w:rPr>
                <w:rFonts w:ascii="宋体" w:hAnsi="宋体"/>
                <w:sz w:val="24"/>
                <w:highlight w:val="none"/>
              </w:rPr>
            </w:pPr>
          </w:p>
        </w:tc>
      </w:tr>
      <w:tr w14:paraId="3E19A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noWrap w:val="0"/>
            <w:vAlign w:val="top"/>
          </w:tcPr>
          <w:p w14:paraId="008CDDF3">
            <w:pPr>
              <w:jc w:val="center"/>
              <w:rPr>
                <w:rFonts w:ascii="宋体" w:hAnsi="宋体"/>
                <w:sz w:val="24"/>
                <w:highlight w:val="none"/>
              </w:rPr>
            </w:pPr>
          </w:p>
        </w:tc>
        <w:tc>
          <w:tcPr>
            <w:tcW w:w="1323" w:type="dxa"/>
            <w:noWrap w:val="0"/>
            <w:vAlign w:val="top"/>
          </w:tcPr>
          <w:p w14:paraId="29080A71">
            <w:pPr>
              <w:rPr>
                <w:rFonts w:ascii="宋体" w:hAnsi="宋体"/>
                <w:sz w:val="24"/>
                <w:highlight w:val="none"/>
              </w:rPr>
            </w:pPr>
            <w:r>
              <w:rPr>
                <w:rFonts w:hint="eastAsia" w:ascii="宋体" w:hAnsi="宋体"/>
                <w:sz w:val="24"/>
                <w:highlight w:val="none"/>
              </w:rPr>
              <w:t>…</w:t>
            </w:r>
          </w:p>
        </w:tc>
        <w:tc>
          <w:tcPr>
            <w:tcW w:w="1318" w:type="dxa"/>
            <w:noWrap w:val="0"/>
            <w:vAlign w:val="top"/>
          </w:tcPr>
          <w:p w14:paraId="18D05FA5">
            <w:pPr>
              <w:rPr>
                <w:rFonts w:ascii="宋体" w:hAnsi="宋体"/>
                <w:sz w:val="24"/>
                <w:highlight w:val="none"/>
              </w:rPr>
            </w:pPr>
          </w:p>
        </w:tc>
        <w:tc>
          <w:tcPr>
            <w:tcW w:w="1318" w:type="dxa"/>
            <w:noWrap w:val="0"/>
            <w:vAlign w:val="top"/>
          </w:tcPr>
          <w:p w14:paraId="155F4C4C">
            <w:pPr>
              <w:rPr>
                <w:rFonts w:ascii="宋体" w:hAnsi="宋体"/>
                <w:sz w:val="24"/>
                <w:highlight w:val="none"/>
              </w:rPr>
            </w:pPr>
          </w:p>
        </w:tc>
        <w:tc>
          <w:tcPr>
            <w:tcW w:w="672" w:type="dxa"/>
            <w:noWrap w:val="0"/>
            <w:vAlign w:val="top"/>
          </w:tcPr>
          <w:p w14:paraId="51AE93CE">
            <w:pPr>
              <w:rPr>
                <w:rFonts w:ascii="宋体" w:hAnsi="宋体"/>
                <w:sz w:val="24"/>
                <w:highlight w:val="none"/>
              </w:rPr>
            </w:pPr>
          </w:p>
        </w:tc>
        <w:tc>
          <w:tcPr>
            <w:tcW w:w="672" w:type="dxa"/>
            <w:noWrap w:val="0"/>
            <w:vAlign w:val="top"/>
          </w:tcPr>
          <w:p w14:paraId="783A2040">
            <w:pPr>
              <w:rPr>
                <w:rFonts w:ascii="宋体" w:hAnsi="宋体"/>
                <w:sz w:val="24"/>
                <w:highlight w:val="none"/>
              </w:rPr>
            </w:pPr>
          </w:p>
        </w:tc>
        <w:tc>
          <w:tcPr>
            <w:tcW w:w="939" w:type="dxa"/>
            <w:noWrap w:val="0"/>
            <w:vAlign w:val="top"/>
          </w:tcPr>
          <w:p w14:paraId="79C8DEB1">
            <w:pPr>
              <w:rPr>
                <w:rFonts w:ascii="宋体" w:hAnsi="宋体"/>
                <w:sz w:val="24"/>
                <w:highlight w:val="none"/>
              </w:rPr>
            </w:pPr>
          </w:p>
        </w:tc>
        <w:tc>
          <w:tcPr>
            <w:tcW w:w="939" w:type="dxa"/>
            <w:noWrap w:val="0"/>
            <w:vAlign w:val="top"/>
          </w:tcPr>
          <w:p w14:paraId="588D72A5">
            <w:pPr>
              <w:rPr>
                <w:rFonts w:ascii="宋体" w:hAnsi="宋体"/>
                <w:sz w:val="24"/>
                <w:highlight w:val="none"/>
              </w:rPr>
            </w:pPr>
          </w:p>
        </w:tc>
        <w:tc>
          <w:tcPr>
            <w:tcW w:w="670" w:type="dxa"/>
            <w:noWrap w:val="0"/>
            <w:vAlign w:val="top"/>
          </w:tcPr>
          <w:p w14:paraId="06165755">
            <w:pPr>
              <w:rPr>
                <w:rFonts w:ascii="宋体" w:hAnsi="宋体"/>
                <w:sz w:val="24"/>
                <w:highlight w:val="none"/>
              </w:rPr>
            </w:pPr>
          </w:p>
        </w:tc>
      </w:tr>
      <w:tr w14:paraId="7625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994" w:type="dxa"/>
            <w:gridSpan w:val="2"/>
            <w:noWrap w:val="0"/>
            <w:vAlign w:val="center"/>
          </w:tcPr>
          <w:p w14:paraId="18F7CB70">
            <w:pPr>
              <w:pStyle w:val="27"/>
              <w:jc w:val="center"/>
              <w:rPr>
                <w:rFonts w:ascii="宋体" w:hAnsi="宋体"/>
                <w:highlight w:val="none"/>
              </w:rPr>
            </w:pPr>
            <w:r>
              <w:rPr>
                <w:rFonts w:hint="eastAsia" w:ascii="宋体" w:hAnsi="宋体"/>
                <w:highlight w:val="none"/>
              </w:rPr>
              <w:t>合计（元）</w:t>
            </w:r>
          </w:p>
        </w:tc>
        <w:tc>
          <w:tcPr>
            <w:tcW w:w="1318" w:type="dxa"/>
            <w:noWrap w:val="0"/>
            <w:vAlign w:val="top"/>
          </w:tcPr>
          <w:p w14:paraId="49EDDF48">
            <w:pPr>
              <w:rPr>
                <w:rFonts w:ascii="宋体" w:hAnsi="宋体"/>
                <w:sz w:val="24"/>
                <w:highlight w:val="none"/>
              </w:rPr>
            </w:pPr>
          </w:p>
        </w:tc>
        <w:tc>
          <w:tcPr>
            <w:tcW w:w="1318" w:type="dxa"/>
            <w:noWrap w:val="0"/>
            <w:vAlign w:val="top"/>
          </w:tcPr>
          <w:p w14:paraId="5B803C29">
            <w:pPr>
              <w:rPr>
                <w:rFonts w:ascii="宋体" w:hAnsi="宋体"/>
                <w:sz w:val="24"/>
                <w:highlight w:val="none"/>
              </w:rPr>
            </w:pPr>
          </w:p>
        </w:tc>
        <w:tc>
          <w:tcPr>
            <w:tcW w:w="672" w:type="dxa"/>
            <w:noWrap w:val="0"/>
            <w:vAlign w:val="top"/>
          </w:tcPr>
          <w:p w14:paraId="63DC52F4">
            <w:pPr>
              <w:rPr>
                <w:rFonts w:ascii="宋体" w:hAnsi="宋体"/>
                <w:sz w:val="24"/>
                <w:highlight w:val="none"/>
              </w:rPr>
            </w:pPr>
          </w:p>
        </w:tc>
        <w:tc>
          <w:tcPr>
            <w:tcW w:w="672" w:type="dxa"/>
            <w:noWrap w:val="0"/>
            <w:vAlign w:val="top"/>
          </w:tcPr>
          <w:p w14:paraId="3B2073F7">
            <w:pPr>
              <w:rPr>
                <w:rFonts w:ascii="宋体" w:hAnsi="宋体"/>
                <w:sz w:val="24"/>
                <w:highlight w:val="none"/>
              </w:rPr>
            </w:pPr>
          </w:p>
        </w:tc>
        <w:tc>
          <w:tcPr>
            <w:tcW w:w="939" w:type="dxa"/>
            <w:noWrap w:val="0"/>
            <w:vAlign w:val="top"/>
          </w:tcPr>
          <w:p w14:paraId="5490F1B3">
            <w:pPr>
              <w:rPr>
                <w:rFonts w:ascii="宋体" w:hAnsi="宋体"/>
                <w:sz w:val="24"/>
                <w:highlight w:val="none"/>
              </w:rPr>
            </w:pPr>
          </w:p>
        </w:tc>
        <w:tc>
          <w:tcPr>
            <w:tcW w:w="939" w:type="dxa"/>
            <w:noWrap w:val="0"/>
            <w:vAlign w:val="top"/>
          </w:tcPr>
          <w:p w14:paraId="43DD5942">
            <w:pPr>
              <w:rPr>
                <w:rFonts w:ascii="宋体" w:hAnsi="宋体"/>
                <w:sz w:val="24"/>
                <w:highlight w:val="none"/>
              </w:rPr>
            </w:pPr>
          </w:p>
        </w:tc>
        <w:tc>
          <w:tcPr>
            <w:tcW w:w="670" w:type="dxa"/>
            <w:noWrap w:val="0"/>
            <w:vAlign w:val="top"/>
          </w:tcPr>
          <w:p w14:paraId="10BA3390">
            <w:pPr>
              <w:rPr>
                <w:rFonts w:ascii="宋体" w:hAnsi="宋体"/>
                <w:sz w:val="24"/>
                <w:highlight w:val="none"/>
              </w:rPr>
            </w:pPr>
          </w:p>
        </w:tc>
      </w:tr>
    </w:tbl>
    <w:p w14:paraId="0B59132D">
      <w:pPr>
        <w:spacing w:line="360" w:lineRule="auto"/>
        <w:ind w:firstLine="4560" w:firstLineChars="1900"/>
        <w:rPr>
          <w:rFonts w:hint="eastAsia" w:ascii="宋体" w:hAnsi="宋体" w:eastAsia="宋体"/>
          <w:sz w:val="24"/>
          <w:highlight w:val="none"/>
          <w:lang w:eastAsia="zh-CN"/>
        </w:rPr>
      </w:pPr>
      <w:r>
        <w:rPr>
          <w:rFonts w:hint="eastAsia" w:ascii="宋体" w:hAnsi="宋体"/>
          <w:sz w:val="24"/>
          <w:highlight w:val="none"/>
        </w:rPr>
        <w:t>投标人电子签章：</w:t>
      </w:r>
    </w:p>
    <w:p w14:paraId="0F14C90A">
      <w:pPr>
        <w:spacing w:line="360" w:lineRule="auto"/>
        <w:ind w:firstLine="4560" w:firstLineChars="1900"/>
        <w:rPr>
          <w:rFonts w:hint="eastAsia" w:ascii="宋体" w:hAnsi="宋体" w:eastAsia="宋体"/>
          <w:sz w:val="24"/>
          <w:highlight w:val="none"/>
          <w:u w:val="single"/>
          <w:lang w:eastAsia="zh-CN"/>
        </w:rPr>
      </w:pPr>
      <w:r>
        <w:rPr>
          <w:rFonts w:hint="eastAsia" w:ascii="宋体" w:hAnsi="宋体"/>
          <w:sz w:val="24"/>
          <w:highlight w:val="none"/>
        </w:rPr>
        <w:t>日期：</w:t>
      </w:r>
    </w:p>
    <w:p w14:paraId="07DE041F">
      <w:pPr>
        <w:adjustRightInd w:val="0"/>
        <w:snapToGrid w:val="0"/>
        <w:spacing w:line="360" w:lineRule="auto"/>
        <w:rPr>
          <w:rFonts w:ascii="宋体" w:hAnsi="宋体"/>
          <w:b/>
          <w:bCs/>
          <w:sz w:val="24"/>
          <w:szCs w:val="28"/>
          <w:highlight w:val="none"/>
        </w:rPr>
      </w:pPr>
      <w:r>
        <w:rPr>
          <w:rFonts w:hint="eastAsia" w:ascii="宋体" w:hAnsi="宋体"/>
          <w:b/>
          <w:bCs/>
          <w:sz w:val="24"/>
          <w:szCs w:val="28"/>
          <w:highlight w:val="none"/>
        </w:rPr>
        <w:t>备注：</w:t>
      </w:r>
    </w:p>
    <w:p w14:paraId="5F6B26D4">
      <w:pPr>
        <w:spacing w:line="360" w:lineRule="auto"/>
        <w:ind w:firstLine="435"/>
        <w:rPr>
          <w:rFonts w:ascii="宋体" w:hAnsi="宋体"/>
          <w:sz w:val="24"/>
          <w:highlight w:val="none"/>
        </w:rPr>
      </w:pPr>
      <w:r>
        <w:rPr>
          <w:rFonts w:hint="eastAsia" w:ascii="宋体" w:hAnsi="宋体"/>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6AFE1565">
      <w:pPr>
        <w:spacing w:line="360" w:lineRule="auto"/>
        <w:ind w:firstLine="435"/>
        <w:rPr>
          <w:rFonts w:ascii="宋体" w:hAnsi="宋体"/>
          <w:sz w:val="24"/>
          <w:highlight w:val="none"/>
        </w:rPr>
      </w:pPr>
      <w:r>
        <w:rPr>
          <w:rFonts w:hint="eastAsia" w:ascii="宋体" w:hAnsi="宋体"/>
          <w:sz w:val="24"/>
          <w:highlight w:val="none"/>
        </w:rPr>
        <w:t>2.表中须明确列出所投产品的货物名称、品牌、型号规格、原产地及生产厂商，否则可能导致</w:t>
      </w:r>
      <w:r>
        <w:rPr>
          <w:rFonts w:hint="eastAsia" w:ascii="宋体" w:hAnsi="宋体"/>
          <w:b/>
          <w:bCs/>
          <w:sz w:val="24"/>
          <w:highlight w:val="none"/>
        </w:rPr>
        <w:t>投标无效</w:t>
      </w:r>
      <w:r>
        <w:rPr>
          <w:rFonts w:hint="eastAsia" w:ascii="宋体" w:hAnsi="宋体"/>
          <w:sz w:val="24"/>
          <w:highlight w:val="none"/>
        </w:rPr>
        <w:t>。</w:t>
      </w:r>
      <w:bookmarkStart w:id="191" w:name="_Toc461056632"/>
      <w:bookmarkStart w:id="192" w:name="_Toc461053087"/>
      <w:bookmarkStart w:id="193" w:name="_Toc520983588"/>
    </w:p>
    <w:p w14:paraId="1595A398">
      <w:pPr>
        <w:spacing w:line="360" w:lineRule="auto"/>
        <w:ind w:firstLine="435"/>
        <w:rPr>
          <w:rFonts w:ascii="宋体" w:hAnsi="宋体"/>
          <w:sz w:val="24"/>
          <w:highlight w:val="none"/>
        </w:rPr>
      </w:pPr>
      <w:r>
        <w:rPr>
          <w:rFonts w:hint="eastAsia" w:ascii="宋体" w:hAnsi="宋体"/>
          <w:sz w:val="24"/>
          <w:highlight w:val="none"/>
        </w:rPr>
        <w:t>3.如本项目为编制工程量清单及最高投标限价（招标控制价）项目，此表替换为“工程量清单报价表”，按招标文件附件提供的工程量清单报价。</w:t>
      </w:r>
      <w:r>
        <w:rPr>
          <w:rFonts w:ascii="宋体" w:hAnsi="宋体"/>
          <w:sz w:val="24"/>
          <w:highlight w:val="none"/>
        </w:rPr>
        <w:br w:type="page"/>
      </w:r>
    </w:p>
    <w:bookmarkEnd w:id="191"/>
    <w:bookmarkEnd w:id="192"/>
    <w:bookmarkEnd w:id="193"/>
    <w:p w14:paraId="5DD32D83">
      <w:pPr>
        <w:spacing w:line="360" w:lineRule="auto"/>
        <w:jc w:val="center"/>
        <w:outlineLvl w:val="2"/>
        <w:rPr>
          <w:rFonts w:ascii="宋体" w:hAnsi="宋体" w:cs="宋体"/>
          <w:b/>
          <w:sz w:val="24"/>
          <w:szCs w:val="24"/>
          <w:highlight w:val="none"/>
        </w:rPr>
      </w:pPr>
      <w:bookmarkStart w:id="194" w:name="_Toc520983591"/>
      <w:r>
        <w:rPr>
          <w:rFonts w:hint="eastAsia" w:ascii="宋体" w:hAnsi="宋体" w:cs="宋体"/>
          <w:b/>
          <w:sz w:val="24"/>
          <w:szCs w:val="24"/>
          <w:highlight w:val="none"/>
        </w:rPr>
        <w:t>二、投标函</w:t>
      </w:r>
    </w:p>
    <w:p w14:paraId="5DE48B72">
      <w:pPr>
        <w:pStyle w:val="9"/>
        <w:spacing w:line="360" w:lineRule="auto"/>
        <w:rPr>
          <w:rFonts w:ascii="宋体" w:hAnsi="宋体" w:cs="宋体"/>
          <w:sz w:val="24"/>
          <w:szCs w:val="24"/>
          <w:highlight w:val="none"/>
        </w:rPr>
      </w:pPr>
    </w:p>
    <w:p w14:paraId="6B270956">
      <w:pPr>
        <w:pStyle w:val="9"/>
        <w:spacing w:line="360" w:lineRule="auto"/>
        <w:rPr>
          <w:rFonts w:hint="eastAsia" w:ascii="宋体" w:hAnsi="宋体" w:eastAsia="宋体" w:cs="宋体"/>
          <w:sz w:val="24"/>
          <w:szCs w:val="24"/>
          <w:highlight w:val="none"/>
          <w:u w:val="single"/>
          <w:lang w:eastAsia="zh-CN"/>
        </w:rPr>
      </w:pPr>
      <w:r>
        <w:rPr>
          <w:rFonts w:hint="eastAsia" w:ascii="宋体" w:hAnsi="宋体" w:cs="宋体"/>
          <w:sz w:val="24"/>
          <w:szCs w:val="24"/>
          <w:highlight w:val="none"/>
        </w:rPr>
        <w:t>致：</w:t>
      </w:r>
      <w:r>
        <w:rPr>
          <w:rFonts w:hint="eastAsia" w:ascii="宋体" w:hAnsi="宋体" w:cs="宋体"/>
          <w:sz w:val="24"/>
          <w:szCs w:val="24"/>
          <w:highlight w:val="none"/>
          <w:u w:val="single"/>
          <w:lang w:eastAsia="zh-CN"/>
        </w:rPr>
        <w:t>合肥</w:t>
      </w:r>
      <w:r>
        <w:rPr>
          <w:rFonts w:hint="eastAsia" w:ascii="宋体" w:hAnsi="宋体" w:cs="宋体"/>
          <w:sz w:val="24"/>
          <w:szCs w:val="24"/>
          <w:highlight w:val="none"/>
          <w:u w:val="single"/>
          <w:lang w:val="en-US" w:eastAsia="zh-CN"/>
        </w:rPr>
        <w:t>维尔健医学检验实验室</w:t>
      </w:r>
      <w:r>
        <w:rPr>
          <w:rFonts w:hint="eastAsia" w:ascii="宋体" w:hAnsi="宋体" w:cs="宋体"/>
          <w:sz w:val="24"/>
          <w:szCs w:val="24"/>
          <w:highlight w:val="none"/>
          <w:u w:val="single"/>
          <w:lang w:eastAsia="zh-CN"/>
        </w:rPr>
        <w:t>有限公司</w:t>
      </w:r>
    </w:p>
    <w:p w14:paraId="6DC2D99C">
      <w:pPr>
        <w:spacing w:line="360" w:lineRule="auto"/>
        <w:ind w:firstLine="435"/>
        <w:rPr>
          <w:rFonts w:ascii="宋体" w:hAnsi="宋体" w:cs="宋体"/>
          <w:sz w:val="24"/>
          <w:szCs w:val="24"/>
          <w:highlight w:val="none"/>
        </w:rPr>
      </w:pPr>
      <w:r>
        <w:rPr>
          <w:rFonts w:hint="eastAsia" w:ascii="宋体" w:hAnsi="宋体" w:cs="宋体"/>
          <w:sz w:val="24"/>
          <w:szCs w:val="24"/>
          <w:highlight w:val="none"/>
        </w:rPr>
        <w:t>根据贵方的招标公告和投标邀请，我方兹宣布同意如下：</w:t>
      </w:r>
    </w:p>
    <w:p w14:paraId="2AA48C42">
      <w:pPr>
        <w:spacing w:line="360" w:lineRule="auto"/>
        <w:ind w:firstLine="435"/>
        <w:rPr>
          <w:rFonts w:ascii="宋体" w:hAnsi="宋体" w:cs="宋体"/>
          <w:sz w:val="24"/>
          <w:szCs w:val="24"/>
          <w:highlight w:val="none"/>
        </w:rPr>
      </w:pPr>
      <w:r>
        <w:rPr>
          <w:rFonts w:hint="eastAsia" w:ascii="宋体" w:hAnsi="宋体" w:cs="宋体"/>
          <w:sz w:val="24"/>
          <w:szCs w:val="24"/>
          <w:highlight w:val="none"/>
        </w:rPr>
        <w:t>1.按招标文件规定提供相应服务，如我方中标，我方承诺愿意按招标文件规定缴纳履约保证金和中标服务费。</w:t>
      </w:r>
    </w:p>
    <w:p w14:paraId="584216FF">
      <w:pPr>
        <w:spacing w:line="360" w:lineRule="auto"/>
        <w:ind w:firstLine="435"/>
        <w:rPr>
          <w:rFonts w:ascii="宋体" w:hAnsi="宋体" w:cs="宋体"/>
          <w:sz w:val="24"/>
          <w:szCs w:val="24"/>
          <w:highlight w:val="none"/>
        </w:rPr>
      </w:pPr>
      <w:r>
        <w:rPr>
          <w:rFonts w:hint="eastAsia" w:ascii="宋体" w:hAnsi="宋体" w:cs="宋体"/>
          <w:sz w:val="24"/>
          <w:szCs w:val="24"/>
          <w:highlight w:val="none"/>
        </w:rPr>
        <w:t>2.我方根据招标文件的规定，严格履行合同的责任和义务。</w:t>
      </w:r>
    </w:p>
    <w:p w14:paraId="2F4DC945">
      <w:pPr>
        <w:spacing w:line="360" w:lineRule="auto"/>
        <w:ind w:firstLine="435"/>
        <w:rPr>
          <w:rFonts w:ascii="宋体" w:hAnsi="宋体" w:cs="宋体"/>
          <w:sz w:val="24"/>
          <w:szCs w:val="24"/>
          <w:highlight w:val="none"/>
        </w:rPr>
      </w:pPr>
      <w:r>
        <w:rPr>
          <w:rFonts w:hint="eastAsia" w:ascii="宋体" w:hAnsi="宋体" w:cs="宋体"/>
          <w:sz w:val="24"/>
          <w:szCs w:val="24"/>
          <w:highlight w:val="none"/>
        </w:rPr>
        <w:t>3.我方承诺报价按照招标文件要求。</w:t>
      </w:r>
    </w:p>
    <w:p w14:paraId="1247101A">
      <w:pPr>
        <w:spacing w:line="360" w:lineRule="auto"/>
        <w:ind w:firstLine="435"/>
        <w:rPr>
          <w:rFonts w:ascii="宋体" w:hAnsi="宋体" w:cs="宋体"/>
          <w:sz w:val="24"/>
          <w:szCs w:val="24"/>
          <w:highlight w:val="none"/>
        </w:rPr>
      </w:pPr>
      <w:r>
        <w:rPr>
          <w:rFonts w:hint="eastAsia" w:ascii="宋体" w:hAnsi="宋体" w:cs="宋体"/>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4371DC9B">
      <w:pPr>
        <w:spacing w:line="360" w:lineRule="auto"/>
        <w:ind w:firstLine="435"/>
        <w:rPr>
          <w:rFonts w:ascii="宋体" w:hAnsi="宋体" w:cs="宋体"/>
          <w:sz w:val="24"/>
          <w:szCs w:val="24"/>
          <w:highlight w:val="none"/>
        </w:rPr>
      </w:pPr>
      <w:r>
        <w:rPr>
          <w:rFonts w:hint="eastAsia" w:ascii="宋体" w:hAnsi="宋体" w:cs="宋体"/>
          <w:sz w:val="24"/>
          <w:szCs w:val="24"/>
          <w:highlight w:val="none"/>
        </w:rPr>
        <w:t>5.我方同意从招标文件规定的开标日期起遵循本招标文件，并在招标文件规定的投标有效期之前均具有约束力。</w:t>
      </w:r>
    </w:p>
    <w:p w14:paraId="51D8D3EB">
      <w:pPr>
        <w:spacing w:line="360" w:lineRule="auto"/>
        <w:ind w:firstLine="435"/>
        <w:rPr>
          <w:rFonts w:ascii="宋体" w:hAnsi="宋体" w:cs="宋体"/>
          <w:sz w:val="24"/>
          <w:szCs w:val="24"/>
          <w:highlight w:val="none"/>
        </w:rPr>
      </w:pPr>
      <w:r>
        <w:rPr>
          <w:rFonts w:hint="eastAsia" w:ascii="宋体" w:hAnsi="宋体" w:cs="宋体"/>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4536730E">
      <w:pPr>
        <w:spacing w:line="360" w:lineRule="auto"/>
        <w:ind w:firstLine="435"/>
        <w:rPr>
          <w:rFonts w:ascii="宋体" w:hAnsi="宋体" w:cs="宋体"/>
          <w:sz w:val="24"/>
          <w:szCs w:val="24"/>
          <w:highlight w:val="none"/>
        </w:rPr>
      </w:pPr>
      <w:r>
        <w:rPr>
          <w:rFonts w:hint="eastAsia" w:ascii="宋体" w:hAnsi="宋体" w:cs="宋体"/>
          <w:sz w:val="24"/>
          <w:szCs w:val="24"/>
          <w:highlight w:val="none"/>
        </w:rPr>
        <w:t>7.我方完全理解贵方不一定接受最低报价的投标。</w:t>
      </w:r>
    </w:p>
    <w:p w14:paraId="2AE10DF8">
      <w:pPr>
        <w:spacing w:line="360" w:lineRule="auto"/>
        <w:ind w:firstLine="435"/>
        <w:rPr>
          <w:rFonts w:ascii="宋体" w:hAnsi="宋体" w:cs="宋体"/>
          <w:sz w:val="24"/>
          <w:szCs w:val="24"/>
          <w:highlight w:val="none"/>
        </w:rPr>
      </w:pPr>
      <w:r>
        <w:rPr>
          <w:rFonts w:hint="eastAsia" w:ascii="宋体" w:hAnsi="宋体" w:cs="宋体"/>
          <w:sz w:val="24"/>
          <w:szCs w:val="24"/>
          <w:highlight w:val="none"/>
        </w:rPr>
        <w:t>8.我方对投标文件中所提供资料、文件、证书及证件的真实性和有效性负责。</w:t>
      </w:r>
    </w:p>
    <w:p w14:paraId="57EF5BEC">
      <w:pPr>
        <w:spacing w:line="360" w:lineRule="auto"/>
        <w:ind w:firstLine="435"/>
        <w:rPr>
          <w:rFonts w:ascii="宋体" w:hAnsi="宋体" w:cs="宋体"/>
          <w:sz w:val="24"/>
          <w:szCs w:val="24"/>
          <w:highlight w:val="none"/>
        </w:rPr>
      </w:pPr>
    </w:p>
    <w:p w14:paraId="5EA92C48">
      <w:pPr>
        <w:spacing w:line="360" w:lineRule="auto"/>
        <w:ind w:firstLine="435"/>
        <w:rPr>
          <w:rFonts w:hint="eastAsia" w:ascii="宋体" w:hAnsi="宋体" w:eastAsia="宋体" w:cs="宋体"/>
          <w:sz w:val="24"/>
          <w:szCs w:val="24"/>
          <w:highlight w:val="none"/>
          <w:u w:val="single"/>
          <w:lang w:eastAsia="zh-CN"/>
        </w:rPr>
      </w:pPr>
      <w:r>
        <w:rPr>
          <w:rFonts w:hint="eastAsia" w:ascii="宋体" w:hAnsi="宋体" w:cs="宋体"/>
          <w:sz w:val="24"/>
          <w:szCs w:val="24"/>
          <w:highlight w:val="none"/>
        </w:rPr>
        <w:t>投标人公章：</w:t>
      </w:r>
    </w:p>
    <w:p w14:paraId="71BD936A">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日期：</w:t>
      </w:r>
    </w:p>
    <w:p w14:paraId="60AE999F">
      <w:pPr>
        <w:pStyle w:val="2"/>
        <w:rPr>
          <w:rFonts w:hint="eastAsia" w:ascii="宋体" w:hAnsi="宋体" w:cs="宋体"/>
          <w:sz w:val="24"/>
          <w:szCs w:val="24"/>
          <w:highlight w:val="none"/>
        </w:rPr>
      </w:pPr>
    </w:p>
    <w:p w14:paraId="4A104D3E">
      <w:pPr>
        <w:rPr>
          <w:rFonts w:hint="eastAsia" w:ascii="宋体" w:hAnsi="宋体" w:cs="宋体"/>
          <w:sz w:val="24"/>
          <w:szCs w:val="24"/>
          <w:highlight w:val="none"/>
        </w:rPr>
      </w:pPr>
    </w:p>
    <w:p w14:paraId="5F745E52">
      <w:pPr>
        <w:pStyle w:val="2"/>
        <w:rPr>
          <w:rFonts w:hint="eastAsia" w:ascii="宋体" w:hAnsi="宋体" w:cs="宋体"/>
          <w:sz w:val="24"/>
          <w:szCs w:val="24"/>
          <w:highlight w:val="none"/>
        </w:rPr>
      </w:pPr>
    </w:p>
    <w:p w14:paraId="3FD29841">
      <w:pPr>
        <w:rPr>
          <w:rFonts w:hint="eastAsia" w:ascii="宋体" w:hAnsi="宋体" w:cs="宋体"/>
          <w:sz w:val="24"/>
          <w:szCs w:val="24"/>
          <w:highlight w:val="none"/>
        </w:rPr>
      </w:pPr>
    </w:p>
    <w:p w14:paraId="0C99D413">
      <w:pPr>
        <w:pStyle w:val="2"/>
        <w:rPr>
          <w:rFonts w:hint="eastAsia" w:ascii="宋体" w:hAnsi="宋体" w:cs="宋体"/>
          <w:sz w:val="24"/>
          <w:szCs w:val="24"/>
          <w:highlight w:val="none"/>
        </w:rPr>
      </w:pPr>
    </w:p>
    <w:p w14:paraId="2BA5417F">
      <w:pPr>
        <w:rPr>
          <w:rFonts w:hint="eastAsia"/>
        </w:rPr>
      </w:pPr>
      <w:bookmarkStart w:id="200" w:name="_GoBack"/>
      <w:bookmarkEnd w:id="200"/>
    </w:p>
    <w:p w14:paraId="50B4933B">
      <w:pPr>
        <w:rPr>
          <w:rFonts w:hint="eastAsia" w:ascii="宋体" w:hAnsi="宋体" w:cs="宋体"/>
          <w:sz w:val="24"/>
          <w:szCs w:val="24"/>
          <w:highlight w:val="none"/>
        </w:rPr>
      </w:pPr>
    </w:p>
    <w:p w14:paraId="50426EA2">
      <w:pPr>
        <w:pStyle w:val="2"/>
      </w:pPr>
    </w:p>
    <w:p w14:paraId="0CD914CD">
      <w:pPr>
        <w:widowControl/>
        <w:jc w:val="center"/>
        <w:rPr>
          <w:rFonts w:ascii="宋体" w:hAnsi="宋体" w:cs="宋体"/>
          <w:b/>
          <w:sz w:val="24"/>
          <w:szCs w:val="24"/>
          <w:highlight w:val="none"/>
        </w:rPr>
      </w:pPr>
      <w:r>
        <w:rPr>
          <w:rFonts w:hint="eastAsia" w:ascii="宋体" w:hAnsi="宋体" w:cs="宋体"/>
          <w:b/>
          <w:sz w:val="24"/>
          <w:szCs w:val="24"/>
          <w:highlight w:val="none"/>
        </w:rPr>
        <w:t>三、无重大违法记录声明函、无不良信用记录声明函</w:t>
      </w:r>
    </w:p>
    <w:p w14:paraId="5EE198AA">
      <w:pPr>
        <w:pStyle w:val="13"/>
        <w:rPr>
          <w:rFonts w:ascii="宋体" w:hAnsi="宋体" w:cs="宋体"/>
          <w:sz w:val="24"/>
          <w:szCs w:val="24"/>
          <w:highlight w:val="none"/>
        </w:rPr>
      </w:pPr>
    </w:p>
    <w:p w14:paraId="2D799E9F">
      <w:pPr>
        <w:spacing w:line="360" w:lineRule="auto"/>
        <w:jc w:val="center"/>
        <w:rPr>
          <w:rFonts w:ascii="宋体" w:hAnsi="宋体" w:cs="宋体"/>
          <w:i/>
          <w:sz w:val="24"/>
          <w:szCs w:val="24"/>
          <w:highlight w:val="none"/>
        </w:rPr>
      </w:pPr>
      <w:r>
        <w:rPr>
          <w:rFonts w:hint="eastAsia" w:ascii="宋体" w:hAnsi="宋体" w:cs="宋体"/>
          <w:i/>
          <w:sz w:val="24"/>
          <w:szCs w:val="24"/>
          <w:highlight w:val="none"/>
        </w:rPr>
        <w:t>（联合体参加投标的，联合体各方均须提供）</w:t>
      </w:r>
    </w:p>
    <w:p w14:paraId="347BDD64">
      <w:pPr>
        <w:spacing w:line="360" w:lineRule="auto"/>
        <w:ind w:firstLine="435"/>
        <w:rPr>
          <w:rFonts w:ascii="宋体" w:hAnsi="宋体" w:cs="宋体"/>
          <w:sz w:val="24"/>
          <w:szCs w:val="24"/>
          <w:highlight w:val="none"/>
        </w:rPr>
      </w:pPr>
      <w:r>
        <w:rPr>
          <w:rFonts w:hint="eastAsia" w:ascii="宋体" w:hAnsi="宋体" w:cs="宋体"/>
          <w:sz w:val="24"/>
          <w:szCs w:val="24"/>
          <w:highlight w:val="none"/>
        </w:rPr>
        <w:t>1.本单位郑重声明，参加采购活动前三年内，本单位在经营活动中没有重大违法记录，没有因违法经营受到刑事处罚或者责令停产停业、吊销许可证或者执照、较大数额罚款等行政处罚，且未在被禁止参加采购活动的处罚期限内。</w:t>
      </w:r>
    </w:p>
    <w:p w14:paraId="33B35DA9">
      <w:pPr>
        <w:spacing w:line="360" w:lineRule="auto"/>
        <w:ind w:firstLine="435"/>
        <w:rPr>
          <w:rFonts w:ascii="宋体" w:hAnsi="宋体" w:cs="宋体"/>
          <w:sz w:val="24"/>
          <w:szCs w:val="24"/>
          <w:highlight w:val="none"/>
        </w:rPr>
      </w:pPr>
      <w:r>
        <w:rPr>
          <w:rFonts w:hint="eastAsia" w:ascii="宋体" w:hAnsi="宋体" w:cs="宋体"/>
          <w:sz w:val="24"/>
          <w:szCs w:val="24"/>
          <w:highlight w:val="none"/>
        </w:rPr>
        <w:t>2.本单位郑重声明，我单位无以下不良信用记录情形：</w:t>
      </w:r>
    </w:p>
    <w:p w14:paraId="1BCF238C">
      <w:pPr>
        <w:spacing w:line="360" w:lineRule="auto"/>
        <w:ind w:firstLine="435"/>
        <w:rPr>
          <w:rFonts w:ascii="宋体" w:hAnsi="宋体" w:cs="宋体"/>
          <w:sz w:val="24"/>
          <w:szCs w:val="24"/>
          <w:highlight w:val="none"/>
        </w:rPr>
      </w:pPr>
      <w:r>
        <w:rPr>
          <w:rFonts w:hint="eastAsia" w:ascii="宋体" w:hAnsi="宋体" w:cs="宋体"/>
          <w:sz w:val="24"/>
          <w:szCs w:val="24"/>
          <w:highlight w:val="none"/>
        </w:rPr>
        <w:t>（1）被人民法院列入失信被执行人；</w:t>
      </w:r>
    </w:p>
    <w:p w14:paraId="763415C8">
      <w:pPr>
        <w:spacing w:line="360" w:lineRule="auto"/>
        <w:ind w:firstLine="435"/>
        <w:rPr>
          <w:rFonts w:ascii="宋体" w:hAnsi="宋体" w:cs="宋体"/>
          <w:sz w:val="24"/>
          <w:szCs w:val="24"/>
          <w:highlight w:val="none"/>
        </w:rPr>
      </w:pPr>
      <w:r>
        <w:rPr>
          <w:rFonts w:hint="eastAsia" w:ascii="宋体" w:hAnsi="宋体" w:cs="宋体"/>
          <w:sz w:val="24"/>
          <w:szCs w:val="24"/>
          <w:highlight w:val="none"/>
        </w:rPr>
        <w:t>（2）被税务部门列入重大税收违法案件当事人名单。</w:t>
      </w:r>
    </w:p>
    <w:p w14:paraId="091D5324">
      <w:pPr>
        <w:spacing w:line="360" w:lineRule="auto"/>
        <w:ind w:firstLine="435"/>
        <w:rPr>
          <w:rFonts w:ascii="宋体" w:hAnsi="宋体" w:cs="宋体"/>
          <w:sz w:val="24"/>
          <w:szCs w:val="24"/>
          <w:highlight w:val="none"/>
        </w:rPr>
      </w:pPr>
      <w:r>
        <w:rPr>
          <w:rFonts w:hint="eastAsia" w:ascii="宋体" w:hAnsi="宋体" w:cs="宋体"/>
          <w:sz w:val="24"/>
          <w:szCs w:val="24"/>
          <w:highlight w:val="none"/>
        </w:rPr>
        <w:t>3.。</w:t>
      </w:r>
    </w:p>
    <w:p w14:paraId="712CB2F9">
      <w:pPr>
        <w:spacing w:line="360" w:lineRule="auto"/>
        <w:ind w:firstLine="435"/>
        <w:rPr>
          <w:rFonts w:ascii="宋体" w:hAnsi="宋体" w:cs="宋体"/>
          <w:sz w:val="24"/>
          <w:szCs w:val="24"/>
          <w:highlight w:val="none"/>
        </w:rPr>
      </w:pPr>
    </w:p>
    <w:p w14:paraId="2AA1A133">
      <w:pPr>
        <w:spacing w:line="360" w:lineRule="auto"/>
        <w:ind w:firstLine="435"/>
        <w:rPr>
          <w:rFonts w:ascii="宋体" w:hAnsi="宋体" w:cs="宋体"/>
          <w:sz w:val="24"/>
          <w:szCs w:val="24"/>
          <w:highlight w:val="none"/>
        </w:rPr>
      </w:pPr>
      <w:r>
        <w:rPr>
          <w:rFonts w:hint="eastAsia" w:ascii="宋体" w:hAnsi="宋体" w:cs="宋体"/>
          <w:sz w:val="24"/>
          <w:szCs w:val="24"/>
          <w:highlight w:val="none"/>
        </w:rPr>
        <w:t>本单位对上述声明的真实性负责。如有虚假，将依法承担相应责任。</w:t>
      </w:r>
    </w:p>
    <w:p w14:paraId="214B9211">
      <w:pPr>
        <w:spacing w:line="360" w:lineRule="auto"/>
        <w:ind w:firstLine="4800" w:firstLineChars="2000"/>
        <w:rPr>
          <w:rFonts w:hint="eastAsia" w:ascii="宋体" w:hAnsi="宋体" w:eastAsia="宋体" w:cs="宋体"/>
          <w:sz w:val="24"/>
          <w:szCs w:val="24"/>
          <w:highlight w:val="none"/>
          <w:u w:val="single"/>
          <w:lang w:eastAsia="zh-CN"/>
        </w:rPr>
      </w:pPr>
      <w:r>
        <w:rPr>
          <w:rFonts w:hint="eastAsia" w:ascii="宋体" w:hAnsi="宋体" w:cs="宋体"/>
          <w:sz w:val="24"/>
          <w:szCs w:val="24"/>
          <w:highlight w:val="none"/>
        </w:rPr>
        <w:t>投标人公章：</w:t>
      </w:r>
    </w:p>
    <w:p w14:paraId="02146A53">
      <w:pPr>
        <w:spacing w:line="360" w:lineRule="auto"/>
        <w:ind w:firstLine="4800" w:firstLineChars="2000"/>
        <w:rPr>
          <w:rFonts w:ascii="宋体" w:hAnsi="宋体" w:cs="宋体"/>
          <w:sz w:val="24"/>
          <w:szCs w:val="24"/>
          <w:highlight w:val="none"/>
          <w:u w:val="single"/>
        </w:rPr>
      </w:pPr>
      <w:r>
        <w:rPr>
          <w:rFonts w:hint="eastAsia" w:ascii="宋体" w:hAnsi="宋体" w:cs="宋体"/>
          <w:sz w:val="24"/>
          <w:szCs w:val="24"/>
          <w:highlight w:val="none"/>
        </w:rPr>
        <w:t>日期：</w:t>
      </w:r>
      <w:r>
        <w:rPr>
          <w:rFonts w:hint="eastAsia" w:ascii="宋体" w:hAnsi="宋体" w:cs="宋体"/>
          <w:sz w:val="24"/>
          <w:szCs w:val="24"/>
          <w:highlight w:val="none"/>
          <w:u w:val="single"/>
        </w:rPr>
        <w:br w:type="page"/>
      </w:r>
    </w:p>
    <w:p w14:paraId="1A33133D">
      <w:pPr>
        <w:spacing w:line="360" w:lineRule="auto"/>
        <w:jc w:val="center"/>
        <w:outlineLvl w:val="2"/>
        <w:rPr>
          <w:rFonts w:ascii="宋体" w:hAnsi="宋体" w:cs="宋体"/>
          <w:b/>
          <w:sz w:val="24"/>
          <w:szCs w:val="24"/>
          <w:highlight w:val="none"/>
        </w:rPr>
      </w:pPr>
      <w:r>
        <w:rPr>
          <w:rFonts w:hint="eastAsia" w:ascii="宋体" w:hAnsi="宋体" w:cs="宋体"/>
          <w:b/>
          <w:sz w:val="24"/>
          <w:szCs w:val="24"/>
          <w:highlight w:val="none"/>
        </w:rPr>
        <w:t>四、授权书</w:t>
      </w:r>
    </w:p>
    <w:p w14:paraId="695FE1CF">
      <w:pPr>
        <w:pStyle w:val="8"/>
        <w:snapToGrid w:val="0"/>
        <w:spacing w:line="360" w:lineRule="auto"/>
        <w:ind w:firstLine="480" w:firstLineChars="200"/>
        <w:jc w:val="left"/>
        <w:rPr>
          <w:rFonts w:hAnsi="宋体" w:cs="宋体"/>
          <w:sz w:val="24"/>
          <w:szCs w:val="24"/>
          <w:highlight w:val="none"/>
        </w:rPr>
      </w:pPr>
    </w:p>
    <w:p w14:paraId="5707987F">
      <w:pPr>
        <w:spacing w:line="360" w:lineRule="auto"/>
        <w:ind w:firstLine="435"/>
        <w:rPr>
          <w:rFonts w:ascii="宋体" w:hAnsi="宋体" w:cs="宋体"/>
          <w:sz w:val="24"/>
          <w:szCs w:val="24"/>
          <w:highlight w:val="none"/>
        </w:rPr>
      </w:pPr>
      <w:r>
        <w:rPr>
          <w:rFonts w:hint="eastAsia" w:ascii="宋体" w:hAnsi="宋体" w:cs="宋体"/>
          <w:sz w:val="24"/>
          <w:szCs w:val="24"/>
          <w:highlight w:val="none"/>
        </w:rPr>
        <w:t>本授权书声明：（投标人名称）授权（投标人授权代表姓名、职务）代表我方参加本项目</w:t>
      </w:r>
      <w:r>
        <w:rPr>
          <w:rFonts w:hint="eastAsia" w:ascii="宋体" w:hAnsi="宋体" w:cs="宋体"/>
          <w:bCs/>
          <w:sz w:val="24"/>
          <w:szCs w:val="24"/>
          <w:highlight w:val="none"/>
        </w:rPr>
        <w:t>投标</w:t>
      </w:r>
      <w:r>
        <w:rPr>
          <w:rFonts w:hint="eastAsia" w:ascii="宋体" w:hAnsi="宋体" w:cs="宋体"/>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7549345">
      <w:pPr>
        <w:spacing w:line="360" w:lineRule="auto"/>
        <w:ind w:firstLine="435"/>
        <w:rPr>
          <w:rFonts w:ascii="宋体" w:hAnsi="宋体" w:cs="宋体"/>
          <w:sz w:val="24"/>
          <w:szCs w:val="24"/>
          <w:highlight w:val="none"/>
        </w:rPr>
      </w:pPr>
      <w:r>
        <w:rPr>
          <w:rFonts w:hint="eastAsia" w:ascii="宋体" w:hAnsi="宋体" w:cs="宋体"/>
          <w:sz w:val="24"/>
          <w:szCs w:val="24"/>
          <w:highlight w:val="none"/>
        </w:rPr>
        <w:t>本授权书自出具之日起生效。</w:t>
      </w:r>
    </w:p>
    <w:p w14:paraId="68B06496">
      <w:pPr>
        <w:spacing w:line="360" w:lineRule="auto"/>
        <w:ind w:firstLine="435"/>
        <w:rPr>
          <w:rFonts w:ascii="宋体" w:hAnsi="宋体" w:cs="宋体"/>
          <w:sz w:val="24"/>
          <w:szCs w:val="24"/>
          <w:highlight w:val="none"/>
        </w:rPr>
      </w:pPr>
      <w:r>
        <w:rPr>
          <w:rFonts w:hint="eastAsia" w:ascii="宋体" w:hAnsi="宋体" w:cs="宋体"/>
          <w:sz w:val="24"/>
          <w:szCs w:val="24"/>
          <w:highlight w:val="none"/>
        </w:rPr>
        <w:t>授权代表身份证明复印件或影印件：</w:t>
      </w:r>
    </w:p>
    <w:p w14:paraId="48965179">
      <w:pPr>
        <w:spacing w:line="360" w:lineRule="auto"/>
        <w:ind w:firstLine="435"/>
        <w:rPr>
          <w:rFonts w:ascii="宋体" w:hAnsi="宋体" w:cs="宋体"/>
          <w:sz w:val="24"/>
          <w:szCs w:val="24"/>
          <w:highlight w:val="none"/>
        </w:rPr>
      </w:pPr>
    </w:p>
    <w:p w14:paraId="340DAABB">
      <w:pPr>
        <w:spacing w:line="360" w:lineRule="auto"/>
        <w:ind w:firstLine="435"/>
        <w:rPr>
          <w:rFonts w:ascii="宋体" w:hAnsi="宋体" w:cs="宋体"/>
          <w:sz w:val="24"/>
          <w:szCs w:val="24"/>
          <w:highlight w:val="none"/>
        </w:rPr>
      </w:pPr>
    </w:p>
    <w:p w14:paraId="097AD8ED">
      <w:pPr>
        <w:pStyle w:val="2"/>
        <w:rPr>
          <w:rFonts w:ascii="宋体" w:hAnsi="宋体" w:cs="宋体"/>
          <w:sz w:val="24"/>
          <w:szCs w:val="24"/>
          <w:highlight w:val="none"/>
        </w:rPr>
      </w:pPr>
    </w:p>
    <w:p w14:paraId="3495ED62">
      <w:pPr>
        <w:rPr>
          <w:rFonts w:ascii="宋体" w:hAnsi="宋体" w:cs="宋体"/>
          <w:sz w:val="24"/>
          <w:szCs w:val="24"/>
          <w:highlight w:val="none"/>
        </w:rPr>
      </w:pPr>
    </w:p>
    <w:p w14:paraId="08DB5CD4">
      <w:pPr>
        <w:pStyle w:val="2"/>
      </w:pPr>
    </w:p>
    <w:p w14:paraId="1F474FD1">
      <w:pPr>
        <w:spacing w:line="360" w:lineRule="auto"/>
        <w:ind w:firstLine="435"/>
        <w:rPr>
          <w:rFonts w:ascii="宋体" w:hAnsi="宋体" w:cs="宋体"/>
          <w:sz w:val="24"/>
          <w:szCs w:val="24"/>
          <w:highlight w:val="none"/>
        </w:rPr>
      </w:pPr>
    </w:p>
    <w:p w14:paraId="09C8F33E">
      <w:pPr>
        <w:spacing w:line="360" w:lineRule="auto"/>
        <w:ind w:firstLine="435"/>
        <w:rPr>
          <w:rFonts w:ascii="宋体" w:hAnsi="宋体" w:cs="宋体"/>
          <w:sz w:val="24"/>
          <w:szCs w:val="24"/>
          <w:highlight w:val="none"/>
          <w:u w:val="single"/>
        </w:rPr>
      </w:pPr>
      <w:r>
        <w:rPr>
          <w:rFonts w:hint="eastAsia" w:ascii="宋体" w:hAnsi="宋体" w:cs="宋体"/>
          <w:sz w:val="24"/>
          <w:szCs w:val="24"/>
          <w:highlight w:val="none"/>
        </w:rPr>
        <w:t>授权代表联系方式：</w:t>
      </w:r>
      <w:r>
        <w:rPr>
          <w:rFonts w:hint="eastAsia" w:ascii="宋体" w:hAnsi="宋体" w:cs="宋体"/>
          <w:sz w:val="24"/>
          <w:szCs w:val="24"/>
          <w:highlight w:val="none"/>
          <w:u w:val="single"/>
        </w:rPr>
        <w:t>（请填写手机号码）</w:t>
      </w:r>
    </w:p>
    <w:p w14:paraId="05A0682E">
      <w:pPr>
        <w:spacing w:line="360" w:lineRule="auto"/>
        <w:ind w:firstLine="435"/>
        <w:rPr>
          <w:rFonts w:ascii="宋体" w:hAnsi="宋体" w:cs="宋体"/>
          <w:sz w:val="24"/>
          <w:szCs w:val="24"/>
          <w:highlight w:val="none"/>
        </w:rPr>
      </w:pPr>
    </w:p>
    <w:p w14:paraId="45A0EA65">
      <w:pPr>
        <w:spacing w:line="360" w:lineRule="auto"/>
        <w:ind w:firstLine="435"/>
        <w:rPr>
          <w:rFonts w:ascii="宋体" w:hAnsi="宋体" w:cs="宋体"/>
          <w:sz w:val="24"/>
          <w:szCs w:val="24"/>
          <w:highlight w:val="none"/>
        </w:rPr>
      </w:pPr>
      <w:r>
        <w:rPr>
          <w:rFonts w:hint="eastAsia" w:ascii="宋体" w:hAnsi="宋体" w:cs="宋体"/>
          <w:sz w:val="24"/>
          <w:szCs w:val="24"/>
          <w:highlight w:val="none"/>
        </w:rPr>
        <w:t>特此声明。</w:t>
      </w:r>
    </w:p>
    <w:p w14:paraId="404FFD86">
      <w:pPr>
        <w:spacing w:line="360" w:lineRule="auto"/>
        <w:rPr>
          <w:rFonts w:ascii="宋体" w:hAnsi="宋体" w:cs="宋体"/>
          <w:sz w:val="24"/>
          <w:szCs w:val="24"/>
          <w:highlight w:val="none"/>
        </w:rPr>
      </w:pPr>
    </w:p>
    <w:p w14:paraId="5665BAC5">
      <w:pPr>
        <w:spacing w:line="360" w:lineRule="auto"/>
        <w:ind w:firstLine="435"/>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投标人公章：</w:t>
      </w:r>
    </w:p>
    <w:p w14:paraId="38E53B43">
      <w:pPr>
        <w:spacing w:line="360" w:lineRule="auto"/>
        <w:ind w:firstLine="435"/>
        <w:rPr>
          <w:rFonts w:hint="eastAsia" w:ascii="宋体" w:hAnsi="宋体" w:eastAsia="宋体" w:cs="宋体"/>
          <w:sz w:val="24"/>
          <w:szCs w:val="24"/>
          <w:highlight w:val="none"/>
          <w:lang w:eastAsia="zh-CN"/>
        </w:rPr>
      </w:pPr>
      <w:r>
        <w:rPr>
          <w:rFonts w:hint="eastAsia" w:ascii="宋体" w:hAnsi="宋体" w:cs="宋体"/>
          <w:sz w:val="24"/>
          <w:szCs w:val="24"/>
          <w:highlight w:val="none"/>
        </w:rPr>
        <w:t>日期：</w:t>
      </w:r>
    </w:p>
    <w:p w14:paraId="25F87FE0">
      <w:pPr>
        <w:spacing w:line="360" w:lineRule="auto"/>
        <w:rPr>
          <w:rFonts w:ascii="宋体" w:hAnsi="宋体" w:cs="宋体"/>
          <w:sz w:val="24"/>
          <w:szCs w:val="24"/>
          <w:highlight w:val="none"/>
        </w:rPr>
      </w:pPr>
      <w:r>
        <w:rPr>
          <w:rFonts w:hint="eastAsia" w:ascii="宋体" w:hAnsi="宋体" w:cs="宋体"/>
          <w:sz w:val="24"/>
          <w:szCs w:val="24"/>
          <w:highlight w:val="none"/>
        </w:rPr>
        <w:t>注：</w:t>
      </w:r>
    </w:p>
    <w:p w14:paraId="62F26530">
      <w:pPr>
        <w:spacing w:line="360" w:lineRule="auto"/>
        <w:ind w:firstLine="435"/>
        <w:rPr>
          <w:rFonts w:ascii="宋体" w:hAnsi="宋体" w:cs="宋体"/>
          <w:sz w:val="24"/>
          <w:szCs w:val="24"/>
          <w:highlight w:val="none"/>
        </w:rPr>
      </w:pPr>
      <w:r>
        <w:rPr>
          <w:rFonts w:hint="eastAsia" w:ascii="宋体" w:hAnsi="宋体" w:cs="宋体"/>
          <w:sz w:val="24"/>
          <w:szCs w:val="24"/>
          <w:highlight w:val="none"/>
        </w:rPr>
        <w:t>1.本项目只允许有唯一的投标人授权代表，提供身份证明复印件；</w:t>
      </w:r>
    </w:p>
    <w:p w14:paraId="7E0669EC">
      <w:pPr>
        <w:spacing w:line="360" w:lineRule="auto"/>
        <w:ind w:firstLine="435"/>
        <w:rPr>
          <w:rFonts w:ascii="宋体" w:hAnsi="宋体" w:cs="宋体"/>
          <w:sz w:val="24"/>
          <w:szCs w:val="24"/>
          <w:highlight w:val="none"/>
        </w:rPr>
      </w:pPr>
      <w:r>
        <w:rPr>
          <w:rFonts w:hint="eastAsia" w:ascii="宋体" w:hAnsi="宋体" w:cs="宋体"/>
          <w:sz w:val="24"/>
          <w:szCs w:val="24"/>
          <w:highlight w:val="none"/>
        </w:rPr>
        <w:t>2.法定代表人参加投标的无需提供授权书，提供身份证明复印件。</w:t>
      </w:r>
    </w:p>
    <w:p w14:paraId="1AA0A5F5">
      <w:pPr>
        <w:spacing w:line="360" w:lineRule="auto"/>
        <w:jc w:val="center"/>
        <w:outlineLvl w:val="2"/>
        <w:rPr>
          <w:rFonts w:ascii="宋体" w:hAnsi="宋体"/>
          <w:b/>
          <w:sz w:val="24"/>
          <w:highlight w:val="none"/>
        </w:rPr>
      </w:pPr>
      <w:r>
        <w:rPr>
          <w:rFonts w:hint="eastAsia" w:ascii="宋体" w:hAnsi="宋体" w:cs="宋体"/>
          <w:sz w:val="24"/>
          <w:szCs w:val="24"/>
          <w:highlight w:val="none"/>
        </w:rPr>
        <w:br w:type="page"/>
      </w:r>
    </w:p>
    <w:bookmarkEnd w:id="194"/>
    <w:p w14:paraId="3A319F57">
      <w:pPr>
        <w:jc w:val="center"/>
        <w:rPr>
          <w:rFonts w:ascii="宋体" w:hAnsi="宋体"/>
          <w:b/>
          <w:bCs/>
          <w:sz w:val="24"/>
          <w:highlight w:val="none"/>
        </w:rPr>
      </w:pPr>
    </w:p>
    <w:p w14:paraId="100BD08D">
      <w:pPr>
        <w:jc w:val="center"/>
        <w:rPr>
          <w:rFonts w:ascii="宋体" w:hAnsi="宋体"/>
          <w:b/>
          <w:bCs/>
          <w:sz w:val="24"/>
          <w:highlight w:val="none"/>
        </w:rPr>
      </w:pPr>
      <w:r>
        <w:rPr>
          <w:rFonts w:hint="eastAsia" w:ascii="宋体" w:hAnsi="宋体"/>
          <w:b/>
          <w:bCs/>
          <w:sz w:val="24"/>
          <w:highlight w:val="none"/>
          <w:lang w:val="en-US" w:eastAsia="zh-CN"/>
        </w:rPr>
        <w:t>五</w:t>
      </w:r>
      <w:r>
        <w:rPr>
          <w:rFonts w:hint="eastAsia" w:ascii="宋体" w:hAnsi="宋体"/>
          <w:b/>
          <w:bCs/>
          <w:sz w:val="24"/>
          <w:highlight w:val="none"/>
        </w:rPr>
        <w:t>、承诺函</w:t>
      </w:r>
    </w:p>
    <w:p w14:paraId="78FEB2E8">
      <w:pPr>
        <w:pStyle w:val="2"/>
        <w:spacing w:line="360" w:lineRule="auto"/>
        <w:ind w:left="0" w:leftChars="0" w:firstLine="0" w:firstLineChars="0"/>
        <w:rPr>
          <w:rFonts w:ascii="宋体" w:hAnsi="宋体"/>
          <w:b/>
          <w:sz w:val="24"/>
          <w:highlight w:val="none"/>
        </w:rPr>
      </w:pPr>
      <w:r>
        <w:rPr>
          <w:rFonts w:hint="eastAsia" w:ascii="宋体" w:hAnsi="宋体"/>
          <w:b/>
          <w:sz w:val="24"/>
          <w:highlight w:val="none"/>
        </w:rPr>
        <w:t>我公司承诺：</w:t>
      </w:r>
    </w:p>
    <w:p w14:paraId="359082CD">
      <w:pPr>
        <w:pStyle w:val="14"/>
        <w:spacing w:line="360" w:lineRule="auto"/>
        <w:ind w:right="-21" w:firstLine="482" w:firstLineChars="200"/>
        <w:rPr>
          <w:b/>
          <w:highlight w:val="none"/>
        </w:rPr>
      </w:pPr>
      <w:r>
        <w:rPr>
          <w:rFonts w:hint="eastAsia" w:ascii="宋体" w:hAnsi="宋体" w:eastAsia="宋体"/>
          <w:b/>
          <w:sz w:val="24"/>
          <w:highlight w:val="none"/>
        </w:rPr>
        <w:t>我公司投标文件中提供的检测报告、认证证书、资质证书等均真实有效，承诺合同签订后供货前按要求提供检测报告与资质证书等原件查验，如逾期不能按要求提供或经审查、验证不能通过，我公司承担一切相关责任，我公司所提供的产品是正品，非假冒伪劣产品，供货时出具所投产品生产厂商针对本项目的出货证明。</w:t>
      </w:r>
    </w:p>
    <w:p w14:paraId="361ACD66">
      <w:pPr>
        <w:spacing w:line="360" w:lineRule="auto"/>
        <w:ind w:firstLine="5060" w:firstLineChars="2100"/>
        <w:rPr>
          <w:rFonts w:ascii="宋体" w:hAnsi="宋体" w:eastAsia="宋体"/>
          <w:b/>
          <w:bCs/>
          <w:sz w:val="24"/>
          <w:highlight w:val="none"/>
        </w:rPr>
      </w:pPr>
      <w:r>
        <w:rPr>
          <w:rFonts w:hint="eastAsia" w:ascii="宋体" w:hAnsi="宋体" w:eastAsia="宋体"/>
          <w:b/>
          <w:bCs/>
          <w:sz w:val="24"/>
          <w:highlight w:val="none"/>
        </w:rPr>
        <w:t>投标人签章：</w:t>
      </w:r>
    </w:p>
    <w:p w14:paraId="16E53304">
      <w:pPr>
        <w:spacing w:line="360" w:lineRule="auto"/>
        <w:jc w:val="center"/>
        <w:rPr>
          <w:rFonts w:ascii="宋体" w:hAnsi="宋体" w:eastAsia="宋体"/>
          <w:b/>
          <w:bCs/>
          <w:sz w:val="24"/>
          <w:highlight w:val="none"/>
        </w:rPr>
      </w:pPr>
      <w:r>
        <w:rPr>
          <w:rFonts w:hint="eastAsia" w:ascii="宋体" w:hAnsi="宋体"/>
          <w:b/>
          <w:bCs/>
          <w:sz w:val="24"/>
          <w:highlight w:val="none"/>
          <w:lang w:val="en-US" w:eastAsia="zh-CN"/>
        </w:rPr>
        <w:t xml:space="preserve">                 </w:t>
      </w:r>
      <w:r>
        <w:rPr>
          <w:rFonts w:hint="eastAsia" w:ascii="宋体" w:hAnsi="宋体" w:eastAsia="宋体"/>
          <w:b/>
          <w:bCs/>
          <w:sz w:val="24"/>
          <w:highlight w:val="none"/>
        </w:rPr>
        <w:t>日期：</w:t>
      </w:r>
    </w:p>
    <w:p w14:paraId="23C78551">
      <w:pPr>
        <w:spacing w:line="360" w:lineRule="auto"/>
        <w:rPr>
          <w:rFonts w:ascii="宋体" w:hAnsi="宋体" w:cs="宋体"/>
          <w:bCs/>
          <w:szCs w:val="21"/>
          <w:highlight w:val="none"/>
        </w:rPr>
      </w:pPr>
    </w:p>
    <w:p w14:paraId="468A3CD8">
      <w:pPr>
        <w:pStyle w:val="2"/>
        <w:rPr>
          <w:rFonts w:ascii="宋体" w:hAnsi="宋体" w:cs="宋体"/>
          <w:bCs/>
          <w:szCs w:val="21"/>
          <w:highlight w:val="none"/>
        </w:rPr>
      </w:pPr>
    </w:p>
    <w:p w14:paraId="38D5A728">
      <w:pPr>
        <w:rPr>
          <w:rFonts w:ascii="宋体" w:hAnsi="宋体" w:cs="宋体"/>
          <w:bCs/>
          <w:szCs w:val="21"/>
          <w:highlight w:val="none"/>
        </w:rPr>
      </w:pPr>
    </w:p>
    <w:p w14:paraId="3F2E55F8">
      <w:pPr>
        <w:pStyle w:val="2"/>
        <w:rPr>
          <w:rFonts w:ascii="宋体" w:hAnsi="宋体" w:cs="宋体"/>
          <w:bCs/>
          <w:szCs w:val="21"/>
          <w:highlight w:val="none"/>
        </w:rPr>
      </w:pPr>
    </w:p>
    <w:p w14:paraId="536E0D7C">
      <w:pPr>
        <w:rPr>
          <w:rFonts w:ascii="宋体" w:hAnsi="宋体" w:cs="宋体"/>
          <w:bCs/>
          <w:szCs w:val="21"/>
          <w:highlight w:val="none"/>
        </w:rPr>
      </w:pPr>
    </w:p>
    <w:p w14:paraId="6C6CB6B9">
      <w:pPr>
        <w:pStyle w:val="2"/>
        <w:rPr>
          <w:rFonts w:ascii="宋体" w:hAnsi="宋体" w:cs="宋体"/>
          <w:bCs/>
          <w:szCs w:val="21"/>
          <w:highlight w:val="none"/>
        </w:rPr>
      </w:pPr>
    </w:p>
    <w:p w14:paraId="68F28BB2">
      <w:pPr>
        <w:rPr>
          <w:rFonts w:ascii="宋体" w:hAnsi="宋体" w:cs="宋体"/>
          <w:bCs/>
          <w:szCs w:val="21"/>
          <w:highlight w:val="none"/>
        </w:rPr>
      </w:pPr>
    </w:p>
    <w:p w14:paraId="5189A59E">
      <w:pPr>
        <w:pStyle w:val="2"/>
        <w:rPr>
          <w:rFonts w:ascii="宋体" w:hAnsi="宋体" w:cs="宋体"/>
          <w:bCs/>
          <w:szCs w:val="21"/>
          <w:highlight w:val="none"/>
        </w:rPr>
      </w:pPr>
    </w:p>
    <w:p w14:paraId="7DE5AE5F">
      <w:pPr>
        <w:rPr>
          <w:rFonts w:ascii="宋体" w:hAnsi="宋体" w:cs="宋体"/>
          <w:bCs/>
          <w:szCs w:val="21"/>
          <w:highlight w:val="none"/>
        </w:rPr>
      </w:pPr>
    </w:p>
    <w:p w14:paraId="28F3E2B5">
      <w:pPr>
        <w:pStyle w:val="2"/>
        <w:rPr>
          <w:rFonts w:ascii="宋体" w:hAnsi="宋体" w:cs="宋体"/>
          <w:bCs/>
          <w:szCs w:val="21"/>
          <w:highlight w:val="none"/>
        </w:rPr>
      </w:pPr>
    </w:p>
    <w:p w14:paraId="6980758B">
      <w:pPr>
        <w:rPr>
          <w:rFonts w:ascii="宋体" w:hAnsi="宋体" w:cs="宋体"/>
          <w:bCs/>
          <w:szCs w:val="21"/>
          <w:highlight w:val="none"/>
        </w:rPr>
      </w:pPr>
    </w:p>
    <w:p w14:paraId="565275C8">
      <w:pPr>
        <w:pStyle w:val="2"/>
        <w:rPr>
          <w:rFonts w:ascii="宋体" w:hAnsi="宋体" w:cs="宋体"/>
          <w:bCs/>
          <w:szCs w:val="21"/>
          <w:highlight w:val="none"/>
        </w:rPr>
      </w:pPr>
    </w:p>
    <w:p w14:paraId="66C5DBDA">
      <w:pPr>
        <w:rPr>
          <w:rFonts w:ascii="宋体" w:hAnsi="宋体" w:cs="宋体"/>
          <w:bCs/>
          <w:szCs w:val="21"/>
          <w:highlight w:val="none"/>
        </w:rPr>
      </w:pPr>
    </w:p>
    <w:p w14:paraId="3A76EA8D">
      <w:pPr>
        <w:pStyle w:val="2"/>
        <w:rPr>
          <w:rFonts w:ascii="宋体" w:hAnsi="宋体" w:cs="宋体"/>
          <w:bCs/>
          <w:szCs w:val="21"/>
          <w:highlight w:val="none"/>
        </w:rPr>
      </w:pPr>
    </w:p>
    <w:p w14:paraId="48FDBDA4">
      <w:pPr>
        <w:rPr>
          <w:rFonts w:ascii="宋体" w:hAnsi="宋体" w:cs="宋体"/>
          <w:bCs/>
          <w:szCs w:val="21"/>
          <w:highlight w:val="none"/>
        </w:rPr>
      </w:pPr>
    </w:p>
    <w:p w14:paraId="7C2F9E26">
      <w:pPr>
        <w:pStyle w:val="2"/>
        <w:rPr>
          <w:rFonts w:ascii="宋体" w:hAnsi="宋体" w:cs="宋体"/>
          <w:bCs/>
          <w:szCs w:val="21"/>
          <w:highlight w:val="none"/>
        </w:rPr>
      </w:pPr>
    </w:p>
    <w:p w14:paraId="75C878AD">
      <w:pPr>
        <w:rPr>
          <w:rFonts w:ascii="宋体" w:hAnsi="宋体" w:cs="宋体"/>
          <w:bCs/>
          <w:szCs w:val="21"/>
          <w:highlight w:val="none"/>
        </w:rPr>
      </w:pPr>
    </w:p>
    <w:p w14:paraId="1F49E87F">
      <w:pPr>
        <w:pStyle w:val="2"/>
        <w:rPr>
          <w:rFonts w:ascii="宋体" w:hAnsi="宋体" w:cs="宋体"/>
          <w:bCs/>
          <w:szCs w:val="21"/>
          <w:highlight w:val="none"/>
        </w:rPr>
      </w:pPr>
    </w:p>
    <w:p w14:paraId="71B9F687">
      <w:pPr>
        <w:rPr>
          <w:rFonts w:ascii="宋体" w:hAnsi="宋体" w:cs="宋体"/>
          <w:bCs/>
          <w:szCs w:val="21"/>
          <w:highlight w:val="none"/>
        </w:rPr>
      </w:pPr>
    </w:p>
    <w:p w14:paraId="0AC8E766">
      <w:pPr>
        <w:pStyle w:val="2"/>
        <w:rPr>
          <w:rFonts w:ascii="宋体" w:hAnsi="宋体" w:cs="宋体"/>
          <w:bCs/>
          <w:szCs w:val="21"/>
          <w:highlight w:val="none"/>
        </w:rPr>
      </w:pPr>
    </w:p>
    <w:p w14:paraId="37ADE9FC">
      <w:pPr>
        <w:rPr>
          <w:rFonts w:ascii="宋体" w:hAnsi="宋体" w:cs="宋体"/>
          <w:bCs/>
          <w:szCs w:val="21"/>
          <w:highlight w:val="none"/>
        </w:rPr>
      </w:pPr>
    </w:p>
    <w:p w14:paraId="187C58A3">
      <w:pPr>
        <w:rPr>
          <w:highlight w:val="none"/>
        </w:rPr>
      </w:pPr>
    </w:p>
    <w:p w14:paraId="54F90ECC">
      <w:pPr>
        <w:spacing w:line="360" w:lineRule="auto"/>
        <w:jc w:val="center"/>
        <w:outlineLvl w:val="2"/>
        <w:rPr>
          <w:rFonts w:ascii="宋体" w:hAnsi="宋体"/>
          <w:b/>
          <w:sz w:val="24"/>
          <w:highlight w:val="none"/>
        </w:rPr>
      </w:pPr>
    </w:p>
    <w:p w14:paraId="32E81B94">
      <w:pPr>
        <w:spacing w:line="360" w:lineRule="auto"/>
        <w:jc w:val="center"/>
        <w:outlineLvl w:val="2"/>
        <w:rPr>
          <w:rFonts w:ascii="宋体" w:hAnsi="宋体"/>
          <w:b/>
          <w:sz w:val="24"/>
          <w:highlight w:val="none"/>
        </w:rPr>
      </w:pPr>
      <w:r>
        <w:rPr>
          <w:rFonts w:hint="eastAsia" w:ascii="宋体" w:hAnsi="宋体"/>
          <w:b/>
          <w:sz w:val="24"/>
          <w:highlight w:val="none"/>
          <w:lang w:val="en-US" w:eastAsia="zh-CN"/>
        </w:rPr>
        <w:t>六</w:t>
      </w:r>
      <w:r>
        <w:rPr>
          <w:rFonts w:hint="eastAsia" w:ascii="宋体" w:hAnsi="宋体"/>
          <w:b/>
          <w:sz w:val="24"/>
          <w:highlight w:val="none"/>
        </w:rPr>
        <w:t>、投标响应表</w:t>
      </w:r>
    </w:p>
    <w:p w14:paraId="3F2339D4">
      <w:pPr>
        <w:spacing w:line="360" w:lineRule="auto"/>
        <w:ind w:firstLine="435"/>
        <w:rPr>
          <w:rFonts w:ascii="宋体" w:hAnsi="宋体"/>
          <w:b/>
          <w:sz w:val="24"/>
          <w:highlight w:val="none"/>
        </w:rPr>
      </w:pPr>
      <w:r>
        <w:rPr>
          <w:rFonts w:hint="eastAsia" w:ascii="宋体" w:hAnsi="宋体"/>
          <w:b/>
          <w:sz w:val="24"/>
          <w:highlight w:val="none"/>
        </w:rPr>
        <w:t>商务响应表</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63B0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noWrap w:val="0"/>
            <w:vAlign w:val="center"/>
          </w:tcPr>
          <w:p w14:paraId="43950D7A">
            <w:pPr>
              <w:pStyle w:val="8"/>
              <w:jc w:val="center"/>
              <w:rPr>
                <w:rFonts w:hAnsi="宋体" w:cs="Wingdings"/>
                <w:b/>
                <w:sz w:val="24"/>
                <w:highlight w:val="none"/>
              </w:rPr>
            </w:pPr>
            <w:r>
              <w:rPr>
                <w:rFonts w:hint="eastAsia" w:hAnsi="宋体" w:cs="Wingdings"/>
                <w:b/>
                <w:sz w:val="24"/>
                <w:highlight w:val="none"/>
              </w:rPr>
              <w:t>序号</w:t>
            </w:r>
          </w:p>
        </w:tc>
        <w:tc>
          <w:tcPr>
            <w:tcW w:w="1916" w:type="dxa"/>
            <w:noWrap w:val="0"/>
            <w:vAlign w:val="center"/>
          </w:tcPr>
          <w:p w14:paraId="0AAE0A95">
            <w:pPr>
              <w:pStyle w:val="8"/>
              <w:jc w:val="center"/>
              <w:rPr>
                <w:rFonts w:hAnsi="宋体" w:cs="Wingdings"/>
                <w:b/>
                <w:sz w:val="24"/>
                <w:highlight w:val="none"/>
              </w:rPr>
            </w:pPr>
            <w:r>
              <w:rPr>
                <w:rFonts w:hint="eastAsia" w:hAnsi="宋体"/>
                <w:b/>
                <w:bCs/>
                <w:sz w:val="24"/>
                <w:szCs w:val="24"/>
                <w:highlight w:val="none"/>
              </w:rPr>
              <w:t>商务条款</w:t>
            </w:r>
          </w:p>
        </w:tc>
        <w:tc>
          <w:tcPr>
            <w:tcW w:w="2497" w:type="dxa"/>
            <w:noWrap w:val="0"/>
            <w:vAlign w:val="center"/>
          </w:tcPr>
          <w:p w14:paraId="1988D7EB">
            <w:pPr>
              <w:pStyle w:val="8"/>
              <w:jc w:val="center"/>
              <w:rPr>
                <w:rFonts w:hAnsi="宋体" w:cs="Wingdings"/>
                <w:b/>
                <w:sz w:val="24"/>
                <w:highlight w:val="none"/>
              </w:rPr>
            </w:pPr>
            <w:r>
              <w:rPr>
                <w:rFonts w:hint="eastAsia" w:hAnsi="宋体" w:cs="Wingdings"/>
                <w:b/>
                <w:sz w:val="24"/>
                <w:highlight w:val="none"/>
              </w:rPr>
              <w:t>招标文件要求</w:t>
            </w:r>
          </w:p>
        </w:tc>
        <w:tc>
          <w:tcPr>
            <w:tcW w:w="2575" w:type="dxa"/>
            <w:noWrap w:val="0"/>
            <w:vAlign w:val="center"/>
          </w:tcPr>
          <w:p w14:paraId="695B1ACF">
            <w:pPr>
              <w:pStyle w:val="8"/>
              <w:jc w:val="center"/>
              <w:rPr>
                <w:rFonts w:hAnsi="宋体" w:cs="Wingdings"/>
                <w:b/>
                <w:sz w:val="24"/>
                <w:highlight w:val="none"/>
              </w:rPr>
            </w:pPr>
            <w:r>
              <w:rPr>
                <w:rFonts w:hint="eastAsia" w:hAnsi="宋体" w:cs="Wingdings"/>
                <w:b/>
                <w:sz w:val="24"/>
                <w:highlight w:val="none"/>
              </w:rPr>
              <w:t>投标人承诺</w:t>
            </w:r>
          </w:p>
        </w:tc>
        <w:tc>
          <w:tcPr>
            <w:tcW w:w="810" w:type="dxa"/>
            <w:noWrap w:val="0"/>
            <w:vAlign w:val="center"/>
          </w:tcPr>
          <w:p w14:paraId="75EBFD43">
            <w:pPr>
              <w:pStyle w:val="8"/>
              <w:jc w:val="center"/>
              <w:rPr>
                <w:rFonts w:hAnsi="宋体" w:cs="Wingdings"/>
                <w:b/>
                <w:sz w:val="24"/>
                <w:highlight w:val="none"/>
              </w:rPr>
            </w:pPr>
            <w:r>
              <w:rPr>
                <w:rFonts w:hint="eastAsia" w:hAnsi="宋体" w:cs="Wingdings"/>
                <w:b/>
                <w:sz w:val="24"/>
                <w:highlight w:val="none"/>
              </w:rPr>
              <w:t>偏离说明</w:t>
            </w:r>
          </w:p>
        </w:tc>
      </w:tr>
      <w:tr w14:paraId="5BF6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0ED75001">
            <w:pPr>
              <w:jc w:val="center"/>
              <w:rPr>
                <w:rFonts w:ascii="宋体" w:hAnsi="宋体"/>
                <w:sz w:val="24"/>
                <w:highlight w:val="none"/>
              </w:rPr>
            </w:pPr>
            <w:r>
              <w:rPr>
                <w:rFonts w:ascii="宋体" w:hAnsi="宋体"/>
                <w:sz w:val="24"/>
                <w:highlight w:val="none"/>
              </w:rPr>
              <w:t>1</w:t>
            </w:r>
          </w:p>
        </w:tc>
        <w:tc>
          <w:tcPr>
            <w:tcW w:w="1916" w:type="dxa"/>
            <w:noWrap w:val="0"/>
            <w:vAlign w:val="center"/>
          </w:tcPr>
          <w:p w14:paraId="4CB4E8DC">
            <w:pPr>
              <w:jc w:val="center"/>
              <w:rPr>
                <w:rFonts w:ascii="宋体" w:hAnsi="宋体"/>
                <w:sz w:val="24"/>
                <w:highlight w:val="none"/>
              </w:rPr>
            </w:pPr>
            <w:r>
              <w:rPr>
                <w:rFonts w:ascii="宋体" w:hAnsi="宋体"/>
                <w:sz w:val="24"/>
                <w:highlight w:val="none"/>
              </w:rPr>
              <w:t>付款方式</w:t>
            </w:r>
          </w:p>
        </w:tc>
        <w:tc>
          <w:tcPr>
            <w:tcW w:w="2497" w:type="dxa"/>
            <w:noWrap w:val="0"/>
            <w:vAlign w:val="center"/>
          </w:tcPr>
          <w:p w14:paraId="795DE3ED">
            <w:pPr>
              <w:pStyle w:val="21"/>
              <w:spacing w:before="0" w:after="0" w:line="360" w:lineRule="auto"/>
              <w:jc w:val="left"/>
              <w:rPr>
                <w:rFonts w:ascii="宋体" w:hAnsi="宋体" w:eastAsia="宋体"/>
                <w:sz w:val="24"/>
                <w:highlight w:val="none"/>
              </w:rPr>
            </w:pPr>
            <w:r>
              <w:rPr>
                <w:rStyle w:val="22"/>
                <w:rFonts w:hint="eastAsia" w:ascii="宋体" w:hAnsi="宋体"/>
                <w:b w:val="0"/>
                <w:kern w:val="0"/>
                <w:sz w:val="24"/>
                <w:highlight w:val="none"/>
              </w:rPr>
              <w:t>据实结算，</w:t>
            </w:r>
            <w:r>
              <w:rPr>
                <w:rStyle w:val="22"/>
                <w:rFonts w:hint="eastAsia" w:ascii="宋体" w:hAnsi="宋体"/>
                <w:b w:val="0"/>
                <w:kern w:val="0"/>
                <w:sz w:val="24"/>
                <w:highlight w:val="none"/>
                <w:lang w:val="en-US"/>
              </w:rPr>
              <w:t>招标人</w:t>
            </w:r>
            <w:r>
              <w:rPr>
                <w:rStyle w:val="22"/>
                <w:rFonts w:hint="eastAsia" w:ascii="宋体" w:hAnsi="宋体"/>
                <w:b w:val="0"/>
                <w:kern w:val="0"/>
                <w:sz w:val="24"/>
                <w:highlight w:val="none"/>
              </w:rPr>
              <w:t>要求分批供货，每批货物到达现场完成验收，</w:t>
            </w:r>
            <w:r>
              <w:rPr>
                <w:rStyle w:val="22"/>
                <w:rFonts w:hint="eastAsia" w:ascii="宋体" w:hAnsi="宋体"/>
                <w:b w:val="0"/>
                <w:kern w:val="0"/>
                <w:sz w:val="24"/>
                <w:highlight w:val="none"/>
                <w:lang w:val="en-US"/>
              </w:rPr>
              <w:t>招标人</w:t>
            </w:r>
            <w:r>
              <w:rPr>
                <w:rStyle w:val="22"/>
                <w:rFonts w:hint="eastAsia" w:ascii="宋体" w:hAnsi="宋体"/>
                <w:b w:val="0"/>
                <w:kern w:val="0"/>
                <w:sz w:val="24"/>
                <w:highlight w:val="none"/>
              </w:rPr>
              <w:t>验收合格后1个月内一次性付清该批货款,以报价和实际供货数量作为项目结算依据。</w:t>
            </w:r>
          </w:p>
        </w:tc>
        <w:tc>
          <w:tcPr>
            <w:tcW w:w="2575" w:type="dxa"/>
            <w:noWrap w:val="0"/>
            <w:vAlign w:val="center"/>
          </w:tcPr>
          <w:p w14:paraId="7D917690">
            <w:pPr>
              <w:jc w:val="center"/>
              <w:rPr>
                <w:rFonts w:ascii="宋体" w:hAnsi="宋体"/>
                <w:color w:val="FF0000"/>
                <w:sz w:val="24"/>
                <w:highlight w:val="none"/>
              </w:rPr>
            </w:pPr>
          </w:p>
        </w:tc>
        <w:tc>
          <w:tcPr>
            <w:tcW w:w="810" w:type="dxa"/>
            <w:noWrap w:val="0"/>
            <w:vAlign w:val="center"/>
          </w:tcPr>
          <w:p w14:paraId="11E54DB1">
            <w:pPr>
              <w:jc w:val="center"/>
              <w:rPr>
                <w:rFonts w:ascii="宋体" w:hAnsi="宋体"/>
                <w:color w:val="FF0000"/>
                <w:sz w:val="24"/>
                <w:highlight w:val="none"/>
              </w:rPr>
            </w:pPr>
          </w:p>
        </w:tc>
      </w:tr>
      <w:tr w14:paraId="427E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352E934F">
            <w:pPr>
              <w:jc w:val="center"/>
              <w:rPr>
                <w:rFonts w:ascii="宋体" w:hAnsi="宋体"/>
                <w:sz w:val="24"/>
                <w:highlight w:val="none"/>
              </w:rPr>
            </w:pPr>
            <w:r>
              <w:rPr>
                <w:rFonts w:hint="eastAsia" w:ascii="宋体" w:hAnsi="宋体"/>
                <w:sz w:val="24"/>
                <w:highlight w:val="none"/>
              </w:rPr>
              <w:t>2</w:t>
            </w:r>
          </w:p>
        </w:tc>
        <w:tc>
          <w:tcPr>
            <w:tcW w:w="1916" w:type="dxa"/>
            <w:noWrap w:val="0"/>
            <w:vAlign w:val="center"/>
          </w:tcPr>
          <w:p w14:paraId="57DA0E73">
            <w:pPr>
              <w:jc w:val="center"/>
              <w:rPr>
                <w:rFonts w:ascii="宋体" w:hAnsi="宋体"/>
                <w:sz w:val="24"/>
                <w:highlight w:val="none"/>
              </w:rPr>
            </w:pPr>
            <w:r>
              <w:rPr>
                <w:rFonts w:hint="eastAsia" w:ascii="宋体" w:hAnsi="宋体"/>
                <w:sz w:val="24"/>
                <w:highlight w:val="none"/>
              </w:rPr>
              <w:t>供货及安装地点</w:t>
            </w:r>
          </w:p>
        </w:tc>
        <w:tc>
          <w:tcPr>
            <w:tcW w:w="2497" w:type="dxa"/>
            <w:noWrap w:val="0"/>
            <w:vAlign w:val="center"/>
          </w:tcPr>
          <w:p w14:paraId="476FC6C1">
            <w:pPr>
              <w:pStyle w:val="21"/>
              <w:spacing w:before="0" w:after="0" w:line="360" w:lineRule="auto"/>
              <w:jc w:val="left"/>
              <w:rPr>
                <w:rFonts w:ascii="宋体" w:hAnsi="宋体" w:eastAsia="宋体"/>
                <w:sz w:val="24"/>
                <w:highlight w:val="none"/>
              </w:rPr>
            </w:pPr>
            <w:r>
              <w:rPr>
                <w:rStyle w:val="22"/>
                <w:rFonts w:ascii="宋体" w:hAnsi="宋体"/>
                <w:b w:val="0"/>
                <w:kern w:val="0"/>
                <w:sz w:val="24"/>
                <w:highlight w:val="none"/>
              </w:rPr>
              <w:t>合肥市包河区，</w:t>
            </w:r>
            <w:r>
              <w:rPr>
                <w:rStyle w:val="22"/>
                <w:rFonts w:hint="eastAsia" w:ascii="宋体" w:hAnsi="宋体"/>
                <w:b w:val="0"/>
                <w:kern w:val="0"/>
                <w:sz w:val="24"/>
                <w:highlight w:val="none"/>
              </w:rPr>
              <w:t>招标人</w:t>
            </w:r>
            <w:r>
              <w:rPr>
                <w:rStyle w:val="22"/>
                <w:rFonts w:ascii="宋体" w:hAnsi="宋体"/>
                <w:b w:val="0"/>
                <w:kern w:val="0"/>
                <w:sz w:val="24"/>
                <w:highlight w:val="none"/>
              </w:rPr>
              <w:t>指定地点。</w:t>
            </w:r>
          </w:p>
        </w:tc>
        <w:tc>
          <w:tcPr>
            <w:tcW w:w="2575" w:type="dxa"/>
            <w:noWrap w:val="0"/>
            <w:vAlign w:val="center"/>
          </w:tcPr>
          <w:p w14:paraId="420FCDE0">
            <w:pPr>
              <w:jc w:val="center"/>
              <w:rPr>
                <w:rFonts w:ascii="宋体" w:hAnsi="宋体"/>
                <w:sz w:val="24"/>
                <w:highlight w:val="none"/>
              </w:rPr>
            </w:pPr>
          </w:p>
        </w:tc>
        <w:tc>
          <w:tcPr>
            <w:tcW w:w="810" w:type="dxa"/>
            <w:noWrap w:val="0"/>
            <w:vAlign w:val="center"/>
          </w:tcPr>
          <w:p w14:paraId="7264B250">
            <w:pPr>
              <w:jc w:val="center"/>
              <w:rPr>
                <w:rFonts w:ascii="宋体" w:hAnsi="宋体"/>
                <w:sz w:val="24"/>
                <w:highlight w:val="none"/>
              </w:rPr>
            </w:pPr>
          </w:p>
        </w:tc>
      </w:tr>
      <w:tr w14:paraId="4178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34BF49B7">
            <w:pPr>
              <w:jc w:val="center"/>
              <w:rPr>
                <w:rFonts w:ascii="宋体" w:hAnsi="宋体"/>
                <w:sz w:val="24"/>
                <w:highlight w:val="none"/>
              </w:rPr>
            </w:pPr>
            <w:r>
              <w:rPr>
                <w:rFonts w:hint="eastAsia" w:ascii="宋体" w:hAnsi="宋体"/>
                <w:sz w:val="24"/>
                <w:highlight w:val="none"/>
              </w:rPr>
              <w:t>3</w:t>
            </w:r>
          </w:p>
        </w:tc>
        <w:tc>
          <w:tcPr>
            <w:tcW w:w="1916" w:type="dxa"/>
            <w:noWrap w:val="0"/>
            <w:vAlign w:val="center"/>
          </w:tcPr>
          <w:p w14:paraId="107C7A89">
            <w:pPr>
              <w:jc w:val="center"/>
              <w:rPr>
                <w:rFonts w:ascii="宋体" w:hAnsi="宋体"/>
                <w:sz w:val="24"/>
                <w:highlight w:val="none"/>
              </w:rPr>
            </w:pPr>
            <w:r>
              <w:rPr>
                <w:rFonts w:hint="eastAsia" w:ascii="宋体" w:hAnsi="宋体"/>
                <w:sz w:val="24"/>
                <w:highlight w:val="none"/>
              </w:rPr>
              <w:t>供货及安装期限</w:t>
            </w:r>
          </w:p>
        </w:tc>
        <w:tc>
          <w:tcPr>
            <w:tcW w:w="2497" w:type="dxa"/>
            <w:noWrap w:val="0"/>
            <w:vAlign w:val="center"/>
          </w:tcPr>
          <w:p w14:paraId="4009155C">
            <w:pPr>
              <w:pStyle w:val="23"/>
              <w:widowControl/>
              <w:spacing w:line="360" w:lineRule="auto"/>
              <w:rPr>
                <w:rFonts w:ascii="宋体" w:hAnsi="宋体" w:eastAsia="宋体"/>
                <w:sz w:val="24"/>
                <w:highlight w:val="none"/>
              </w:rPr>
            </w:pPr>
            <w:r>
              <w:rPr>
                <w:rStyle w:val="22"/>
                <w:rFonts w:hint="eastAsia" w:ascii="宋体" w:hAnsi="宋体"/>
                <w:bCs/>
                <w:kern w:val="0"/>
                <w:sz w:val="24"/>
                <w:szCs w:val="28"/>
                <w:highlight w:val="none"/>
              </w:rPr>
              <w:t>按需供货，</w:t>
            </w:r>
            <w:r>
              <w:rPr>
                <w:rStyle w:val="22"/>
                <w:rFonts w:hint="eastAsia" w:ascii="宋体" w:hAnsi="宋体"/>
                <w:bCs/>
                <w:kern w:val="0"/>
                <w:sz w:val="24"/>
                <w:szCs w:val="28"/>
                <w:highlight w:val="none"/>
                <w:lang w:val="en-US"/>
              </w:rPr>
              <w:t>招标人</w:t>
            </w:r>
            <w:r>
              <w:rPr>
                <w:rStyle w:val="22"/>
                <w:rFonts w:hint="eastAsia" w:ascii="宋体" w:hAnsi="宋体"/>
                <w:bCs/>
                <w:kern w:val="0"/>
                <w:sz w:val="24"/>
                <w:szCs w:val="28"/>
                <w:highlight w:val="none"/>
              </w:rPr>
              <w:t>有要求</w:t>
            </w:r>
            <w:r>
              <w:rPr>
                <w:rStyle w:val="22"/>
                <w:rFonts w:hint="eastAsia" w:ascii="宋体" w:hAnsi="宋体"/>
                <w:bCs/>
                <w:kern w:val="0"/>
                <w:sz w:val="24"/>
                <w:szCs w:val="28"/>
                <w:highlight w:val="none"/>
                <w:lang w:val="en-US"/>
              </w:rPr>
              <w:t>投</w:t>
            </w:r>
            <w:r>
              <w:rPr>
                <w:rStyle w:val="22"/>
                <w:rFonts w:hint="eastAsia" w:ascii="宋体" w:hAnsi="宋体"/>
                <w:bCs/>
                <w:kern w:val="0"/>
                <w:sz w:val="24"/>
                <w:szCs w:val="28"/>
                <w:highlight w:val="none"/>
              </w:rPr>
              <w:t>标人分阶段、分批次供货的调整权利，在收到</w:t>
            </w:r>
            <w:r>
              <w:rPr>
                <w:rStyle w:val="22"/>
                <w:rFonts w:hint="eastAsia" w:ascii="宋体" w:hAnsi="宋体"/>
                <w:bCs/>
                <w:kern w:val="0"/>
                <w:sz w:val="24"/>
                <w:szCs w:val="28"/>
                <w:highlight w:val="none"/>
                <w:lang w:val="en-US"/>
              </w:rPr>
              <w:t>招标人</w:t>
            </w:r>
            <w:r>
              <w:rPr>
                <w:rStyle w:val="22"/>
                <w:rFonts w:hint="eastAsia" w:ascii="宋体" w:hAnsi="宋体"/>
                <w:bCs/>
                <w:kern w:val="0"/>
                <w:sz w:val="24"/>
                <w:szCs w:val="28"/>
                <w:highlight w:val="none"/>
              </w:rPr>
              <w:t>每批供货需求后，</w:t>
            </w:r>
            <w:r>
              <w:rPr>
                <w:rStyle w:val="22"/>
                <w:rFonts w:hint="eastAsia" w:ascii="宋体" w:hAnsi="宋体"/>
                <w:bCs/>
                <w:kern w:val="0"/>
                <w:sz w:val="24"/>
                <w:szCs w:val="28"/>
                <w:highlight w:val="none"/>
                <w:lang w:val="en-US"/>
              </w:rPr>
              <w:t>投</w:t>
            </w:r>
            <w:r>
              <w:rPr>
                <w:rStyle w:val="22"/>
                <w:rFonts w:hint="eastAsia" w:ascii="宋体" w:hAnsi="宋体"/>
                <w:bCs/>
                <w:kern w:val="0"/>
                <w:sz w:val="24"/>
                <w:szCs w:val="28"/>
                <w:highlight w:val="none"/>
              </w:rPr>
              <w:t>标人需在5天内完成当期供货需求（特殊及进口产品双方协商后决定）</w:t>
            </w:r>
            <w:r>
              <w:rPr>
                <w:rStyle w:val="22"/>
                <w:rFonts w:ascii="宋体" w:hAnsi="宋体"/>
                <w:bCs/>
                <w:kern w:val="0"/>
                <w:sz w:val="24"/>
                <w:szCs w:val="28"/>
                <w:highlight w:val="none"/>
              </w:rPr>
              <w:t>。</w:t>
            </w:r>
          </w:p>
        </w:tc>
        <w:tc>
          <w:tcPr>
            <w:tcW w:w="2575" w:type="dxa"/>
            <w:noWrap w:val="0"/>
            <w:vAlign w:val="center"/>
          </w:tcPr>
          <w:p w14:paraId="47B9A33E">
            <w:pPr>
              <w:pStyle w:val="27"/>
              <w:jc w:val="center"/>
              <w:rPr>
                <w:rFonts w:ascii="宋体" w:hAnsi="宋体"/>
                <w:highlight w:val="none"/>
              </w:rPr>
            </w:pPr>
          </w:p>
        </w:tc>
        <w:tc>
          <w:tcPr>
            <w:tcW w:w="810" w:type="dxa"/>
            <w:noWrap w:val="0"/>
            <w:vAlign w:val="center"/>
          </w:tcPr>
          <w:p w14:paraId="091367D0">
            <w:pPr>
              <w:jc w:val="center"/>
              <w:rPr>
                <w:rFonts w:ascii="宋体" w:hAnsi="宋体"/>
                <w:sz w:val="24"/>
                <w:highlight w:val="none"/>
              </w:rPr>
            </w:pPr>
          </w:p>
        </w:tc>
      </w:tr>
      <w:tr w14:paraId="66F0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3509946B">
            <w:pPr>
              <w:jc w:val="center"/>
              <w:rPr>
                <w:rFonts w:ascii="宋体" w:hAnsi="宋体"/>
                <w:sz w:val="24"/>
                <w:highlight w:val="none"/>
              </w:rPr>
            </w:pPr>
            <w:r>
              <w:rPr>
                <w:rFonts w:hint="eastAsia" w:ascii="宋体" w:hAnsi="宋体"/>
                <w:sz w:val="24"/>
                <w:highlight w:val="none"/>
              </w:rPr>
              <w:t>4</w:t>
            </w:r>
          </w:p>
        </w:tc>
        <w:tc>
          <w:tcPr>
            <w:tcW w:w="1916" w:type="dxa"/>
            <w:noWrap w:val="0"/>
            <w:vAlign w:val="center"/>
          </w:tcPr>
          <w:p w14:paraId="6DFBD3F1">
            <w:pPr>
              <w:jc w:val="center"/>
              <w:rPr>
                <w:rFonts w:ascii="宋体" w:hAnsi="宋体"/>
                <w:sz w:val="24"/>
                <w:highlight w:val="none"/>
              </w:rPr>
            </w:pPr>
            <w:r>
              <w:rPr>
                <w:rFonts w:hint="eastAsia" w:ascii="宋体" w:hAnsi="宋体"/>
                <w:sz w:val="24"/>
                <w:highlight w:val="none"/>
              </w:rPr>
              <w:t>免费质保期</w:t>
            </w:r>
          </w:p>
        </w:tc>
        <w:tc>
          <w:tcPr>
            <w:tcW w:w="2497" w:type="dxa"/>
            <w:noWrap w:val="0"/>
            <w:vAlign w:val="center"/>
          </w:tcPr>
          <w:p w14:paraId="2905512D">
            <w:pPr>
              <w:pStyle w:val="21"/>
              <w:spacing w:before="0" w:after="0" w:line="360" w:lineRule="auto"/>
              <w:jc w:val="left"/>
              <w:rPr>
                <w:rFonts w:ascii="宋体" w:hAnsi="宋体" w:eastAsia="宋体"/>
                <w:sz w:val="24"/>
                <w:highlight w:val="none"/>
              </w:rPr>
            </w:pPr>
            <w:r>
              <w:rPr>
                <w:rStyle w:val="22"/>
                <w:rFonts w:ascii="宋体" w:hAnsi="宋体"/>
                <w:b w:val="0"/>
                <w:kern w:val="0"/>
                <w:sz w:val="24"/>
                <w:highlight w:val="none"/>
              </w:rPr>
              <w:t>验收合格之日起</w:t>
            </w:r>
            <w:r>
              <w:rPr>
                <w:rStyle w:val="22"/>
                <w:rFonts w:hint="eastAsia" w:ascii="宋体" w:hAnsi="宋体"/>
                <w:b w:val="0"/>
                <w:kern w:val="0"/>
                <w:sz w:val="24"/>
                <w:highlight w:val="none"/>
                <w:lang w:val="en-US"/>
              </w:rPr>
              <w:t>一</w:t>
            </w:r>
            <w:r>
              <w:rPr>
                <w:rStyle w:val="22"/>
                <w:rFonts w:ascii="宋体" w:hAnsi="宋体"/>
                <w:b w:val="0"/>
                <w:kern w:val="0"/>
                <w:sz w:val="24"/>
                <w:highlight w:val="none"/>
              </w:rPr>
              <w:t>年。</w:t>
            </w:r>
          </w:p>
        </w:tc>
        <w:tc>
          <w:tcPr>
            <w:tcW w:w="2575" w:type="dxa"/>
            <w:noWrap w:val="0"/>
            <w:vAlign w:val="center"/>
          </w:tcPr>
          <w:p w14:paraId="44A40565">
            <w:pPr>
              <w:jc w:val="center"/>
              <w:rPr>
                <w:rFonts w:ascii="宋体" w:hAnsi="宋体"/>
                <w:sz w:val="24"/>
                <w:highlight w:val="none"/>
              </w:rPr>
            </w:pPr>
          </w:p>
        </w:tc>
        <w:tc>
          <w:tcPr>
            <w:tcW w:w="810" w:type="dxa"/>
            <w:noWrap w:val="0"/>
            <w:vAlign w:val="center"/>
          </w:tcPr>
          <w:p w14:paraId="6693E6CB">
            <w:pPr>
              <w:jc w:val="center"/>
              <w:rPr>
                <w:rFonts w:ascii="宋体" w:hAnsi="宋体"/>
                <w:sz w:val="24"/>
                <w:highlight w:val="none"/>
              </w:rPr>
            </w:pPr>
          </w:p>
        </w:tc>
      </w:tr>
    </w:tbl>
    <w:p w14:paraId="6B984BCD">
      <w:pPr>
        <w:spacing w:line="360" w:lineRule="auto"/>
        <w:ind w:firstLine="435"/>
        <w:rPr>
          <w:rFonts w:hint="eastAsia" w:ascii="宋体" w:hAnsi="宋体"/>
          <w:b/>
          <w:sz w:val="24"/>
          <w:highlight w:val="none"/>
        </w:rPr>
      </w:pPr>
    </w:p>
    <w:p w14:paraId="1D2D7BEA">
      <w:pPr>
        <w:pStyle w:val="2"/>
        <w:rPr>
          <w:rFonts w:hint="eastAsia" w:ascii="宋体" w:hAnsi="宋体"/>
          <w:b/>
          <w:sz w:val="24"/>
          <w:highlight w:val="none"/>
        </w:rPr>
      </w:pPr>
    </w:p>
    <w:p w14:paraId="42CA7C59">
      <w:pPr>
        <w:rPr>
          <w:rFonts w:hint="eastAsia" w:ascii="宋体" w:hAnsi="宋体"/>
          <w:b/>
          <w:sz w:val="24"/>
          <w:highlight w:val="none"/>
        </w:rPr>
      </w:pPr>
    </w:p>
    <w:p w14:paraId="5AB84EC3">
      <w:pPr>
        <w:pStyle w:val="2"/>
        <w:rPr>
          <w:rFonts w:hint="eastAsia" w:ascii="宋体" w:hAnsi="宋体"/>
          <w:b/>
          <w:sz w:val="24"/>
          <w:highlight w:val="none"/>
        </w:rPr>
      </w:pPr>
    </w:p>
    <w:p w14:paraId="5E3D1274">
      <w:pPr>
        <w:rPr>
          <w:rFonts w:hint="eastAsia" w:ascii="宋体" w:hAnsi="宋体"/>
          <w:b/>
          <w:sz w:val="24"/>
          <w:highlight w:val="none"/>
        </w:rPr>
      </w:pPr>
    </w:p>
    <w:p w14:paraId="712B60D3">
      <w:pPr>
        <w:rPr>
          <w:rFonts w:hint="eastAsia" w:ascii="宋体" w:hAnsi="宋体"/>
          <w:b/>
          <w:sz w:val="24"/>
          <w:highlight w:val="none"/>
        </w:rPr>
      </w:pPr>
    </w:p>
    <w:p w14:paraId="401D6AD4">
      <w:pPr>
        <w:jc w:val="center"/>
        <w:rPr>
          <w:rFonts w:ascii="宋体" w:hAnsi="宋体"/>
          <w:b/>
          <w:sz w:val="24"/>
          <w:highlight w:val="none"/>
        </w:rPr>
      </w:pPr>
      <w:r>
        <w:rPr>
          <w:rFonts w:hint="eastAsia" w:ascii="宋体" w:hAnsi="宋体"/>
          <w:b/>
          <w:sz w:val="24"/>
          <w:highlight w:val="none"/>
          <w:lang w:val="en-US" w:eastAsia="zh-CN"/>
        </w:rPr>
        <w:t>七</w:t>
      </w:r>
      <w:r>
        <w:rPr>
          <w:rFonts w:hint="eastAsia" w:ascii="宋体" w:hAnsi="宋体"/>
          <w:b/>
          <w:sz w:val="24"/>
          <w:highlight w:val="none"/>
        </w:rPr>
        <w:t>、无不良信用记录声明函</w:t>
      </w:r>
    </w:p>
    <w:p w14:paraId="46EF6B16">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ascii="宋体" w:hAnsi="宋体"/>
          <w:sz w:val="24"/>
          <w:szCs w:val="24"/>
          <w:highlight w:val="none"/>
        </w:rPr>
      </w:pPr>
      <w:bookmarkStart w:id="195" w:name="_Hlk44595037"/>
      <w:bookmarkStart w:id="196" w:name="_Toc516969106"/>
      <w:bookmarkStart w:id="197" w:name="_Toc520983594"/>
      <w:bookmarkStart w:id="198" w:name="_Toc204594911"/>
      <w:bookmarkStart w:id="199" w:name="_Toc121626298"/>
      <w:r>
        <w:rPr>
          <w:rFonts w:hint="eastAsia" w:ascii="宋体" w:hAnsi="宋体"/>
          <w:sz w:val="24"/>
          <w:szCs w:val="24"/>
          <w:highlight w:val="none"/>
        </w:rPr>
        <w:t>1.本单位郑重声明，我单位无以下不良信用记录情形：</w:t>
      </w:r>
    </w:p>
    <w:p w14:paraId="613D2A1F">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eastAsia" w:ascii="宋体" w:hAnsi="宋体" w:eastAsia="宋体"/>
          <w:sz w:val="24"/>
          <w:szCs w:val="18"/>
          <w:highlight w:val="none"/>
          <w:lang w:eastAsia="zh-CN"/>
        </w:rPr>
      </w:pPr>
      <w:r>
        <w:rPr>
          <w:rFonts w:hint="eastAsia" w:ascii="宋体" w:hAnsi="宋体"/>
          <w:sz w:val="24"/>
          <w:szCs w:val="18"/>
          <w:highlight w:val="none"/>
        </w:rPr>
        <w:t>（1）被责令停产停业，暂扣或者吊销许可证，暂扣或者吊销执照；</w:t>
      </w:r>
    </w:p>
    <w:p w14:paraId="282A6CCF">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eastAsia" w:ascii="宋体" w:hAnsi="宋体" w:eastAsia="宋体"/>
          <w:sz w:val="24"/>
          <w:szCs w:val="18"/>
          <w:highlight w:val="none"/>
          <w:lang w:eastAsia="zh-CN"/>
        </w:rPr>
      </w:pPr>
      <w:r>
        <w:rPr>
          <w:rFonts w:hint="eastAsia" w:ascii="宋体" w:hAnsi="宋体"/>
          <w:sz w:val="24"/>
          <w:szCs w:val="18"/>
          <w:highlight w:val="none"/>
        </w:rPr>
        <w:t>（2）进入清算程序，或被宣告破产，或其他丧失履约能力的情形；</w:t>
      </w:r>
    </w:p>
    <w:p w14:paraId="310EE107">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eastAsia" w:ascii="宋体" w:hAnsi="宋体" w:eastAsia="宋体"/>
          <w:sz w:val="24"/>
          <w:szCs w:val="18"/>
          <w:highlight w:val="none"/>
          <w:lang w:eastAsia="zh-CN"/>
        </w:rPr>
      </w:pPr>
      <w:r>
        <w:rPr>
          <w:rFonts w:hint="eastAsia" w:ascii="宋体" w:hAnsi="宋体"/>
          <w:sz w:val="24"/>
          <w:szCs w:val="18"/>
          <w:highlight w:val="none"/>
        </w:rPr>
        <w:t>（3）在最近三年内（自投标截止之日向前追溯3年，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w:t>
      </w:r>
    </w:p>
    <w:p w14:paraId="570CA617">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eastAsia" w:ascii="宋体" w:hAnsi="宋体" w:eastAsia="宋体"/>
          <w:sz w:val="24"/>
          <w:szCs w:val="18"/>
          <w:highlight w:val="none"/>
          <w:lang w:eastAsia="zh-CN"/>
        </w:rPr>
      </w:pPr>
      <w:r>
        <w:rPr>
          <w:rFonts w:hint="eastAsia" w:ascii="宋体" w:hAnsi="宋体"/>
          <w:sz w:val="24"/>
          <w:szCs w:val="18"/>
          <w:highlight w:val="none"/>
        </w:rPr>
        <w:t>（4）在国家企业信用信息公示系统（http://www.gsxt.gov.cn/）中被列入严重违法失信企业名单；</w:t>
      </w:r>
    </w:p>
    <w:p w14:paraId="6F91F44B">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eastAsia" w:ascii="宋体" w:hAnsi="宋体" w:eastAsia="宋体"/>
          <w:sz w:val="24"/>
          <w:szCs w:val="18"/>
          <w:highlight w:val="none"/>
          <w:lang w:eastAsia="zh-CN"/>
        </w:rPr>
      </w:pPr>
      <w:r>
        <w:rPr>
          <w:rFonts w:hint="eastAsia" w:ascii="宋体" w:hAnsi="宋体"/>
          <w:sz w:val="24"/>
          <w:szCs w:val="18"/>
          <w:highlight w:val="none"/>
        </w:rPr>
        <w:t>（5）在“信用中国”网站（http://www.creditchina.gov.cn/）中被列入失信被执行人名单；</w:t>
      </w:r>
    </w:p>
    <w:p w14:paraId="48BA23DB">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eastAsia" w:ascii="宋体" w:hAnsi="宋体" w:eastAsia="宋体"/>
          <w:sz w:val="24"/>
          <w:szCs w:val="18"/>
          <w:highlight w:val="none"/>
          <w:lang w:eastAsia="zh-CN"/>
        </w:rPr>
      </w:pPr>
      <w:r>
        <w:rPr>
          <w:rFonts w:hint="eastAsia" w:ascii="宋体" w:hAnsi="宋体"/>
          <w:sz w:val="24"/>
          <w:szCs w:val="18"/>
          <w:highlight w:val="none"/>
        </w:rPr>
        <w:t>（6）在“信用中国”网站（http://www.creditchina.gov.cn/）中被列入重大税收违法案件当事人名单；</w:t>
      </w:r>
    </w:p>
    <w:p w14:paraId="3F437777">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ascii="宋体" w:hAnsi="宋体"/>
          <w:sz w:val="24"/>
          <w:szCs w:val="18"/>
          <w:highlight w:val="none"/>
        </w:rPr>
      </w:pPr>
      <w:r>
        <w:rPr>
          <w:rFonts w:hint="eastAsia" w:ascii="宋体" w:hAnsi="宋体"/>
          <w:sz w:val="24"/>
          <w:szCs w:val="18"/>
          <w:highlight w:val="none"/>
        </w:rPr>
        <w:t>（7）在近三年内投标人或其法定代表人（单位负责人）有行贿犯罪行为的。</w:t>
      </w:r>
    </w:p>
    <w:p w14:paraId="4CA906DB">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eastAsia" w:ascii="宋体" w:hAnsi="宋体" w:eastAsia="宋体"/>
          <w:sz w:val="24"/>
          <w:szCs w:val="24"/>
          <w:highlight w:val="none"/>
          <w:lang w:eastAsia="zh-CN"/>
        </w:rPr>
      </w:pPr>
      <w:r>
        <w:rPr>
          <w:rFonts w:hint="eastAsia" w:ascii="宋体" w:hAnsi="宋体"/>
          <w:sz w:val="24"/>
          <w:szCs w:val="24"/>
          <w:highlight w:val="none"/>
        </w:rPr>
        <w:t>2.本单位郑重声明，符合下列情形之一：</w:t>
      </w:r>
    </w:p>
    <w:p w14:paraId="165D605C">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1）开标日前两年内未被合肥市及其所辖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记不良行为记录或记不良行为记录累计未满10分的；</w:t>
      </w:r>
    </w:p>
    <w:p w14:paraId="5C65A6D6">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2）最近一次被合肥市及其所辖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记不良行为记录累计记分达10分（含10分）到15分且公布日距开标日超过6个月；</w:t>
      </w:r>
    </w:p>
    <w:p w14:paraId="04CCDB49">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3）最近一次被合肥市及其所辖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记不良行为记录累计记分达15分（含15分）到20分且公布日距开标日超过12个月；</w:t>
      </w:r>
    </w:p>
    <w:p w14:paraId="2B345CD5">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4）最近一次被合肥市及其所辖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记不良行为记录累计记分达20分（含20分）及以上且公布日距开标日超过24个月。</w:t>
      </w:r>
    </w:p>
    <w:p w14:paraId="3CF5F327">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ascii="宋体" w:hAnsi="宋体"/>
          <w:sz w:val="24"/>
          <w:szCs w:val="24"/>
          <w:highlight w:val="none"/>
        </w:rPr>
      </w:pPr>
      <w:r>
        <w:rPr>
          <w:rFonts w:hint="eastAsia" w:ascii="宋体" w:hAnsi="宋体"/>
          <w:sz w:val="24"/>
          <w:szCs w:val="24"/>
          <w:highlight w:val="none"/>
        </w:rPr>
        <w:t>本单位对上述声明的真实性负责。如有虚假，将依法承担相应责任。</w:t>
      </w:r>
    </w:p>
    <w:p w14:paraId="651695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sz w:val="24"/>
          <w:szCs w:val="24"/>
          <w:highlight w:val="none"/>
          <w:u w:val="single"/>
          <w:lang w:eastAsia="zh-CN"/>
        </w:rPr>
      </w:pPr>
      <w:r>
        <w:rPr>
          <w:rFonts w:hint="eastAsia" w:ascii="宋体" w:hAnsi="宋体"/>
          <w:sz w:val="24"/>
          <w:szCs w:val="24"/>
          <w:highlight w:val="none"/>
        </w:rPr>
        <w:t>投标人电子签章：</w:t>
      </w:r>
    </w:p>
    <w:p w14:paraId="4ABC26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sz w:val="24"/>
          <w:highlight w:val="none"/>
          <w:lang w:eastAsia="zh-CN"/>
        </w:rPr>
      </w:pPr>
      <w:r>
        <w:rPr>
          <w:rFonts w:hint="eastAsia" w:ascii="宋体" w:hAnsi="宋体"/>
          <w:sz w:val="24"/>
          <w:szCs w:val="24"/>
          <w:highlight w:val="none"/>
        </w:rPr>
        <w:t>日期：</w:t>
      </w:r>
      <w:bookmarkEnd w:id="195"/>
      <w:bookmarkEnd w:id="196"/>
      <w:bookmarkEnd w:id="197"/>
      <w:bookmarkEnd w:id="198"/>
      <w:bookmarkEnd w:id="199"/>
    </w:p>
    <w:p w14:paraId="6DBADAB4">
      <w:pPr>
        <w:pStyle w:val="9"/>
        <w:spacing w:line="360" w:lineRule="auto"/>
        <w:jc w:val="center"/>
        <w:rPr>
          <w:rFonts w:hint="eastAsia" w:ascii="宋体" w:hAnsi="宋体"/>
          <w:sz w:val="24"/>
          <w:highlight w:val="none"/>
          <w:lang w:val="en-US" w:eastAsia="zh-CN"/>
        </w:rPr>
        <w:sectPr>
          <w:headerReference r:id="rId7" w:type="default"/>
          <w:footerReference r:id="rId8" w:type="default"/>
          <w:pgSz w:w="11906" w:h="16838"/>
          <w:pgMar w:top="2098" w:right="1474" w:bottom="1701" w:left="1587" w:header="851" w:footer="992" w:gutter="0"/>
          <w:cols w:space="720" w:num="1"/>
          <w:docGrid w:type="lines" w:linePitch="312" w:charSpace="0"/>
        </w:sectPr>
      </w:pPr>
    </w:p>
    <w:p w14:paraId="46A8ACEC">
      <w:pPr>
        <w:spacing w:line="360" w:lineRule="auto"/>
        <w:jc w:val="center"/>
        <w:outlineLvl w:val="2"/>
        <w:rPr>
          <w:rFonts w:ascii="宋体" w:hAnsi="宋体"/>
          <w:b/>
          <w:sz w:val="24"/>
          <w:highlight w:val="none"/>
        </w:rPr>
      </w:pPr>
      <w:r>
        <w:rPr>
          <w:rFonts w:hint="eastAsia" w:ascii="宋体" w:hAnsi="宋体"/>
          <w:b/>
          <w:sz w:val="24"/>
          <w:highlight w:val="none"/>
          <w:lang w:val="en-US" w:eastAsia="zh-CN"/>
        </w:rPr>
        <w:t>八</w:t>
      </w:r>
      <w:r>
        <w:rPr>
          <w:rFonts w:hint="eastAsia" w:ascii="宋体" w:hAnsi="宋体"/>
          <w:b/>
          <w:sz w:val="24"/>
          <w:highlight w:val="none"/>
        </w:rPr>
        <w:t>、其他相关证明材料</w:t>
      </w:r>
    </w:p>
    <w:p w14:paraId="2A24EC4C">
      <w:pPr>
        <w:tabs>
          <w:tab w:val="left" w:pos="4620"/>
        </w:tabs>
        <w:spacing w:line="360" w:lineRule="auto"/>
        <w:ind w:firstLine="480" w:firstLineChars="200"/>
        <w:rPr>
          <w:rFonts w:ascii="宋体" w:hAnsi="宋体"/>
          <w:sz w:val="24"/>
          <w:highlight w:val="none"/>
        </w:rPr>
      </w:pPr>
      <w:r>
        <w:rPr>
          <w:rFonts w:hint="eastAsia" w:ascii="宋体" w:hAnsi="宋体"/>
          <w:sz w:val="24"/>
          <w:highlight w:val="none"/>
        </w:rPr>
        <w:t>提供符合招标邀请（招标公告）、招标需求及评审方法和标准规定的相关证明文件。</w:t>
      </w:r>
    </w:p>
    <w:p w14:paraId="20A15755">
      <w:pPr>
        <w:widowControl/>
        <w:jc w:val="left"/>
        <w:rPr>
          <w:rFonts w:ascii="宋体" w:hAnsi="宋体"/>
          <w:sz w:val="24"/>
          <w:highlight w:val="none"/>
        </w:rPr>
      </w:pPr>
    </w:p>
    <w:p w14:paraId="1A1C390D"/>
    <w:p w14:paraId="16022A42"/>
    <w:sectPr>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C8C2376-E1C9-4FB1-841E-40F5709355B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3E45382-401F-4371-B505-BFEFC67D19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E76C9364-7883-457D-86B4-5DC9D5AF14D5}"/>
  </w:font>
  <w:font w:name="@仿宋_GB2312">
    <w:altName w:val="方正仿宋_GBK"/>
    <w:panose1 w:val="02010609030101010101"/>
    <w:charset w:val="86"/>
    <w:family w:val="modern"/>
    <w:pitch w:val="default"/>
    <w:sig w:usb0="00000000" w:usb1="00000000" w:usb2="00000000" w:usb3="00000000" w:csb0="00040000" w:csb1="00000000"/>
    <w:embedRegular r:id="rId4" w:fontKey="{3F60F256-41E3-4326-A49C-B53CE32425D8}"/>
  </w:font>
  <w:font w:name="Tahoma">
    <w:panose1 w:val="020B0604030504040204"/>
    <w:charset w:val="00"/>
    <w:family w:val="swiss"/>
    <w:pitch w:val="default"/>
    <w:sig w:usb0="E1002EFF" w:usb1="C000605B" w:usb2="00000029" w:usb3="00000000" w:csb0="200101FF" w:csb1="20280000"/>
    <w:embedRegular r:id="rId5" w:fontKey="{7BAE455A-27F7-4174-9EEB-96299C6A1377}"/>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6" w:fontKey="{AC4FE9B0-71F3-45B0-AEE3-FBD14C7F6D6A}"/>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96EDB">
    <w:pPr>
      <w:pStyle w:val="10"/>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97F07">
    <w:pPr>
      <w:pStyle w:val="10"/>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6C70B">
    <w:pPr>
      <w:pStyle w:val="10"/>
      <w:rPr>
        <w:rFonts w:ascii="宋体" w:hAnsi="宋体"/>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9FAF5">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94EEC">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68E83">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50A854"/>
    <w:multiLevelType w:val="singleLevel"/>
    <w:tmpl w:val="C550A854"/>
    <w:lvl w:ilvl="0" w:tentative="0">
      <w:start w:val="1"/>
      <w:numFmt w:val="bullet"/>
      <w:pStyle w:val="7"/>
      <w:lvlText w:val=""/>
      <w:lvlJc w:val="left"/>
      <w:pPr>
        <w:tabs>
          <w:tab w:val="left" w:pos="2040"/>
        </w:tabs>
        <w:ind w:left="2040" w:hanging="360"/>
      </w:pPr>
      <w:rPr>
        <w:rFonts w:hint="default" w:ascii="Wingdings" w:hAnsi="Wingdings"/>
      </w:rPr>
    </w:lvl>
  </w:abstractNum>
  <w:abstractNum w:abstractNumId="1">
    <w:nsid w:val="C8AD724D"/>
    <w:multiLevelType w:val="singleLevel"/>
    <w:tmpl w:val="C8AD724D"/>
    <w:lvl w:ilvl="0" w:tentative="0">
      <w:start w:val="13"/>
      <w:numFmt w:val="decimal"/>
      <w:lvlText w:val="%1."/>
      <w:lvlJc w:val="left"/>
      <w:pPr>
        <w:tabs>
          <w:tab w:val="left" w:pos="312"/>
        </w:tabs>
      </w:pPr>
    </w:lvl>
  </w:abstractNum>
  <w:abstractNum w:abstractNumId="2">
    <w:nsid w:val="0E271B42"/>
    <w:multiLevelType w:val="singleLevel"/>
    <w:tmpl w:val="0E271B42"/>
    <w:lvl w:ilvl="0" w:tentative="0">
      <w:start w:val="1"/>
      <w:numFmt w:val="decimal"/>
      <w:lvlText w:val="%1."/>
      <w:lvlJc w:val="left"/>
      <w:pPr>
        <w:tabs>
          <w:tab w:val="left" w:pos="312"/>
        </w:tabs>
      </w:pPr>
    </w:lvl>
  </w:abstractNum>
  <w:abstractNum w:abstractNumId="3">
    <w:nsid w:val="697AB5B1"/>
    <w:multiLevelType w:val="singleLevel"/>
    <w:tmpl w:val="697AB5B1"/>
    <w:lvl w:ilvl="0" w:tentative="0">
      <w:start w:val="2"/>
      <w:numFmt w:val="chineseCounting"/>
      <w:suff w:val="nothing"/>
      <w:lvlText w:val="%1、"/>
      <w:lvlJc w:val="left"/>
      <w:pPr>
        <w:ind w:left="193"/>
      </w:pPr>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jYWQ5MGZmZDIxNDBmMmQ0OWI4MTAxNzk5ZTY1OGUifQ=="/>
  </w:docVars>
  <w:rsids>
    <w:rsidRoot w:val="00000000"/>
    <w:rsid w:val="3DAD4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1"/>
      <w:lang w:val="en-US" w:eastAsia="zh-CN" w:bidi="ar-SA"/>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iPriority w:val="0"/>
  </w:style>
  <w:style w:type="table" w:default="1" w:styleId="1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next w:val="1"/>
    <w:qFormat/>
    <w:uiPriority w:val="0"/>
    <w:pPr>
      <w:snapToGrid w:val="0"/>
    </w:pPr>
    <w:rPr>
      <w:rFonts w:ascii="Arial" w:hAnsi="Arial"/>
    </w:rPr>
  </w:style>
  <w:style w:type="paragraph" w:styleId="6">
    <w:name w:val="Body Text"/>
    <w:basedOn w:val="1"/>
    <w:next w:val="7"/>
    <w:qFormat/>
    <w:uiPriority w:val="0"/>
    <w:rPr>
      <w:rFonts w:ascii="宋体" w:hAnsi="Arial" w:cs="Times New Roman"/>
      <w:sz w:val="28"/>
    </w:rPr>
  </w:style>
  <w:style w:type="paragraph" w:styleId="7">
    <w:name w:val="List Bullet 5"/>
    <w:basedOn w:val="1"/>
    <w:uiPriority w:val="0"/>
    <w:pPr>
      <w:numPr>
        <w:ilvl w:val="0"/>
        <w:numId w:val="1"/>
      </w:numPr>
    </w:pPr>
  </w:style>
  <w:style w:type="paragraph" w:styleId="8">
    <w:name w:val="Plain Text"/>
    <w:basedOn w:val="1"/>
    <w:qFormat/>
    <w:uiPriority w:val="99"/>
    <w:rPr>
      <w:rFonts w:ascii="宋体" w:hAnsi="Courier New" w:cs="黑体"/>
      <w:szCs w:val="22"/>
    </w:rPr>
  </w:style>
  <w:style w:type="paragraph" w:styleId="9">
    <w:name w:val="Date"/>
    <w:basedOn w:val="1"/>
    <w:next w:val="1"/>
    <w:qFormat/>
    <w:uiPriority w:val="0"/>
    <w:rPr>
      <w:rFonts w:ascii="Arial" w:hAnsi="Arial" w:cs="Arial"/>
      <w:b/>
      <w:sz w:val="2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List"/>
    <w:basedOn w:val="1"/>
    <w:qFormat/>
    <w:uiPriority w:val="0"/>
    <w:pPr>
      <w:ind w:left="200" w:hanging="200" w:hangingChars="200"/>
    </w:pPr>
    <w:rPr>
      <w:rFonts w:ascii="Calibri" w:hAnsi="Calibri"/>
      <w:szCs w:val="22"/>
    </w:rPr>
  </w:style>
  <w:style w:type="paragraph" w:styleId="13">
    <w:name w:val="toc 2"/>
    <w:basedOn w:val="1"/>
    <w:next w:val="1"/>
    <w:unhideWhenUsed/>
    <w:qFormat/>
    <w:uiPriority w:val="39"/>
    <w:pPr>
      <w:widowControl/>
      <w:spacing w:after="100" w:line="276" w:lineRule="auto"/>
      <w:ind w:left="220"/>
      <w:jc w:val="left"/>
    </w:pPr>
    <w:rPr>
      <w:rFonts w:ascii="Calibri" w:hAnsi="Calibri" w:cs="黑体"/>
      <w:kern w:val="0"/>
      <w:sz w:val="22"/>
      <w:szCs w:val="22"/>
    </w:rPr>
  </w:style>
  <w:style w:type="paragraph" w:styleId="14">
    <w:name w:val="Body Text First Indent"/>
    <w:basedOn w:val="6"/>
    <w:next w:val="1"/>
    <w:qFormat/>
    <w:uiPriority w:val="0"/>
    <w:pPr>
      <w:autoSpaceDE w:val="0"/>
      <w:autoSpaceDN w:val="0"/>
      <w:adjustRightInd w:val="0"/>
      <w:ind w:right="-24" w:rightChars="-10" w:firstLine="425" w:firstLineChars="225"/>
    </w:pPr>
    <w:rPr>
      <w:rFonts w:ascii="Arial" w:eastAsia="仿宋_GB2312" w:cs="Arial"/>
      <w:szCs w:val="32"/>
    </w:rPr>
  </w:style>
  <w:style w:type="paragraph" w:customStyle="1" w:styleId="17">
    <w:name w:val="正文（缩进）"/>
    <w:basedOn w:val="1"/>
    <w:qFormat/>
    <w:uiPriority w:val="0"/>
    <w:pPr>
      <w:widowControl/>
      <w:spacing w:before="156" w:after="156"/>
      <w:ind w:firstLine="480" w:firstLineChars="200"/>
      <w:jc w:val="left"/>
    </w:pPr>
    <w:rPr>
      <w:kern w:val="0"/>
      <w:sz w:val="24"/>
      <w:szCs w:val="24"/>
    </w:rPr>
  </w:style>
  <w:style w:type="paragraph" w:customStyle="1" w:styleId="18">
    <w:name w:val="xl31"/>
    <w:basedOn w:val="1"/>
    <w:qFormat/>
    <w:uiPriority w:val="0"/>
    <w:pPr>
      <w:widowControl/>
      <w:spacing w:before="100" w:beforeAutospacing="1" w:after="100" w:afterAutospacing="1"/>
      <w:jc w:val="center"/>
    </w:pPr>
    <w:rPr>
      <w:b/>
      <w:bCs/>
      <w:kern w:val="0"/>
      <w:sz w:val="28"/>
      <w:szCs w:val="28"/>
    </w:rPr>
  </w:style>
  <w:style w:type="paragraph" w:customStyle="1" w:styleId="19">
    <w:name w:val="Table Paragraph"/>
    <w:basedOn w:val="1"/>
    <w:qFormat/>
    <w:uiPriority w:val="1"/>
    <w:rPr>
      <w:rFonts w:ascii="宋体" w:hAnsi="宋体" w:cs="宋体"/>
      <w:lang w:val="zh-CN" w:bidi="zh-CN"/>
    </w:rPr>
  </w:style>
  <w:style w:type="paragraph" w:customStyle="1" w:styleId="20">
    <w:name w:val="D&amp;L"/>
    <w:basedOn w:val="1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1">
    <w:name w:val="UserStyle_11"/>
    <w:basedOn w:val="1"/>
    <w:qFormat/>
    <w:uiPriority w:val="0"/>
    <w:pPr>
      <w:widowControl/>
      <w:spacing w:before="100" w:beforeAutospacing="1" w:after="100" w:afterAutospacing="1"/>
      <w:jc w:val="center"/>
      <w:textAlignment w:val="baseline"/>
    </w:pPr>
    <w:rPr>
      <w:rFonts w:eastAsia="@仿宋_GB2312"/>
      <w:b/>
      <w:bCs/>
      <w:kern w:val="0"/>
      <w:sz w:val="28"/>
      <w:szCs w:val="28"/>
    </w:rPr>
  </w:style>
  <w:style w:type="character" w:customStyle="1" w:styleId="22">
    <w:name w:val="NormalCharacter"/>
    <w:qFormat/>
    <w:uiPriority w:val="0"/>
    <w:rPr>
      <w:rFonts w:ascii="@仿宋_GB2312" w:hAnsi="@仿宋_GB2312" w:eastAsia="宋体" w:cs="@仿宋_GB2312"/>
      <w:kern w:val="2"/>
      <w:sz w:val="21"/>
      <w:lang w:val="en-US" w:eastAsia="zh-CN" w:bidi="ar-SA"/>
    </w:rPr>
  </w:style>
  <w:style w:type="paragraph" w:customStyle="1" w:styleId="23">
    <w:name w:val="AnnotationText"/>
    <w:basedOn w:val="1"/>
    <w:qFormat/>
    <w:uiPriority w:val="0"/>
    <w:pPr>
      <w:jc w:val="left"/>
      <w:textAlignment w:val="baseline"/>
    </w:pPr>
    <w:rPr>
      <w:rFonts w:ascii="Arial" w:hAnsi="Arial" w:eastAsia="黑体"/>
    </w:rPr>
  </w:style>
  <w:style w:type="character" w:customStyle="1" w:styleId="24">
    <w:name w:val="font01"/>
    <w:basedOn w:val="16"/>
    <w:qFormat/>
    <w:uiPriority w:val="0"/>
    <w:rPr>
      <w:rFonts w:hint="default" w:ascii="Tahoma" w:hAnsi="Tahoma" w:eastAsia="Tahoma" w:cs="Tahoma"/>
      <w:color w:val="000000"/>
      <w:sz w:val="20"/>
      <w:szCs w:val="20"/>
      <w:u w:val="none"/>
    </w:rPr>
  </w:style>
  <w:style w:type="character" w:customStyle="1" w:styleId="25">
    <w:name w:val="font21"/>
    <w:basedOn w:val="16"/>
    <w:qFormat/>
    <w:uiPriority w:val="0"/>
    <w:rPr>
      <w:rFonts w:hint="eastAsia" w:ascii="宋体" w:hAnsi="宋体" w:eastAsia="宋体" w:cs="宋体"/>
      <w:color w:val="000000"/>
      <w:sz w:val="20"/>
      <w:szCs w:val="20"/>
      <w:u w:val="none"/>
    </w:rPr>
  </w:style>
  <w:style w:type="paragraph" w:customStyle="1" w:styleId="26">
    <w:name w:val="纯文本1"/>
    <w:basedOn w:val="1"/>
    <w:qFormat/>
    <w:uiPriority w:val="0"/>
    <w:rPr>
      <w:rFonts w:ascii="Arial" w:hAnsi="Arial" w:eastAsia="Arial" w:cs="Times New Roman"/>
    </w:rPr>
  </w:style>
  <w:style w:type="paragraph" w:customStyle="1" w:styleId="27">
    <w:name w:val="Char Char Char Char Char Char Char1 Char"/>
    <w:basedOn w:val="1"/>
    <w:qFormat/>
    <w:uiPriority w:val="0"/>
    <w:rPr>
      <w:rFonts w:ascii="Arial" w:hAnsi="Arial" w:cs="Arial"/>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0</Words>
  <Characters>0</Characters>
  <Lines>0</Lines>
  <Paragraphs>0</Paragraphs>
  <TotalTime>1</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2024-11-27T08:29:33Z</dcterms:created>
  <dc:creator>1</dc:creator>
  <cp:lastModifiedBy>孟申</cp:lastModifiedBy>
  <dcterms:modified xsi:type="dcterms:W3CDTF">2024-11-27T08:30:34Z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3827E0B37BD143B0AC19BB1FD43EF129_12</vt:lpwstr>
  </property>
</Properties>
</file>