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3F41C">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rPr>
      </w:pPr>
    </w:p>
    <w:p w14:paraId="7CE8C4FD">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rPr>
      </w:pPr>
    </w:p>
    <w:p w14:paraId="08DA10A1">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52"/>
          <w:szCs w:val="52"/>
          <w:highlight w:val="none"/>
        </w:rPr>
      </w:pPr>
      <w:bookmarkStart w:id="0" w:name="_Hlk9544796"/>
      <w:r>
        <w:rPr>
          <w:rFonts w:hint="eastAsia" w:ascii="宋体" w:hAnsi="宋体" w:eastAsia="宋体" w:cs="宋体"/>
          <w:b/>
          <w:bCs/>
          <w:color w:val="auto"/>
          <w:sz w:val="52"/>
          <w:szCs w:val="52"/>
          <w:highlight w:val="none"/>
        </w:rPr>
        <w:t>竞争性磋商文件</w:t>
      </w:r>
    </w:p>
    <w:p w14:paraId="30BCA790">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（服务类）</w:t>
      </w:r>
    </w:p>
    <w:bookmarkEnd w:id="0"/>
    <w:p w14:paraId="50750632">
      <w:pPr>
        <w:tabs>
          <w:tab w:val="left" w:pos="315"/>
          <w:tab w:val="left" w:pos="8820"/>
        </w:tabs>
        <w:spacing w:before="240" w:beforeLines="100" w:after="120" w:afterLines="50" w:line="500" w:lineRule="exact"/>
        <w:ind w:right="267" w:rightChars="127"/>
        <w:jc w:val="center"/>
        <w:rPr>
          <w:rFonts w:hint="eastAsia" w:ascii="宋体" w:hAnsi="宋体" w:eastAsia="宋体" w:cs="宋体"/>
          <w:bCs/>
          <w:color w:val="auto"/>
          <w:sz w:val="44"/>
          <w:szCs w:val="44"/>
          <w:highlight w:val="none"/>
        </w:rPr>
      </w:pPr>
    </w:p>
    <w:p w14:paraId="347B7F8F">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00D97129">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30D6EE10">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4077B02F">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4AAECE48">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2F2C822A">
      <w:pPr>
        <w:tabs>
          <w:tab w:val="left" w:pos="2410"/>
        </w:tabs>
        <w:autoSpaceDE w:val="0"/>
        <w:autoSpaceDN w:val="0"/>
        <w:adjustRightInd w:val="0"/>
        <w:snapToGrid w:val="0"/>
        <w:spacing w:line="360" w:lineRule="auto"/>
        <w:ind w:firstLine="361" w:firstLineChars="100"/>
        <w:rPr>
          <w:rFonts w:hint="eastAsia" w:ascii="宋体" w:hAnsi="宋体" w:eastAsia="宋体" w:cs="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rPr>
        <w:t>项目名称：</w:t>
      </w:r>
      <w:r>
        <w:rPr>
          <w:rFonts w:hint="eastAsia" w:ascii="宋体" w:hAnsi="宋体" w:eastAsia="宋体" w:cs="宋体"/>
          <w:b/>
          <w:color w:val="auto"/>
          <w:spacing w:val="20"/>
          <w:kern w:val="0"/>
          <w:sz w:val="32"/>
          <w:szCs w:val="32"/>
          <w:highlight w:val="none"/>
          <w:u w:val="single"/>
          <w:lang w:eastAsia="zh-CN"/>
        </w:rPr>
        <w:t>包河区体艺中心合肥市师范附属小学课程服务单位（第一部分）招标（</w:t>
      </w:r>
      <w:r>
        <w:rPr>
          <w:rFonts w:hint="eastAsia" w:ascii="宋体" w:hAnsi="宋体" w:eastAsia="宋体" w:cs="宋体"/>
          <w:b/>
          <w:color w:val="auto"/>
          <w:spacing w:val="20"/>
          <w:kern w:val="0"/>
          <w:sz w:val="32"/>
          <w:szCs w:val="32"/>
          <w:highlight w:val="none"/>
          <w:u w:val="single"/>
          <w:lang w:val="en-US" w:eastAsia="zh-CN"/>
        </w:rPr>
        <w:t>二次</w:t>
      </w:r>
      <w:r>
        <w:rPr>
          <w:rFonts w:hint="eastAsia" w:ascii="宋体" w:hAnsi="宋体" w:eastAsia="宋体" w:cs="宋体"/>
          <w:b/>
          <w:color w:val="auto"/>
          <w:spacing w:val="20"/>
          <w:kern w:val="0"/>
          <w:sz w:val="32"/>
          <w:szCs w:val="32"/>
          <w:highlight w:val="none"/>
          <w:u w:val="single"/>
          <w:lang w:eastAsia="zh-CN"/>
        </w:rPr>
        <w:t>）</w:t>
      </w:r>
    </w:p>
    <w:p w14:paraId="598A4F36">
      <w:pPr>
        <w:tabs>
          <w:tab w:val="left" w:pos="2410"/>
        </w:tabs>
        <w:autoSpaceDE w:val="0"/>
        <w:autoSpaceDN w:val="0"/>
        <w:adjustRightInd w:val="0"/>
        <w:snapToGrid w:val="0"/>
        <w:spacing w:line="360" w:lineRule="auto"/>
        <w:ind w:firstLine="361" w:firstLineChars="100"/>
        <w:rPr>
          <w:rFonts w:hint="eastAsia" w:ascii="宋体" w:hAnsi="宋体" w:eastAsia="宋体" w:cs="宋体"/>
          <w:b/>
          <w:color w:val="auto"/>
          <w:spacing w:val="20"/>
          <w:kern w:val="0"/>
          <w:sz w:val="32"/>
          <w:szCs w:val="32"/>
          <w:highlight w:val="none"/>
          <w:u w:val="single"/>
        </w:rPr>
      </w:pPr>
      <w:r>
        <w:rPr>
          <w:rFonts w:hint="eastAsia" w:ascii="宋体" w:hAnsi="宋体" w:eastAsia="宋体" w:cs="宋体"/>
          <w:b/>
          <w:color w:val="auto"/>
          <w:spacing w:val="20"/>
          <w:kern w:val="0"/>
          <w:sz w:val="32"/>
          <w:szCs w:val="32"/>
          <w:highlight w:val="none"/>
        </w:rPr>
        <w:t>招 标 人：</w:t>
      </w:r>
      <w:r>
        <w:rPr>
          <w:rFonts w:hint="eastAsia" w:ascii="宋体" w:hAnsi="宋体" w:eastAsia="宋体" w:cs="宋体"/>
          <w:b/>
          <w:color w:val="auto"/>
          <w:spacing w:val="20"/>
          <w:kern w:val="0"/>
          <w:sz w:val="32"/>
          <w:szCs w:val="32"/>
          <w:highlight w:val="none"/>
          <w:u w:val="single"/>
        </w:rPr>
        <w:t>合肥滨湖时光体育发展有限公司</w:t>
      </w:r>
    </w:p>
    <w:p w14:paraId="2ECF2D58">
      <w:pPr>
        <w:tabs>
          <w:tab w:val="left" w:pos="2410"/>
        </w:tabs>
        <w:autoSpaceDE w:val="0"/>
        <w:autoSpaceDN w:val="0"/>
        <w:adjustRightInd w:val="0"/>
        <w:snapToGrid w:val="0"/>
        <w:spacing w:line="360" w:lineRule="auto"/>
        <w:ind w:firstLine="361" w:firstLineChars="100"/>
        <w:jc w:val="left"/>
        <w:rPr>
          <w:rFonts w:hint="eastAsia" w:ascii="宋体" w:hAnsi="DotumChe" w:eastAsia="宋体" w:cs="宋体"/>
          <w:color w:val="auto"/>
          <w:spacing w:val="20"/>
          <w:kern w:val="0"/>
          <w:sz w:val="32"/>
          <w:szCs w:val="32"/>
          <w:highlight w:val="none"/>
        </w:rPr>
      </w:pPr>
      <w:r>
        <w:rPr>
          <w:rFonts w:hint="eastAsia" w:ascii="宋体" w:hAnsi="宋体" w:eastAsia="宋体" w:cs="宋体"/>
          <w:b/>
          <w:color w:val="auto"/>
          <w:spacing w:val="20"/>
          <w:kern w:val="0"/>
          <w:sz w:val="32"/>
          <w:szCs w:val="32"/>
          <w:highlight w:val="none"/>
        </w:rPr>
        <w:t>采购时间：</w:t>
      </w:r>
      <w:r>
        <w:rPr>
          <w:rFonts w:hint="eastAsia" w:ascii="宋体" w:hAnsi="宋体" w:eastAsia="宋体" w:cs="宋体"/>
          <w:b/>
          <w:color w:val="auto"/>
          <w:spacing w:val="20"/>
          <w:kern w:val="0"/>
          <w:sz w:val="32"/>
          <w:szCs w:val="32"/>
          <w:highlight w:val="none"/>
          <w:u w:val="single"/>
        </w:rPr>
        <w:t>202</w:t>
      </w:r>
      <w:r>
        <w:rPr>
          <w:rFonts w:hint="eastAsia" w:ascii="宋体" w:hAnsi="宋体" w:eastAsia="宋体" w:cs="宋体"/>
          <w:b/>
          <w:color w:val="auto"/>
          <w:spacing w:val="20"/>
          <w:kern w:val="0"/>
          <w:sz w:val="32"/>
          <w:szCs w:val="32"/>
          <w:highlight w:val="none"/>
          <w:u w:val="single"/>
          <w:lang w:val="en-US" w:eastAsia="zh-CN"/>
        </w:rPr>
        <w:t>5</w:t>
      </w:r>
      <w:r>
        <w:rPr>
          <w:rFonts w:hint="eastAsia" w:ascii="宋体" w:hAnsi="宋体" w:eastAsia="宋体" w:cs="宋体"/>
          <w:b/>
          <w:color w:val="auto"/>
          <w:spacing w:val="20"/>
          <w:kern w:val="0"/>
          <w:sz w:val="32"/>
          <w:szCs w:val="32"/>
          <w:highlight w:val="none"/>
          <w:u w:val="single"/>
        </w:rPr>
        <w:t>年1月</w:t>
      </w:r>
    </w:p>
    <w:p w14:paraId="1BA8AA4E">
      <w:pPr>
        <w:tabs>
          <w:tab w:val="left" w:pos="2410"/>
        </w:tabs>
        <w:autoSpaceDE w:val="0"/>
        <w:autoSpaceDN w:val="0"/>
        <w:adjustRightInd w:val="0"/>
        <w:snapToGrid w:val="0"/>
        <w:spacing w:line="360" w:lineRule="auto"/>
        <w:ind w:firstLine="361" w:firstLineChars="100"/>
        <w:rPr>
          <w:rFonts w:hint="eastAsia" w:ascii="宋体" w:hAnsi="宋体" w:eastAsia="宋体" w:cs="宋体"/>
          <w:b/>
          <w:color w:val="auto"/>
          <w:spacing w:val="20"/>
          <w:kern w:val="0"/>
          <w:sz w:val="32"/>
          <w:szCs w:val="32"/>
          <w:highlight w:val="none"/>
        </w:rPr>
      </w:pPr>
    </w:p>
    <w:p w14:paraId="2A0DAF2C">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6A05FBAE">
      <w:pPr>
        <w:tabs>
          <w:tab w:val="left" w:pos="2410"/>
        </w:tabs>
        <w:autoSpaceDE w:val="0"/>
        <w:autoSpaceDN w:val="0"/>
        <w:adjustRightInd w:val="0"/>
        <w:snapToGrid w:val="0"/>
        <w:spacing w:line="360" w:lineRule="auto"/>
        <w:jc w:val="center"/>
        <w:rPr>
          <w:rFonts w:hint="eastAsia" w:ascii="宋体" w:hAnsi="宋体" w:eastAsia="宋体" w:cs="宋体"/>
          <w:b/>
          <w:color w:val="auto"/>
          <w:sz w:val="36"/>
          <w:highlight w:val="none"/>
          <w:u w:val="single"/>
        </w:rPr>
      </w:pPr>
    </w:p>
    <w:p w14:paraId="0295341B">
      <w:pPr>
        <w:tabs>
          <w:tab w:val="left" w:pos="2410"/>
        </w:tabs>
        <w:autoSpaceDE w:val="0"/>
        <w:autoSpaceDN w:val="0"/>
        <w:adjustRightInd w:val="0"/>
        <w:snapToGrid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u w:val="single"/>
        </w:rPr>
        <w:t xml:space="preserve"> 202</w:t>
      </w:r>
      <w:r>
        <w:rPr>
          <w:rFonts w:hint="eastAsia" w:ascii="宋体" w:hAnsi="宋体" w:eastAsia="宋体" w:cs="宋体"/>
          <w:b/>
          <w:color w:val="auto"/>
          <w:sz w:val="36"/>
          <w:highlight w:val="none"/>
          <w:u w:val="single"/>
          <w:lang w:val="en-US" w:eastAsia="zh-CN"/>
        </w:rPr>
        <w:t>5</w:t>
      </w:r>
      <w:r>
        <w:rPr>
          <w:rFonts w:hint="eastAsia" w:ascii="宋体" w:hAnsi="宋体" w:eastAsia="宋体" w:cs="宋体"/>
          <w:b/>
          <w:color w:val="auto"/>
          <w:sz w:val="36"/>
          <w:highlight w:val="none"/>
          <w:u w:val="single"/>
        </w:rPr>
        <w:t xml:space="preserve"> </w:t>
      </w:r>
      <w:r>
        <w:rPr>
          <w:rFonts w:hint="eastAsia" w:ascii="宋体" w:hAnsi="宋体" w:eastAsia="宋体" w:cs="宋体"/>
          <w:b/>
          <w:color w:val="auto"/>
          <w:sz w:val="36"/>
          <w:highlight w:val="none"/>
        </w:rPr>
        <w:t>年</w:t>
      </w:r>
      <w:r>
        <w:rPr>
          <w:rFonts w:hint="eastAsia" w:ascii="宋体" w:hAnsi="宋体" w:eastAsia="宋体" w:cs="宋体"/>
          <w:b/>
          <w:color w:val="auto"/>
          <w:sz w:val="36"/>
          <w:highlight w:val="none"/>
          <w:u w:val="single"/>
        </w:rPr>
        <w:t xml:space="preserve"> 1 </w:t>
      </w:r>
      <w:r>
        <w:rPr>
          <w:rFonts w:hint="eastAsia" w:ascii="宋体" w:hAnsi="宋体" w:eastAsia="宋体" w:cs="宋体"/>
          <w:b/>
          <w:color w:val="auto"/>
          <w:sz w:val="36"/>
          <w:highlight w:val="none"/>
        </w:rPr>
        <w:t>月</w:t>
      </w:r>
      <w:r>
        <w:rPr>
          <w:rFonts w:hint="eastAsia" w:ascii="宋体" w:hAnsi="宋体" w:eastAsia="宋体" w:cs="宋体"/>
          <w:b/>
          <w:color w:val="auto"/>
          <w:sz w:val="36"/>
          <w:highlight w:val="none"/>
        </w:rPr>
        <w:br w:type="page"/>
      </w:r>
    </w:p>
    <w:p w14:paraId="30FCA6E2">
      <w:pPr>
        <w:tabs>
          <w:tab w:val="left" w:pos="2410"/>
        </w:tabs>
        <w:autoSpaceDE w:val="0"/>
        <w:autoSpaceDN w:val="0"/>
        <w:adjustRightInd w:val="0"/>
        <w:snapToGrid w:val="0"/>
        <w:spacing w:line="36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目  录</w:t>
      </w:r>
    </w:p>
    <w:p w14:paraId="679AF2FC">
      <w:pPr>
        <w:tabs>
          <w:tab w:val="left" w:pos="2410"/>
        </w:tabs>
        <w:autoSpaceDE w:val="0"/>
        <w:autoSpaceDN w:val="0"/>
        <w:adjustRightInd w:val="0"/>
        <w:snapToGrid w:val="0"/>
        <w:spacing w:line="360" w:lineRule="auto"/>
        <w:jc w:val="center"/>
        <w:rPr>
          <w:rFonts w:hint="eastAsia" w:ascii="宋体" w:hAnsi="宋体" w:eastAsia="宋体" w:cs="宋体"/>
          <w:b/>
          <w:color w:val="auto"/>
          <w:sz w:val="28"/>
          <w:highlight w:val="none"/>
        </w:rPr>
      </w:pPr>
    </w:p>
    <w:p w14:paraId="3E6897F2">
      <w:pPr>
        <w:pStyle w:val="19"/>
        <w:tabs>
          <w:tab w:val="right" w:leader="dot" w:pos="8269"/>
        </w:tabs>
        <w:rPr>
          <w:rFonts w:hint="eastAsia" w:ascii="宋体" w:hAnsi="宋体" w:cs="宋体"/>
          <w:color w:val="auto"/>
          <w:kern w:val="2"/>
          <w:sz w:val="21"/>
          <w:highlight w:val="none"/>
        </w:rPr>
      </w:pPr>
      <w:r>
        <w:rPr>
          <w:rFonts w:hint="eastAsia" w:ascii="宋体" w:hAnsi="宋体" w:cs="宋体"/>
          <w:b/>
          <w:color w:val="auto"/>
          <w:sz w:val="24"/>
          <w:szCs w:val="24"/>
          <w:highlight w:val="none"/>
        </w:rPr>
        <w:fldChar w:fldCharType="begin"/>
      </w:r>
      <w:r>
        <w:rPr>
          <w:rFonts w:hint="eastAsia" w:ascii="宋体" w:hAnsi="宋体" w:cs="宋体"/>
          <w:b/>
          <w:color w:val="auto"/>
          <w:sz w:val="24"/>
          <w:szCs w:val="24"/>
          <w:highlight w:val="none"/>
        </w:rPr>
        <w:instrText xml:space="preserve"> TOC \o "1-2" \h \z \u </w:instrText>
      </w:r>
      <w:r>
        <w:rPr>
          <w:rFonts w:hint="eastAsia" w:ascii="宋体" w:hAnsi="宋体" w:cs="宋体"/>
          <w:b/>
          <w:color w:val="auto"/>
          <w:sz w:val="24"/>
          <w:szCs w:val="24"/>
          <w:highlight w:val="none"/>
        </w:rPr>
        <w:fldChar w:fldCharType="separate"/>
      </w:r>
      <w:r>
        <w:rPr>
          <w:color w:val="auto"/>
          <w:highlight w:val="none"/>
        </w:rPr>
        <w:fldChar w:fldCharType="begin"/>
      </w:r>
      <w:r>
        <w:rPr>
          <w:color w:val="auto"/>
          <w:highlight w:val="none"/>
        </w:rPr>
        <w:instrText xml:space="preserve"> HYPERLINK \l "_Toc47026330" </w:instrText>
      </w:r>
      <w:r>
        <w:rPr>
          <w:color w:val="auto"/>
          <w:highlight w:val="none"/>
        </w:rPr>
        <w:fldChar w:fldCharType="separate"/>
      </w:r>
      <w:r>
        <w:rPr>
          <w:rStyle w:val="26"/>
          <w:rFonts w:hint="eastAsia" w:ascii="宋体" w:hAnsi="宋体" w:cs="宋体"/>
          <w:b/>
          <w:color w:val="auto"/>
          <w:highlight w:val="none"/>
        </w:rPr>
        <w:t>第一章  磋商公告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_Toc47026330 \h </w:instrText>
      </w:r>
      <w:r>
        <w:rPr>
          <w:rFonts w:hint="eastAsia" w:ascii="宋体" w:hAnsi="宋体" w:cs="宋体"/>
          <w:color w:val="auto"/>
          <w:highlight w:val="none"/>
        </w:rPr>
        <w:fldChar w:fldCharType="separate"/>
      </w:r>
      <w:r>
        <w:rPr>
          <w:rFonts w:hint="eastAsia" w:ascii="宋体" w:hAnsi="宋体" w:cs="宋体"/>
          <w:color w:val="auto"/>
          <w:highlight w:val="none"/>
        </w:rPr>
        <w:t>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D99F60E">
      <w:pPr>
        <w:pStyle w:val="19"/>
        <w:tabs>
          <w:tab w:val="right" w:leader="dot" w:pos="8269"/>
        </w:tabs>
        <w:rPr>
          <w:rFonts w:hint="eastAsia" w:ascii="宋体" w:hAnsi="宋体" w:cs="宋体"/>
          <w:color w:val="auto"/>
          <w:kern w:val="2"/>
          <w:sz w:val="21"/>
          <w:highlight w:val="none"/>
        </w:rPr>
      </w:pPr>
      <w:r>
        <w:rPr>
          <w:color w:val="auto"/>
          <w:highlight w:val="none"/>
        </w:rPr>
        <w:fldChar w:fldCharType="begin"/>
      </w:r>
      <w:r>
        <w:rPr>
          <w:color w:val="auto"/>
          <w:highlight w:val="none"/>
        </w:rPr>
        <w:instrText xml:space="preserve"> HYPERLINK \l "_Toc47026333" </w:instrText>
      </w:r>
      <w:r>
        <w:rPr>
          <w:color w:val="auto"/>
          <w:highlight w:val="none"/>
        </w:rPr>
        <w:fldChar w:fldCharType="separate"/>
      </w:r>
      <w:r>
        <w:rPr>
          <w:rStyle w:val="26"/>
          <w:rFonts w:hint="eastAsia" w:ascii="宋体" w:hAnsi="宋体" w:cs="宋体"/>
          <w:b/>
          <w:color w:val="auto"/>
          <w:highlight w:val="none"/>
        </w:rPr>
        <w:t>第二章  投标人须知</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_Toc47026333 \h </w:instrText>
      </w:r>
      <w:r>
        <w:rPr>
          <w:rFonts w:hint="eastAsia" w:ascii="宋体" w:hAnsi="宋体" w:cs="宋体"/>
          <w:color w:val="auto"/>
          <w:highlight w:val="none"/>
        </w:rPr>
        <w:fldChar w:fldCharType="separate"/>
      </w:r>
      <w:r>
        <w:rPr>
          <w:rFonts w:hint="eastAsia" w:ascii="宋体" w:hAnsi="宋体" w:cs="宋体"/>
          <w:color w:val="auto"/>
          <w:highlight w:val="none"/>
        </w:rPr>
        <w:t>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6815A71">
      <w:pPr>
        <w:pStyle w:val="19"/>
        <w:tabs>
          <w:tab w:val="right" w:leader="dot" w:pos="8269"/>
        </w:tabs>
        <w:rPr>
          <w:rFonts w:hint="eastAsia" w:ascii="宋体" w:hAnsi="宋体" w:cs="宋体"/>
          <w:color w:val="auto"/>
          <w:kern w:val="2"/>
          <w:sz w:val="21"/>
          <w:highlight w:val="none"/>
        </w:rPr>
      </w:pPr>
      <w:r>
        <w:rPr>
          <w:color w:val="auto"/>
          <w:highlight w:val="none"/>
        </w:rPr>
        <w:fldChar w:fldCharType="begin"/>
      </w:r>
      <w:r>
        <w:rPr>
          <w:color w:val="auto"/>
          <w:highlight w:val="none"/>
        </w:rPr>
        <w:instrText xml:space="preserve"> HYPERLINK \l "_Toc47026334" </w:instrText>
      </w:r>
      <w:r>
        <w:rPr>
          <w:color w:val="auto"/>
          <w:highlight w:val="none"/>
        </w:rPr>
        <w:fldChar w:fldCharType="separate"/>
      </w:r>
      <w:r>
        <w:rPr>
          <w:rStyle w:val="26"/>
          <w:rFonts w:hint="eastAsia" w:ascii="宋体" w:hAnsi="宋体" w:cs="宋体"/>
          <w:b/>
          <w:color w:val="auto"/>
          <w:highlight w:val="none"/>
        </w:rPr>
        <w:t>第三章  招标需求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_Toc47026334 \h </w:instrText>
      </w:r>
      <w:r>
        <w:rPr>
          <w:rFonts w:hint="eastAsia" w:ascii="宋体" w:hAnsi="宋体" w:cs="宋体"/>
          <w:color w:val="auto"/>
          <w:highlight w:val="none"/>
        </w:rPr>
        <w:fldChar w:fldCharType="separate"/>
      </w:r>
      <w:r>
        <w:rPr>
          <w:rFonts w:hint="eastAsia" w:ascii="宋体" w:hAnsi="宋体" w:cs="宋体"/>
          <w:color w:val="auto"/>
          <w:highlight w:val="none"/>
        </w:rPr>
        <w:t>21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B777558">
      <w:pPr>
        <w:pStyle w:val="19"/>
        <w:tabs>
          <w:tab w:val="right" w:leader="dot" w:pos="8269"/>
        </w:tabs>
        <w:rPr>
          <w:rFonts w:hint="eastAsia" w:ascii="宋体" w:hAnsi="宋体" w:cs="宋体"/>
          <w:color w:val="auto"/>
          <w:kern w:val="2"/>
          <w:sz w:val="21"/>
          <w:highlight w:val="none"/>
        </w:rPr>
      </w:pPr>
      <w:r>
        <w:rPr>
          <w:color w:val="auto"/>
          <w:highlight w:val="none"/>
        </w:rPr>
        <w:fldChar w:fldCharType="begin"/>
      </w:r>
      <w:r>
        <w:rPr>
          <w:color w:val="auto"/>
          <w:highlight w:val="none"/>
        </w:rPr>
        <w:instrText xml:space="preserve"> HYPERLINK \l "_Toc47026335" </w:instrText>
      </w:r>
      <w:r>
        <w:rPr>
          <w:color w:val="auto"/>
          <w:highlight w:val="none"/>
        </w:rPr>
        <w:fldChar w:fldCharType="separate"/>
      </w:r>
      <w:r>
        <w:rPr>
          <w:rStyle w:val="26"/>
          <w:rFonts w:hint="eastAsia" w:ascii="宋体" w:hAnsi="宋体" w:cs="宋体"/>
          <w:b/>
          <w:color w:val="auto"/>
          <w:highlight w:val="none"/>
        </w:rPr>
        <w:t>第四章  评审方法和标准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_Toc47026335 \h </w:instrText>
      </w:r>
      <w:r>
        <w:rPr>
          <w:rFonts w:hint="eastAsia" w:ascii="宋体" w:hAnsi="宋体" w:cs="宋体"/>
          <w:color w:val="auto"/>
          <w:highlight w:val="none"/>
        </w:rPr>
        <w:fldChar w:fldCharType="separate"/>
      </w:r>
      <w:r>
        <w:rPr>
          <w:rFonts w:hint="eastAsia" w:ascii="宋体" w:hAnsi="宋体" w:cs="宋体"/>
          <w:color w:val="auto"/>
          <w:highlight w:val="none"/>
        </w:rPr>
        <w:t>27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0DD9812">
      <w:pPr>
        <w:pStyle w:val="19"/>
        <w:tabs>
          <w:tab w:val="right" w:leader="dot" w:pos="8269"/>
        </w:tabs>
        <w:rPr>
          <w:rFonts w:hint="eastAsia" w:ascii="宋体" w:hAnsi="宋体" w:cs="宋体"/>
          <w:color w:val="auto"/>
          <w:kern w:val="2"/>
          <w:sz w:val="21"/>
          <w:highlight w:val="none"/>
        </w:rPr>
      </w:pPr>
      <w:r>
        <w:rPr>
          <w:color w:val="auto"/>
          <w:highlight w:val="none"/>
        </w:rPr>
        <w:fldChar w:fldCharType="begin"/>
      </w:r>
      <w:r>
        <w:rPr>
          <w:color w:val="auto"/>
          <w:highlight w:val="none"/>
        </w:rPr>
        <w:instrText xml:space="preserve"> HYPERLINK \l "_Toc47026336" </w:instrText>
      </w:r>
      <w:r>
        <w:rPr>
          <w:color w:val="auto"/>
          <w:highlight w:val="none"/>
        </w:rPr>
        <w:fldChar w:fldCharType="separate"/>
      </w:r>
      <w:r>
        <w:rPr>
          <w:rStyle w:val="26"/>
          <w:rFonts w:hint="eastAsia" w:ascii="宋体" w:hAnsi="宋体" w:cs="宋体"/>
          <w:b/>
          <w:color w:val="auto"/>
          <w:highlight w:val="none"/>
        </w:rPr>
        <w:t>第五章  合同模板</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_Toc47026336 \h </w:instrText>
      </w:r>
      <w:r>
        <w:rPr>
          <w:rFonts w:hint="eastAsia" w:ascii="宋体" w:hAnsi="宋体" w:cs="宋体"/>
          <w:color w:val="auto"/>
          <w:highlight w:val="none"/>
        </w:rPr>
        <w:fldChar w:fldCharType="separate"/>
      </w:r>
      <w:r>
        <w:rPr>
          <w:rFonts w:hint="eastAsia" w:ascii="宋体" w:hAnsi="宋体" w:cs="宋体"/>
          <w:color w:val="auto"/>
          <w:highlight w:val="none"/>
        </w:rPr>
        <w:t>32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01FC1FC">
      <w:pPr>
        <w:pStyle w:val="19"/>
        <w:tabs>
          <w:tab w:val="right" w:leader="dot" w:pos="8269"/>
        </w:tabs>
        <w:rPr>
          <w:rFonts w:hint="eastAsia" w:ascii="宋体" w:hAnsi="宋体" w:cs="宋体"/>
          <w:color w:val="auto"/>
          <w:kern w:val="2"/>
          <w:sz w:val="21"/>
          <w:highlight w:val="none"/>
        </w:rPr>
      </w:pPr>
      <w:r>
        <w:rPr>
          <w:color w:val="auto"/>
          <w:highlight w:val="none"/>
        </w:rPr>
        <w:fldChar w:fldCharType="begin"/>
      </w:r>
      <w:r>
        <w:rPr>
          <w:color w:val="auto"/>
          <w:highlight w:val="none"/>
        </w:rPr>
        <w:instrText xml:space="preserve"> HYPERLINK \l "_Toc47026337" </w:instrText>
      </w:r>
      <w:r>
        <w:rPr>
          <w:color w:val="auto"/>
          <w:highlight w:val="none"/>
        </w:rPr>
        <w:fldChar w:fldCharType="separate"/>
      </w:r>
      <w:r>
        <w:rPr>
          <w:rStyle w:val="26"/>
          <w:rFonts w:hint="eastAsia" w:ascii="宋体" w:hAnsi="宋体" w:cs="宋体"/>
          <w:b/>
          <w:color w:val="auto"/>
          <w:highlight w:val="none"/>
        </w:rPr>
        <w:t>第六章  响应文件格式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_Toc47026337 \h </w:instrText>
      </w:r>
      <w:r>
        <w:rPr>
          <w:rFonts w:hint="eastAsia" w:ascii="宋体" w:hAnsi="宋体" w:cs="宋体"/>
          <w:color w:val="auto"/>
          <w:highlight w:val="none"/>
        </w:rPr>
        <w:fldChar w:fldCharType="separate"/>
      </w:r>
      <w:r>
        <w:rPr>
          <w:rFonts w:hint="eastAsia" w:ascii="宋体" w:hAnsi="宋体" w:cs="宋体"/>
          <w:color w:val="auto"/>
          <w:highlight w:val="none"/>
        </w:rPr>
        <w:t>37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D61930D">
      <w:pPr>
        <w:pStyle w:val="19"/>
        <w:tabs>
          <w:tab w:val="right" w:leader="dot" w:pos="8296"/>
        </w:tabs>
        <w:rPr>
          <w:rFonts w:hint="eastAsia" w:ascii="宋体" w:hAnsi="宋体" w:cs="宋体"/>
          <w:b/>
          <w:color w:val="auto"/>
          <w:sz w:val="32"/>
          <w:highlight w:val="none"/>
        </w:rPr>
      </w:pPr>
      <w:r>
        <w:rPr>
          <w:rFonts w:hint="eastAsia" w:ascii="宋体" w:hAnsi="宋体" w:cs="宋体"/>
          <w:b/>
          <w:color w:val="auto"/>
          <w:sz w:val="24"/>
          <w:szCs w:val="24"/>
          <w:highlight w:val="none"/>
        </w:rPr>
        <w:fldChar w:fldCharType="end"/>
      </w:r>
    </w:p>
    <w:p w14:paraId="08169C00">
      <w:pPr>
        <w:spacing w:line="360" w:lineRule="auto"/>
        <w:jc w:val="center"/>
        <w:outlineLvl w:val="1"/>
        <w:rPr>
          <w:rFonts w:hint="eastAsia" w:ascii="宋体" w:hAnsi="宋体" w:eastAsia="宋体" w:cs="宋体"/>
          <w:b/>
          <w:color w:val="auto"/>
          <w:sz w:val="28"/>
          <w:highlight w:val="none"/>
        </w:rPr>
        <w:sectPr>
          <w:headerReference r:id="rId3" w:type="default"/>
          <w:footerReference r:id="rId4" w:type="default"/>
          <w:pgSz w:w="11907" w:h="16840"/>
          <w:pgMar w:top="1474" w:right="1814" w:bottom="1474" w:left="1814" w:header="851" w:footer="992" w:gutter="0"/>
          <w:cols w:space="720" w:num="1"/>
          <w:docGrid w:linePitch="462" w:charSpace="0"/>
        </w:sectPr>
      </w:pPr>
    </w:p>
    <w:p w14:paraId="7797B4FC">
      <w:pPr>
        <w:spacing w:line="360" w:lineRule="auto"/>
        <w:jc w:val="center"/>
        <w:outlineLvl w:val="1"/>
        <w:rPr>
          <w:rFonts w:hint="eastAsia" w:ascii="宋体" w:hAnsi="宋体" w:eastAsia="宋体" w:cs="宋体"/>
          <w:b/>
          <w:color w:val="auto"/>
          <w:sz w:val="28"/>
          <w:highlight w:val="none"/>
        </w:rPr>
      </w:pPr>
      <w:bookmarkStart w:id="1" w:name="_Toc47026330"/>
    </w:p>
    <w:p w14:paraId="2A434D97">
      <w:pPr>
        <w:spacing w:line="360" w:lineRule="auto"/>
        <w:jc w:val="center"/>
        <w:outlineLvl w:val="1"/>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第一章  磋商公告</w:t>
      </w:r>
      <w:bookmarkEnd w:id="1"/>
    </w:p>
    <w:p w14:paraId="7304606F">
      <w:pPr>
        <w:spacing w:line="360" w:lineRule="auto"/>
        <w:ind w:firstLine="480" w:firstLineChars="200"/>
        <w:jc w:val="left"/>
        <w:outlineLvl w:val="1"/>
        <w:rPr>
          <w:rFonts w:hint="eastAsia" w:ascii="宋体" w:hAnsi="宋体" w:eastAsia="宋体" w:cs="宋体"/>
          <w:b/>
          <w:color w:val="auto"/>
          <w:sz w:val="24"/>
          <w:szCs w:val="24"/>
          <w:highlight w:val="none"/>
        </w:rPr>
      </w:pPr>
      <w:bookmarkStart w:id="2" w:name="_Toc47026331"/>
      <w:bookmarkStart w:id="3" w:name="_Toc44606294"/>
      <w:r>
        <w:rPr>
          <w:rFonts w:hint="eastAsia" w:ascii="宋体" w:hAnsi="宋体" w:eastAsia="宋体" w:cs="宋体"/>
          <w:color w:val="auto"/>
          <w:sz w:val="24"/>
          <w:szCs w:val="24"/>
          <w:highlight w:val="none"/>
        </w:rPr>
        <w:t>为贯彻落实中共安徽省委《关于全面加强和改进新时代学校体育工作的若干措施》和《关于全面加强和改进新时代学校美育工作的若干措施》，加强包河区体艺教育优质发展，促进学生身心健康、全面发展，在包河区教育体育局的指导下，合肥滨湖时光体育发展有限公司（以下简称“招标人”）与合肥市师范附属小学深入合作，在校内开设“体艺特色发展中心”（以下简称“体艺中心”），为广大中小学生提供全面优质的体艺特色教育服务。现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包河区体艺中心合肥市师范附属小学课程服务单位（第一部分）招标（二次）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进行竞争性磋商，欢迎具备条件的</w:t>
      </w:r>
      <w:r>
        <w:rPr>
          <w:rFonts w:hint="eastAsia" w:ascii="宋体" w:hAnsi="宋体" w:eastAsia="宋体" w:cs="宋体"/>
          <w:color w:val="auto"/>
          <w:sz w:val="24"/>
          <w:szCs w:val="24"/>
          <w:highlight w:val="none"/>
          <w:lang w:val="en-US" w:eastAsia="zh-CN"/>
        </w:rPr>
        <w:t>国内</w:t>
      </w:r>
      <w:r>
        <w:rPr>
          <w:rFonts w:hint="eastAsia" w:ascii="宋体" w:hAnsi="宋体" w:eastAsia="宋体" w:cs="宋体"/>
          <w:color w:val="auto"/>
          <w:sz w:val="24"/>
          <w:szCs w:val="24"/>
          <w:highlight w:val="none"/>
        </w:rPr>
        <w:t>投标人参加磋商。</w:t>
      </w:r>
      <w:bookmarkEnd w:id="2"/>
      <w:bookmarkEnd w:id="3"/>
    </w:p>
    <w:p w14:paraId="09F48694">
      <w:pPr>
        <w:spacing w:line="360" w:lineRule="auto"/>
        <w:ind w:firstLine="435"/>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一、项目名称及内容</w:t>
      </w:r>
    </w:p>
    <w:p w14:paraId="04DB7FCF">
      <w:pPr>
        <w:autoSpaceDE w:val="0"/>
        <w:autoSpaceDN w:val="0"/>
        <w:adjustRightInd w:val="0"/>
        <w:spacing w:line="360" w:lineRule="auto"/>
        <w:ind w:firstLine="436" w:firstLineChars="182"/>
        <w:jc w:val="left"/>
        <w:rPr>
          <w:rFonts w:hint="default"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1.项目编号：</w:t>
      </w:r>
      <w:r>
        <w:rPr>
          <w:rFonts w:hint="eastAsia" w:ascii="宋体" w:hAnsi="宋体" w:eastAsia="宋体" w:cs="宋体"/>
          <w:b/>
          <w:bCs/>
          <w:color w:val="auto"/>
          <w:sz w:val="24"/>
          <w:szCs w:val="18"/>
          <w:highlight w:val="none"/>
          <w:u w:val="single"/>
        </w:rPr>
        <w:t>BHSG</w:t>
      </w:r>
      <w:r>
        <w:rPr>
          <w:rFonts w:hint="eastAsia" w:ascii="宋体" w:hAnsi="宋体" w:eastAsia="宋体" w:cs="宋体"/>
          <w:b/>
          <w:bCs/>
          <w:color w:val="auto"/>
          <w:sz w:val="24"/>
          <w:szCs w:val="18"/>
          <w:highlight w:val="none"/>
          <w:u w:val="single"/>
          <w:lang w:val="en-US" w:eastAsia="zh-CN"/>
        </w:rPr>
        <w:t>-ZTB-2025-03</w:t>
      </w:r>
    </w:p>
    <w:p w14:paraId="73C2E9D5">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lang w:eastAsia="zh-CN"/>
        </w:rPr>
      </w:pPr>
      <w:r>
        <w:rPr>
          <w:rFonts w:hint="eastAsia" w:ascii="宋体" w:hAnsi="宋体" w:eastAsia="宋体" w:cs="宋体"/>
          <w:color w:val="auto"/>
          <w:sz w:val="24"/>
          <w:szCs w:val="18"/>
          <w:highlight w:val="none"/>
        </w:rPr>
        <w:t>2.项目名称：</w:t>
      </w:r>
      <w:r>
        <w:rPr>
          <w:rFonts w:hint="eastAsia" w:ascii="宋体" w:hAnsi="宋体" w:eastAsia="宋体" w:cs="宋体"/>
          <w:color w:val="auto"/>
          <w:sz w:val="24"/>
          <w:szCs w:val="18"/>
          <w:highlight w:val="none"/>
          <w:u w:val="single"/>
          <w:lang w:eastAsia="zh-CN"/>
        </w:rPr>
        <w:t>包河区体艺中心合肥市师范附属小学课程服务单位（第一部分）招标（</w:t>
      </w:r>
      <w:r>
        <w:rPr>
          <w:rFonts w:hint="eastAsia" w:ascii="宋体" w:hAnsi="宋体" w:eastAsia="宋体" w:cs="宋体"/>
          <w:color w:val="auto"/>
          <w:sz w:val="24"/>
          <w:szCs w:val="18"/>
          <w:highlight w:val="none"/>
          <w:u w:val="single"/>
          <w:lang w:val="en-US" w:eastAsia="zh-CN"/>
        </w:rPr>
        <w:t>二次</w:t>
      </w:r>
      <w:r>
        <w:rPr>
          <w:rFonts w:hint="eastAsia" w:ascii="宋体" w:hAnsi="宋体" w:eastAsia="宋体" w:cs="宋体"/>
          <w:color w:val="auto"/>
          <w:sz w:val="24"/>
          <w:szCs w:val="18"/>
          <w:highlight w:val="none"/>
          <w:u w:val="single"/>
          <w:lang w:eastAsia="zh-CN"/>
        </w:rPr>
        <w:t>）</w:t>
      </w:r>
    </w:p>
    <w:p w14:paraId="17919514">
      <w:pPr>
        <w:autoSpaceDE w:val="0"/>
        <w:autoSpaceDN w:val="0"/>
        <w:adjustRightInd w:val="0"/>
        <w:spacing w:line="360" w:lineRule="auto"/>
        <w:ind w:firstLine="436" w:firstLineChars="182"/>
        <w:jc w:val="left"/>
        <w:rPr>
          <w:rFonts w:hint="default"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3.项目地点：合肥市包河区</w:t>
      </w:r>
      <w:r>
        <w:rPr>
          <w:rFonts w:hint="eastAsia" w:ascii="宋体" w:hAnsi="宋体" w:eastAsia="宋体" w:cs="宋体"/>
          <w:color w:val="auto"/>
          <w:sz w:val="24"/>
          <w:szCs w:val="18"/>
          <w:highlight w:val="none"/>
          <w:lang w:val="en-US" w:eastAsia="zh-CN"/>
        </w:rPr>
        <w:t>滨湖新区中山路180号合肥市师范附属小学及</w:t>
      </w:r>
      <w:r>
        <w:rPr>
          <w:rFonts w:hint="eastAsia" w:ascii="宋体" w:hAnsi="宋体" w:eastAsia="宋体" w:cs="宋体"/>
          <w:color w:val="auto"/>
          <w:sz w:val="24"/>
          <w:szCs w:val="18"/>
          <w:highlight w:val="none"/>
        </w:rPr>
        <w:t>合肥市包河区</w:t>
      </w:r>
      <w:r>
        <w:rPr>
          <w:rFonts w:hint="eastAsia" w:ascii="宋体" w:hAnsi="宋体" w:eastAsia="宋体" w:cs="宋体"/>
          <w:color w:val="auto"/>
          <w:sz w:val="24"/>
          <w:szCs w:val="18"/>
          <w:highlight w:val="none"/>
          <w:lang w:val="en-US" w:eastAsia="zh-CN"/>
        </w:rPr>
        <w:t>滨湖新区林芝路378号合肥市师范附属小学南区。</w:t>
      </w:r>
    </w:p>
    <w:p w14:paraId="4710EE1E">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4.项目单位：合肥滨湖时光体育发展有限公司</w:t>
      </w:r>
    </w:p>
    <w:p w14:paraId="6F8BC42C">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5.项目概况：</w:t>
      </w:r>
      <w:r>
        <w:rPr>
          <w:rFonts w:hint="eastAsia" w:ascii="宋体" w:hAnsi="宋体" w:eastAsia="宋体" w:cs="宋体"/>
          <w:color w:val="auto"/>
          <w:sz w:val="24"/>
          <w:szCs w:val="18"/>
          <w:highlight w:val="none"/>
          <w:u w:val="single"/>
          <w:lang w:eastAsia="zh-CN"/>
        </w:rPr>
        <w:t>包河区体艺中心合肥市师范附属小学课程服务单位（第一部分）招标（</w:t>
      </w:r>
      <w:r>
        <w:rPr>
          <w:rFonts w:hint="eastAsia" w:ascii="宋体" w:hAnsi="宋体" w:eastAsia="宋体" w:cs="宋体"/>
          <w:color w:val="auto"/>
          <w:sz w:val="24"/>
          <w:szCs w:val="18"/>
          <w:highlight w:val="none"/>
          <w:u w:val="single"/>
          <w:lang w:val="en-US" w:eastAsia="zh-CN"/>
        </w:rPr>
        <w:t>二次</w:t>
      </w:r>
      <w:r>
        <w:rPr>
          <w:rFonts w:hint="eastAsia" w:ascii="宋体" w:hAnsi="宋体" w:eastAsia="宋体" w:cs="宋体"/>
          <w:color w:val="auto"/>
          <w:sz w:val="24"/>
          <w:szCs w:val="18"/>
          <w:highlight w:val="none"/>
          <w:u w:val="single"/>
          <w:lang w:eastAsia="zh-CN"/>
        </w:rPr>
        <w:t>）</w:t>
      </w:r>
      <w:r>
        <w:rPr>
          <w:rFonts w:hint="eastAsia" w:ascii="宋体" w:hAnsi="宋体" w:eastAsia="宋体" w:cs="宋体"/>
          <w:color w:val="auto"/>
          <w:sz w:val="24"/>
          <w:szCs w:val="18"/>
          <w:highlight w:val="none"/>
        </w:rPr>
        <w:t>，</w:t>
      </w:r>
      <w:r>
        <w:rPr>
          <w:rFonts w:hint="eastAsia" w:ascii="宋体" w:hAnsi="宋体" w:eastAsia="宋体" w:cs="宋体"/>
          <w:color w:val="auto"/>
          <w:sz w:val="24"/>
          <w:highlight w:val="none"/>
        </w:rPr>
        <w:t>详见磋商文件</w:t>
      </w:r>
    </w:p>
    <w:p w14:paraId="5FF1AC91">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6.资金来源：自筹</w:t>
      </w:r>
      <w:r>
        <w:rPr>
          <w:rFonts w:hint="eastAsia" w:ascii="宋体" w:hAnsi="宋体" w:eastAsia="宋体" w:cs="宋体"/>
          <w:color w:val="auto"/>
          <w:sz w:val="24"/>
          <w:szCs w:val="18"/>
          <w:highlight w:val="none"/>
          <w:lang w:val="en-US" w:eastAsia="zh-CN"/>
        </w:rPr>
        <w:t>资金</w:t>
      </w:r>
    </w:p>
    <w:p w14:paraId="4B6D8FA0">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7.项目预算： 本项目采用营业额分成方式，投标人需严格按照招标文件要求报出投标人的分成比例作为本项目价格分计算依据和合同签订依据。</w:t>
      </w:r>
    </w:p>
    <w:p w14:paraId="2E2DA093">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8.项目类别：服务类</w:t>
      </w:r>
    </w:p>
    <w:p w14:paraId="25A0E120">
      <w:pPr>
        <w:autoSpaceDE w:val="0"/>
        <w:autoSpaceDN w:val="0"/>
        <w:adjustRightInd w:val="0"/>
        <w:spacing w:line="360" w:lineRule="auto"/>
        <w:ind w:firstLine="436" w:firstLineChars="182"/>
        <w:jc w:val="left"/>
        <w:rPr>
          <w:rFonts w:hint="default"/>
          <w:color w:val="auto"/>
          <w:highlight w:val="none"/>
          <w:lang w:val="en-US" w:eastAsia="zh-CN"/>
        </w:rPr>
      </w:pPr>
      <w:r>
        <w:rPr>
          <w:rFonts w:hint="eastAsia" w:ascii="宋体" w:hAnsi="宋体" w:eastAsia="宋体" w:cs="宋体"/>
          <w:color w:val="auto"/>
          <w:sz w:val="24"/>
          <w:szCs w:val="18"/>
          <w:highlight w:val="none"/>
        </w:rPr>
        <w:t>9.标段（包别）划分：共分</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u w:val="single"/>
          <w:lang w:val="en-US" w:eastAsia="zh-CN"/>
        </w:rPr>
        <w:t>7</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rPr>
        <w:t>个标段</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lang w:val="en-US" w:eastAsia="zh-CN"/>
        </w:rPr>
        <w:t>其中，</w:t>
      </w:r>
      <w:r>
        <w:rPr>
          <w:rFonts w:hint="eastAsia" w:ascii="宋体" w:hAnsi="宋体" w:eastAsia="宋体" w:cs="宋体"/>
          <w:color w:val="auto"/>
          <w:sz w:val="24"/>
          <w:szCs w:val="18"/>
          <w:highlight w:val="none"/>
          <w:lang w:eastAsia="zh-CN"/>
        </w:rPr>
        <w:t>第1标段为</w:t>
      </w:r>
      <w:r>
        <w:rPr>
          <w:rFonts w:hint="eastAsia" w:ascii="宋体" w:hAnsi="宋体" w:eastAsia="宋体" w:cs="宋体"/>
          <w:color w:val="auto"/>
          <w:sz w:val="24"/>
          <w:szCs w:val="18"/>
          <w:highlight w:val="none"/>
          <w:u w:val="single"/>
          <w:lang w:val="en-US" w:eastAsia="zh-CN"/>
        </w:rPr>
        <w:t>足球（基础班）</w:t>
      </w:r>
      <w:r>
        <w:rPr>
          <w:rFonts w:hint="eastAsia" w:ascii="宋体" w:hAnsi="宋体" w:eastAsia="宋体" w:cs="宋体"/>
          <w:color w:val="auto"/>
          <w:sz w:val="24"/>
          <w:szCs w:val="18"/>
          <w:highlight w:val="none"/>
          <w:lang w:val="en-US" w:eastAsia="zh-CN"/>
        </w:rPr>
        <w:t>课程；</w:t>
      </w:r>
      <w:r>
        <w:rPr>
          <w:rFonts w:hint="eastAsia" w:ascii="宋体" w:hAnsi="宋体" w:eastAsia="宋体" w:cs="宋体"/>
          <w:color w:val="auto"/>
          <w:sz w:val="24"/>
          <w:szCs w:val="18"/>
          <w:highlight w:val="none"/>
          <w:lang w:eastAsia="zh-CN"/>
        </w:rPr>
        <w:t>第</w:t>
      </w:r>
      <w:r>
        <w:rPr>
          <w:rFonts w:hint="eastAsia" w:ascii="宋体" w:hAnsi="宋体" w:eastAsia="宋体" w:cs="宋体"/>
          <w:color w:val="auto"/>
          <w:sz w:val="24"/>
          <w:szCs w:val="18"/>
          <w:highlight w:val="none"/>
          <w:lang w:val="en-US" w:eastAsia="zh-CN"/>
        </w:rPr>
        <w:t>2</w:t>
      </w:r>
      <w:r>
        <w:rPr>
          <w:rFonts w:hint="eastAsia" w:ascii="宋体" w:hAnsi="宋体" w:eastAsia="宋体" w:cs="宋体"/>
          <w:color w:val="auto"/>
          <w:sz w:val="24"/>
          <w:szCs w:val="18"/>
          <w:highlight w:val="none"/>
          <w:lang w:eastAsia="zh-CN"/>
        </w:rPr>
        <w:t>标段为</w:t>
      </w:r>
      <w:r>
        <w:rPr>
          <w:rFonts w:hint="eastAsia" w:ascii="宋体" w:hAnsi="宋体" w:eastAsia="宋体" w:cs="宋体"/>
          <w:color w:val="auto"/>
          <w:sz w:val="24"/>
          <w:szCs w:val="18"/>
          <w:highlight w:val="none"/>
          <w:u w:val="single"/>
          <w:lang w:val="en-US" w:eastAsia="zh-CN"/>
        </w:rPr>
        <w:t>足球（提高班）</w:t>
      </w:r>
      <w:r>
        <w:rPr>
          <w:rFonts w:hint="eastAsia" w:ascii="宋体" w:hAnsi="宋体" w:eastAsia="宋体" w:cs="宋体"/>
          <w:color w:val="auto"/>
          <w:sz w:val="24"/>
          <w:szCs w:val="18"/>
          <w:highlight w:val="none"/>
          <w:lang w:val="en-US" w:eastAsia="zh-CN"/>
        </w:rPr>
        <w:t>课程；</w:t>
      </w:r>
      <w:r>
        <w:rPr>
          <w:rFonts w:hint="eastAsia" w:ascii="宋体" w:hAnsi="宋体" w:eastAsia="宋体" w:cs="宋体"/>
          <w:color w:val="auto"/>
          <w:sz w:val="24"/>
          <w:szCs w:val="18"/>
          <w:highlight w:val="none"/>
          <w:lang w:eastAsia="zh-CN"/>
        </w:rPr>
        <w:t>第</w:t>
      </w:r>
      <w:r>
        <w:rPr>
          <w:rFonts w:hint="eastAsia" w:ascii="宋体" w:hAnsi="宋体" w:eastAsia="宋体" w:cs="宋体"/>
          <w:color w:val="auto"/>
          <w:sz w:val="24"/>
          <w:szCs w:val="18"/>
          <w:highlight w:val="none"/>
          <w:lang w:val="en-US" w:eastAsia="zh-CN"/>
        </w:rPr>
        <w:t>3</w:t>
      </w:r>
      <w:r>
        <w:rPr>
          <w:rFonts w:hint="eastAsia" w:ascii="宋体" w:hAnsi="宋体" w:eastAsia="宋体" w:cs="宋体"/>
          <w:color w:val="auto"/>
          <w:sz w:val="24"/>
          <w:szCs w:val="18"/>
          <w:highlight w:val="none"/>
          <w:lang w:eastAsia="zh-CN"/>
        </w:rPr>
        <w:t>标段为</w:t>
      </w:r>
      <w:r>
        <w:rPr>
          <w:rFonts w:hint="eastAsia" w:ascii="宋体" w:hAnsi="宋体" w:eastAsia="宋体" w:cs="宋体"/>
          <w:color w:val="auto"/>
          <w:sz w:val="24"/>
          <w:szCs w:val="18"/>
          <w:highlight w:val="none"/>
          <w:u w:val="single"/>
          <w:lang w:val="en-US" w:eastAsia="zh-CN"/>
        </w:rPr>
        <w:t>轮滑</w:t>
      </w:r>
      <w:r>
        <w:rPr>
          <w:rFonts w:hint="eastAsia" w:ascii="宋体" w:hAnsi="宋体" w:eastAsia="宋体" w:cs="宋体"/>
          <w:color w:val="auto"/>
          <w:sz w:val="24"/>
          <w:szCs w:val="18"/>
          <w:highlight w:val="none"/>
          <w:lang w:val="en-US" w:eastAsia="zh-CN"/>
        </w:rPr>
        <w:t>课程；</w:t>
      </w:r>
      <w:r>
        <w:rPr>
          <w:rFonts w:hint="eastAsia" w:ascii="宋体" w:hAnsi="宋体" w:eastAsia="宋体" w:cs="宋体"/>
          <w:color w:val="auto"/>
          <w:sz w:val="24"/>
          <w:szCs w:val="18"/>
          <w:highlight w:val="none"/>
          <w:lang w:eastAsia="zh-CN"/>
        </w:rPr>
        <w:t>第</w:t>
      </w:r>
      <w:r>
        <w:rPr>
          <w:rFonts w:hint="eastAsia" w:ascii="宋体" w:hAnsi="宋体" w:eastAsia="宋体" w:cs="宋体"/>
          <w:color w:val="auto"/>
          <w:sz w:val="24"/>
          <w:szCs w:val="18"/>
          <w:highlight w:val="none"/>
          <w:lang w:val="en-US" w:eastAsia="zh-CN"/>
        </w:rPr>
        <w:t>4</w:t>
      </w:r>
      <w:r>
        <w:rPr>
          <w:rFonts w:hint="eastAsia" w:ascii="宋体" w:hAnsi="宋体" w:eastAsia="宋体" w:cs="宋体"/>
          <w:color w:val="auto"/>
          <w:sz w:val="24"/>
          <w:szCs w:val="18"/>
          <w:highlight w:val="none"/>
          <w:lang w:eastAsia="zh-CN"/>
        </w:rPr>
        <w:t>标段为</w:t>
      </w:r>
      <w:r>
        <w:rPr>
          <w:rFonts w:hint="eastAsia" w:ascii="宋体" w:hAnsi="宋体" w:eastAsia="宋体" w:cs="宋体"/>
          <w:color w:val="auto"/>
          <w:sz w:val="24"/>
          <w:szCs w:val="18"/>
          <w:highlight w:val="none"/>
          <w:u w:val="single"/>
          <w:lang w:val="en-US" w:eastAsia="zh-CN"/>
        </w:rPr>
        <w:t>棋类（国际象棋、围棋）</w:t>
      </w:r>
      <w:r>
        <w:rPr>
          <w:rFonts w:hint="eastAsia" w:ascii="宋体" w:hAnsi="宋体" w:eastAsia="宋体" w:cs="宋体"/>
          <w:color w:val="auto"/>
          <w:sz w:val="24"/>
          <w:szCs w:val="18"/>
          <w:highlight w:val="none"/>
          <w:lang w:val="en-US" w:eastAsia="zh-CN"/>
        </w:rPr>
        <w:t>课程；</w:t>
      </w:r>
      <w:r>
        <w:rPr>
          <w:rFonts w:hint="eastAsia" w:ascii="宋体" w:hAnsi="宋体" w:eastAsia="宋体" w:cs="宋体"/>
          <w:color w:val="auto"/>
          <w:sz w:val="24"/>
          <w:szCs w:val="18"/>
          <w:highlight w:val="none"/>
          <w:lang w:eastAsia="zh-CN"/>
        </w:rPr>
        <w:t>第</w:t>
      </w:r>
      <w:r>
        <w:rPr>
          <w:rFonts w:hint="eastAsia" w:ascii="宋体" w:hAnsi="宋体" w:eastAsia="宋体" w:cs="宋体"/>
          <w:color w:val="auto"/>
          <w:sz w:val="24"/>
          <w:szCs w:val="18"/>
          <w:highlight w:val="none"/>
          <w:lang w:val="en-US" w:eastAsia="zh-CN"/>
        </w:rPr>
        <w:t>5</w:t>
      </w:r>
      <w:r>
        <w:rPr>
          <w:rFonts w:hint="eastAsia" w:ascii="宋体" w:hAnsi="宋体" w:eastAsia="宋体" w:cs="宋体"/>
          <w:color w:val="auto"/>
          <w:sz w:val="24"/>
          <w:szCs w:val="18"/>
          <w:highlight w:val="none"/>
          <w:lang w:eastAsia="zh-CN"/>
        </w:rPr>
        <w:t>标段为</w:t>
      </w:r>
      <w:r>
        <w:rPr>
          <w:rFonts w:hint="eastAsia" w:ascii="宋体" w:hAnsi="宋体" w:eastAsia="宋体" w:cs="宋体"/>
          <w:color w:val="auto"/>
          <w:sz w:val="24"/>
          <w:szCs w:val="18"/>
          <w:highlight w:val="none"/>
          <w:u w:val="single"/>
          <w:lang w:val="en-US" w:eastAsia="zh-CN"/>
        </w:rPr>
        <w:t>棋类（中国象棋、国际跳棋）</w:t>
      </w:r>
      <w:r>
        <w:rPr>
          <w:rFonts w:hint="eastAsia" w:ascii="宋体" w:hAnsi="宋体" w:eastAsia="宋体" w:cs="宋体"/>
          <w:color w:val="auto"/>
          <w:sz w:val="24"/>
          <w:szCs w:val="18"/>
          <w:highlight w:val="none"/>
          <w:lang w:val="en-US" w:eastAsia="zh-CN"/>
        </w:rPr>
        <w:t>课程；</w:t>
      </w:r>
      <w:r>
        <w:rPr>
          <w:rFonts w:hint="eastAsia" w:ascii="宋体" w:hAnsi="宋体" w:eastAsia="宋体" w:cs="宋体"/>
          <w:color w:val="auto"/>
          <w:sz w:val="24"/>
          <w:szCs w:val="18"/>
          <w:highlight w:val="none"/>
          <w:lang w:eastAsia="zh-CN"/>
        </w:rPr>
        <w:t>第</w:t>
      </w:r>
      <w:r>
        <w:rPr>
          <w:rFonts w:hint="eastAsia" w:ascii="宋体" w:hAnsi="宋体" w:eastAsia="宋体" w:cs="宋体"/>
          <w:color w:val="auto"/>
          <w:sz w:val="24"/>
          <w:szCs w:val="18"/>
          <w:highlight w:val="none"/>
          <w:lang w:val="en-US" w:eastAsia="zh-CN"/>
        </w:rPr>
        <w:t>6</w:t>
      </w:r>
      <w:r>
        <w:rPr>
          <w:rFonts w:hint="eastAsia" w:ascii="宋体" w:hAnsi="宋体" w:eastAsia="宋体" w:cs="宋体"/>
          <w:color w:val="auto"/>
          <w:sz w:val="24"/>
          <w:szCs w:val="18"/>
          <w:highlight w:val="none"/>
          <w:lang w:eastAsia="zh-CN"/>
        </w:rPr>
        <w:t>标段为</w:t>
      </w:r>
      <w:r>
        <w:rPr>
          <w:rFonts w:hint="eastAsia" w:ascii="宋体" w:hAnsi="宋体" w:eastAsia="宋体" w:cs="宋体"/>
          <w:color w:val="auto"/>
          <w:sz w:val="24"/>
          <w:szCs w:val="18"/>
          <w:highlight w:val="none"/>
          <w:u w:val="single"/>
          <w:lang w:val="en-US" w:eastAsia="zh-CN"/>
        </w:rPr>
        <w:t>花样跳绳</w:t>
      </w:r>
      <w:r>
        <w:rPr>
          <w:rFonts w:hint="eastAsia" w:ascii="宋体" w:hAnsi="宋体" w:eastAsia="宋体" w:cs="宋体"/>
          <w:color w:val="auto"/>
          <w:sz w:val="24"/>
          <w:szCs w:val="18"/>
          <w:highlight w:val="none"/>
          <w:lang w:val="en-US" w:eastAsia="zh-CN"/>
        </w:rPr>
        <w:t>课程；</w:t>
      </w:r>
      <w:r>
        <w:rPr>
          <w:rFonts w:hint="eastAsia" w:ascii="宋体" w:hAnsi="宋体" w:eastAsia="宋体" w:cs="宋体"/>
          <w:color w:val="auto"/>
          <w:sz w:val="24"/>
          <w:szCs w:val="18"/>
          <w:highlight w:val="none"/>
          <w:lang w:eastAsia="zh-CN"/>
        </w:rPr>
        <w:t>第</w:t>
      </w:r>
      <w:r>
        <w:rPr>
          <w:rFonts w:hint="eastAsia" w:ascii="宋体" w:hAnsi="宋体" w:eastAsia="宋体" w:cs="宋体"/>
          <w:color w:val="auto"/>
          <w:sz w:val="24"/>
          <w:szCs w:val="18"/>
          <w:highlight w:val="none"/>
          <w:lang w:val="en-US" w:eastAsia="zh-CN"/>
        </w:rPr>
        <w:t>7</w:t>
      </w:r>
      <w:r>
        <w:rPr>
          <w:rFonts w:hint="eastAsia" w:ascii="宋体" w:hAnsi="宋体" w:eastAsia="宋体" w:cs="宋体"/>
          <w:color w:val="auto"/>
          <w:sz w:val="24"/>
          <w:szCs w:val="18"/>
          <w:highlight w:val="none"/>
          <w:lang w:eastAsia="zh-CN"/>
        </w:rPr>
        <w:t>标段为</w:t>
      </w:r>
      <w:r>
        <w:rPr>
          <w:rFonts w:hint="eastAsia" w:ascii="宋体" w:hAnsi="宋体" w:eastAsia="宋体" w:cs="宋体"/>
          <w:color w:val="auto"/>
          <w:sz w:val="24"/>
          <w:szCs w:val="18"/>
          <w:highlight w:val="none"/>
          <w:u w:val="single"/>
          <w:lang w:val="en-US" w:eastAsia="zh-CN"/>
        </w:rPr>
        <w:t>篮球</w:t>
      </w:r>
      <w:r>
        <w:rPr>
          <w:rFonts w:hint="eastAsia" w:ascii="宋体" w:hAnsi="宋体" w:eastAsia="宋体" w:cs="宋体"/>
          <w:color w:val="auto"/>
          <w:sz w:val="24"/>
          <w:szCs w:val="18"/>
          <w:highlight w:val="none"/>
          <w:lang w:val="en-US" w:eastAsia="zh-CN"/>
        </w:rPr>
        <w:t>课程。评标时，按标段顺序依次开标。</w:t>
      </w:r>
    </w:p>
    <w:p w14:paraId="720C9C5F">
      <w:pPr>
        <w:spacing w:line="360" w:lineRule="auto"/>
        <w:ind w:firstLine="435"/>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二</w:t>
      </w:r>
      <w:r>
        <w:rPr>
          <w:rFonts w:hint="eastAsia" w:ascii="宋体" w:hAnsi="宋体" w:eastAsia="宋体" w:cs="宋体"/>
          <w:b/>
          <w:color w:val="auto"/>
          <w:sz w:val="24"/>
          <w:highlight w:val="none"/>
        </w:rPr>
        <w:t>、投标</w:t>
      </w:r>
      <w:r>
        <w:rPr>
          <w:rFonts w:hint="eastAsia" w:ascii="宋体" w:hAnsi="宋体" w:eastAsia="宋体" w:cs="宋体"/>
          <w:b/>
          <w:bCs/>
          <w:color w:val="auto"/>
          <w:sz w:val="24"/>
          <w:szCs w:val="18"/>
          <w:highlight w:val="none"/>
        </w:rPr>
        <w:t>人资格</w:t>
      </w:r>
    </w:p>
    <w:p w14:paraId="47574957">
      <w:pPr>
        <w:spacing w:line="360" w:lineRule="auto"/>
        <w:ind w:firstLine="435"/>
        <w:rPr>
          <w:rFonts w:hint="eastAsia" w:ascii="宋体" w:hAnsi="宋体" w:eastAsia="宋体" w:cs="宋体"/>
          <w:color w:val="FF0000"/>
          <w:sz w:val="24"/>
          <w:szCs w:val="18"/>
          <w:highlight w:val="none"/>
          <w:lang w:val="en-US" w:eastAsia="zh-CN"/>
        </w:rPr>
      </w:pPr>
      <w:r>
        <w:rPr>
          <w:rFonts w:hint="eastAsia" w:ascii="宋体" w:hAnsi="宋体" w:eastAsia="宋体" w:cs="宋体"/>
          <w:color w:val="auto"/>
          <w:sz w:val="24"/>
          <w:szCs w:val="18"/>
          <w:highlight w:val="none"/>
          <w:lang w:val="en-US" w:eastAsia="zh-CN"/>
        </w:rPr>
        <w:t>1.</w:t>
      </w:r>
      <w:r>
        <w:rPr>
          <w:rFonts w:hint="eastAsia" w:ascii="宋体" w:hAnsi="宋体" w:eastAsia="宋体" w:cs="宋体"/>
          <w:color w:val="auto"/>
          <w:sz w:val="24"/>
          <w:szCs w:val="18"/>
          <w:highlight w:val="none"/>
        </w:rPr>
        <w:t>本项目只接受《包河区中小学体艺中心课程服务单位招募》已入围的企业报名，入围名单详见安徽合肥公共资源交易中心2024年9月30日发布的《包河区中小学体艺中心课程服务单位招募结果公告》</w:t>
      </w:r>
      <w:r>
        <w:rPr>
          <w:rFonts w:hint="eastAsia" w:ascii="宋体" w:hAnsi="宋体" w:eastAsia="宋体" w:cs="宋体"/>
          <w:color w:val="auto"/>
          <w:sz w:val="24"/>
          <w:szCs w:val="18"/>
          <w:highlight w:val="none"/>
          <w:lang w:val="en-US" w:eastAsia="zh-CN"/>
        </w:rPr>
        <w:t>和2025年1月17日发布的《包河区中小学体艺中心课程服务单位补充招募结果公告》。其中，参与第1标段的投标人需具备</w:t>
      </w:r>
      <w:r>
        <w:rPr>
          <w:rFonts w:hint="eastAsia" w:ascii="宋体" w:hAnsi="宋体" w:eastAsia="宋体" w:cs="宋体"/>
          <w:b/>
          <w:bCs/>
          <w:color w:val="auto"/>
          <w:sz w:val="24"/>
          <w:szCs w:val="18"/>
          <w:highlight w:val="none"/>
          <w:u w:val="single"/>
          <w:lang w:val="en-US" w:eastAsia="zh-CN"/>
        </w:rPr>
        <w:t>足球等一般类体育</w:t>
      </w:r>
      <w:r>
        <w:rPr>
          <w:rFonts w:hint="eastAsia" w:ascii="宋体" w:hAnsi="宋体" w:eastAsia="宋体" w:cs="宋体"/>
          <w:color w:val="auto"/>
          <w:sz w:val="24"/>
          <w:szCs w:val="18"/>
          <w:highlight w:val="none"/>
          <w:lang w:val="en-US" w:eastAsia="zh-CN"/>
        </w:rPr>
        <w:t>培训资质，并需在投标文件中提供《校外培训机构设立核准书》复印件并加盖投标人公章；参与第2标段的投标人需具备</w:t>
      </w:r>
      <w:r>
        <w:rPr>
          <w:rFonts w:hint="eastAsia" w:ascii="宋体" w:hAnsi="宋体" w:eastAsia="宋体" w:cs="宋体"/>
          <w:b/>
          <w:bCs/>
          <w:color w:val="auto"/>
          <w:sz w:val="24"/>
          <w:szCs w:val="18"/>
          <w:highlight w:val="none"/>
          <w:u w:val="single"/>
          <w:lang w:val="en-US" w:eastAsia="zh-CN"/>
        </w:rPr>
        <w:t>足球等一般类体育</w:t>
      </w:r>
      <w:r>
        <w:rPr>
          <w:rFonts w:hint="eastAsia" w:ascii="宋体" w:hAnsi="宋体" w:eastAsia="宋体" w:cs="宋体"/>
          <w:color w:val="auto"/>
          <w:sz w:val="24"/>
          <w:szCs w:val="18"/>
          <w:highlight w:val="none"/>
          <w:lang w:val="en-US" w:eastAsia="zh-CN"/>
        </w:rPr>
        <w:t>培训资质，并需在投标文件中提供《校外培训机构设立核准书》复印件并加盖投标人公章；参与第3标段的投标人需具备</w:t>
      </w:r>
      <w:r>
        <w:rPr>
          <w:rFonts w:hint="eastAsia" w:ascii="宋体" w:hAnsi="宋体" w:eastAsia="宋体" w:cs="宋体"/>
          <w:b/>
          <w:bCs/>
          <w:color w:val="auto"/>
          <w:sz w:val="24"/>
          <w:szCs w:val="18"/>
          <w:highlight w:val="none"/>
          <w:u w:val="single"/>
          <w:lang w:val="en-US" w:eastAsia="zh-CN"/>
        </w:rPr>
        <w:t>轮滑等一般类体育</w:t>
      </w:r>
      <w:r>
        <w:rPr>
          <w:rFonts w:hint="eastAsia" w:ascii="宋体" w:hAnsi="宋体" w:eastAsia="宋体" w:cs="宋体"/>
          <w:color w:val="auto"/>
          <w:sz w:val="24"/>
          <w:szCs w:val="18"/>
          <w:highlight w:val="none"/>
          <w:lang w:val="en-US" w:eastAsia="zh-CN"/>
        </w:rPr>
        <w:t>培训资质，并需在投标文件中提供《校外培训机构设立核准书》复印件并加盖投标人公章；参与第4标段的投标人需具备</w:t>
      </w:r>
      <w:r>
        <w:rPr>
          <w:rFonts w:hint="eastAsia" w:ascii="宋体" w:hAnsi="宋体" w:eastAsia="宋体" w:cs="宋体"/>
          <w:b/>
          <w:bCs/>
          <w:color w:val="auto"/>
          <w:sz w:val="24"/>
          <w:szCs w:val="18"/>
          <w:highlight w:val="none"/>
          <w:u w:val="single"/>
          <w:lang w:val="en-US" w:eastAsia="zh-CN"/>
        </w:rPr>
        <w:t>棋类相关</w:t>
      </w:r>
      <w:r>
        <w:rPr>
          <w:rFonts w:hint="eastAsia" w:ascii="宋体" w:hAnsi="宋体" w:eastAsia="宋体" w:cs="宋体"/>
          <w:color w:val="auto"/>
          <w:sz w:val="24"/>
          <w:szCs w:val="18"/>
          <w:highlight w:val="none"/>
          <w:lang w:val="en-US" w:eastAsia="zh-CN"/>
        </w:rPr>
        <w:t>培训资质，并需在投标文件中提供《校外培训机构设立核准书》复印件并加盖投标人公章；参与第5标段的投标人需具备</w:t>
      </w:r>
      <w:r>
        <w:rPr>
          <w:rFonts w:hint="eastAsia" w:ascii="宋体" w:hAnsi="宋体" w:eastAsia="宋体" w:cs="宋体"/>
          <w:b/>
          <w:bCs/>
          <w:color w:val="auto"/>
          <w:sz w:val="24"/>
          <w:szCs w:val="18"/>
          <w:highlight w:val="none"/>
          <w:u w:val="single"/>
          <w:lang w:val="en-US" w:eastAsia="zh-CN"/>
        </w:rPr>
        <w:t>棋类相关</w:t>
      </w:r>
      <w:r>
        <w:rPr>
          <w:rFonts w:hint="eastAsia" w:ascii="宋体" w:hAnsi="宋体" w:eastAsia="宋体" w:cs="宋体"/>
          <w:color w:val="auto"/>
          <w:sz w:val="24"/>
          <w:szCs w:val="18"/>
          <w:highlight w:val="none"/>
          <w:lang w:val="en-US" w:eastAsia="zh-CN"/>
        </w:rPr>
        <w:t>培训资质，并需在投标文件中提供《校外培训机构设立核准书》复印件并加盖投标人公章；参与第6标段的投标人需具备</w:t>
      </w:r>
      <w:r>
        <w:rPr>
          <w:rFonts w:hint="eastAsia" w:ascii="宋体" w:hAnsi="宋体" w:eastAsia="宋体" w:cs="宋体"/>
          <w:b/>
          <w:bCs/>
          <w:color w:val="auto"/>
          <w:sz w:val="24"/>
          <w:szCs w:val="18"/>
          <w:highlight w:val="none"/>
          <w:u w:val="single"/>
          <w:lang w:val="en-US" w:eastAsia="zh-CN"/>
        </w:rPr>
        <w:t>花样跳绳</w:t>
      </w:r>
      <w:r>
        <w:rPr>
          <w:rFonts w:hint="eastAsia" w:ascii="宋体" w:hAnsi="宋体" w:eastAsia="宋体" w:cs="宋体"/>
          <w:b/>
          <w:bCs/>
          <w:color w:val="auto"/>
          <w:sz w:val="24"/>
          <w:szCs w:val="18"/>
          <w:highlight w:val="none"/>
          <w:u w:val="single"/>
          <w:lang w:val="en-US" w:eastAsia="zh-CN"/>
        </w:rPr>
        <w:t>等一般类体育</w:t>
      </w:r>
      <w:r>
        <w:rPr>
          <w:rFonts w:hint="eastAsia" w:ascii="宋体" w:hAnsi="宋体" w:eastAsia="宋体" w:cs="宋体"/>
          <w:color w:val="auto"/>
          <w:sz w:val="24"/>
          <w:szCs w:val="18"/>
          <w:highlight w:val="none"/>
          <w:lang w:val="en-US" w:eastAsia="zh-CN"/>
        </w:rPr>
        <w:t>培训资质，并需在投标文件中提供《校外培训机构设立核准书》复印件并加盖投标人公章；参与第7标段的投标人需具备</w:t>
      </w:r>
      <w:r>
        <w:rPr>
          <w:rFonts w:hint="eastAsia" w:ascii="宋体" w:hAnsi="宋体" w:eastAsia="宋体" w:cs="宋体"/>
          <w:b/>
          <w:bCs/>
          <w:color w:val="auto"/>
          <w:sz w:val="24"/>
          <w:szCs w:val="18"/>
          <w:highlight w:val="none"/>
          <w:u w:val="single"/>
          <w:lang w:val="en-US" w:eastAsia="zh-CN"/>
        </w:rPr>
        <w:t>篮球</w:t>
      </w:r>
      <w:r>
        <w:rPr>
          <w:rFonts w:hint="eastAsia" w:ascii="宋体" w:hAnsi="宋体" w:eastAsia="宋体" w:cs="宋体"/>
          <w:b/>
          <w:bCs/>
          <w:color w:val="auto"/>
          <w:sz w:val="24"/>
          <w:szCs w:val="18"/>
          <w:highlight w:val="none"/>
          <w:u w:val="single"/>
          <w:lang w:val="en-US" w:eastAsia="zh-CN"/>
        </w:rPr>
        <w:t>等一般类体育</w:t>
      </w:r>
      <w:r>
        <w:rPr>
          <w:rFonts w:hint="eastAsia" w:ascii="宋体" w:hAnsi="宋体" w:eastAsia="宋体" w:cs="宋体"/>
          <w:color w:val="auto"/>
          <w:sz w:val="24"/>
          <w:szCs w:val="18"/>
          <w:highlight w:val="none"/>
          <w:lang w:val="en-US" w:eastAsia="zh-CN"/>
        </w:rPr>
        <w:t>培训资质，并需在投标文件中提供《校外培训机构设立核准书》复印件并加盖投标人公章。</w:t>
      </w:r>
    </w:p>
    <w:p w14:paraId="10285A62">
      <w:pPr>
        <w:pStyle w:val="2"/>
        <w:keepNext/>
        <w:keepLines/>
        <w:pageBreakBefore w:val="0"/>
        <w:widowControl w:val="0"/>
        <w:kinsoku/>
        <w:wordWrap/>
        <w:overflowPunct/>
        <w:topLinePunct w:val="0"/>
        <w:autoSpaceDE/>
        <w:autoSpaceDN/>
        <w:bidi w:val="0"/>
        <w:adjustRightInd/>
        <w:snapToGrid/>
        <w:ind w:firstLine="480" w:firstLineChars="200"/>
        <w:textAlignment w:val="auto"/>
        <w:rPr>
          <w:rFonts w:hint="default"/>
          <w:b w:val="0"/>
          <w:bCs w:val="0"/>
          <w:color w:val="auto"/>
          <w:highlight w:val="none"/>
          <w:lang w:val="en-US"/>
        </w:rPr>
      </w:pPr>
      <w:r>
        <w:rPr>
          <w:rFonts w:hint="eastAsia" w:cs="宋体"/>
          <w:b w:val="0"/>
          <w:bCs w:val="0"/>
          <w:color w:val="auto"/>
          <w:sz w:val="24"/>
          <w:szCs w:val="18"/>
          <w:highlight w:val="none"/>
          <w:lang w:val="en-US" w:eastAsia="zh-CN"/>
        </w:rPr>
        <w:t>备注：各潜在投标人可参与多个标段投标。</w:t>
      </w:r>
    </w:p>
    <w:p w14:paraId="5E094FD1">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2.业绩要求：无；</w:t>
      </w:r>
    </w:p>
    <w:p w14:paraId="2647F6BE">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3.本项目不接受联合体磋商；</w:t>
      </w:r>
    </w:p>
    <w:p w14:paraId="31D1AD7E">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4.投标人未被合肥市及其所辖县（市）、区（开发区）公共资源交易监督管理部门记不良行为记录的；或被记不良行为记录（以公布日期为准），但同时符合下列情形的： </w:t>
      </w:r>
    </w:p>
    <w:p w14:paraId="53F985C7">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（1）开标日前（含当日）6个月内记分累计未满10分的； </w:t>
      </w:r>
    </w:p>
    <w:p w14:paraId="268DF651">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（2）开标日前（含当日）12个月内记分累计未满15分的； </w:t>
      </w:r>
    </w:p>
    <w:p w14:paraId="2F2F3ECB">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（3）开标日前（含当日）18个月内记分累计未满20分的； </w:t>
      </w:r>
    </w:p>
    <w:p w14:paraId="4288C285">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（4）开标日前（含当日）24个月内记分累计未满25分的。</w:t>
      </w:r>
    </w:p>
    <w:p w14:paraId="139B3AD1">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lang w:val="en-US" w:eastAsia="zh-CN"/>
        </w:rPr>
        <w:t>5</w:t>
      </w:r>
      <w:r>
        <w:rPr>
          <w:rFonts w:hint="eastAsia" w:ascii="宋体" w:hAnsi="宋体" w:eastAsia="宋体" w:cs="宋体"/>
          <w:color w:val="auto"/>
          <w:sz w:val="24"/>
          <w:szCs w:val="18"/>
          <w:highlight w:val="none"/>
        </w:rPr>
        <w:t>.投标人存在以下不良信用记录情形之一的，不得推荐为中标候选人，不得确定为中标人：</w:t>
      </w:r>
    </w:p>
    <w:p w14:paraId="452C16E1">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（1）被责令停产停业，暂扣或者吊销许可证，暂扣或者吊销执照； </w:t>
      </w:r>
    </w:p>
    <w:p w14:paraId="47767CFF">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（2）进入清算程序，或被宣告破产，或其他丧失履约能力的情形； </w:t>
      </w:r>
    </w:p>
    <w:p w14:paraId="27A61283">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（3）在最近三年内（自投标截止之日向前追溯 3 年， 下同）有骗取中标或串通投标或严重违约或重大生产安全事故的（以相关行业主管部门的行政处罚决定或司法机关出具的有关法律文书为准），前述行政处罚已完成信用修复的，自行政处罚作出机关或信用修复主管部门同意修复之日起满一年，不受三年期限限制；</w:t>
      </w:r>
    </w:p>
    <w:p w14:paraId="2920F732">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（4）被市场监督管理部门列入严重违法失信名单； </w:t>
      </w:r>
    </w:p>
    <w:p w14:paraId="70B7F734">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（5）被人民法院列为失信被执行人； </w:t>
      </w:r>
    </w:p>
    <w:p w14:paraId="5C936F03">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（6）被税务机关确定为重大税收违法失信主体； </w:t>
      </w:r>
    </w:p>
    <w:p w14:paraId="1F16C04D">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（7）在近三年内投标人或其法定代表人（单位负责人）有行贿犯罪行为的；</w:t>
      </w:r>
    </w:p>
    <w:p w14:paraId="46DC0744">
      <w:pPr>
        <w:spacing w:line="360" w:lineRule="auto"/>
        <w:ind w:firstLine="435"/>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三</w:t>
      </w:r>
      <w:r>
        <w:rPr>
          <w:rFonts w:hint="eastAsia" w:ascii="宋体" w:hAnsi="宋体" w:eastAsia="宋体" w:cs="宋体"/>
          <w:b/>
          <w:color w:val="auto"/>
          <w:sz w:val="24"/>
          <w:highlight w:val="none"/>
        </w:rPr>
        <w:t>、</w:t>
      </w:r>
      <w:r>
        <w:rPr>
          <w:rFonts w:hint="eastAsia" w:ascii="宋体" w:hAnsi="宋体" w:eastAsia="宋体" w:cs="宋体"/>
          <w:b/>
          <w:bCs/>
          <w:color w:val="auto"/>
          <w:sz w:val="24"/>
          <w:szCs w:val="18"/>
          <w:highlight w:val="none"/>
        </w:rPr>
        <w:t xml:space="preserve">磋商文件的获取 </w:t>
      </w:r>
    </w:p>
    <w:p w14:paraId="020F8583">
      <w:pPr>
        <w:spacing w:line="360" w:lineRule="auto"/>
        <w:ind w:firstLine="435"/>
        <w:rPr>
          <w:rFonts w:hint="default"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1</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rPr>
        <w:t>磋商文件获取时间:202</w:t>
      </w:r>
      <w:r>
        <w:rPr>
          <w:rFonts w:hint="eastAsia" w:ascii="宋体" w:hAnsi="宋体" w:eastAsia="宋体" w:cs="宋体"/>
          <w:color w:val="auto"/>
          <w:sz w:val="24"/>
          <w:szCs w:val="18"/>
          <w:highlight w:val="none"/>
          <w:lang w:val="en-US" w:eastAsia="zh-CN"/>
        </w:rPr>
        <w:t>5</w:t>
      </w:r>
      <w:r>
        <w:rPr>
          <w:rFonts w:hint="eastAsia" w:ascii="宋体" w:hAnsi="宋体" w:eastAsia="宋体" w:cs="宋体"/>
          <w:color w:val="auto"/>
          <w:sz w:val="24"/>
          <w:szCs w:val="18"/>
          <w:highlight w:val="none"/>
        </w:rPr>
        <w:t>年</w:t>
      </w:r>
      <w:r>
        <w:rPr>
          <w:rFonts w:hint="eastAsia" w:ascii="宋体" w:hAnsi="宋体" w:eastAsia="宋体" w:cs="宋体"/>
          <w:color w:val="auto"/>
          <w:sz w:val="24"/>
          <w:szCs w:val="18"/>
          <w:highlight w:val="none"/>
          <w:lang w:val="en-US" w:eastAsia="zh-CN"/>
        </w:rPr>
        <w:t>1</w:t>
      </w:r>
      <w:r>
        <w:rPr>
          <w:rFonts w:hint="eastAsia" w:ascii="宋体" w:hAnsi="宋体" w:eastAsia="宋体" w:cs="宋体"/>
          <w:color w:val="auto"/>
          <w:sz w:val="24"/>
          <w:szCs w:val="18"/>
          <w:highlight w:val="none"/>
        </w:rPr>
        <w:t>月</w:t>
      </w:r>
      <w:r>
        <w:rPr>
          <w:rFonts w:hint="eastAsia" w:ascii="宋体" w:hAnsi="宋体" w:eastAsia="宋体" w:cs="宋体"/>
          <w:color w:val="auto"/>
          <w:sz w:val="24"/>
          <w:szCs w:val="18"/>
          <w:highlight w:val="none"/>
          <w:lang w:val="en-US" w:eastAsia="zh-CN"/>
        </w:rPr>
        <w:t>24</w:t>
      </w:r>
      <w:r>
        <w:rPr>
          <w:rFonts w:hint="eastAsia" w:ascii="宋体" w:hAnsi="宋体" w:eastAsia="宋体" w:cs="宋体"/>
          <w:color w:val="auto"/>
          <w:sz w:val="24"/>
          <w:szCs w:val="18"/>
          <w:highlight w:val="none"/>
        </w:rPr>
        <w:t>日至202</w:t>
      </w:r>
      <w:r>
        <w:rPr>
          <w:rFonts w:hint="eastAsia" w:ascii="宋体" w:hAnsi="宋体" w:eastAsia="宋体" w:cs="宋体"/>
          <w:color w:val="auto"/>
          <w:sz w:val="24"/>
          <w:szCs w:val="18"/>
          <w:highlight w:val="none"/>
          <w:lang w:val="en-US" w:eastAsia="zh-CN"/>
        </w:rPr>
        <w:t>5</w:t>
      </w:r>
      <w:r>
        <w:rPr>
          <w:rFonts w:hint="eastAsia" w:ascii="宋体" w:hAnsi="宋体" w:eastAsia="宋体" w:cs="宋体"/>
          <w:color w:val="auto"/>
          <w:sz w:val="24"/>
          <w:szCs w:val="18"/>
          <w:highlight w:val="none"/>
        </w:rPr>
        <w:t>年</w:t>
      </w:r>
      <w:r>
        <w:rPr>
          <w:rFonts w:hint="eastAsia" w:ascii="宋体" w:hAnsi="宋体" w:eastAsia="宋体" w:cs="宋体"/>
          <w:color w:val="auto"/>
          <w:sz w:val="24"/>
          <w:szCs w:val="18"/>
          <w:highlight w:val="none"/>
          <w:lang w:val="en-US" w:eastAsia="zh-CN"/>
        </w:rPr>
        <w:t>2</w:t>
      </w:r>
      <w:r>
        <w:rPr>
          <w:rFonts w:hint="eastAsia" w:ascii="宋体" w:hAnsi="宋体" w:eastAsia="宋体" w:cs="宋体"/>
          <w:color w:val="auto"/>
          <w:sz w:val="24"/>
          <w:szCs w:val="18"/>
          <w:highlight w:val="none"/>
        </w:rPr>
        <w:t>月</w:t>
      </w:r>
      <w:r>
        <w:rPr>
          <w:rFonts w:hint="eastAsia" w:ascii="宋体" w:hAnsi="宋体" w:eastAsia="宋体" w:cs="宋体"/>
          <w:color w:val="auto"/>
          <w:sz w:val="24"/>
          <w:szCs w:val="18"/>
          <w:highlight w:val="none"/>
          <w:lang w:val="en-US" w:eastAsia="zh-CN"/>
        </w:rPr>
        <w:t>11</w:t>
      </w:r>
      <w:r>
        <w:rPr>
          <w:rFonts w:hint="eastAsia" w:ascii="宋体" w:hAnsi="宋体" w:eastAsia="宋体" w:cs="宋体"/>
          <w:color w:val="auto"/>
          <w:sz w:val="24"/>
          <w:szCs w:val="18"/>
          <w:highlight w:val="none"/>
        </w:rPr>
        <w:t>日</w:t>
      </w:r>
      <w:r>
        <w:rPr>
          <w:rFonts w:hint="eastAsia" w:ascii="宋体" w:hAnsi="宋体" w:eastAsia="宋体" w:cs="宋体"/>
          <w:color w:val="auto"/>
          <w:sz w:val="24"/>
          <w:szCs w:val="18"/>
          <w:highlight w:val="none"/>
          <w:lang w:val="en-US" w:eastAsia="zh-CN"/>
        </w:rPr>
        <w:t>9时30分</w:t>
      </w:r>
    </w:p>
    <w:p w14:paraId="2881A2D8">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2</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rPr>
        <w:t xml:space="preserve">获取方式： </w:t>
      </w:r>
    </w:p>
    <w:p w14:paraId="1051116A">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（1）潜在投标人须登录</w:t>
      </w:r>
      <w:bookmarkStart w:id="4" w:name="OLE_LINK6"/>
      <w:r>
        <w:rPr>
          <w:rFonts w:hint="eastAsia" w:ascii="宋体" w:hAnsi="宋体" w:eastAsia="宋体" w:cs="宋体"/>
          <w:color w:val="auto"/>
          <w:sz w:val="24"/>
          <w:szCs w:val="24"/>
          <w:highlight w:val="none"/>
        </w:rPr>
        <w:t>合肥滨湖时光产业投资集团有限公司</w:t>
      </w:r>
      <w:bookmarkEnd w:id="4"/>
      <w:r>
        <w:rPr>
          <w:rFonts w:hint="eastAsia" w:ascii="宋体" w:hAnsi="宋体" w:eastAsia="宋体" w:cs="宋体"/>
          <w:color w:val="auto"/>
          <w:sz w:val="24"/>
          <w:szCs w:val="24"/>
          <w:highlight w:val="none"/>
        </w:rPr>
        <w:t>（以下简称“滨湖时光集团”）官网http://bhsggroup.cn/查阅磋商文件。</w:t>
      </w:r>
    </w:p>
    <w:p w14:paraId="1115CAEE">
      <w:pPr>
        <w:numPr>
          <w:ilvl w:val="0"/>
          <w:numId w:val="2"/>
        </w:num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磋商文件获取过程中有任何疑问，请在工作时间（周一至周五，上午9:00-12:00，下午1:00-5:00，节假日休息）拨打服务热线，项目咨询请拨打电话：0551-63357563。</w:t>
      </w:r>
    </w:p>
    <w:p w14:paraId="0C16C183">
      <w:pPr>
        <w:spacing w:line="360" w:lineRule="auto"/>
        <w:ind w:firstLine="435"/>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四</w:t>
      </w:r>
      <w:r>
        <w:rPr>
          <w:rFonts w:hint="eastAsia" w:ascii="宋体" w:hAnsi="宋体" w:eastAsia="宋体" w:cs="宋体"/>
          <w:b/>
          <w:color w:val="auto"/>
          <w:sz w:val="24"/>
          <w:highlight w:val="none"/>
        </w:rPr>
        <w:t>、</w:t>
      </w:r>
      <w:r>
        <w:rPr>
          <w:rFonts w:hint="eastAsia" w:ascii="宋体" w:hAnsi="宋体" w:eastAsia="宋体" w:cs="宋体"/>
          <w:b/>
          <w:bCs/>
          <w:color w:val="auto"/>
          <w:sz w:val="24"/>
          <w:highlight w:val="none"/>
        </w:rPr>
        <w:t>磋商时间、磋商文件送达地址</w:t>
      </w:r>
    </w:p>
    <w:p w14:paraId="71CB1DE2">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1</w:t>
      </w:r>
      <w:r>
        <w:rPr>
          <w:rFonts w:hint="eastAsia" w:ascii="宋体" w:hAnsi="宋体" w:eastAsia="宋体" w:cs="宋体"/>
          <w:b/>
          <w:color w:val="auto"/>
          <w:sz w:val="24"/>
          <w:highlight w:val="none"/>
        </w:rPr>
        <w:t>.</w:t>
      </w:r>
      <w:r>
        <w:rPr>
          <w:rFonts w:hint="eastAsia" w:ascii="宋体" w:hAnsi="宋体" w:eastAsia="宋体" w:cs="宋体"/>
          <w:color w:val="auto"/>
          <w:sz w:val="24"/>
          <w:szCs w:val="18"/>
          <w:highlight w:val="none"/>
        </w:rPr>
        <w:t>磋商时间：</w:t>
      </w:r>
      <w:r>
        <w:rPr>
          <w:rFonts w:hint="eastAsia" w:ascii="宋体" w:hAnsi="宋体" w:eastAsia="宋体" w:cs="宋体"/>
          <w:color w:val="auto"/>
          <w:sz w:val="24"/>
          <w:szCs w:val="18"/>
          <w:highlight w:val="none"/>
          <w:u w:val="single"/>
        </w:rPr>
        <w:t xml:space="preserve"> 202</w:t>
      </w:r>
      <w:r>
        <w:rPr>
          <w:rFonts w:hint="eastAsia" w:ascii="宋体" w:hAnsi="宋体" w:eastAsia="宋体" w:cs="宋体"/>
          <w:color w:val="auto"/>
          <w:sz w:val="24"/>
          <w:szCs w:val="18"/>
          <w:highlight w:val="none"/>
          <w:u w:val="single"/>
          <w:lang w:val="en-US" w:eastAsia="zh-CN"/>
        </w:rPr>
        <w:t>5</w:t>
      </w:r>
      <w:r>
        <w:rPr>
          <w:rFonts w:hint="eastAsia" w:ascii="宋体" w:hAnsi="宋体" w:eastAsia="宋体" w:cs="宋体"/>
          <w:color w:val="auto"/>
          <w:sz w:val="24"/>
          <w:szCs w:val="18"/>
          <w:highlight w:val="none"/>
        </w:rPr>
        <w:t>年</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u w:val="single"/>
          <w:lang w:val="en-US" w:eastAsia="zh-CN"/>
        </w:rPr>
        <w:t>2</w:t>
      </w:r>
      <w:r>
        <w:rPr>
          <w:rFonts w:hint="eastAsia" w:ascii="宋体" w:hAnsi="宋体" w:eastAsia="宋体" w:cs="宋体"/>
          <w:color w:val="auto"/>
          <w:sz w:val="24"/>
          <w:szCs w:val="18"/>
          <w:highlight w:val="none"/>
        </w:rPr>
        <w:t>月</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u w:val="single"/>
          <w:lang w:val="en-US" w:eastAsia="zh-CN"/>
        </w:rPr>
        <w:t>11</w:t>
      </w:r>
      <w:r>
        <w:rPr>
          <w:rFonts w:hint="eastAsia" w:ascii="宋体" w:hAnsi="宋体" w:eastAsia="宋体" w:cs="宋体"/>
          <w:color w:val="auto"/>
          <w:sz w:val="24"/>
          <w:szCs w:val="18"/>
          <w:highlight w:val="none"/>
        </w:rPr>
        <w:t>日</w:t>
      </w:r>
      <w:r>
        <w:rPr>
          <w:rFonts w:hint="eastAsia" w:ascii="宋体" w:hAnsi="宋体" w:eastAsia="宋体" w:cs="宋体"/>
          <w:color w:val="auto"/>
          <w:sz w:val="24"/>
          <w:szCs w:val="18"/>
          <w:highlight w:val="none"/>
          <w:u w:val="single"/>
        </w:rPr>
        <w:t xml:space="preserve"> 9</w:t>
      </w:r>
      <w:r>
        <w:rPr>
          <w:rFonts w:hint="eastAsia" w:ascii="宋体" w:hAnsi="宋体" w:eastAsia="宋体" w:cs="宋体"/>
          <w:color w:val="auto"/>
          <w:sz w:val="24"/>
          <w:szCs w:val="18"/>
          <w:highlight w:val="none"/>
        </w:rPr>
        <w:t>时</w:t>
      </w:r>
      <w:r>
        <w:rPr>
          <w:rFonts w:hint="eastAsia" w:ascii="宋体" w:hAnsi="宋体" w:eastAsia="宋体" w:cs="宋体"/>
          <w:color w:val="auto"/>
          <w:sz w:val="24"/>
          <w:szCs w:val="18"/>
          <w:highlight w:val="none"/>
          <w:u w:val="single"/>
          <w:lang w:val="en-US" w:eastAsia="zh-CN"/>
        </w:rPr>
        <w:t xml:space="preserve"> 3</w:t>
      </w:r>
      <w:r>
        <w:rPr>
          <w:rFonts w:hint="eastAsia" w:ascii="宋体" w:hAnsi="宋体" w:eastAsia="宋体" w:cs="宋体"/>
          <w:color w:val="auto"/>
          <w:sz w:val="24"/>
          <w:szCs w:val="18"/>
          <w:highlight w:val="none"/>
          <w:u w:val="single"/>
        </w:rPr>
        <w:t>0</w:t>
      </w:r>
      <w:r>
        <w:rPr>
          <w:rFonts w:hint="eastAsia" w:ascii="宋体" w:hAnsi="宋体" w:eastAsia="宋体" w:cs="宋体"/>
          <w:color w:val="auto"/>
          <w:sz w:val="24"/>
          <w:szCs w:val="18"/>
          <w:highlight w:val="none"/>
        </w:rPr>
        <w:t>分</w:t>
      </w:r>
    </w:p>
    <w:p w14:paraId="0F3C2005">
      <w:pPr>
        <w:spacing w:line="360" w:lineRule="auto"/>
        <w:ind w:firstLine="435"/>
        <w:rPr>
          <w:rFonts w:hint="eastAsia" w:ascii="宋体" w:hAnsi="宋体" w:eastAsia="宋体" w:cs="宋体"/>
          <w:b/>
          <w:bCs/>
          <w:color w:val="auto"/>
          <w:sz w:val="24"/>
          <w:szCs w:val="18"/>
          <w:highlight w:val="none"/>
        </w:rPr>
      </w:pPr>
      <w:r>
        <w:rPr>
          <w:rFonts w:hint="eastAsia" w:ascii="宋体" w:hAnsi="宋体" w:eastAsia="宋体" w:cs="宋体"/>
          <w:color w:val="auto"/>
          <w:sz w:val="24"/>
          <w:szCs w:val="18"/>
          <w:highlight w:val="none"/>
        </w:rPr>
        <w:t>2</w:t>
      </w:r>
      <w:r>
        <w:rPr>
          <w:rFonts w:hint="eastAsia" w:ascii="宋体" w:hAnsi="宋体" w:eastAsia="宋体" w:cs="宋体"/>
          <w:b/>
          <w:color w:val="auto"/>
          <w:sz w:val="24"/>
          <w:highlight w:val="none"/>
        </w:rPr>
        <w:t>.</w:t>
      </w:r>
      <w:r>
        <w:rPr>
          <w:rFonts w:hint="eastAsia" w:ascii="宋体" w:hAnsi="宋体" w:eastAsia="宋体" w:cs="宋体"/>
          <w:color w:val="auto"/>
          <w:sz w:val="24"/>
          <w:szCs w:val="18"/>
          <w:highlight w:val="none"/>
        </w:rPr>
        <w:t>磋商文件送达地址：</w:t>
      </w:r>
      <w:r>
        <w:rPr>
          <w:rFonts w:hint="eastAsia" w:ascii="宋体" w:hAnsi="宋体" w:eastAsia="宋体"/>
          <w:color w:val="auto"/>
          <w:sz w:val="24"/>
          <w:szCs w:val="18"/>
          <w:highlight w:val="none"/>
        </w:rPr>
        <w:t>合肥市包河区大圩镇花园大道卓越城文华园一期2号楼4楼407室（收件人：</w:t>
      </w:r>
      <w:r>
        <w:rPr>
          <w:rFonts w:hint="eastAsia" w:ascii="宋体" w:hAnsi="宋体" w:eastAsia="宋体" w:cs="宋体"/>
          <w:color w:val="auto"/>
          <w:sz w:val="24"/>
          <w:szCs w:val="18"/>
          <w:highlight w:val="none"/>
        </w:rPr>
        <w:t>耿工，电话：17318512331）</w:t>
      </w:r>
      <w:r>
        <w:rPr>
          <w:rFonts w:hint="eastAsia" w:ascii="宋体" w:hAnsi="宋体" w:eastAsia="宋体" w:cs="宋体"/>
          <w:color w:val="auto"/>
          <w:sz w:val="24"/>
          <w:szCs w:val="18"/>
          <w:highlight w:val="none"/>
        </w:rPr>
        <w:br w:type="textWrapping"/>
      </w:r>
      <w:r>
        <w:rPr>
          <w:rFonts w:hint="eastAsia" w:ascii="宋体" w:hAnsi="宋体" w:eastAsia="宋体" w:cs="宋体"/>
          <w:b/>
          <w:bCs/>
          <w:color w:val="auto"/>
          <w:sz w:val="24"/>
          <w:szCs w:val="18"/>
          <w:highlight w:val="none"/>
        </w:rPr>
        <w:t xml:space="preserve">   五</w:t>
      </w:r>
      <w:r>
        <w:rPr>
          <w:rFonts w:hint="eastAsia" w:ascii="宋体" w:hAnsi="宋体" w:eastAsia="宋体" w:cs="宋体"/>
          <w:b/>
          <w:color w:val="auto"/>
          <w:sz w:val="24"/>
          <w:highlight w:val="none"/>
        </w:rPr>
        <w:t>、</w:t>
      </w:r>
      <w:r>
        <w:rPr>
          <w:rFonts w:hint="eastAsia" w:ascii="宋体" w:hAnsi="宋体" w:eastAsia="宋体" w:cs="宋体"/>
          <w:b/>
          <w:bCs/>
          <w:color w:val="auto"/>
          <w:sz w:val="24"/>
          <w:highlight w:val="none"/>
        </w:rPr>
        <w:t>响应文件提交截止时间</w:t>
      </w:r>
    </w:p>
    <w:p w14:paraId="10A50F8D">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同磋商时间</w:t>
      </w:r>
    </w:p>
    <w:p w14:paraId="27523C63">
      <w:pPr>
        <w:spacing w:line="360" w:lineRule="auto"/>
        <w:ind w:firstLine="435"/>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六</w:t>
      </w:r>
      <w:r>
        <w:rPr>
          <w:rFonts w:hint="eastAsia" w:ascii="宋体" w:hAnsi="宋体" w:eastAsia="宋体" w:cs="宋体"/>
          <w:b/>
          <w:color w:val="auto"/>
          <w:sz w:val="24"/>
          <w:highlight w:val="none"/>
        </w:rPr>
        <w:t>、</w:t>
      </w:r>
      <w:r>
        <w:rPr>
          <w:rFonts w:hint="eastAsia" w:ascii="宋体" w:hAnsi="宋体" w:eastAsia="宋体" w:cs="宋体"/>
          <w:b/>
          <w:bCs/>
          <w:color w:val="auto"/>
          <w:sz w:val="24"/>
          <w:szCs w:val="18"/>
          <w:highlight w:val="none"/>
        </w:rPr>
        <w:t>联系方法</w:t>
      </w:r>
    </w:p>
    <w:p w14:paraId="18E3633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color w:val="auto"/>
          <w:sz w:val="30"/>
          <w:szCs w:val="30"/>
          <w:highlight w:val="none"/>
        </w:rPr>
      </w:pPr>
      <w:r>
        <w:rPr>
          <w:rFonts w:hint="eastAsia" w:ascii="宋体" w:hAnsi="宋体" w:eastAsia="宋体" w:cs="宋体"/>
          <w:color w:val="auto"/>
          <w:sz w:val="24"/>
          <w:szCs w:val="18"/>
          <w:highlight w:val="none"/>
        </w:rPr>
        <w:t>1.项目单位：</w:t>
      </w:r>
      <w:r>
        <w:rPr>
          <w:rFonts w:hint="eastAsia" w:ascii="宋体" w:hAnsi="宋体" w:eastAsia="宋体" w:cs="宋体"/>
          <w:color w:val="auto"/>
          <w:sz w:val="24"/>
          <w:szCs w:val="18"/>
          <w:highlight w:val="none"/>
          <w:lang w:val="en-US" w:eastAsia="zh-CN"/>
        </w:rPr>
        <w:t>合肥滨湖时光体育发展有限公司</w:t>
      </w:r>
      <w:r>
        <w:rPr>
          <w:rFonts w:hint="eastAsia" w:ascii="宋体" w:hAnsi="宋体" w:eastAsia="宋体" w:cs="宋体"/>
          <w:color w:val="auto"/>
          <w:sz w:val="24"/>
          <w:szCs w:val="18"/>
          <w:highlight w:val="none"/>
        </w:rPr>
        <w:br w:type="textWrapping"/>
      </w:r>
      <w:r>
        <w:rPr>
          <w:rFonts w:hint="eastAsia" w:ascii="宋体" w:hAnsi="宋体" w:eastAsia="宋体" w:cs="宋体"/>
          <w:color w:val="auto"/>
          <w:sz w:val="24"/>
          <w:szCs w:val="18"/>
          <w:highlight w:val="none"/>
        </w:rPr>
        <w:t>  2.地址：</w:t>
      </w:r>
      <w:r>
        <w:rPr>
          <w:rFonts w:hint="eastAsia" w:ascii="宋体" w:hAnsi="宋体" w:eastAsia="宋体"/>
          <w:color w:val="auto"/>
          <w:sz w:val="24"/>
          <w:szCs w:val="18"/>
          <w:highlight w:val="none"/>
        </w:rPr>
        <w:t>合肥市包河区大圩镇花园大道卓越城文华园一期2号楼4F</w:t>
      </w:r>
      <w:r>
        <w:rPr>
          <w:rFonts w:hint="eastAsia" w:ascii="宋体" w:hAnsi="宋体" w:eastAsia="宋体" w:cs="宋体"/>
          <w:color w:val="auto"/>
          <w:sz w:val="24"/>
          <w:szCs w:val="18"/>
          <w:highlight w:val="none"/>
        </w:rPr>
        <w:br w:type="textWrapping"/>
      </w:r>
      <w:r>
        <w:rPr>
          <w:rFonts w:hint="eastAsia" w:ascii="宋体" w:hAnsi="宋体" w:eastAsia="宋体" w:cs="宋体"/>
          <w:color w:val="auto"/>
          <w:sz w:val="24"/>
          <w:szCs w:val="18"/>
          <w:highlight w:val="none"/>
        </w:rPr>
        <w:t>  3.联系人：</w:t>
      </w:r>
      <w:bookmarkStart w:id="5" w:name="_Hlk179384748"/>
      <w:r>
        <w:rPr>
          <w:rFonts w:hint="eastAsia" w:ascii="宋体" w:hAnsi="宋体" w:eastAsia="宋体" w:cs="宋体"/>
          <w:color w:val="auto"/>
          <w:sz w:val="24"/>
          <w:szCs w:val="18"/>
          <w:highlight w:val="none"/>
        </w:rPr>
        <w:t>耿工</w:t>
      </w:r>
      <w:r>
        <w:rPr>
          <w:rFonts w:hint="eastAsia" w:ascii="宋体" w:hAnsi="宋体" w:eastAsia="宋体" w:cs="宋体"/>
          <w:color w:val="auto"/>
          <w:sz w:val="24"/>
          <w:szCs w:val="18"/>
          <w:highlight w:val="none"/>
        </w:rPr>
        <w:br w:type="textWrapping"/>
      </w:r>
      <w:r>
        <w:rPr>
          <w:rFonts w:hint="eastAsia" w:ascii="宋体" w:hAnsi="宋体" w:eastAsia="宋体" w:cs="宋体"/>
          <w:color w:val="auto"/>
          <w:sz w:val="24"/>
          <w:szCs w:val="18"/>
          <w:highlight w:val="none"/>
        </w:rPr>
        <w:t>   4.电话：17318512331</w:t>
      </w:r>
      <w:bookmarkEnd w:id="5"/>
      <w:r>
        <w:rPr>
          <w:rFonts w:hint="eastAsia" w:ascii="宋体" w:hAnsi="宋体" w:eastAsia="宋体" w:cs="宋体"/>
          <w:color w:val="auto"/>
          <w:sz w:val="24"/>
          <w:szCs w:val="18"/>
          <w:highlight w:val="none"/>
        </w:rPr>
        <w:br w:type="textWrapping"/>
      </w:r>
      <w:r>
        <w:rPr>
          <w:rFonts w:hint="eastAsia" w:ascii="宋体" w:hAnsi="宋体" w:eastAsia="宋体" w:cs="宋体"/>
          <w:color w:val="auto"/>
          <w:sz w:val="24"/>
          <w:szCs w:val="18"/>
          <w:highlight w:val="none"/>
        </w:rPr>
        <w:t>  5.</w:t>
      </w:r>
      <w:r>
        <w:rPr>
          <w:rFonts w:hint="eastAsia" w:ascii="宋体" w:hAnsi="宋体" w:eastAsia="宋体" w:cs="宋体"/>
          <w:color w:val="auto"/>
          <w:sz w:val="24"/>
          <w:szCs w:val="24"/>
          <w:highlight w:val="none"/>
        </w:rPr>
        <w:t>合肥滨湖时光产业投资集团有限公司</w:t>
      </w:r>
      <w:r>
        <w:rPr>
          <w:rFonts w:hint="eastAsia" w:ascii="宋体" w:hAnsi="宋体" w:eastAsia="宋体" w:cs="宋体"/>
          <w:color w:val="auto"/>
          <w:sz w:val="24"/>
          <w:szCs w:val="18"/>
          <w:highlight w:val="none"/>
        </w:rPr>
        <w:t>网址:</w:t>
      </w:r>
      <w:r>
        <w:rPr>
          <w:rFonts w:hint="eastAsia"/>
          <w:color w:val="auto"/>
          <w:highlight w:val="none"/>
        </w:rPr>
        <w:t xml:space="preserve"> </w:t>
      </w:r>
      <w:r>
        <w:rPr>
          <w:rFonts w:hint="eastAsia" w:ascii="宋体" w:hAnsi="宋体" w:eastAsia="宋体" w:cs="宋体"/>
          <w:color w:val="auto"/>
          <w:sz w:val="24"/>
          <w:szCs w:val="18"/>
          <w:highlight w:val="none"/>
        </w:rPr>
        <w:t>http://bhsggroup.cn/</w:t>
      </w:r>
    </w:p>
    <w:p w14:paraId="666289E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宋体" w:hAnsi="宋体" w:eastAsia="宋体" w:cs="宋体"/>
          <w:b/>
          <w:color w:val="auto"/>
          <w:sz w:val="24"/>
          <w:szCs w:val="18"/>
          <w:highlight w:val="none"/>
        </w:rPr>
      </w:pPr>
      <w:bookmarkStart w:id="6" w:name="_Toc44606295"/>
      <w:bookmarkStart w:id="7" w:name="_Toc47026332"/>
      <w:r>
        <w:rPr>
          <w:rFonts w:hint="eastAsia" w:ascii="宋体" w:hAnsi="宋体" w:eastAsia="宋体" w:cs="宋体"/>
          <w:b/>
          <w:color w:val="auto"/>
          <w:sz w:val="24"/>
          <w:szCs w:val="18"/>
          <w:highlight w:val="none"/>
        </w:rPr>
        <w:t>七</w:t>
      </w:r>
      <w:r>
        <w:rPr>
          <w:rFonts w:hint="eastAsia" w:ascii="宋体" w:hAnsi="宋体" w:eastAsia="宋体" w:cs="宋体"/>
          <w:b/>
          <w:color w:val="auto"/>
          <w:sz w:val="24"/>
          <w:highlight w:val="none"/>
        </w:rPr>
        <w:t>、</w:t>
      </w:r>
      <w:r>
        <w:rPr>
          <w:rFonts w:hint="eastAsia" w:ascii="宋体" w:hAnsi="宋体" w:eastAsia="宋体" w:cs="宋体"/>
          <w:b/>
          <w:color w:val="auto"/>
          <w:sz w:val="24"/>
          <w:szCs w:val="18"/>
          <w:highlight w:val="none"/>
        </w:rPr>
        <w:t>其他事项说明</w:t>
      </w:r>
      <w:bookmarkEnd w:id="6"/>
      <w:bookmarkEnd w:id="7"/>
    </w:p>
    <w:p w14:paraId="6D522B7A">
      <w:pPr>
        <w:spacing w:line="360" w:lineRule="auto"/>
        <w:ind w:firstLine="435"/>
        <w:rPr>
          <w:rFonts w:hint="eastAsia" w:ascii="宋体" w:hAnsi="宋体" w:eastAsia="宋体" w:cs="宋体"/>
          <w:bCs/>
          <w:color w:val="auto"/>
          <w:sz w:val="24"/>
          <w:szCs w:val="18"/>
          <w:highlight w:val="none"/>
        </w:rPr>
      </w:pPr>
      <w:r>
        <w:rPr>
          <w:rFonts w:hint="eastAsia" w:ascii="宋体" w:hAnsi="宋体" w:eastAsia="宋体" w:cs="宋体"/>
          <w:color w:val="auto"/>
          <w:sz w:val="24"/>
          <w:highlight w:val="none"/>
        </w:rPr>
        <w:t>1.</w:t>
      </w:r>
      <w:r>
        <w:rPr>
          <w:rFonts w:hint="eastAsia" w:ascii="宋体" w:hAnsi="宋体" w:eastAsia="宋体" w:cs="宋体"/>
          <w:bCs/>
          <w:color w:val="auto"/>
          <w:sz w:val="24"/>
          <w:szCs w:val="18"/>
          <w:highlight w:val="none"/>
        </w:rPr>
        <w:t>投标人应合理安排</w:t>
      </w:r>
      <w:r>
        <w:rPr>
          <w:rFonts w:hint="eastAsia" w:ascii="宋体" w:hAnsi="宋体" w:eastAsia="宋体" w:cs="宋体"/>
          <w:color w:val="auto"/>
          <w:sz w:val="24"/>
          <w:szCs w:val="18"/>
          <w:highlight w:val="none"/>
        </w:rPr>
        <w:t>磋商</w:t>
      </w:r>
      <w:r>
        <w:rPr>
          <w:rFonts w:hint="eastAsia" w:ascii="宋体" w:hAnsi="宋体" w:eastAsia="宋体" w:cs="宋体"/>
          <w:bCs/>
          <w:color w:val="auto"/>
          <w:sz w:val="24"/>
          <w:szCs w:val="18"/>
          <w:highlight w:val="none"/>
        </w:rPr>
        <w:t>文件获取时间，如果因计算机及网络故障造成无法完成</w:t>
      </w:r>
      <w:r>
        <w:rPr>
          <w:rFonts w:hint="eastAsia" w:ascii="宋体" w:hAnsi="宋体" w:eastAsia="宋体" w:cs="宋体"/>
          <w:color w:val="auto"/>
          <w:sz w:val="24"/>
          <w:szCs w:val="18"/>
          <w:highlight w:val="none"/>
        </w:rPr>
        <w:t>磋商</w:t>
      </w:r>
      <w:r>
        <w:rPr>
          <w:rFonts w:hint="eastAsia" w:ascii="宋体" w:hAnsi="宋体" w:eastAsia="宋体" w:cs="宋体"/>
          <w:bCs/>
          <w:color w:val="auto"/>
          <w:sz w:val="24"/>
          <w:szCs w:val="18"/>
          <w:highlight w:val="none"/>
        </w:rPr>
        <w:t>文件获取，责任自负。</w:t>
      </w:r>
    </w:p>
    <w:p w14:paraId="045AD41F">
      <w:pPr>
        <w:spacing w:line="360" w:lineRule="auto"/>
        <w:ind w:firstLine="435"/>
        <w:jc w:val="left"/>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2.本项目采用线下开标，投标人无需前往磋商现场。</w:t>
      </w:r>
    </w:p>
    <w:p w14:paraId="21D2C1AF">
      <w:pPr>
        <w:spacing w:line="360" w:lineRule="auto"/>
        <w:ind w:firstLine="435"/>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八、保证金缴纳账户</w:t>
      </w:r>
    </w:p>
    <w:p w14:paraId="36114CB4">
      <w:pPr>
        <w:spacing w:line="360" w:lineRule="auto"/>
        <w:ind w:firstLine="435"/>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1.公司名称：</w:t>
      </w:r>
      <w:bookmarkStart w:id="8" w:name="OLE_LINK4"/>
      <w:r>
        <w:rPr>
          <w:rFonts w:hint="eastAsia" w:ascii="宋体" w:hAnsi="宋体" w:eastAsia="宋体" w:cs="宋体"/>
          <w:bCs/>
          <w:color w:val="auto"/>
          <w:sz w:val="24"/>
          <w:szCs w:val="18"/>
          <w:highlight w:val="none"/>
        </w:rPr>
        <w:t>合肥滨湖时光体育发展有限公司</w:t>
      </w:r>
      <w:bookmarkEnd w:id="8"/>
    </w:p>
    <w:p w14:paraId="50B85887">
      <w:pPr>
        <w:spacing w:line="360" w:lineRule="auto"/>
        <w:ind w:firstLine="435"/>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2.社会信用代码：91340111MADXJ9C21F</w:t>
      </w:r>
    </w:p>
    <w:p w14:paraId="4B29034A">
      <w:pPr>
        <w:spacing w:line="360" w:lineRule="auto"/>
        <w:ind w:firstLine="435"/>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3.开户行：徽商银行合肥濉溪路支行</w:t>
      </w:r>
    </w:p>
    <w:p w14:paraId="7F701C53">
      <w:pPr>
        <w:spacing w:line="360" w:lineRule="auto"/>
        <w:ind w:firstLine="435"/>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4.账号：261680629121000002</w:t>
      </w:r>
    </w:p>
    <w:p w14:paraId="7028F222">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bCs/>
          <w:color w:val="auto"/>
          <w:sz w:val="24"/>
          <w:szCs w:val="18"/>
          <w:highlight w:val="none"/>
        </w:rPr>
        <w:t>5.公司地址：安徽省合肥市包河区大圩镇花园大道365号滨湖卓越城A2栋407室</w:t>
      </w:r>
      <w:r>
        <w:rPr>
          <w:rFonts w:hint="eastAsia" w:ascii="宋体" w:hAnsi="宋体" w:eastAsia="宋体" w:cs="宋体"/>
          <w:color w:val="auto"/>
          <w:sz w:val="28"/>
          <w:szCs w:val="28"/>
          <w:highlight w:val="none"/>
        </w:rPr>
        <w:br w:type="textWrapping"/>
      </w:r>
      <w:r>
        <w:rPr>
          <w:rFonts w:hint="eastAsia" w:ascii="宋体" w:hAnsi="宋体" w:eastAsia="宋体" w:cs="宋体"/>
          <w:color w:val="auto"/>
          <w:sz w:val="24"/>
          <w:szCs w:val="18"/>
          <w:highlight w:val="none"/>
        </w:rPr>
        <w:br w:type="page"/>
      </w:r>
    </w:p>
    <w:p w14:paraId="7693D018">
      <w:pPr>
        <w:spacing w:line="360" w:lineRule="auto"/>
        <w:jc w:val="center"/>
        <w:outlineLvl w:val="1"/>
        <w:rPr>
          <w:rFonts w:hint="eastAsia" w:ascii="宋体" w:hAnsi="宋体" w:eastAsia="宋体" w:cs="宋体"/>
          <w:b/>
          <w:color w:val="auto"/>
          <w:sz w:val="28"/>
          <w:highlight w:val="none"/>
        </w:rPr>
      </w:pPr>
      <w:bookmarkStart w:id="9" w:name="_Toc47026333"/>
      <w:r>
        <w:rPr>
          <w:rFonts w:hint="eastAsia" w:ascii="宋体" w:hAnsi="宋体" w:eastAsia="宋体" w:cs="宋体"/>
          <w:b/>
          <w:color w:val="auto"/>
          <w:sz w:val="28"/>
          <w:highlight w:val="none"/>
        </w:rPr>
        <w:t>第二章  投标人须知</w:t>
      </w:r>
      <w:bookmarkEnd w:id="9"/>
    </w:p>
    <w:p w14:paraId="1FA326D3">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一、投标人须知前附表</w:t>
      </w:r>
    </w:p>
    <w:p w14:paraId="51153B1A">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本表是本项目的具体要求，是对投标人须知的具体补充和修改，如有不一致，以本表为准。</w:t>
      </w:r>
    </w:p>
    <w:tbl>
      <w:tblPr>
        <w:tblStyle w:val="23"/>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2025"/>
        <w:gridCol w:w="5466"/>
      </w:tblGrid>
      <w:tr w14:paraId="514FA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3689351B">
            <w:pPr>
              <w:pStyle w:val="29"/>
              <w:rPr>
                <w:rFonts w:hint="eastAsia"/>
                <w:color w:val="auto"/>
                <w:highlight w:val="none"/>
              </w:rPr>
            </w:pPr>
            <w:r>
              <w:rPr>
                <w:rFonts w:hint="eastAsia"/>
                <w:color w:val="auto"/>
                <w:highlight w:val="none"/>
              </w:rPr>
              <w:t>条款号</w:t>
            </w:r>
          </w:p>
        </w:tc>
        <w:tc>
          <w:tcPr>
            <w:tcW w:w="2025" w:type="dxa"/>
            <w:vAlign w:val="center"/>
          </w:tcPr>
          <w:p w14:paraId="48C70C6C">
            <w:pPr>
              <w:pStyle w:val="29"/>
              <w:rPr>
                <w:rFonts w:hint="eastAsia"/>
                <w:color w:val="auto"/>
                <w:highlight w:val="none"/>
              </w:rPr>
            </w:pPr>
            <w:r>
              <w:rPr>
                <w:rFonts w:hint="eastAsia"/>
                <w:color w:val="auto"/>
                <w:highlight w:val="none"/>
              </w:rPr>
              <w:t>条款名称</w:t>
            </w:r>
          </w:p>
        </w:tc>
        <w:tc>
          <w:tcPr>
            <w:tcW w:w="5466" w:type="dxa"/>
            <w:vAlign w:val="center"/>
          </w:tcPr>
          <w:p w14:paraId="17346D3E">
            <w:pPr>
              <w:pStyle w:val="29"/>
              <w:rPr>
                <w:rFonts w:hint="eastAsia"/>
                <w:color w:val="auto"/>
                <w:highlight w:val="none"/>
              </w:rPr>
            </w:pPr>
            <w:r>
              <w:rPr>
                <w:rFonts w:hint="eastAsia"/>
                <w:color w:val="auto"/>
                <w:highlight w:val="none"/>
              </w:rPr>
              <w:t>内容、说明与要求</w:t>
            </w:r>
          </w:p>
        </w:tc>
      </w:tr>
      <w:tr w14:paraId="2C8ED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78BF05DF">
            <w:pPr>
              <w:pStyle w:val="30"/>
              <w:rPr>
                <w:rFonts w:hint="eastAsia"/>
                <w:color w:val="auto"/>
                <w:highlight w:val="none"/>
              </w:rPr>
            </w:pPr>
            <w:r>
              <w:rPr>
                <w:rFonts w:hint="eastAsia"/>
                <w:color w:val="auto"/>
                <w:highlight w:val="none"/>
              </w:rPr>
              <w:t>3.1</w:t>
            </w:r>
          </w:p>
        </w:tc>
        <w:tc>
          <w:tcPr>
            <w:tcW w:w="2025" w:type="dxa"/>
            <w:vAlign w:val="center"/>
          </w:tcPr>
          <w:p w14:paraId="53513312">
            <w:pPr>
              <w:pStyle w:val="29"/>
              <w:rPr>
                <w:rFonts w:hint="eastAsia"/>
                <w:b/>
                <w:color w:val="auto"/>
                <w:highlight w:val="none"/>
              </w:rPr>
            </w:pPr>
            <w:r>
              <w:rPr>
                <w:rFonts w:hint="eastAsia"/>
                <w:color w:val="auto"/>
                <w:highlight w:val="none"/>
              </w:rPr>
              <w:t>招标人</w:t>
            </w:r>
          </w:p>
        </w:tc>
        <w:tc>
          <w:tcPr>
            <w:tcW w:w="5466" w:type="dxa"/>
            <w:vAlign w:val="center"/>
          </w:tcPr>
          <w:p w14:paraId="6D212B81">
            <w:pPr>
              <w:pStyle w:val="29"/>
              <w:rPr>
                <w:rFonts w:hint="eastAsia"/>
                <w:b/>
                <w:color w:val="auto"/>
                <w:kern w:val="2"/>
                <w:szCs w:val="20"/>
                <w:highlight w:val="none"/>
              </w:rPr>
            </w:pPr>
            <w:r>
              <w:rPr>
                <w:rFonts w:hint="eastAsia"/>
                <w:color w:val="auto"/>
                <w:highlight w:val="none"/>
              </w:rPr>
              <w:t>合肥滨湖时光体育发展有限公司</w:t>
            </w:r>
          </w:p>
        </w:tc>
      </w:tr>
      <w:tr w14:paraId="0CCA0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7F0B91D3">
            <w:pPr>
              <w:pStyle w:val="30"/>
              <w:rPr>
                <w:rFonts w:hint="eastAsia"/>
                <w:color w:val="auto"/>
                <w:highlight w:val="none"/>
              </w:rPr>
            </w:pPr>
            <w:r>
              <w:rPr>
                <w:rFonts w:hint="eastAsia"/>
                <w:color w:val="auto"/>
                <w:highlight w:val="none"/>
              </w:rPr>
              <w:t>3.2</w:t>
            </w:r>
          </w:p>
        </w:tc>
        <w:tc>
          <w:tcPr>
            <w:tcW w:w="2025" w:type="dxa"/>
            <w:vAlign w:val="center"/>
          </w:tcPr>
          <w:p w14:paraId="79E645C8">
            <w:pPr>
              <w:pStyle w:val="29"/>
              <w:rPr>
                <w:rFonts w:hint="eastAsia"/>
                <w:b/>
                <w:color w:val="auto"/>
                <w:highlight w:val="none"/>
              </w:rPr>
            </w:pPr>
            <w:r>
              <w:rPr>
                <w:rFonts w:hint="eastAsia"/>
                <w:color w:val="auto"/>
                <w:highlight w:val="none"/>
              </w:rPr>
              <w:t>招标投标监督管理部门</w:t>
            </w:r>
          </w:p>
        </w:tc>
        <w:tc>
          <w:tcPr>
            <w:tcW w:w="5466" w:type="dxa"/>
            <w:vAlign w:val="center"/>
          </w:tcPr>
          <w:p w14:paraId="12100CDC">
            <w:pPr>
              <w:pStyle w:val="29"/>
              <w:rPr>
                <w:rFonts w:hint="eastAsia"/>
                <w:b/>
                <w:color w:val="auto"/>
                <w:highlight w:val="none"/>
              </w:rPr>
            </w:pPr>
            <w:r>
              <w:rPr>
                <w:rFonts w:hint="eastAsia"/>
                <w:color w:val="auto"/>
                <w:highlight w:val="none"/>
              </w:rPr>
              <w:t>合肥滨湖时光产业投资集团有限公司</w:t>
            </w:r>
          </w:p>
        </w:tc>
      </w:tr>
      <w:tr w14:paraId="4395F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3DDB221B">
            <w:pPr>
              <w:pStyle w:val="30"/>
              <w:rPr>
                <w:rFonts w:hint="eastAsia"/>
                <w:color w:val="auto"/>
                <w:highlight w:val="none"/>
              </w:rPr>
            </w:pPr>
            <w:r>
              <w:rPr>
                <w:rFonts w:hint="eastAsia"/>
                <w:color w:val="auto"/>
                <w:highlight w:val="none"/>
              </w:rPr>
              <w:t>3.5</w:t>
            </w:r>
          </w:p>
        </w:tc>
        <w:tc>
          <w:tcPr>
            <w:tcW w:w="2025" w:type="dxa"/>
            <w:vAlign w:val="center"/>
          </w:tcPr>
          <w:p w14:paraId="1AB83EE7">
            <w:pPr>
              <w:pStyle w:val="29"/>
              <w:rPr>
                <w:rFonts w:hint="eastAsia"/>
                <w:b/>
                <w:color w:val="auto"/>
                <w:highlight w:val="none"/>
              </w:rPr>
            </w:pPr>
            <w:r>
              <w:rPr>
                <w:rFonts w:hint="eastAsia"/>
                <w:color w:val="auto"/>
                <w:highlight w:val="none"/>
              </w:rPr>
              <w:t>是否允许联合体参加磋商</w:t>
            </w:r>
          </w:p>
        </w:tc>
        <w:tc>
          <w:tcPr>
            <w:tcW w:w="5466" w:type="dxa"/>
            <w:vAlign w:val="center"/>
          </w:tcPr>
          <w:p w14:paraId="2951D646">
            <w:pPr>
              <w:pStyle w:val="29"/>
              <w:rPr>
                <w:rFonts w:hint="eastAsia"/>
                <w:b/>
                <w:color w:val="auto"/>
                <w:highlight w:val="none"/>
              </w:rPr>
            </w:pPr>
            <w:r>
              <w:rPr>
                <w:rFonts w:hint="eastAsia"/>
                <w:color w:val="auto"/>
                <w:highlight w:val="none"/>
              </w:rPr>
              <w:t xml:space="preserve">□是  </w:t>
            </w:r>
            <w:r>
              <w:rPr>
                <w:rFonts w:hint="eastAsia"/>
                <w:color w:val="auto"/>
                <w:szCs w:val="24"/>
                <w:highlight w:val="none"/>
              </w:rPr>
              <w:sym w:font="Wingdings 2" w:char="0052"/>
            </w:r>
            <w:r>
              <w:rPr>
                <w:rFonts w:hint="eastAsia"/>
                <w:color w:val="auto"/>
                <w:highlight w:val="none"/>
              </w:rPr>
              <w:t>否</w:t>
            </w:r>
          </w:p>
        </w:tc>
      </w:tr>
      <w:tr w14:paraId="05F6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6A5707D0">
            <w:pPr>
              <w:pStyle w:val="30"/>
              <w:rPr>
                <w:rFonts w:hint="eastAsia"/>
                <w:color w:val="auto"/>
                <w:highlight w:val="none"/>
              </w:rPr>
            </w:pPr>
            <w:r>
              <w:rPr>
                <w:rFonts w:hint="eastAsia"/>
                <w:color w:val="auto"/>
                <w:highlight w:val="none"/>
              </w:rPr>
              <w:t>7.3</w:t>
            </w:r>
          </w:p>
        </w:tc>
        <w:tc>
          <w:tcPr>
            <w:tcW w:w="2025" w:type="dxa"/>
            <w:vAlign w:val="center"/>
          </w:tcPr>
          <w:p w14:paraId="27D3A588">
            <w:pPr>
              <w:pStyle w:val="29"/>
              <w:rPr>
                <w:rFonts w:hint="eastAsia"/>
                <w:b/>
                <w:color w:val="auto"/>
                <w:highlight w:val="none"/>
              </w:rPr>
            </w:pPr>
            <w:r>
              <w:rPr>
                <w:rFonts w:hint="eastAsia"/>
                <w:color w:val="auto"/>
                <w:highlight w:val="none"/>
              </w:rPr>
              <w:t>现场考察</w:t>
            </w:r>
          </w:p>
        </w:tc>
        <w:tc>
          <w:tcPr>
            <w:tcW w:w="5466" w:type="dxa"/>
            <w:vAlign w:val="center"/>
          </w:tcPr>
          <w:p w14:paraId="7D822C9E">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szCs w:val="24"/>
                <w:highlight w:val="none"/>
              </w:rPr>
              <w:sym w:font="Wingdings 2" w:char="0052"/>
            </w:r>
            <w:r>
              <w:rPr>
                <w:rFonts w:hint="eastAsia" w:ascii="宋体" w:hAnsi="宋体" w:eastAsia="宋体" w:cs="宋体"/>
                <w:color w:val="auto"/>
                <w:sz w:val="24"/>
                <w:highlight w:val="none"/>
              </w:rPr>
              <w:t>不组织，投标人</w:t>
            </w:r>
            <w:r>
              <w:rPr>
                <w:rFonts w:hint="eastAsia" w:ascii="宋体" w:hAnsi="宋体" w:eastAsia="宋体" w:cs="宋体"/>
                <w:bCs/>
                <w:color w:val="auto"/>
                <w:sz w:val="24"/>
                <w:highlight w:val="none"/>
              </w:rPr>
              <w:t>自行考察</w:t>
            </w:r>
          </w:p>
        </w:tc>
      </w:tr>
      <w:tr w14:paraId="50430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6114DEDD">
            <w:pPr>
              <w:pStyle w:val="30"/>
              <w:rPr>
                <w:rFonts w:hint="eastAsia"/>
                <w:color w:val="auto"/>
                <w:highlight w:val="none"/>
              </w:rPr>
            </w:pPr>
            <w:r>
              <w:rPr>
                <w:rFonts w:hint="eastAsia"/>
                <w:color w:val="auto"/>
                <w:highlight w:val="none"/>
              </w:rPr>
              <w:t>8.1</w:t>
            </w:r>
          </w:p>
        </w:tc>
        <w:tc>
          <w:tcPr>
            <w:tcW w:w="2025" w:type="dxa"/>
            <w:vAlign w:val="center"/>
          </w:tcPr>
          <w:p w14:paraId="78B6C1B6">
            <w:pPr>
              <w:pStyle w:val="29"/>
              <w:rPr>
                <w:rFonts w:hint="eastAsia"/>
                <w:b/>
                <w:color w:val="auto"/>
                <w:highlight w:val="none"/>
              </w:rPr>
            </w:pPr>
            <w:r>
              <w:rPr>
                <w:rFonts w:hint="eastAsia"/>
                <w:color w:val="auto"/>
                <w:highlight w:val="none"/>
              </w:rPr>
              <w:t>答疑截止时间</w:t>
            </w:r>
          </w:p>
        </w:tc>
        <w:tc>
          <w:tcPr>
            <w:tcW w:w="5466" w:type="dxa"/>
            <w:vAlign w:val="center"/>
          </w:tcPr>
          <w:p w14:paraId="163265DF">
            <w:pPr>
              <w:pStyle w:val="29"/>
              <w:rPr>
                <w:rFonts w:hint="eastAsia"/>
                <w:color w:val="auto"/>
                <w:highlight w:val="none"/>
              </w:rPr>
            </w:pPr>
            <w:r>
              <w:rPr>
                <w:rFonts w:hint="eastAsia"/>
                <w:color w:val="auto"/>
                <w:highlight w:val="none"/>
              </w:rPr>
              <w:t>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2</w:t>
            </w:r>
            <w:r>
              <w:rPr>
                <w:rFonts w:hint="eastAsia"/>
                <w:color w:val="auto"/>
                <w:highlight w:val="none"/>
              </w:rPr>
              <w:t>月</w:t>
            </w:r>
            <w:r>
              <w:rPr>
                <w:rFonts w:hint="eastAsia"/>
                <w:color w:val="auto"/>
                <w:highlight w:val="none"/>
                <w:lang w:val="en-US" w:eastAsia="zh-CN"/>
              </w:rPr>
              <w:t>10</w:t>
            </w:r>
            <w:r>
              <w:rPr>
                <w:rFonts w:hint="eastAsia"/>
                <w:color w:val="auto"/>
                <w:highlight w:val="none"/>
              </w:rPr>
              <w:t>日17:30前接受答疑（逾期不予受理）。</w:t>
            </w:r>
          </w:p>
          <w:p w14:paraId="267ACE24">
            <w:pPr>
              <w:pStyle w:val="29"/>
              <w:rPr>
                <w:rFonts w:hint="eastAsia"/>
                <w:b/>
                <w:color w:val="auto"/>
                <w:highlight w:val="none"/>
              </w:rPr>
            </w:pPr>
            <w:r>
              <w:rPr>
                <w:rFonts w:hint="eastAsia"/>
                <w:color w:val="auto"/>
                <w:highlight w:val="none"/>
              </w:rPr>
              <w:t>投标人请注意：合肥滨湖时光体育发展有限公司对磋商文件进行的澄清、更正或更改，将在网站上及时发布，该公告内容为磋商文件的组成部分，对投标人具有同样约束力。投标人应主动上网查询。合肥滨湖时光体育发展有限公司不承担投标人未及时关注相关信息引发的相关责任。</w:t>
            </w:r>
          </w:p>
        </w:tc>
      </w:tr>
      <w:tr w14:paraId="5A332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04" w:type="dxa"/>
            <w:vAlign w:val="center"/>
          </w:tcPr>
          <w:p w14:paraId="35C04CFD">
            <w:pPr>
              <w:pStyle w:val="30"/>
              <w:rPr>
                <w:rFonts w:hint="eastAsia"/>
                <w:color w:val="auto"/>
                <w:highlight w:val="none"/>
              </w:rPr>
            </w:pPr>
            <w:r>
              <w:rPr>
                <w:rFonts w:hint="eastAsia"/>
                <w:color w:val="auto"/>
                <w:highlight w:val="none"/>
              </w:rPr>
              <w:t>9.1</w:t>
            </w:r>
          </w:p>
        </w:tc>
        <w:tc>
          <w:tcPr>
            <w:tcW w:w="2025" w:type="dxa"/>
            <w:vAlign w:val="center"/>
          </w:tcPr>
          <w:p w14:paraId="2D564D65">
            <w:pPr>
              <w:pStyle w:val="29"/>
              <w:rPr>
                <w:rFonts w:hint="eastAsia"/>
                <w:b/>
                <w:color w:val="auto"/>
                <w:highlight w:val="none"/>
              </w:rPr>
            </w:pPr>
            <w:r>
              <w:rPr>
                <w:rFonts w:hint="eastAsia"/>
                <w:color w:val="auto"/>
                <w:highlight w:val="none"/>
              </w:rPr>
              <w:t>标段划分</w:t>
            </w:r>
          </w:p>
        </w:tc>
        <w:tc>
          <w:tcPr>
            <w:tcW w:w="5466" w:type="dxa"/>
            <w:vAlign w:val="center"/>
          </w:tcPr>
          <w:p w14:paraId="2BE30EE9">
            <w:pPr>
              <w:pStyle w:val="2"/>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宋体"/>
                <w:color w:val="auto"/>
                <w:sz w:val="24"/>
                <w:szCs w:val="18"/>
                <w:highlight w:val="none"/>
                <w:lang w:val="en-US" w:eastAsia="zh-CN"/>
              </w:rPr>
            </w:pPr>
            <w:r>
              <w:rPr>
                <w:rFonts w:hint="eastAsia" w:cs="宋体"/>
                <w:color w:val="auto"/>
                <w:sz w:val="24"/>
                <w:szCs w:val="18"/>
                <w:highlight w:val="none"/>
                <w:lang w:val="en-US" w:eastAsia="zh-CN"/>
              </w:rPr>
              <w:t>共分 7 个标段，其中，第1标段为足球（基础班）课程；第2标段为足球（提高班）课程；第3标段为轮滑课程；第4标段为棋类（国际象棋、围棋）课程；第5标段为棋类（中国象棋、国际跳棋）课程；第6标段为花样跳绳课程；第7标段为篮球课程。</w:t>
            </w:r>
          </w:p>
          <w:p w14:paraId="1A3AD1EC">
            <w:pPr>
              <w:pStyle w:val="2"/>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宋体"/>
                <w:b/>
                <w:color w:val="auto"/>
                <w:highlight w:val="none"/>
                <w:lang w:val="en-US" w:eastAsia="zh-CN"/>
              </w:rPr>
            </w:pPr>
            <w:r>
              <w:rPr>
                <w:rFonts w:hint="eastAsia" w:cs="宋体"/>
                <w:color w:val="auto"/>
                <w:sz w:val="24"/>
                <w:szCs w:val="18"/>
                <w:highlight w:val="none"/>
                <w:lang w:val="en-US" w:eastAsia="zh-CN"/>
              </w:rPr>
              <w:t>备注：各潜在投标人可参与多个标段投标。</w:t>
            </w:r>
          </w:p>
        </w:tc>
      </w:tr>
      <w:tr w14:paraId="601E9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1004" w:type="dxa"/>
            <w:vAlign w:val="center"/>
          </w:tcPr>
          <w:p w14:paraId="76E258AB">
            <w:pPr>
              <w:pStyle w:val="30"/>
              <w:rPr>
                <w:rFonts w:hint="eastAsia"/>
                <w:color w:val="auto"/>
                <w:highlight w:val="none"/>
              </w:rPr>
            </w:pPr>
            <w:r>
              <w:rPr>
                <w:rFonts w:hint="eastAsia"/>
                <w:color w:val="auto"/>
                <w:highlight w:val="none"/>
              </w:rPr>
              <w:t>13.1</w:t>
            </w:r>
          </w:p>
        </w:tc>
        <w:tc>
          <w:tcPr>
            <w:tcW w:w="2025" w:type="dxa"/>
            <w:vAlign w:val="center"/>
          </w:tcPr>
          <w:p w14:paraId="64709D0B">
            <w:pPr>
              <w:pStyle w:val="29"/>
              <w:rPr>
                <w:rFonts w:hint="eastAsia"/>
                <w:b/>
                <w:color w:val="auto"/>
                <w:highlight w:val="none"/>
              </w:rPr>
            </w:pPr>
            <w:r>
              <w:rPr>
                <w:rFonts w:hint="eastAsia"/>
                <w:color w:val="auto"/>
                <w:highlight w:val="none"/>
              </w:rPr>
              <w:t>磋商保证金</w:t>
            </w:r>
          </w:p>
        </w:tc>
        <w:tc>
          <w:tcPr>
            <w:tcW w:w="5466" w:type="dxa"/>
            <w:vAlign w:val="center"/>
          </w:tcPr>
          <w:p w14:paraId="4F4591D3">
            <w:pPr>
              <w:snapToGrid w:val="0"/>
              <w:spacing w:line="520" w:lineRule="exact"/>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是否要求投标人提交磋商保证金：</w:t>
            </w:r>
          </w:p>
          <w:p w14:paraId="3AF83BE5">
            <w:pPr>
              <w:snapToGrid w:val="0"/>
              <w:spacing w:line="520" w:lineRule="exact"/>
              <w:rPr>
                <w:rFonts w:hint="eastAsia" w:ascii="宋体" w:hAnsi="宋体" w:eastAsia="宋体" w:cs="宋体"/>
                <w:bCs/>
                <w:color w:val="auto"/>
                <w:kern w:val="0"/>
                <w:sz w:val="24"/>
                <w:szCs w:val="28"/>
                <w:highlight w:val="none"/>
              </w:rPr>
            </w:pPr>
            <w:r>
              <w:rPr>
                <w:rFonts w:hint="eastAsia" w:ascii="宋体" w:hAnsi="宋体" w:eastAsia="宋体" w:cs="宋体"/>
                <w:bCs/>
                <w:color w:val="auto"/>
                <w:sz w:val="24"/>
                <w:szCs w:val="24"/>
                <w:highlight w:val="none"/>
              </w:rPr>
              <w:sym w:font="Wingdings 2" w:char="0052"/>
            </w:r>
            <w:r>
              <w:rPr>
                <w:rFonts w:hint="eastAsia" w:ascii="宋体" w:hAnsi="宋体" w:eastAsia="宋体" w:cs="宋体"/>
                <w:bCs/>
                <w:color w:val="auto"/>
                <w:kern w:val="0"/>
                <w:sz w:val="24"/>
                <w:szCs w:val="28"/>
                <w:highlight w:val="none"/>
              </w:rPr>
              <w:t>不要求</w:t>
            </w:r>
          </w:p>
        </w:tc>
      </w:tr>
      <w:tr w14:paraId="39B3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1004" w:type="dxa"/>
            <w:vAlign w:val="center"/>
          </w:tcPr>
          <w:p w14:paraId="1197B01D">
            <w:pPr>
              <w:pStyle w:val="30"/>
              <w:rPr>
                <w:rFonts w:hint="eastAsia"/>
                <w:color w:val="auto"/>
                <w:highlight w:val="none"/>
              </w:rPr>
            </w:pPr>
            <w:r>
              <w:rPr>
                <w:rFonts w:hint="eastAsia"/>
                <w:color w:val="auto"/>
                <w:highlight w:val="none"/>
              </w:rPr>
              <w:t>13.3</w:t>
            </w:r>
          </w:p>
        </w:tc>
        <w:tc>
          <w:tcPr>
            <w:tcW w:w="2025" w:type="dxa"/>
            <w:vAlign w:val="center"/>
          </w:tcPr>
          <w:p w14:paraId="034C13B1">
            <w:pPr>
              <w:pStyle w:val="29"/>
              <w:rPr>
                <w:rFonts w:hint="eastAsia"/>
                <w:b/>
                <w:color w:val="auto"/>
                <w:highlight w:val="none"/>
              </w:rPr>
            </w:pPr>
            <w:r>
              <w:rPr>
                <w:rFonts w:hint="eastAsia"/>
                <w:color w:val="auto"/>
                <w:highlight w:val="none"/>
              </w:rPr>
              <w:t>其他不予退还磋商保证金的情形</w:t>
            </w:r>
          </w:p>
        </w:tc>
        <w:tc>
          <w:tcPr>
            <w:tcW w:w="5466" w:type="dxa"/>
            <w:vAlign w:val="center"/>
          </w:tcPr>
          <w:p w14:paraId="189C27E6">
            <w:pPr>
              <w:pStyle w:val="29"/>
              <w:rPr>
                <w:rFonts w:hint="eastAsia"/>
                <w:color w:val="auto"/>
                <w:highlight w:val="none"/>
              </w:rPr>
            </w:pPr>
            <w:r>
              <w:rPr>
                <w:rFonts w:hint="eastAsia"/>
                <w:color w:val="auto"/>
                <w:highlight w:val="none"/>
              </w:rPr>
              <w:t>/</w:t>
            </w:r>
          </w:p>
        </w:tc>
      </w:tr>
      <w:tr w14:paraId="6EB17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303796BD">
            <w:pPr>
              <w:pStyle w:val="30"/>
              <w:rPr>
                <w:rFonts w:hint="eastAsia"/>
                <w:color w:val="auto"/>
                <w:highlight w:val="none"/>
              </w:rPr>
            </w:pPr>
            <w:r>
              <w:rPr>
                <w:rFonts w:hint="eastAsia"/>
                <w:color w:val="auto"/>
                <w:highlight w:val="none"/>
              </w:rPr>
              <w:t>14.1</w:t>
            </w:r>
          </w:p>
        </w:tc>
        <w:tc>
          <w:tcPr>
            <w:tcW w:w="2025" w:type="dxa"/>
            <w:vAlign w:val="center"/>
          </w:tcPr>
          <w:p w14:paraId="5F9E930C">
            <w:pPr>
              <w:pStyle w:val="29"/>
              <w:rPr>
                <w:rFonts w:hint="eastAsia"/>
                <w:b/>
                <w:color w:val="auto"/>
                <w:highlight w:val="none"/>
              </w:rPr>
            </w:pPr>
            <w:r>
              <w:rPr>
                <w:rFonts w:hint="eastAsia"/>
                <w:color w:val="auto"/>
                <w:highlight w:val="none"/>
              </w:rPr>
              <w:t>磋商有效期</w:t>
            </w:r>
          </w:p>
        </w:tc>
        <w:tc>
          <w:tcPr>
            <w:tcW w:w="5466" w:type="dxa"/>
            <w:vAlign w:val="center"/>
          </w:tcPr>
          <w:p w14:paraId="617C0AA6">
            <w:pPr>
              <w:pStyle w:val="29"/>
              <w:rPr>
                <w:rFonts w:hint="eastAsia"/>
                <w:b/>
                <w:color w:val="auto"/>
                <w:highlight w:val="none"/>
              </w:rPr>
            </w:pPr>
            <w:r>
              <w:rPr>
                <w:rFonts w:hint="eastAsia"/>
                <w:color w:val="auto"/>
                <w:highlight w:val="none"/>
              </w:rPr>
              <w:t>120日历日</w:t>
            </w:r>
          </w:p>
        </w:tc>
      </w:tr>
      <w:tr w14:paraId="73412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8AC80A3">
            <w:pPr>
              <w:pStyle w:val="30"/>
              <w:rPr>
                <w:rFonts w:hint="eastAsia"/>
                <w:color w:val="auto"/>
                <w:highlight w:val="none"/>
              </w:rPr>
            </w:pPr>
            <w:r>
              <w:rPr>
                <w:rFonts w:hint="eastAsia"/>
                <w:color w:val="auto"/>
                <w:highlight w:val="none"/>
              </w:rPr>
              <w:t>15.1</w:t>
            </w:r>
          </w:p>
        </w:tc>
        <w:tc>
          <w:tcPr>
            <w:tcW w:w="2025" w:type="dxa"/>
            <w:vAlign w:val="center"/>
          </w:tcPr>
          <w:p w14:paraId="4EE0561A">
            <w:pPr>
              <w:pStyle w:val="29"/>
              <w:rPr>
                <w:rFonts w:hint="eastAsia"/>
                <w:b/>
                <w:color w:val="auto"/>
                <w:highlight w:val="none"/>
              </w:rPr>
            </w:pPr>
            <w:r>
              <w:rPr>
                <w:rFonts w:hint="eastAsia"/>
                <w:color w:val="auto"/>
                <w:highlight w:val="none"/>
              </w:rPr>
              <w:t>响应文件要求</w:t>
            </w:r>
          </w:p>
          <w:p w14:paraId="7CCFAEC6">
            <w:pPr>
              <w:pStyle w:val="29"/>
              <w:rPr>
                <w:rFonts w:hint="eastAsia"/>
                <w:color w:val="auto"/>
                <w:highlight w:val="none"/>
              </w:rPr>
            </w:pPr>
            <w:r>
              <w:rPr>
                <w:rFonts w:hint="eastAsia"/>
                <w:color w:val="auto"/>
                <w:highlight w:val="none"/>
              </w:rPr>
              <w:t>（纸质）</w:t>
            </w:r>
          </w:p>
        </w:tc>
        <w:tc>
          <w:tcPr>
            <w:tcW w:w="5466" w:type="dxa"/>
            <w:vAlign w:val="center"/>
          </w:tcPr>
          <w:p w14:paraId="3556E2C8">
            <w:pPr>
              <w:pStyle w:val="29"/>
              <w:rPr>
                <w:rFonts w:hint="eastAsia"/>
                <w:b/>
                <w:bCs w:val="0"/>
                <w:color w:val="auto"/>
                <w:highlight w:val="none"/>
              </w:rPr>
            </w:pPr>
            <w:bookmarkStart w:id="10" w:name="_Hlk179388000"/>
            <w:r>
              <w:rPr>
                <w:rFonts w:hint="eastAsia"/>
                <w:b/>
                <w:bCs w:val="0"/>
                <w:color w:val="auto"/>
                <w:highlight w:val="none"/>
              </w:rPr>
              <w:t>（1）纸质版投标文件（要求胶装成册）：</w:t>
            </w:r>
          </w:p>
          <w:p w14:paraId="6146F5DC">
            <w:pPr>
              <w:pStyle w:val="29"/>
              <w:rPr>
                <w:rFonts w:hint="eastAsia"/>
                <w:b/>
                <w:bCs w:val="0"/>
                <w:color w:val="auto"/>
                <w:highlight w:val="none"/>
              </w:rPr>
            </w:pPr>
            <w:r>
              <w:rPr>
                <w:rFonts w:hint="eastAsia"/>
                <w:b/>
                <w:bCs w:val="0"/>
                <w:color w:val="auto"/>
                <w:highlight w:val="none"/>
              </w:rPr>
              <w:t>正本1份；副本2份，密封提交。</w:t>
            </w:r>
          </w:p>
          <w:p w14:paraId="7A52E5A4">
            <w:pPr>
              <w:pStyle w:val="29"/>
              <w:rPr>
                <w:rFonts w:hint="eastAsia"/>
                <w:color w:val="auto"/>
                <w:highlight w:val="none"/>
              </w:rPr>
            </w:pPr>
            <w:r>
              <w:rPr>
                <w:rFonts w:hint="eastAsia"/>
                <w:color w:val="auto"/>
                <w:highlight w:val="none"/>
              </w:rPr>
              <w:t>（2）电子版投标文件（仅作为存档使用，不作为否决条款，要求与纸质版投标文件一致）：</w:t>
            </w:r>
          </w:p>
          <w:p w14:paraId="5940B3EC">
            <w:pPr>
              <w:pStyle w:val="29"/>
              <w:rPr>
                <w:rFonts w:hint="eastAsia"/>
                <w:color w:val="auto"/>
                <w:highlight w:val="none"/>
              </w:rPr>
            </w:pPr>
            <w:r>
              <w:rPr>
                <w:rFonts w:hint="eastAsia"/>
                <w:color w:val="auto"/>
                <w:highlight w:val="none"/>
              </w:rPr>
              <w:t>U盘或光盘1份（加盖公章后完整版投标文件扫件）。</w:t>
            </w:r>
          </w:p>
          <w:bookmarkEnd w:id="10"/>
          <w:p w14:paraId="4670DFA9">
            <w:pPr>
              <w:pStyle w:val="29"/>
              <w:rPr>
                <w:rFonts w:hint="eastAsia"/>
                <w:color w:val="auto"/>
                <w:highlight w:val="none"/>
              </w:rPr>
            </w:pPr>
            <w:r>
              <w:rPr>
                <w:rFonts w:hint="eastAsia"/>
                <w:b/>
                <w:bCs w:val="0"/>
                <w:color w:val="auto"/>
                <w:highlight w:val="none"/>
              </w:rPr>
              <w:t>重要提示：以上文件均须密封提交，密封档案袋封面格式由投标人自行拟定，但须至少反映出投标项目名称</w:t>
            </w:r>
            <w:r>
              <w:rPr>
                <w:rFonts w:hint="eastAsia"/>
                <w:b/>
                <w:bCs w:val="0"/>
                <w:color w:val="auto"/>
                <w:highlight w:val="none"/>
                <w:lang w:val="en-US" w:eastAsia="zh-CN"/>
              </w:rPr>
              <w:t>及标段</w:t>
            </w:r>
            <w:r>
              <w:rPr>
                <w:rFonts w:hint="eastAsia"/>
                <w:b/>
                <w:bCs w:val="0"/>
                <w:color w:val="auto"/>
                <w:highlight w:val="none"/>
              </w:rPr>
              <w:t>、项目编号、投标人名称、投标时间，并加盖投标人公章。如未注明以上信息，则视为</w:t>
            </w:r>
            <w:r>
              <w:rPr>
                <w:rFonts w:hint="eastAsia"/>
                <w:b/>
                <w:bCs w:val="0"/>
                <w:color w:val="auto"/>
                <w:highlight w:val="none"/>
                <w:lang w:eastAsia="zh-CN"/>
              </w:rPr>
              <w:t>未</w:t>
            </w:r>
            <w:r>
              <w:rPr>
                <w:rFonts w:hint="eastAsia"/>
                <w:b/>
                <w:bCs w:val="0"/>
                <w:color w:val="auto"/>
                <w:highlight w:val="none"/>
              </w:rPr>
              <w:t>响应招标文件要求，将作废标处理，由此造成的所有责任由投标人自行承担。</w:t>
            </w:r>
          </w:p>
        </w:tc>
      </w:tr>
      <w:tr w14:paraId="63AA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5B94CEC">
            <w:pPr>
              <w:pStyle w:val="30"/>
              <w:rPr>
                <w:rFonts w:hint="eastAsia"/>
                <w:color w:val="auto"/>
                <w:highlight w:val="none"/>
              </w:rPr>
            </w:pPr>
            <w:r>
              <w:rPr>
                <w:rFonts w:hint="eastAsia"/>
                <w:color w:val="auto"/>
                <w:highlight w:val="none"/>
              </w:rPr>
              <w:t>15.3</w:t>
            </w:r>
          </w:p>
        </w:tc>
        <w:tc>
          <w:tcPr>
            <w:tcW w:w="2025" w:type="dxa"/>
            <w:vAlign w:val="center"/>
          </w:tcPr>
          <w:p w14:paraId="50C8B381">
            <w:pPr>
              <w:pStyle w:val="29"/>
              <w:rPr>
                <w:rFonts w:hint="eastAsia"/>
                <w:b/>
                <w:color w:val="auto"/>
                <w:highlight w:val="none"/>
              </w:rPr>
            </w:pPr>
            <w:r>
              <w:rPr>
                <w:rFonts w:hint="eastAsia"/>
                <w:color w:val="auto"/>
                <w:highlight w:val="none"/>
              </w:rPr>
              <w:t>磋商现场提交的其他材料要求</w:t>
            </w:r>
          </w:p>
        </w:tc>
        <w:tc>
          <w:tcPr>
            <w:tcW w:w="5466" w:type="dxa"/>
            <w:vAlign w:val="center"/>
          </w:tcPr>
          <w:p w14:paraId="3E9B376D">
            <w:pPr>
              <w:pStyle w:val="29"/>
              <w:rPr>
                <w:rFonts w:hint="eastAsia"/>
                <w:b/>
                <w:color w:val="auto"/>
                <w:highlight w:val="none"/>
              </w:rPr>
            </w:pPr>
            <w:r>
              <w:rPr>
                <w:rFonts w:hint="eastAsia"/>
                <w:color w:val="auto"/>
                <w:highlight w:val="none"/>
              </w:rPr>
              <w:t xml:space="preserve">无  </w:t>
            </w:r>
          </w:p>
        </w:tc>
      </w:tr>
      <w:tr w14:paraId="0404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11F71EB1">
            <w:pPr>
              <w:pStyle w:val="30"/>
              <w:rPr>
                <w:rFonts w:hint="eastAsia"/>
                <w:color w:val="auto"/>
                <w:highlight w:val="none"/>
              </w:rPr>
            </w:pPr>
            <w:r>
              <w:rPr>
                <w:rFonts w:hint="eastAsia"/>
                <w:color w:val="auto"/>
                <w:highlight w:val="none"/>
              </w:rPr>
              <w:t>16.1</w:t>
            </w:r>
          </w:p>
        </w:tc>
        <w:tc>
          <w:tcPr>
            <w:tcW w:w="2025" w:type="dxa"/>
            <w:vAlign w:val="center"/>
          </w:tcPr>
          <w:p w14:paraId="50611CC7">
            <w:pPr>
              <w:pStyle w:val="29"/>
              <w:rPr>
                <w:rFonts w:hint="eastAsia"/>
                <w:b/>
                <w:color w:val="auto"/>
                <w:highlight w:val="none"/>
              </w:rPr>
            </w:pPr>
            <w:r>
              <w:rPr>
                <w:rFonts w:hint="eastAsia"/>
                <w:color w:val="auto"/>
                <w:highlight w:val="none"/>
              </w:rPr>
              <w:t>响应文件提交截止时间</w:t>
            </w:r>
          </w:p>
        </w:tc>
        <w:tc>
          <w:tcPr>
            <w:tcW w:w="5466" w:type="dxa"/>
            <w:vAlign w:val="center"/>
          </w:tcPr>
          <w:p w14:paraId="3899EC23">
            <w:pPr>
              <w:pStyle w:val="29"/>
              <w:rPr>
                <w:rFonts w:hint="eastAsia"/>
                <w:b/>
                <w:color w:val="auto"/>
                <w:highlight w:val="none"/>
              </w:rPr>
            </w:pPr>
            <w:r>
              <w:rPr>
                <w:rFonts w:hint="eastAsia"/>
                <w:color w:val="auto"/>
                <w:highlight w:val="none"/>
              </w:rPr>
              <w:t>详见磋商公告</w:t>
            </w:r>
          </w:p>
        </w:tc>
      </w:tr>
      <w:tr w14:paraId="4A45C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Merge w:val="restart"/>
            <w:vAlign w:val="center"/>
          </w:tcPr>
          <w:p w14:paraId="49FECA60">
            <w:pPr>
              <w:pStyle w:val="30"/>
              <w:rPr>
                <w:rFonts w:hint="eastAsia"/>
                <w:color w:val="auto"/>
                <w:highlight w:val="none"/>
              </w:rPr>
            </w:pPr>
            <w:r>
              <w:rPr>
                <w:rFonts w:hint="eastAsia"/>
                <w:color w:val="auto"/>
                <w:highlight w:val="none"/>
              </w:rPr>
              <w:t>19.1</w:t>
            </w:r>
          </w:p>
        </w:tc>
        <w:tc>
          <w:tcPr>
            <w:tcW w:w="2025" w:type="dxa"/>
            <w:vAlign w:val="center"/>
          </w:tcPr>
          <w:p w14:paraId="4EA6AA67">
            <w:pPr>
              <w:pStyle w:val="29"/>
              <w:rPr>
                <w:rFonts w:hint="eastAsia"/>
                <w:b/>
                <w:color w:val="auto"/>
                <w:highlight w:val="none"/>
              </w:rPr>
            </w:pPr>
            <w:r>
              <w:rPr>
                <w:rFonts w:hint="eastAsia"/>
                <w:color w:val="auto"/>
                <w:highlight w:val="none"/>
              </w:rPr>
              <w:t>磋商时间</w:t>
            </w:r>
          </w:p>
        </w:tc>
        <w:tc>
          <w:tcPr>
            <w:tcW w:w="5466" w:type="dxa"/>
            <w:vAlign w:val="center"/>
          </w:tcPr>
          <w:p w14:paraId="6AE40FFA">
            <w:pPr>
              <w:pStyle w:val="29"/>
              <w:rPr>
                <w:rFonts w:hint="eastAsia"/>
                <w:b/>
                <w:color w:val="auto"/>
                <w:highlight w:val="none"/>
              </w:rPr>
            </w:pPr>
            <w:r>
              <w:rPr>
                <w:rFonts w:hint="eastAsia"/>
                <w:color w:val="auto"/>
                <w:highlight w:val="none"/>
              </w:rPr>
              <w:t>详见磋商公告</w:t>
            </w:r>
          </w:p>
        </w:tc>
      </w:tr>
      <w:tr w14:paraId="2743E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Merge w:val="continue"/>
            <w:vAlign w:val="center"/>
          </w:tcPr>
          <w:p w14:paraId="72C32CE1">
            <w:pPr>
              <w:pStyle w:val="30"/>
              <w:rPr>
                <w:rFonts w:hint="eastAsia"/>
                <w:color w:val="auto"/>
                <w:highlight w:val="none"/>
              </w:rPr>
            </w:pPr>
          </w:p>
        </w:tc>
        <w:tc>
          <w:tcPr>
            <w:tcW w:w="2025" w:type="dxa"/>
            <w:vAlign w:val="center"/>
          </w:tcPr>
          <w:p w14:paraId="449DA089">
            <w:pPr>
              <w:pStyle w:val="29"/>
              <w:rPr>
                <w:rFonts w:hint="eastAsia"/>
                <w:b/>
                <w:color w:val="auto"/>
                <w:highlight w:val="none"/>
              </w:rPr>
            </w:pPr>
            <w:r>
              <w:rPr>
                <w:rFonts w:hint="eastAsia"/>
                <w:color w:val="auto"/>
                <w:highlight w:val="none"/>
              </w:rPr>
              <w:t>磋商地点</w:t>
            </w:r>
          </w:p>
        </w:tc>
        <w:tc>
          <w:tcPr>
            <w:tcW w:w="5466" w:type="dxa"/>
            <w:vAlign w:val="center"/>
          </w:tcPr>
          <w:p w14:paraId="6E2477B7">
            <w:pPr>
              <w:pStyle w:val="29"/>
              <w:rPr>
                <w:rFonts w:hint="eastAsia"/>
                <w:b/>
                <w:color w:val="auto"/>
                <w:highlight w:val="none"/>
              </w:rPr>
            </w:pPr>
            <w:r>
              <w:rPr>
                <w:rFonts w:hint="eastAsia"/>
                <w:color w:val="auto"/>
                <w:highlight w:val="none"/>
              </w:rPr>
              <w:t>详见磋商公告</w:t>
            </w:r>
          </w:p>
          <w:p w14:paraId="0811A06B">
            <w:pPr>
              <w:pStyle w:val="29"/>
              <w:rPr>
                <w:rFonts w:hint="eastAsia"/>
                <w:b/>
                <w:color w:val="auto"/>
                <w:highlight w:val="none"/>
              </w:rPr>
            </w:pPr>
            <w:r>
              <w:rPr>
                <w:rFonts w:hint="eastAsia"/>
                <w:color w:val="auto"/>
                <w:highlight w:val="none"/>
              </w:rPr>
              <w:t>注：投标人无须现场参加磋商</w:t>
            </w:r>
          </w:p>
        </w:tc>
      </w:tr>
      <w:tr w14:paraId="534F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7266089F">
            <w:pPr>
              <w:pStyle w:val="30"/>
              <w:rPr>
                <w:rFonts w:hint="eastAsia"/>
                <w:color w:val="auto"/>
                <w:highlight w:val="none"/>
              </w:rPr>
            </w:pPr>
            <w:r>
              <w:rPr>
                <w:rFonts w:hint="eastAsia"/>
                <w:color w:val="auto"/>
                <w:highlight w:val="none"/>
              </w:rPr>
              <w:t>19.3</w:t>
            </w:r>
          </w:p>
        </w:tc>
        <w:tc>
          <w:tcPr>
            <w:tcW w:w="2025" w:type="dxa"/>
            <w:vAlign w:val="center"/>
          </w:tcPr>
          <w:p w14:paraId="4F65AA21">
            <w:pPr>
              <w:pStyle w:val="29"/>
              <w:rPr>
                <w:rFonts w:hint="eastAsia"/>
                <w:b/>
                <w:color w:val="auto"/>
                <w:highlight w:val="none"/>
              </w:rPr>
            </w:pPr>
            <w:r>
              <w:rPr>
                <w:rFonts w:hint="eastAsia"/>
                <w:color w:val="auto"/>
                <w:highlight w:val="none"/>
              </w:rPr>
              <w:t>评审方法</w:t>
            </w:r>
          </w:p>
        </w:tc>
        <w:tc>
          <w:tcPr>
            <w:tcW w:w="5466" w:type="dxa"/>
            <w:vAlign w:val="center"/>
          </w:tcPr>
          <w:p w14:paraId="0A3CA343">
            <w:pPr>
              <w:pStyle w:val="29"/>
              <w:rPr>
                <w:rFonts w:hint="eastAsia"/>
                <w:b/>
                <w:color w:val="auto"/>
                <w:highlight w:val="none"/>
              </w:rPr>
            </w:pPr>
            <w:r>
              <w:rPr>
                <w:rFonts w:hint="eastAsia"/>
                <w:color w:val="auto"/>
                <w:highlight w:val="none"/>
              </w:rPr>
              <w:sym w:font="Wingdings" w:char="F0FE"/>
            </w:r>
            <w:r>
              <w:rPr>
                <w:rFonts w:hint="eastAsia"/>
                <w:color w:val="auto"/>
                <w:highlight w:val="none"/>
              </w:rPr>
              <w:t>综合评分法</w:t>
            </w:r>
          </w:p>
        </w:tc>
      </w:tr>
      <w:tr w14:paraId="7F4B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Merge w:val="restart"/>
            <w:vAlign w:val="center"/>
          </w:tcPr>
          <w:p w14:paraId="3BEBB90F">
            <w:pPr>
              <w:pStyle w:val="30"/>
              <w:rPr>
                <w:rFonts w:hint="eastAsia"/>
                <w:color w:val="auto"/>
                <w:highlight w:val="none"/>
              </w:rPr>
            </w:pPr>
            <w:r>
              <w:rPr>
                <w:rFonts w:hint="eastAsia"/>
                <w:color w:val="auto"/>
                <w:highlight w:val="none"/>
              </w:rPr>
              <w:t>24.1</w:t>
            </w:r>
          </w:p>
        </w:tc>
        <w:tc>
          <w:tcPr>
            <w:tcW w:w="2025" w:type="dxa"/>
            <w:vMerge w:val="restart"/>
            <w:vAlign w:val="center"/>
          </w:tcPr>
          <w:p w14:paraId="5D273ABB">
            <w:pPr>
              <w:pStyle w:val="29"/>
              <w:rPr>
                <w:rFonts w:hint="eastAsia"/>
                <w:b/>
                <w:color w:val="auto"/>
                <w:highlight w:val="none"/>
              </w:rPr>
            </w:pPr>
            <w:r>
              <w:rPr>
                <w:rFonts w:hint="eastAsia"/>
                <w:color w:val="auto"/>
                <w:highlight w:val="none"/>
              </w:rPr>
              <w:t>确定中标候选人和中标人</w:t>
            </w:r>
          </w:p>
        </w:tc>
        <w:tc>
          <w:tcPr>
            <w:tcW w:w="5466" w:type="dxa"/>
            <w:vAlign w:val="center"/>
          </w:tcPr>
          <w:p w14:paraId="4505004F">
            <w:pPr>
              <w:pStyle w:val="29"/>
              <w:rPr>
                <w:rFonts w:hint="default"/>
                <w:b/>
                <w:color w:val="auto"/>
                <w:highlight w:val="none"/>
                <w:lang w:val="en-US"/>
              </w:rPr>
            </w:pPr>
            <w:r>
              <w:rPr>
                <w:rFonts w:hint="eastAsia"/>
                <w:color w:val="auto"/>
                <w:highlight w:val="none"/>
              </w:rPr>
              <w:t>磋商小组推荐中标候选人的数量：</w:t>
            </w:r>
            <w:r>
              <w:rPr>
                <w:rFonts w:hint="eastAsia"/>
                <w:color w:val="auto"/>
                <w:highlight w:val="none"/>
                <w:lang w:val="en-US" w:eastAsia="zh-CN"/>
              </w:rPr>
              <w:t>每个标段推荐1家中标候选人</w:t>
            </w:r>
          </w:p>
        </w:tc>
      </w:tr>
      <w:tr w14:paraId="0EC24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Merge w:val="continue"/>
            <w:vAlign w:val="center"/>
          </w:tcPr>
          <w:p w14:paraId="1A2F6BE2">
            <w:pPr>
              <w:pStyle w:val="30"/>
              <w:rPr>
                <w:rFonts w:hint="eastAsia"/>
                <w:color w:val="auto"/>
                <w:highlight w:val="none"/>
              </w:rPr>
            </w:pPr>
          </w:p>
        </w:tc>
        <w:tc>
          <w:tcPr>
            <w:tcW w:w="2025" w:type="dxa"/>
            <w:vMerge w:val="continue"/>
            <w:vAlign w:val="center"/>
          </w:tcPr>
          <w:p w14:paraId="284A70E1">
            <w:pPr>
              <w:pStyle w:val="29"/>
              <w:rPr>
                <w:rFonts w:hint="eastAsia"/>
                <w:color w:val="auto"/>
                <w:highlight w:val="none"/>
              </w:rPr>
            </w:pPr>
          </w:p>
        </w:tc>
        <w:tc>
          <w:tcPr>
            <w:tcW w:w="5466" w:type="dxa"/>
            <w:vAlign w:val="center"/>
          </w:tcPr>
          <w:p w14:paraId="4AD92EEB">
            <w:pPr>
              <w:pStyle w:val="29"/>
              <w:rPr>
                <w:rFonts w:hint="eastAsia"/>
                <w:b/>
                <w:color w:val="auto"/>
                <w:highlight w:val="none"/>
              </w:rPr>
            </w:pPr>
            <w:r>
              <w:rPr>
                <w:rFonts w:hint="eastAsia"/>
                <w:color w:val="auto"/>
                <w:highlight w:val="none"/>
              </w:rPr>
              <w:t>确定中标人：</w:t>
            </w:r>
          </w:p>
          <w:p w14:paraId="08E9DCA5">
            <w:pPr>
              <w:pStyle w:val="29"/>
              <w:rPr>
                <w:rFonts w:hint="eastAsia"/>
                <w:b/>
                <w:color w:val="auto"/>
                <w:highlight w:val="none"/>
              </w:rPr>
            </w:pPr>
            <w:r>
              <w:rPr>
                <w:rFonts w:hint="eastAsia"/>
                <w:color w:val="auto"/>
                <w:highlight w:val="none"/>
              </w:rPr>
              <w:sym w:font="Wingdings" w:char="F0FE"/>
            </w:r>
            <w:r>
              <w:rPr>
                <w:rFonts w:hint="eastAsia"/>
                <w:color w:val="auto"/>
                <w:highlight w:val="none"/>
              </w:rPr>
              <w:t xml:space="preserve">招标人委托磋商小组确定     </w:t>
            </w:r>
            <w:r>
              <w:rPr>
                <w:rFonts w:hint="eastAsia"/>
                <w:color w:val="auto"/>
                <w:highlight w:val="none"/>
                <w:lang w:eastAsia="zh-CN"/>
              </w:rPr>
              <w:t>□</w:t>
            </w:r>
            <w:r>
              <w:rPr>
                <w:rFonts w:hint="eastAsia"/>
                <w:color w:val="auto"/>
                <w:highlight w:val="none"/>
              </w:rPr>
              <w:t>招标人确定</w:t>
            </w:r>
          </w:p>
        </w:tc>
      </w:tr>
      <w:tr w14:paraId="04C00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4F692100">
            <w:pPr>
              <w:pStyle w:val="30"/>
              <w:rPr>
                <w:rFonts w:hint="eastAsia"/>
                <w:color w:val="auto"/>
                <w:highlight w:val="none"/>
              </w:rPr>
            </w:pPr>
            <w:r>
              <w:rPr>
                <w:rFonts w:hint="eastAsia"/>
                <w:color w:val="auto"/>
                <w:highlight w:val="none"/>
              </w:rPr>
              <w:t>28.1</w:t>
            </w:r>
          </w:p>
        </w:tc>
        <w:tc>
          <w:tcPr>
            <w:tcW w:w="2025" w:type="dxa"/>
            <w:vAlign w:val="center"/>
          </w:tcPr>
          <w:p w14:paraId="0F23E9A6">
            <w:pPr>
              <w:pStyle w:val="29"/>
              <w:rPr>
                <w:rFonts w:hint="eastAsia"/>
                <w:b/>
                <w:color w:val="auto"/>
                <w:highlight w:val="none"/>
              </w:rPr>
            </w:pPr>
            <w:r>
              <w:rPr>
                <w:rFonts w:hint="eastAsia"/>
                <w:color w:val="auto"/>
                <w:highlight w:val="none"/>
              </w:rPr>
              <w:t>中标通知书发出的形式</w:t>
            </w:r>
          </w:p>
        </w:tc>
        <w:tc>
          <w:tcPr>
            <w:tcW w:w="5466" w:type="dxa"/>
            <w:vAlign w:val="center"/>
          </w:tcPr>
          <w:p w14:paraId="6FC74750">
            <w:pPr>
              <w:pStyle w:val="29"/>
              <w:rPr>
                <w:rFonts w:hint="eastAsia"/>
                <w:b/>
                <w:color w:val="auto"/>
                <w:highlight w:val="none"/>
              </w:rPr>
            </w:pPr>
            <w:r>
              <w:rPr>
                <w:rFonts w:hint="eastAsia"/>
                <w:color w:val="auto"/>
                <w:highlight w:val="none"/>
              </w:rPr>
              <w:t xml:space="preserve"> </w:t>
            </w:r>
            <w:r>
              <w:rPr>
                <w:rFonts w:hint="eastAsia"/>
                <w:color w:val="auto"/>
                <w:highlight w:val="none"/>
              </w:rPr>
              <w:sym w:font="Wingdings" w:char="F0FE"/>
            </w:r>
            <w:r>
              <w:rPr>
                <w:rFonts w:hint="eastAsia"/>
                <w:color w:val="auto"/>
                <w:highlight w:val="none"/>
              </w:rPr>
              <w:t>数据电文</w:t>
            </w:r>
          </w:p>
          <w:p w14:paraId="4B07C93D">
            <w:pPr>
              <w:pStyle w:val="29"/>
              <w:rPr>
                <w:rFonts w:hint="eastAsia"/>
                <w:b/>
                <w:color w:val="auto"/>
                <w:highlight w:val="none"/>
              </w:rPr>
            </w:pPr>
            <w:r>
              <w:rPr>
                <w:rFonts w:hint="eastAsia"/>
                <w:snapToGrid w:val="0"/>
                <w:color w:val="auto"/>
                <w:highlight w:val="none"/>
              </w:rPr>
              <w:t xml:space="preserve">特别提醒：招标人确定中标人后，通过线上邮箱或通讯工具发送，中标通知书发出即视为送达。 </w:t>
            </w:r>
          </w:p>
        </w:tc>
      </w:tr>
      <w:tr w14:paraId="4DAE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561A5ED8">
            <w:pPr>
              <w:pStyle w:val="30"/>
              <w:rPr>
                <w:rFonts w:hint="eastAsia"/>
                <w:color w:val="auto"/>
                <w:highlight w:val="none"/>
              </w:rPr>
            </w:pPr>
            <w:r>
              <w:rPr>
                <w:rFonts w:hint="eastAsia"/>
                <w:color w:val="auto"/>
                <w:highlight w:val="none"/>
              </w:rPr>
              <w:t>29.1</w:t>
            </w:r>
          </w:p>
        </w:tc>
        <w:tc>
          <w:tcPr>
            <w:tcW w:w="2025" w:type="dxa"/>
            <w:vAlign w:val="center"/>
          </w:tcPr>
          <w:p w14:paraId="4CB55790">
            <w:pPr>
              <w:pStyle w:val="29"/>
              <w:rPr>
                <w:rFonts w:hint="eastAsia"/>
                <w:b/>
                <w:color w:val="auto"/>
                <w:highlight w:val="none"/>
              </w:rPr>
            </w:pPr>
            <w:r>
              <w:rPr>
                <w:rFonts w:hint="eastAsia"/>
                <w:color w:val="auto"/>
                <w:highlight w:val="none"/>
              </w:rPr>
              <w:t>告知磋商结果的形式</w:t>
            </w:r>
          </w:p>
        </w:tc>
        <w:tc>
          <w:tcPr>
            <w:tcW w:w="5466" w:type="dxa"/>
            <w:vAlign w:val="center"/>
          </w:tcPr>
          <w:p w14:paraId="1A0BB1BE">
            <w:pPr>
              <w:pStyle w:val="29"/>
              <w:rPr>
                <w:rFonts w:hint="eastAsia"/>
                <w:b/>
                <w:color w:val="auto"/>
                <w:highlight w:val="none"/>
              </w:rPr>
            </w:pPr>
            <w:r>
              <w:rPr>
                <w:rFonts w:hint="eastAsia"/>
                <w:color w:val="auto"/>
                <w:highlight w:val="none"/>
              </w:rPr>
              <w:sym w:font="Wingdings" w:char="F0FE"/>
            </w:r>
            <w:r>
              <w:rPr>
                <w:rFonts w:hint="eastAsia"/>
                <w:color w:val="auto"/>
                <w:highlight w:val="none"/>
              </w:rPr>
              <w:t>投标人自行登录滨湖时光集团官网查看</w:t>
            </w:r>
          </w:p>
        </w:tc>
      </w:tr>
      <w:tr w14:paraId="7D56F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3E2C5EFC">
            <w:pPr>
              <w:pStyle w:val="30"/>
              <w:rPr>
                <w:rFonts w:hint="eastAsia"/>
                <w:color w:val="auto"/>
                <w:highlight w:val="none"/>
              </w:rPr>
            </w:pPr>
            <w:r>
              <w:rPr>
                <w:rFonts w:hint="eastAsia"/>
                <w:color w:val="auto"/>
                <w:highlight w:val="none"/>
              </w:rPr>
              <w:t>30.1</w:t>
            </w:r>
          </w:p>
        </w:tc>
        <w:tc>
          <w:tcPr>
            <w:tcW w:w="2025" w:type="dxa"/>
            <w:vAlign w:val="center"/>
          </w:tcPr>
          <w:p w14:paraId="4744C290">
            <w:pPr>
              <w:pStyle w:val="29"/>
              <w:rPr>
                <w:rFonts w:hint="eastAsia"/>
                <w:b/>
                <w:color w:val="auto"/>
                <w:highlight w:val="none"/>
              </w:rPr>
            </w:pPr>
            <w:r>
              <w:rPr>
                <w:rFonts w:hint="eastAsia"/>
                <w:color w:val="auto"/>
                <w:highlight w:val="none"/>
              </w:rPr>
              <w:t>履约保证金</w:t>
            </w:r>
          </w:p>
        </w:tc>
        <w:tc>
          <w:tcPr>
            <w:tcW w:w="5466" w:type="dxa"/>
            <w:vAlign w:val="center"/>
          </w:tcPr>
          <w:p w14:paraId="33E8E00F">
            <w:pPr>
              <w:pStyle w:val="29"/>
              <w:rPr>
                <w:rFonts w:hint="eastAsia"/>
                <w:b/>
                <w:color w:val="auto"/>
                <w:highlight w:val="none"/>
              </w:rPr>
            </w:pPr>
            <w:r>
              <w:rPr>
                <w:rFonts w:hint="eastAsia"/>
                <w:color w:val="auto"/>
                <w:highlight w:val="none"/>
              </w:rPr>
              <w:t>是否要求投标人递交履约保证金：</w:t>
            </w:r>
          </w:p>
          <w:p w14:paraId="4CB2AB00">
            <w:pPr>
              <w:pStyle w:val="29"/>
              <w:rPr>
                <w:rFonts w:hint="eastAsia"/>
                <w:b/>
                <w:color w:val="auto"/>
                <w:highlight w:val="none"/>
              </w:rPr>
            </w:pPr>
            <w:r>
              <w:rPr>
                <w:rFonts w:hint="eastAsia"/>
                <w:color w:val="auto"/>
                <w:highlight w:val="none"/>
              </w:rPr>
              <w:sym w:font="Wingdings 2" w:char="0052"/>
            </w:r>
            <w:r>
              <w:rPr>
                <w:rFonts w:hint="eastAsia"/>
                <w:color w:val="auto"/>
                <w:highlight w:val="none"/>
              </w:rPr>
              <w:t>不要求</w:t>
            </w:r>
          </w:p>
        </w:tc>
      </w:tr>
      <w:tr w14:paraId="35A21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0CE87E08">
            <w:pPr>
              <w:pStyle w:val="30"/>
              <w:rPr>
                <w:rFonts w:hint="eastAsia"/>
                <w:color w:val="auto"/>
                <w:highlight w:val="none"/>
              </w:rPr>
            </w:pPr>
            <w:r>
              <w:rPr>
                <w:rFonts w:hint="eastAsia"/>
                <w:color w:val="auto"/>
                <w:highlight w:val="none"/>
              </w:rPr>
              <w:t>31.1</w:t>
            </w:r>
          </w:p>
        </w:tc>
        <w:tc>
          <w:tcPr>
            <w:tcW w:w="2025" w:type="dxa"/>
            <w:vAlign w:val="center"/>
          </w:tcPr>
          <w:p w14:paraId="4E37A796">
            <w:pPr>
              <w:pStyle w:val="29"/>
              <w:rPr>
                <w:rFonts w:hint="eastAsia"/>
                <w:b/>
                <w:color w:val="auto"/>
                <w:highlight w:val="none"/>
              </w:rPr>
            </w:pPr>
            <w:r>
              <w:rPr>
                <w:rFonts w:hint="eastAsia"/>
                <w:color w:val="auto"/>
                <w:highlight w:val="none"/>
              </w:rPr>
              <w:t>中标服务费</w:t>
            </w:r>
          </w:p>
        </w:tc>
        <w:tc>
          <w:tcPr>
            <w:tcW w:w="5466" w:type="dxa"/>
            <w:vAlign w:val="center"/>
          </w:tcPr>
          <w:p w14:paraId="4825058D">
            <w:pPr>
              <w:pStyle w:val="29"/>
              <w:rPr>
                <w:rFonts w:hint="eastAsia"/>
                <w:b/>
                <w:color w:val="auto"/>
                <w:highlight w:val="none"/>
              </w:rPr>
            </w:pPr>
            <w:r>
              <w:rPr>
                <w:rFonts w:hint="eastAsia"/>
                <w:color w:val="auto"/>
                <w:highlight w:val="none"/>
              </w:rPr>
              <w:t>（1）金额：</w:t>
            </w:r>
          </w:p>
          <w:p w14:paraId="4F52C6D1">
            <w:pPr>
              <w:pStyle w:val="29"/>
              <w:rPr>
                <w:rFonts w:hint="eastAsia"/>
                <w:b/>
                <w:color w:val="auto"/>
                <w:highlight w:val="none"/>
              </w:rPr>
            </w:pPr>
            <w:r>
              <w:rPr>
                <w:rFonts w:hint="eastAsia"/>
                <w:color w:val="auto"/>
                <w:highlight w:val="none"/>
              </w:rPr>
              <w:sym w:font="Wingdings 2" w:char="0052"/>
            </w:r>
            <w:r>
              <w:rPr>
                <w:rFonts w:hint="eastAsia"/>
                <w:color w:val="auto"/>
                <w:highlight w:val="none"/>
              </w:rPr>
              <w:t>免收</w:t>
            </w:r>
          </w:p>
        </w:tc>
      </w:tr>
      <w:tr w14:paraId="6573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72DA117">
            <w:pPr>
              <w:pStyle w:val="30"/>
              <w:rPr>
                <w:rFonts w:hint="eastAsia"/>
                <w:color w:val="auto"/>
                <w:highlight w:val="none"/>
              </w:rPr>
            </w:pPr>
            <w:r>
              <w:rPr>
                <w:rFonts w:hint="eastAsia"/>
                <w:color w:val="auto"/>
                <w:highlight w:val="none"/>
              </w:rPr>
              <w:t>34.3</w:t>
            </w:r>
          </w:p>
        </w:tc>
        <w:tc>
          <w:tcPr>
            <w:tcW w:w="2025" w:type="dxa"/>
            <w:vAlign w:val="center"/>
          </w:tcPr>
          <w:p w14:paraId="1C89C9B9">
            <w:pPr>
              <w:pStyle w:val="29"/>
              <w:rPr>
                <w:rFonts w:hint="eastAsia"/>
                <w:b/>
                <w:color w:val="auto"/>
                <w:highlight w:val="none"/>
              </w:rPr>
            </w:pPr>
            <w:r>
              <w:rPr>
                <w:rFonts w:hint="eastAsia"/>
                <w:color w:val="auto"/>
                <w:highlight w:val="none"/>
              </w:rPr>
              <w:t>异议函递交方式、接收部门、联系电话和通讯地址</w:t>
            </w:r>
          </w:p>
        </w:tc>
        <w:tc>
          <w:tcPr>
            <w:tcW w:w="5466" w:type="dxa"/>
            <w:vAlign w:val="center"/>
          </w:tcPr>
          <w:p w14:paraId="6D0C73EE">
            <w:pPr>
              <w:pStyle w:val="29"/>
              <w:rPr>
                <w:rFonts w:hint="eastAsia"/>
                <w:b/>
                <w:color w:val="auto"/>
                <w:highlight w:val="none"/>
              </w:rPr>
            </w:pPr>
            <w:r>
              <w:rPr>
                <w:rFonts w:hint="eastAsia"/>
                <w:color w:val="auto"/>
                <w:highlight w:val="none"/>
              </w:rPr>
              <w:t>递交方式：书面形式</w:t>
            </w:r>
          </w:p>
          <w:p w14:paraId="11C8545F">
            <w:pPr>
              <w:spacing w:line="360" w:lineRule="auto"/>
              <w:rPr>
                <w:rFonts w:hint="eastAsia" w:ascii="宋体" w:hAnsi="宋体" w:eastAsia="宋体" w:cs="宋体"/>
                <w:color w:val="auto"/>
                <w:kern w:val="0"/>
                <w:sz w:val="24"/>
                <w:szCs w:val="18"/>
                <w:highlight w:val="none"/>
              </w:rPr>
            </w:pPr>
            <w:r>
              <w:rPr>
                <w:rFonts w:hint="eastAsia" w:ascii="宋体" w:hAnsi="宋体" w:eastAsia="宋体" w:cs="宋体"/>
                <w:bCs/>
                <w:color w:val="auto"/>
                <w:kern w:val="0"/>
                <w:sz w:val="24"/>
                <w:szCs w:val="28"/>
                <w:highlight w:val="none"/>
              </w:rPr>
              <w:t>接收部门：</w:t>
            </w:r>
            <w:r>
              <w:rPr>
                <w:rFonts w:hint="eastAsia" w:ascii="宋体" w:hAnsi="宋体" w:eastAsia="宋体" w:cs="宋体"/>
                <w:color w:val="auto"/>
                <w:sz w:val="24"/>
                <w:highlight w:val="none"/>
                <w:u w:val="single"/>
              </w:rPr>
              <w:t>合肥滨湖时光产业投资集团有限公司公共事业部</w:t>
            </w:r>
          </w:p>
          <w:p w14:paraId="42AAF639">
            <w:pPr>
              <w:spacing w:line="360" w:lineRule="auto"/>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联系人：贾工</w:t>
            </w:r>
            <w:r>
              <w:rPr>
                <w:rFonts w:hint="eastAsia" w:ascii="宋体" w:hAnsi="宋体" w:eastAsia="宋体" w:cs="宋体"/>
                <w:color w:val="auto"/>
                <w:sz w:val="24"/>
                <w:szCs w:val="18"/>
                <w:highlight w:val="none"/>
              </w:rPr>
              <w:br w:type="textWrapping"/>
            </w:r>
            <w:r>
              <w:rPr>
                <w:rFonts w:hint="eastAsia" w:ascii="宋体" w:hAnsi="宋体" w:eastAsia="宋体" w:cs="宋体"/>
                <w:color w:val="auto"/>
                <w:sz w:val="24"/>
                <w:szCs w:val="18"/>
                <w:highlight w:val="none"/>
              </w:rPr>
              <w:t>电话： 0551-63357563</w:t>
            </w:r>
          </w:p>
          <w:p w14:paraId="7A6A9219">
            <w:pPr>
              <w:spacing w:line="360" w:lineRule="auto"/>
              <w:rPr>
                <w:rFonts w:hint="eastAsia" w:ascii="宋体" w:hAnsi="宋体" w:eastAsia="宋体" w:cs="宋体"/>
                <w:color w:val="auto"/>
                <w:kern w:val="0"/>
                <w:sz w:val="24"/>
                <w:szCs w:val="18"/>
                <w:highlight w:val="none"/>
              </w:rPr>
            </w:pPr>
            <w:r>
              <w:rPr>
                <w:rFonts w:hint="eastAsia" w:ascii="宋体" w:hAnsi="宋体" w:eastAsia="宋体" w:cs="宋体"/>
                <w:color w:val="auto"/>
                <w:sz w:val="24"/>
                <w:highlight w:val="none"/>
              </w:rPr>
              <w:t>通讯地址：</w:t>
            </w:r>
            <w:r>
              <w:rPr>
                <w:rFonts w:hint="eastAsia" w:ascii="宋体" w:hAnsi="宋体" w:eastAsia="宋体" w:cs="宋体"/>
                <w:color w:val="auto"/>
                <w:sz w:val="24"/>
                <w:szCs w:val="18"/>
                <w:highlight w:val="none"/>
              </w:rPr>
              <w:t>合肥市包河区花园大道与吉林路交口以南滨湖卓越城 A2栋404室</w:t>
            </w:r>
          </w:p>
        </w:tc>
      </w:tr>
      <w:tr w14:paraId="17D0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54B8F49">
            <w:pPr>
              <w:pStyle w:val="30"/>
              <w:rPr>
                <w:rFonts w:hint="eastAsia"/>
                <w:color w:val="auto"/>
                <w:highlight w:val="none"/>
              </w:rPr>
            </w:pPr>
            <w:r>
              <w:rPr>
                <w:rFonts w:hint="eastAsia"/>
                <w:color w:val="auto"/>
                <w:highlight w:val="none"/>
              </w:rPr>
              <w:t>35</w:t>
            </w:r>
          </w:p>
        </w:tc>
        <w:tc>
          <w:tcPr>
            <w:tcW w:w="2025" w:type="dxa"/>
            <w:vAlign w:val="center"/>
          </w:tcPr>
          <w:p w14:paraId="5EC4B6D7">
            <w:pPr>
              <w:pStyle w:val="29"/>
              <w:rPr>
                <w:rFonts w:hint="eastAsia"/>
                <w:b/>
                <w:color w:val="auto"/>
                <w:highlight w:val="none"/>
              </w:rPr>
            </w:pPr>
            <w:r>
              <w:rPr>
                <w:rFonts w:hint="eastAsia"/>
                <w:color w:val="auto"/>
                <w:highlight w:val="none"/>
              </w:rPr>
              <w:t>其他内容</w:t>
            </w:r>
          </w:p>
        </w:tc>
        <w:tc>
          <w:tcPr>
            <w:tcW w:w="5466" w:type="dxa"/>
            <w:vAlign w:val="center"/>
          </w:tcPr>
          <w:p w14:paraId="3BA72F58">
            <w:pPr>
              <w:pStyle w:val="29"/>
              <w:rPr>
                <w:rFonts w:hint="eastAsia"/>
                <w:color w:val="auto"/>
                <w:highlight w:val="none"/>
              </w:rPr>
            </w:pPr>
          </w:p>
        </w:tc>
      </w:tr>
      <w:tr w14:paraId="5B40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7D98CC2">
            <w:pPr>
              <w:pStyle w:val="30"/>
              <w:rPr>
                <w:rFonts w:hint="eastAsia"/>
                <w:color w:val="auto"/>
                <w:highlight w:val="none"/>
              </w:rPr>
            </w:pPr>
            <w:r>
              <w:rPr>
                <w:rFonts w:hint="eastAsia"/>
                <w:color w:val="auto"/>
                <w:highlight w:val="none"/>
              </w:rPr>
              <w:t>35.2</w:t>
            </w:r>
          </w:p>
        </w:tc>
        <w:tc>
          <w:tcPr>
            <w:tcW w:w="2025" w:type="dxa"/>
            <w:vAlign w:val="center"/>
          </w:tcPr>
          <w:p w14:paraId="5FF9B9B4">
            <w:pPr>
              <w:pStyle w:val="29"/>
              <w:rPr>
                <w:rFonts w:hint="eastAsia"/>
                <w:b/>
                <w:snapToGrid w:val="0"/>
                <w:color w:val="auto"/>
                <w:highlight w:val="none"/>
              </w:rPr>
            </w:pPr>
            <w:r>
              <w:rPr>
                <w:rFonts w:hint="eastAsia"/>
                <w:color w:val="auto"/>
                <w:highlight w:val="none"/>
              </w:rPr>
              <w:t>中标候选人公示内容</w:t>
            </w:r>
          </w:p>
        </w:tc>
        <w:tc>
          <w:tcPr>
            <w:tcW w:w="5466" w:type="dxa"/>
            <w:vAlign w:val="center"/>
          </w:tcPr>
          <w:p w14:paraId="0A561652">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本项目中标候选人公示中将对中标候选人经磋商小组评审认可的以下内容进行公示：</w:t>
            </w:r>
          </w:p>
          <w:p w14:paraId="23A2F8CB">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（1）拟任项目负责人（如有）：项目负责人姓名；</w:t>
            </w:r>
          </w:p>
          <w:p w14:paraId="3E2F55A5">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（2）项目负责人业绩（如有）：项目名称；</w:t>
            </w:r>
          </w:p>
          <w:p w14:paraId="38F562E0">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（3）投标人业绩（如有）：项目名称；</w:t>
            </w:r>
          </w:p>
          <w:p w14:paraId="38DEED3D">
            <w:pPr>
              <w:widowControl/>
              <w:snapToGrid w:val="0"/>
              <w:spacing w:line="360" w:lineRule="auto"/>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color w:val="auto"/>
                <w:sz w:val="24"/>
                <w:szCs w:val="24"/>
                <w:highlight w:val="none"/>
              </w:rPr>
              <w:t>（4）银行保函或担保机构担保或保证保险形式的磋商保证金扫描件（如采用）。</w:t>
            </w:r>
          </w:p>
        </w:tc>
      </w:tr>
      <w:tr w14:paraId="30825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42CDE30C">
            <w:pPr>
              <w:pStyle w:val="30"/>
              <w:rPr>
                <w:rFonts w:hint="eastAsia"/>
                <w:color w:val="auto"/>
                <w:highlight w:val="none"/>
              </w:rPr>
            </w:pPr>
            <w:r>
              <w:rPr>
                <w:rFonts w:hint="eastAsia"/>
                <w:color w:val="auto"/>
                <w:highlight w:val="none"/>
              </w:rPr>
              <w:t>35.4</w:t>
            </w:r>
          </w:p>
        </w:tc>
        <w:tc>
          <w:tcPr>
            <w:tcW w:w="2025" w:type="dxa"/>
            <w:vAlign w:val="center"/>
          </w:tcPr>
          <w:p w14:paraId="6F8C0CC9">
            <w:pPr>
              <w:pStyle w:val="29"/>
              <w:rPr>
                <w:rFonts w:hint="eastAsia"/>
                <w:b/>
                <w:color w:val="auto"/>
                <w:highlight w:val="none"/>
              </w:rPr>
            </w:pPr>
            <w:r>
              <w:rPr>
                <w:rFonts w:hint="eastAsia"/>
                <w:color w:val="auto"/>
                <w:highlight w:val="none"/>
              </w:rPr>
              <w:t>社保证明材料</w:t>
            </w:r>
          </w:p>
          <w:p w14:paraId="6AD37B85">
            <w:pPr>
              <w:pStyle w:val="29"/>
              <w:rPr>
                <w:rFonts w:hint="eastAsia"/>
                <w:b/>
                <w:color w:val="auto"/>
                <w:highlight w:val="none"/>
              </w:rPr>
            </w:pPr>
            <w:r>
              <w:rPr>
                <w:rFonts w:hint="eastAsia"/>
                <w:color w:val="auto"/>
                <w:highlight w:val="none"/>
              </w:rPr>
              <w:t>（如有）</w:t>
            </w:r>
          </w:p>
        </w:tc>
        <w:tc>
          <w:tcPr>
            <w:tcW w:w="5466" w:type="dxa"/>
            <w:vAlign w:val="center"/>
          </w:tcPr>
          <w:p w14:paraId="4E368AF0">
            <w:pPr>
              <w:pStyle w:val="29"/>
              <w:rPr>
                <w:rFonts w:hint="eastAsia"/>
                <w:b/>
                <w:color w:val="auto"/>
                <w:highlight w:val="none"/>
              </w:rPr>
            </w:pPr>
            <w:r>
              <w:rPr>
                <w:rFonts w:hint="eastAsia"/>
                <w:color w:val="auto"/>
                <w:highlight w:val="none"/>
              </w:rPr>
              <w:t>本项目磋商文件中要求提供的社保证明材料为下述形式之一（响应文件中须提供扫描件）：</w:t>
            </w:r>
          </w:p>
          <w:p w14:paraId="1D7CE923">
            <w:pPr>
              <w:pStyle w:val="29"/>
              <w:rPr>
                <w:rFonts w:hint="eastAsia"/>
                <w:b/>
                <w:color w:val="auto"/>
                <w:highlight w:val="none"/>
              </w:rPr>
            </w:pPr>
            <w:r>
              <w:rPr>
                <w:rFonts w:hint="eastAsia"/>
                <w:color w:val="auto"/>
                <w:highlight w:val="none"/>
              </w:rPr>
              <w:t>（1）社保局官方网站查询的缴费记录截图；</w:t>
            </w:r>
          </w:p>
          <w:p w14:paraId="5C08B649">
            <w:pPr>
              <w:pStyle w:val="29"/>
              <w:rPr>
                <w:rFonts w:hint="eastAsia"/>
                <w:b/>
                <w:color w:val="auto"/>
                <w:highlight w:val="none"/>
              </w:rPr>
            </w:pPr>
            <w:r>
              <w:rPr>
                <w:rFonts w:hint="eastAsia"/>
                <w:color w:val="auto"/>
                <w:highlight w:val="none"/>
              </w:rPr>
              <w:t>（2）社保局的书面证明材料；</w:t>
            </w:r>
          </w:p>
          <w:p w14:paraId="5545EECD">
            <w:pPr>
              <w:pStyle w:val="29"/>
              <w:rPr>
                <w:rFonts w:hint="eastAsia"/>
                <w:b/>
                <w:color w:val="auto"/>
                <w:highlight w:val="none"/>
              </w:rPr>
            </w:pPr>
            <w:r>
              <w:rPr>
                <w:rFonts w:hint="eastAsia"/>
                <w:color w:val="auto"/>
                <w:highlight w:val="none"/>
              </w:rPr>
              <w:t>（3）经投标人委托的第三方人力资源服务机构或与投标人有直接隶属关系的机构可以代缴社保，但须提供有关证明材料并经磋商小组确认；</w:t>
            </w:r>
          </w:p>
          <w:p w14:paraId="76E717F8">
            <w:pPr>
              <w:pStyle w:val="29"/>
              <w:rPr>
                <w:rFonts w:hint="eastAsia"/>
                <w:b/>
                <w:color w:val="auto"/>
                <w:highlight w:val="none"/>
              </w:rPr>
            </w:pPr>
            <w:r>
              <w:rPr>
                <w:rFonts w:hint="eastAsia"/>
                <w:color w:val="auto"/>
                <w:highlight w:val="none"/>
              </w:rPr>
              <w:t>（4）参与磋商的机构，社保证明可以用以下任意一种：</w:t>
            </w:r>
          </w:p>
          <w:p w14:paraId="1A8F7BB5">
            <w:pPr>
              <w:pStyle w:val="29"/>
              <w:rPr>
                <w:rFonts w:hint="eastAsia"/>
                <w:b/>
                <w:color w:val="auto"/>
                <w:highlight w:val="none"/>
              </w:rPr>
            </w:pPr>
            <w:r>
              <w:rPr>
                <w:rFonts w:hint="eastAsia"/>
                <w:color w:val="auto"/>
                <w:highlight w:val="none"/>
              </w:rPr>
              <w:t>①加盖投标人公章的教师证（须为本单位人员）；</w:t>
            </w:r>
          </w:p>
          <w:p w14:paraId="0D8996EA">
            <w:pPr>
              <w:pStyle w:val="29"/>
              <w:rPr>
                <w:rFonts w:hint="eastAsia"/>
                <w:b/>
                <w:color w:val="auto"/>
                <w:highlight w:val="none"/>
              </w:rPr>
            </w:pPr>
            <w:r>
              <w:rPr>
                <w:rFonts w:hint="eastAsia"/>
                <w:color w:val="auto"/>
                <w:highlight w:val="none"/>
              </w:rPr>
              <w:t>②医保证明材料；</w:t>
            </w:r>
          </w:p>
          <w:p w14:paraId="726F3F69">
            <w:pPr>
              <w:pStyle w:val="29"/>
              <w:rPr>
                <w:rFonts w:hint="eastAsia"/>
                <w:b/>
                <w:color w:val="auto"/>
                <w:highlight w:val="none"/>
              </w:rPr>
            </w:pPr>
            <w:r>
              <w:rPr>
                <w:rFonts w:hint="eastAsia"/>
                <w:color w:val="auto"/>
                <w:highlight w:val="none"/>
              </w:rPr>
              <w:t>（5）其他经磋商小组认可的证明材料；</w:t>
            </w:r>
          </w:p>
          <w:p w14:paraId="30E08606">
            <w:pPr>
              <w:pStyle w:val="29"/>
              <w:rPr>
                <w:rFonts w:hint="eastAsia"/>
                <w:b/>
                <w:color w:val="auto"/>
                <w:highlight w:val="none"/>
              </w:rPr>
            </w:pPr>
            <w:r>
              <w:rPr>
                <w:rFonts w:hint="eastAsia"/>
                <w:color w:val="auto"/>
                <w:highlight w:val="none"/>
              </w:rPr>
              <w:t>（6）法定代表人参与项目的，无需提供社保证明材料，提供身份证明材料即可。</w:t>
            </w:r>
          </w:p>
        </w:tc>
      </w:tr>
      <w:tr w14:paraId="7F1B5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13486F95">
            <w:pPr>
              <w:pStyle w:val="30"/>
              <w:rPr>
                <w:rFonts w:hint="eastAsia"/>
                <w:color w:val="auto"/>
                <w:highlight w:val="none"/>
              </w:rPr>
            </w:pPr>
            <w:r>
              <w:rPr>
                <w:rFonts w:hint="eastAsia"/>
                <w:color w:val="auto"/>
                <w:highlight w:val="none"/>
              </w:rPr>
              <w:t>35.6</w:t>
            </w:r>
          </w:p>
        </w:tc>
        <w:tc>
          <w:tcPr>
            <w:tcW w:w="2025" w:type="dxa"/>
            <w:vAlign w:val="center"/>
          </w:tcPr>
          <w:p w14:paraId="5CED65B1">
            <w:pPr>
              <w:pStyle w:val="29"/>
              <w:rPr>
                <w:rFonts w:hint="eastAsia"/>
                <w:b/>
                <w:color w:val="auto"/>
                <w:highlight w:val="none"/>
              </w:rPr>
            </w:pPr>
            <w:r>
              <w:rPr>
                <w:rFonts w:hint="eastAsia"/>
                <w:color w:val="auto"/>
                <w:highlight w:val="none"/>
              </w:rPr>
              <w:t>重要提示</w:t>
            </w:r>
          </w:p>
        </w:tc>
        <w:tc>
          <w:tcPr>
            <w:tcW w:w="5466" w:type="dxa"/>
            <w:vAlign w:val="center"/>
          </w:tcPr>
          <w:p w14:paraId="1A632AD8">
            <w:pPr>
              <w:numPr>
                <w:ilvl w:val="0"/>
                <w:numId w:val="0"/>
              </w:numPr>
              <w:spacing w:line="360" w:lineRule="auto"/>
              <w:ind w:left="0" w:leftChars="0" w:firstLine="0" w:firstLineChars="0"/>
              <w:rPr>
                <w:rFonts w:hint="eastAsia" w:ascii="宋体" w:hAnsi="宋体" w:eastAsia="宋体" w:cs="宋体"/>
                <w:bCs/>
                <w:color w:val="auto"/>
                <w:sz w:val="24"/>
                <w:szCs w:val="24"/>
                <w:highlight w:val="none"/>
              </w:rPr>
            </w:pPr>
            <w:r>
              <w:rPr>
                <w:rFonts w:hint="default" w:ascii="宋体" w:hAnsi="宋体" w:eastAsia="宋体" w:cs="宋体"/>
                <w:bCs/>
                <w:color w:val="auto"/>
                <w:kern w:val="2"/>
                <w:sz w:val="24"/>
                <w:szCs w:val="24"/>
                <w:lang w:val="en-US" w:eastAsia="zh-CN" w:bidi="ar-SA"/>
              </w:rPr>
              <w:t>①</w:t>
            </w:r>
            <w:r>
              <w:rPr>
                <w:rFonts w:hint="eastAsia" w:ascii="宋体" w:hAnsi="宋体" w:eastAsia="宋体" w:cs="宋体"/>
                <w:bCs/>
                <w:color w:val="auto"/>
                <w:sz w:val="24"/>
                <w:szCs w:val="24"/>
                <w:highlight w:val="none"/>
              </w:rPr>
              <w:t>中标人应在规定期限内提交履约保证金（如有）并与招标人签订合同，若中标人未能在规定期限内提交履约保证金（如有）或签订合同，招标人有权取消中标人中标资格，并将相关违约行为报送监管部门，实施信用惩戒；</w:t>
            </w:r>
          </w:p>
          <w:p w14:paraId="696F5764">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②合同签订后，中标人存在规定时间内不组织人员进场、不履行服务义务等情况，招标人有权解除合同，并追究违约责任，同时将相关违约行为报送监管部门处理；</w:t>
            </w:r>
          </w:p>
          <w:p w14:paraId="6F7876A2">
            <w:pPr>
              <w:numPr>
                <w:ilvl w:val="0"/>
                <w:numId w:val="0"/>
              </w:numPr>
              <w:spacing w:line="360" w:lineRule="auto"/>
              <w:ind w:left="0" w:leftChars="0" w:firstLine="0" w:firstLineChars="0"/>
              <w:rPr>
                <w:rFonts w:hint="eastAsia" w:ascii="宋体" w:hAnsi="宋体" w:eastAsia="宋体" w:cs="宋体"/>
                <w:bCs/>
                <w:color w:val="auto"/>
                <w:sz w:val="24"/>
                <w:szCs w:val="24"/>
                <w:highlight w:val="none"/>
              </w:rPr>
            </w:pPr>
            <w:r>
              <w:rPr>
                <w:rFonts w:hint="default" w:ascii="宋体" w:hAnsi="宋体" w:eastAsia="宋体" w:cs="宋体"/>
                <w:bCs/>
                <w:color w:val="auto"/>
                <w:kern w:val="2"/>
                <w:sz w:val="24"/>
                <w:szCs w:val="24"/>
                <w:lang w:val="en-US" w:eastAsia="zh-CN" w:bidi="ar-SA"/>
              </w:rPr>
              <w:t>③</w:t>
            </w:r>
            <w:r>
              <w:rPr>
                <w:rFonts w:hint="eastAsia" w:ascii="宋体" w:hAnsi="宋体" w:eastAsia="宋体" w:cs="宋体"/>
                <w:bCs/>
                <w:color w:val="auto"/>
                <w:sz w:val="24"/>
                <w:szCs w:val="24"/>
                <w:highlight w:val="none"/>
              </w:rPr>
              <w:t>中标人中标后被监管部门查实存在违法行为，不满足中标条件的，招标人直接取消中标资格；</w:t>
            </w:r>
          </w:p>
          <w:p w14:paraId="7B6C26D9">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④中标人在中标项目发生投诉、信访举报案件、履约存在争议时，拒绝协助配合执法部门调查案件的，招标人可以取消其中标资格或解除合同，并追究其违约责任。</w:t>
            </w:r>
          </w:p>
        </w:tc>
      </w:tr>
      <w:tr w14:paraId="666F8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5727C830">
            <w:pPr>
              <w:pStyle w:val="30"/>
              <w:rPr>
                <w:rFonts w:hint="eastAsia"/>
                <w:color w:val="auto"/>
                <w:highlight w:val="none"/>
              </w:rPr>
            </w:pPr>
            <w:r>
              <w:rPr>
                <w:rFonts w:hint="eastAsia"/>
                <w:color w:val="auto"/>
                <w:highlight w:val="none"/>
              </w:rPr>
              <w:t>35.7</w:t>
            </w:r>
          </w:p>
        </w:tc>
        <w:tc>
          <w:tcPr>
            <w:tcW w:w="2025" w:type="dxa"/>
            <w:vAlign w:val="center"/>
          </w:tcPr>
          <w:p w14:paraId="2C37B394">
            <w:pPr>
              <w:pStyle w:val="29"/>
              <w:rPr>
                <w:rFonts w:hint="eastAsia"/>
                <w:b/>
                <w:color w:val="auto"/>
                <w:highlight w:val="none"/>
              </w:rPr>
            </w:pPr>
            <w:r>
              <w:rPr>
                <w:rFonts w:hint="eastAsia"/>
                <w:color w:val="auto"/>
                <w:highlight w:val="none"/>
              </w:rPr>
              <w:t>解释权</w:t>
            </w:r>
          </w:p>
        </w:tc>
        <w:tc>
          <w:tcPr>
            <w:tcW w:w="5466" w:type="dxa"/>
            <w:vAlign w:val="center"/>
          </w:tcPr>
          <w:p w14:paraId="6FF0FBF2">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（1）构成本磋商文件的各个组成文件应互为解释，互为说明；</w:t>
            </w:r>
          </w:p>
          <w:p w14:paraId="0AFE6230">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5C0974DF">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71D57A02">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（4）除磋商文件中有特别规定外，仅适用于磋商及响应文件提交阶段的规定，按磋商公告、投标人须知、评审方法和标准、响应文件格式的先后顺序解释；</w:t>
            </w:r>
          </w:p>
          <w:p w14:paraId="25B68741">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（5）按本款前述规定仍不能形成结论的，由招标人负责解释。</w:t>
            </w:r>
          </w:p>
        </w:tc>
      </w:tr>
      <w:tr w14:paraId="004E2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60373629">
            <w:pPr>
              <w:pStyle w:val="30"/>
              <w:rPr>
                <w:rFonts w:hint="eastAsia"/>
                <w:color w:val="auto"/>
                <w:highlight w:val="none"/>
              </w:rPr>
            </w:pPr>
            <w:r>
              <w:rPr>
                <w:rFonts w:hint="eastAsia"/>
                <w:color w:val="auto"/>
                <w:highlight w:val="none"/>
              </w:rPr>
              <w:t>35.8</w:t>
            </w:r>
          </w:p>
        </w:tc>
        <w:tc>
          <w:tcPr>
            <w:tcW w:w="2025" w:type="dxa"/>
            <w:vAlign w:val="center"/>
          </w:tcPr>
          <w:p w14:paraId="4125B011">
            <w:pPr>
              <w:pStyle w:val="29"/>
              <w:rPr>
                <w:rFonts w:hint="eastAsia"/>
                <w:b/>
                <w:color w:val="auto"/>
                <w:highlight w:val="none"/>
              </w:rPr>
            </w:pPr>
            <w:r>
              <w:rPr>
                <w:rFonts w:hint="eastAsia"/>
                <w:color w:val="auto"/>
                <w:highlight w:val="none"/>
              </w:rPr>
              <w:t>特别提醒</w:t>
            </w:r>
          </w:p>
        </w:tc>
        <w:tc>
          <w:tcPr>
            <w:tcW w:w="5466" w:type="dxa"/>
            <w:vAlign w:val="center"/>
          </w:tcPr>
          <w:p w14:paraId="5DE0489A">
            <w:pPr>
              <w:spacing w:line="360" w:lineRule="auto"/>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本项目响应文件可由投标人在磋商时间前送至招标人指定的接收地点，或在磋商时间前邮寄至招标人指定的接收地点。</w:t>
            </w:r>
          </w:p>
        </w:tc>
      </w:tr>
      <w:tr w14:paraId="6295A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5038FF96">
            <w:pPr>
              <w:pStyle w:val="30"/>
              <w:rPr>
                <w:rFonts w:hint="eastAsia"/>
                <w:color w:val="auto"/>
                <w:highlight w:val="none"/>
              </w:rPr>
            </w:pPr>
            <w:r>
              <w:rPr>
                <w:rFonts w:hint="eastAsia"/>
                <w:color w:val="auto"/>
                <w:highlight w:val="none"/>
              </w:rPr>
              <w:t>35.9</w:t>
            </w:r>
          </w:p>
        </w:tc>
        <w:tc>
          <w:tcPr>
            <w:tcW w:w="2025" w:type="dxa"/>
            <w:vAlign w:val="center"/>
          </w:tcPr>
          <w:p w14:paraId="35B1F563">
            <w:pPr>
              <w:pStyle w:val="29"/>
              <w:rPr>
                <w:rFonts w:hint="eastAsia"/>
                <w:b/>
                <w:color w:val="auto"/>
                <w:highlight w:val="none"/>
              </w:rPr>
            </w:pPr>
            <w:r>
              <w:rPr>
                <w:rFonts w:hint="eastAsia"/>
                <w:color w:val="auto"/>
                <w:highlight w:val="none"/>
              </w:rPr>
              <w:t>其他补充说明</w:t>
            </w:r>
          </w:p>
        </w:tc>
        <w:tc>
          <w:tcPr>
            <w:tcW w:w="5466" w:type="dxa"/>
            <w:vAlign w:val="center"/>
          </w:tcPr>
          <w:p w14:paraId="071F9B4E">
            <w:pPr>
              <w:pStyle w:val="29"/>
              <w:rPr>
                <w:rFonts w:hint="eastAsia"/>
                <w:b/>
                <w:color w:val="auto"/>
                <w:highlight w:val="none"/>
              </w:rPr>
            </w:pPr>
            <w:r>
              <w:rPr>
                <w:rFonts w:hint="eastAsia"/>
                <w:color w:val="auto"/>
                <w:highlight w:val="none"/>
              </w:rPr>
              <w:t xml:space="preserve"> 无   </w:t>
            </w:r>
          </w:p>
        </w:tc>
      </w:tr>
    </w:tbl>
    <w:p w14:paraId="21FFBDFF">
      <w:pPr>
        <w:numPr>
          <w:ilvl w:val="0"/>
          <w:numId w:val="3"/>
        </w:num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8"/>
          <w:highlight w:val="none"/>
        </w:rPr>
        <w:br w:type="page"/>
      </w:r>
      <w:r>
        <w:rPr>
          <w:rFonts w:hint="eastAsia" w:ascii="宋体" w:hAnsi="宋体" w:eastAsia="宋体" w:cs="宋体"/>
          <w:b/>
          <w:color w:val="auto"/>
          <w:sz w:val="24"/>
          <w:highlight w:val="none"/>
        </w:rPr>
        <w:t>投标人须知正文</w:t>
      </w:r>
    </w:p>
    <w:p w14:paraId="6B28B56D">
      <w:pPr>
        <w:pStyle w:val="8"/>
        <w:rPr>
          <w:rFonts w:hint="eastAsia" w:ascii="宋体" w:hAnsi="宋体" w:eastAsia="宋体" w:cs="宋体"/>
          <w:color w:val="auto"/>
          <w:highlight w:val="none"/>
        </w:rPr>
      </w:pPr>
    </w:p>
    <w:p w14:paraId="13C515FB">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1.适用范围</w:t>
      </w:r>
    </w:p>
    <w:p w14:paraId="0AE8E99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1.1本磋商文件仅适用于本次磋商所述的服务项目招标。</w:t>
      </w:r>
    </w:p>
    <w:p w14:paraId="24554009">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2.定义</w:t>
      </w:r>
    </w:p>
    <w:p w14:paraId="7586635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2.1服务：系指除货物和工程以外的其他招标对象，包括咨询、调研、评估、规划、设计、监理、审计、保险、租赁、印刷、维修、物业管理等。</w:t>
      </w:r>
    </w:p>
    <w:p w14:paraId="3F9F260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2.2时限（年份、月份等）计算：系指从磋商之日向前追溯X年/月（“X”为“一”及以后整数）起算。</w:t>
      </w:r>
    </w:p>
    <w:p w14:paraId="5781BCD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业绩：业绩系指符合本磋商文件规定的与最终用户签订的合同或磋商文件要求的相关证明。投标人与其关联公司（如母公司、控股公司、分公司、子公司、同一法定代表人的公司等）之间签订的合同，均不予认可。</w:t>
      </w:r>
    </w:p>
    <w:p w14:paraId="2735909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除非本磋商文件中另有规定，否则业绩均为已服务完毕的业绩，业绩时间均以合同签订之日为追溯节点。</w:t>
      </w:r>
    </w:p>
    <w:p w14:paraId="4CF7E111">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3.招标人、招标代理机构及投标人</w:t>
      </w:r>
    </w:p>
    <w:p w14:paraId="5C82339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3.1招标人：是指依法开展招标活动的法人或者其他组织。本项目的招标人见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0A01658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3.2招标代理机构：是指从事招标代理业务的社会中介机构。本项目无招标代理机构。</w:t>
      </w:r>
    </w:p>
    <w:p w14:paraId="72A168D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3.3招标投标监督管理部门：各级人民政府指定的有关部门依法履行与招标投标活动有关的监督管理职责。本项目的招标投标监督管理部门见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3540477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3.4投标人：是指向招标人提供货物、工程或者服务的法人、非法人组织或者自然人。分支机构不得参加招标投标活动，但银行、保险、石油石化、电力、电信等特殊行业除外。本项目的投标人须满足以下条件：</w:t>
      </w:r>
    </w:p>
    <w:p w14:paraId="7E036D9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3.4.1在中华人民共和国境内注册，能够独立承担民事责任，有生产或供应能力的本国投标人。</w:t>
      </w:r>
    </w:p>
    <w:p w14:paraId="648FF1E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3.4.2具备《中华人民共和国招标投标法》关于投标人条件的规定。</w:t>
      </w:r>
    </w:p>
    <w:p w14:paraId="013FFFAB">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4.资金来源</w:t>
      </w:r>
    </w:p>
    <w:p w14:paraId="0F3FE0F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4.1本项目的招标人已获得足以支付本次磋商后所签订的合同项下的资金。</w:t>
      </w:r>
    </w:p>
    <w:p w14:paraId="20A562A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4.2项目预算金额或分项（或分标段）预算金额见磋商公告。</w:t>
      </w:r>
    </w:p>
    <w:p w14:paraId="03C5A11B">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5.磋商费用</w:t>
      </w:r>
    </w:p>
    <w:p w14:paraId="4FC24623">
      <w:pPr>
        <w:spacing w:line="360" w:lineRule="auto"/>
        <w:ind w:firstLine="437"/>
        <w:rPr>
          <w:rFonts w:hint="eastAsia" w:ascii="宋体" w:hAnsi="宋体" w:eastAsia="宋体" w:cs="宋体"/>
          <w:color w:val="auto"/>
          <w:sz w:val="24"/>
          <w:highlight w:val="none"/>
        </w:rPr>
      </w:pPr>
      <w:r>
        <w:rPr>
          <w:rFonts w:hint="eastAsia" w:ascii="宋体" w:hAnsi="宋体" w:eastAsia="宋体" w:cs="宋体"/>
          <w:color w:val="auto"/>
          <w:sz w:val="24"/>
          <w:highlight w:val="none"/>
        </w:rPr>
        <w:t>不论磋商的结果如何，投标人应承担其所有与准备和参加磋商有关的费用。</w:t>
      </w:r>
    </w:p>
    <w:p w14:paraId="6B098D2F">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6.适用法律</w:t>
      </w:r>
    </w:p>
    <w:p w14:paraId="687A2BC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本项目招标人、投标人、磋商小组的相关行为均受《中华人民共和国招标投标法》、《中华人民共和国招标投标法实施条例》及本项目招标投标监督管理部门的有关规定约束，其权利受到上述法律法规的保护。</w:t>
      </w:r>
    </w:p>
    <w:p w14:paraId="31EE33C1">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7.磋商文件构成</w:t>
      </w:r>
    </w:p>
    <w:p w14:paraId="1A44516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7.1磋商文件包括下列内容：</w:t>
      </w:r>
    </w:p>
    <w:p w14:paraId="49F296AF">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磋商公告</w:t>
      </w:r>
    </w:p>
    <w:p w14:paraId="7A8B83FF">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投标人须知</w:t>
      </w:r>
    </w:p>
    <w:p w14:paraId="5553D854">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招标需求</w:t>
      </w:r>
    </w:p>
    <w:p w14:paraId="0C9EF0C0">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评审方法和标准</w:t>
      </w:r>
    </w:p>
    <w:p w14:paraId="4886AE3F">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合同模板</w:t>
      </w:r>
    </w:p>
    <w:p w14:paraId="71D77F13">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响应文件格式</w:t>
      </w:r>
    </w:p>
    <w:p w14:paraId="7332F41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7.2磋商文件中有不一致的，有澄清的部分以最终的澄清更正内容为准。</w:t>
      </w:r>
    </w:p>
    <w:p w14:paraId="04CAD75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7.3现场考察及相关事项见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74B32AD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7.4投标人应认真阅读磋商文件所有的事项、格式、条款和技术规范等。</w:t>
      </w:r>
    </w:p>
    <w:p w14:paraId="187F9A4E">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8.磋商文件的澄清与修改</w:t>
      </w:r>
    </w:p>
    <w:p w14:paraId="724F634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8.1投标人如对磋商文件内容有疑问，必须在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规定的截止时间前以电话咨询形式进行咨询。</w:t>
      </w:r>
    </w:p>
    <w:p w14:paraId="58E28CE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8.2招标人可主动或在解答投标人提出的问题时对磋商文件进行澄清或者修改。招标人将在</w:t>
      </w:r>
      <w:r>
        <w:rPr>
          <w:rFonts w:hint="eastAsia" w:ascii="宋体" w:hAnsi="宋体" w:eastAsia="宋体" w:cs="宋体"/>
          <w:color w:val="auto"/>
          <w:sz w:val="24"/>
          <w:szCs w:val="24"/>
          <w:highlight w:val="none"/>
        </w:rPr>
        <w:t>合肥滨湖时光产业投资集团有限公司</w:t>
      </w:r>
      <w:r>
        <w:rPr>
          <w:rFonts w:hint="eastAsia" w:ascii="宋体" w:hAnsi="宋体" w:eastAsia="宋体" w:cs="宋体"/>
          <w:color w:val="auto"/>
          <w:sz w:val="24"/>
          <w:highlight w:val="none"/>
        </w:rPr>
        <w:t>网站以发布公告的方式澄清或者修改磋商文件，澄清或修改的内容作为磋商文件的组成部分，与磋商文件具有同等效用，投标人应主动上网查询。招标人不承担投标人未及时关注相关信息引发的相关责任。</w:t>
      </w:r>
    </w:p>
    <w:p w14:paraId="3834341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8.3任何人或任何组织向投标人提供的任何书面或口头资料，未经招标人在网上发布或书面通知，均作无效处理，不得作为磋商文件的组成部分。</w:t>
      </w:r>
    </w:p>
    <w:p w14:paraId="45BF8371">
      <w:pPr>
        <w:spacing w:line="360" w:lineRule="auto"/>
        <w:ind w:firstLine="435"/>
        <w:rPr>
          <w:rFonts w:hint="eastAsia" w:ascii="宋体" w:hAnsi="宋体" w:eastAsia="宋体" w:cs="宋体"/>
          <w:iCs/>
          <w:color w:val="auto"/>
          <w:sz w:val="24"/>
          <w:highlight w:val="none"/>
        </w:rPr>
      </w:pPr>
      <w:r>
        <w:rPr>
          <w:rFonts w:hint="eastAsia" w:ascii="宋体" w:hAnsi="宋体" w:eastAsia="宋体" w:cs="宋体"/>
          <w:color w:val="auto"/>
          <w:sz w:val="24"/>
          <w:highlight w:val="none"/>
        </w:rPr>
        <w:t>8.4对于没有提出询问又参与了本项目磋商的投标人将被视为完全认同本磋商文件（含澄清或修改的内容）</w:t>
      </w:r>
      <w:r>
        <w:rPr>
          <w:rFonts w:hint="eastAsia" w:ascii="宋体" w:hAnsi="宋体" w:eastAsia="宋体" w:cs="宋体"/>
          <w:i/>
          <w:color w:val="auto"/>
          <w:sz w:val="24"/>
          <w:highlight w:val="none"/>
        </w:rPr>
        <w:t>。</w:t>
      </w:r>
    </w:p>
    <w:p w14:paraId="5F225027">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9.磋商范围及响应文件中标准和计量单位的使用</w:t>
      </w:r>
    </w:p>
    <w:p w14:paraId="4269DAA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9.1项目有划分标段的，投标人可参与其中某一个或多个标段的磋商，中标标段数详见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w:t>
      </w:r>
    </w:p>
    <w:p w14:paraId="71F64DD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9.2无论磋商文件中是否要求，投标人所投服务及伴随的货物和工程均应符合国家强制性标准。</w:t>
      </w:r>
    </w:p>
    <w:p w14:paraId="1115707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9.3投标人与招标代理机构之间与磋商有关的所有往来通知、函件和响应文件均用中文表述。投标人随响应文件提供的证明文件和资料可以为其它语言，但必须附中文译文。翻译的中文资料与外文资料如果出现差异时，以中文为准。</w:t>
      </w:r>
    </w:p>
    <w:p w14:paraId="7E88A87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9.4除磋商文件中有特殊要求外，响应文件中所使用的计量单位，应采用中华人民共和国法定计量单位。</w:t>
      </w:r>
    </w:p>
    <w:p w14:paraId="5BB50878">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10.响应文件构成</w:t>
      </w:r>
    </w:p>
    <w:p w14:paraId="4B12D902">
      <w:pPr>
        <w:spacing w:line="360" w:lineRule="auto"/>
        <w:ind w:firstLine="437"/>
        <w:rPr>
          <w:rFonts w:hint="eastAsia" w:ascii="宋体" w:hAnsi="宋体" w:eastAsia="宋体" w:cs="宋体"/>
          <w:color w:val="auto"/>
          <w:sz w:val="24"/>
          <w:highlight w:val="none"/>
        </w:rPr>
      </w:pPr>
      <w:r>
        <w:rPr>
          <w:rFonts w:hint="eastAsia" w:ascii="宋体" w:hAnsi="宋体" w:eastAsia="宋体" w:cs="宋体"/>
          <w:color w:val="auto"/>
          <w:sz w:val="24"/>
          <w:highlight w:val="none"/>
        </w:rPr>
        <w:t>10.1投标人应完整地按磋商文件提供的响应文件格式及要求编写响应文件，具体内容详见第六章响应文件格式的相关内容。</w:t>
      </w:r>
    </w:p>
    <w:p w14:paraId="2D1BED68">
      <w:pPr>
        <w:spacing w:line="360" w:lineRule="auto"/>
        <w:ind w:firstLine="437"/>
        <w:rPr>
          <w:rFonts w:hint="eastAsia" w:ascii="宋体" w:hAnsi="宋体" w:eastAsia="宋体" w:cs="宋体"/>
          <w:color w:val="auto"/>
          <w:sz w:val="24"/>
          <w:highlight w:val="none"/>
        </w:rPr>
      </w:pPr>
      <w:r>
        <w:rPr>
          <w:rFonts w:hint="eastAsia" w:ascii="宋体" w:hAnsi="宋体" w:eastAsia="宋体" w:cs="宋体"/>
          <w:color w:val="auto"/>
          <w:sz w:val="24"/>
          <w:highlight w:val="none"/>
        </w:rPr>
        <w:t>10.2上述文件应按照磋商文件规定的格式填写、签署和公章。</w:t>
      </w:r>
    </w:p>
    <w:p w14:paraId="236F73CB">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11.证明标的的合格性和符合磋商文件规定的技术文件</w:t>
      </w:r>
    </w:p>
    <w:p w14:paraId="05B9F16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11.1投标人应提交磋商文件要求的证明文件，证明其响应内容符合磋商文件规定。该证明文件是响应文件的一部分。</w:t>
      </w:r>
    </w:p>
    <w:p w14:paraId="496E371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11.2上款所述的证明文件，可以是文字资料、图纸和数据</w:t>
      </w:r>
      <w:bookmarkStart w:id="11" w:name="_Hlk11703583"/>
      <w:r>
        <w:rPr>
          <w:rFonts w:hint="eastAsia" w:ascii="宋体" w:hAnsi="宋体" w:eastAsia="宋体" w:cs="宋体"/>
          <w:color w:val="auto"/>
          <w:sz w:val="24"/>
          <w:highlight w:val="none"/>
        </w:rPr>
        <w:t>。</w:t>
      </w:r>
    </w:p>
    <w:bookmarkEnd w:id="11"/>
    <w:p w14:paraId="2445065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11.3本条所指证明文件不包括对磋商文件相关部分的文字、图标的复制。</w:t>
      </w:r>
    </w:p>
    <w:p w14:paraId="0710F0E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11.4为保证公平公正，除非另有规定或说明，投标人对同一项目磋商时，不得同时提供备选磋商方案。</w:t>
      </w:r>
    </w:p>
    <w:p w14:paraId="2FF78C37">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12.报价</w:t>
      </w:r>
    </w:p>
    <w:p w14:paraId="79B9793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12.1 报价详见第三章招标需求的第四条报价要求，按照第六章响应文件格式进行报价。</w:t>
      </w:r>
    </w:p>
    <w:p w14:paraId="5B6C0B05">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13.磋商保证金</w:t>
      </w:r>
    </w:p>
    <w:p w14:paraId="5AEFB4A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13.1本项目不要求投标人递交磋商保证金。</w:t>
      </w:r>
    </w:p>
    <w:p w14:paraId="38F34656">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14.磋商有效期</w:t>
      </w:r>
    </w:p>
    <w:p w14:paraId="67DE23E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14.1磋商有效期为从响应文件提交截止之日算起的日历天数，磋商有效期详见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5013A2B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14.2在磋商有效期内，投标人的响应文件保持有效，投标人不得要求撤销或修改其响应文件。磋商有效期不满足要求的，其响应文件将被认定为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1C562BD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14.3为保证有充分时间签订合同，招标人可根据实际情况，在原磋商有效期截止之前，要求投标人延长磋商有效期。接受该要求的投标人将不会被要求和允许修正其响应文件。投标人可以拒绝延长磋商有效期的要求，且不承担任何责任。上述要求和答复都应以书面形式提交。</w:t>
      </w:r>
    </w:p>
    <w:p w14:paraId="30DD678C">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15.响应文件的制作</w:t>
      </w:r>
    </w:p>
    <w:p w14:paraId="38DA2A6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15.1本项目要求提供密封纸质版响应文件，响应文件的制作应满足以下规定：</w:t>
      </w:r>
    </w:p>
    <w:p w14:paraId="49A73E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highlight w:val="none"/>
        </w:rPr>
      </w:pPr>
      <w:bookmarkStart w:id="172" w:name="_GoBack"/>
      <w:r>
        <w:rPr>
          <w:rFonts w:hint="eastAsia" w:ascii="宋体" w:hAnsi="宋体" w:eastAsia="宋体" w:cs="宋体"/>
          <w:b/>
          <w:bCs/>
          <w:color w:val="auto"/>
          <w:sz w:val="24"/>
          <w:highlight w:val="none"/>
        </w:rPr>
        <w:t>（1）在第六章“响应文件格式”中要求加盖投标人签章处，投标人均应加盖投标人签章或公章。</w:t>
      </w:r>
    </w:p>
    <w:p w14:paraId="3C19B318">
      <w:pPr>
        <w:pStyle w:val="29"/>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b/>
          <w:bCs/>
          <w:color w:val="auto"/>
          <w:highlight w:val="none"/>
        </w:rPr>
      </w:pPr>
      <w:r>
        <w:rPr>
          <w:rFonts w:hint="eastAsia"/>
          <w:b/>
          <w:bCs/>
          <w:color w:val="auto"/>
          <w:highlight w:val="none"/>
        </w:rPr>
        <w:t>（2）响应文件制作完成后，投标人应对响应文件进行文件密封处理，形成密封的响应文件。纸质版投标文件（要求胶装成册）：正本1份；副本2份，密封提交。</w:t>
      </w:r>
    </w:p>
    <w:bookmarkEnd w:id="172"/>
    <w:p w14:paraId="16DDBA50">
      <w:pPr>
        <w:pStyle w:val="2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rPr>
      </w:pPr>
      <w:r>
        <w:rPr>
          <w:rFonts w:hint="eastAsia"/>
          <w:color w:val="auto"/>
          <w:highlight w:val="none"/>
        </w:rPr>
        <w:t>（3）电子版投标文件（仅作为存档使用，不作为否决条款，要求与纸质版投标文件一致）：U盘或光盘1份（加盖公章后完整版投标文件扫件）。</w:t>
      </w:r>
    </w:p>
    <w:p w14:paraId="30145883">
      <w:pPr>
        <w:pStyle w:val="2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rPr>
      </w:pPr>
      <w:r>
        <w:rPr>
          <w:rFonts w:hint="eastAsia"/>
          <w:color w:val="auto"/>
          <w:highlight w:val="none"/>
        </w:rPr>
        <w:t>（4）以上文件均密封提交。</w:t>
      </w:r>
    </w:p>
    <w:p w14:paraId="4B948EE9">
      <w:pPr>
        <w:pStyle w:val="2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
          <w:bCs w:val="0"/>
          <w:color w:val="auto"/>
          <w:highlight w:val="none"/>
        </w:rPr>
      </w:pPr>
      <w:r>
        <w:rPr>
          <w:rFonts w:hint="eastAsia"/>
          <w:color w:val="auto"/>
          <w:highlight w:val="none"/>
        </w:rPr>
        <w:t>（5）</w:t>
      </w:r>
      <w:r>
        <w:rPr>
          <w:rFonts w:hint="eastAsia"/>
          <w:b/>
          <w:bCs w:val="0"/>
          <w:color w:val="auto"/>
          <w:highlight w:val="none"/>
        </w:rPr>
        <w:t>重要提示：以上文件均须密封提交，密封档案袋封面格式由投标人自行拟定，但须至少反映出投标项目名称</w:t>
      </w:r>
      <w:r>
        <w:rPr>
          <w:rFonts w:hint="eastAsia"/>
          <w:b/>
          <w:bCs w:val="0"/>
          <w:color w:val="auto"/>
          <w:highlight w:val="none"/>
          <w:lang w:val="en-US" w:eastAsia="zh-CN"/>
        </w:rPr>
        <w:t>及标段</w:t>
      </w:r>
      <w:r>
        <w:rPr>
          <w:rFonts w:hint="eastAsia"/>
          <w:b/>
          <w:bCs w:val="0"/>
          <w:color w:val="auto"/>
          <w:highlight w:val="none"/>
        </w:rPr>
        <w:t>、项目编号、投标人名称、投标时间，并加盖投标人公章。如未注明以上信息，则视为</w:t>
      </w:r>
      <w:r>
        <w:rPr>
          <w:rFonts w:hint="eastAsia"/>
          <w:b/>
          <w:bCs w:val="0"/>
          <w:color w:val="auto"/>
          <w:highlight w:val="none"/>
          <w:lang w:eastAsia="zh-CN"/>
        </w:rPr>
        <w:t>未</w:t>
      </w:r>
      <w:r>
        <w:rPr>
          <w:rFonts w:hint="eastAsia"/>
          <w:b/>
          <w:bCs w:val="0"/>
          <w:color w:val="auto"/>
          <w:highlight w:val="none"/>
        </w:rPr>
        <w:t>响应招标文件要求，将作废标处理，由此造成的所有责任由投标人自行承担。</w:t>
      </w:r>
    </w:p>
    <w:p w14:paraId="2037ED6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15.2因投标人自身原因而导致响应文件无法在磋商时间前送达磋商指定地点的，该响应文件视为无效响应文件，投标人自行承担由此导致的全部责任。（该响应文件是指密封纸质版响应文件）。</w:t>
      </w:r>
    </w:p>
    <w:p w14:paraId="1C9BE01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15.3磋商现场提交的其他材料要求详见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22EF9683">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16.响应文件提交截止时间</w:t>
      </w:r>
    </w:p>
    <w:p w14:paraId="5C6DEB1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16.1投标人应在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中规定的响应文件提交截止时间前，线下提交文件，送达磋商指定地点。</w:t>
      </w:r>
    </w:p>
    <w:p w14:paraId="7FE1BB55">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17.响应文件的提交、修改与撤回</w:t>
      </w:r>
    </w:p>
    <w:p w14:paraId="11DC992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17.1投标人应当在第一章“磋商公告”规定的响应文件提交截止时间前，将密封纸质版文件，送达磋商指定地点。</w:t>
      </w:r>
    </w:p>
    <w:p w14:paraId="56EB342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17.2未按规定密封或响应文件提交截止时间后送达的响应文件，招标人应当拒收。</w:t>
      </w:r>
    </w:p>
    <w:p w14:paraId="015D907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17.3在响应文件提交截止时间之后，投标人不得对其响应文件做任何修改。但属于磋商小组在评审中发现的计算错误并进行核实的修改、按照磋商文件的变动情况和磋商小组的要求重新提交响应文件的，不在此列。</w:t>
      </w:r>
    </w:p>
    <w:p w14:paraId="7D7D06E3">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18.磋商小组</w:t>
      </w:r>
    </w:p>
    <w:p w14:paraId="407E3FD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18.1本项目将依法组建磋商小组，磋商小组成员由3人以上单数组成，磋商小组及其成员应当依照有关规定履行相关职责和义务。</w:t>
      </w:r>
    </w:p>
    <w:p w14:paraId="466490A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18.2磋商小组依法对响应文件进行评审，并根据磋商文件规定的程序、评定中标的标准等事项与实质性响应磋商文件要求的投标人进行磋商。</w:t>
      </w:r>
    </w:p>
    <w:p w14:paraId="1B0DECD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18.3磋商小组应当从质量和服务均能满足磋商文件实质性响应要求的投标人中，按照评审方法和标准推荐中标候选人，并编写磋商结论表。</w:t>
      </w:r>
    </w:p>
    <w:p w14:paraId="004411AF">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19.响应文件的评审与磋商</w:t>
      </w:r>
    </w:p>
    <w:p w14:paraId="4E6719A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19.1招标人将在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规定的时间和地点组织磋商。</w:t>
      </w:r>
    </w:p>
    <w:p w14:paraId="6450D70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19.2竞争性磋商活动采用综合评分法评审。</w:t>
      </w:r>
    </w:p>
    <w:p w14:paraId="0C56970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综合评分法，是指响应文件满足磋商文件全部实质性要求且按评审因素的量化指标评审得分最高的投标人为中标候选人的评审方法。</w:t>
      </w:r>
    </w:p>
    <w:p w14:paraId="70EC3C0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19.3磋商小组将按照磋商文件规定的评审方法和标准对投标人独立进行评审。评审程序如下：</w:t>
      </w:r>
    </w:p>
    <w:p w14:paraId="31C7047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19.3.1</w:t>
      </w:r>
      <w:r>
        <w:rPr>
          <w:rFonts w:hint="eastAsia" w:ascii="宋体" w:hAnsi="宋体" w:eastAsia="宋体" w:cs="宋体"/>
          <w:b/>
          <w:color w:val="auto"/>
          <w:sz w:val="24"/>
          <w:highlight w:val="none"/>
        </w:rPr>
        <w:t>初审</w:t>
      </w:r>
      <w:r>
        <w:rPr>
          <w:rFonts w:hint="eastAsia" w:ascii="宋体" w:hAnsi="宋体" w:eastAsia="宋体" w:cs="宋体"/>
          <w:color w:val="auto"/>
          <w:sz w:val="24"/>
          <w:highlight w:val="none"/>
        </w:rPr>
        <w:t>。磋商小组对投标人必须满足和实质性响应的内容进行评审，投标人未实质性响应磋商文件要求导致响应无效的，磋商小组将以询标的方式告知有关投标人。</w:t>
      </w:r>
    </w:p>
    <w:p w14:paraId="3B03779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19.3.2</w:t>
      </w:r>
      <w:r>
        <w:rPr>
          <w:rFonts w:hint="eastAsia" w:ascii="宋体" w:hAnsi="宋体" w:eastAsia="宋体" w:cs="宋体"/>
          <w:b/>
          <w:color w:val="auto"/>
          <w:sz w:val="24"/>
          <w:highlight w:val="none"/>
        </w:rPr>
        <w:t>磋商</w:t>
      </w:r>
      <w:r>
        <w:rPr>
          <w:rFonts w:hint="eastAsia" w:ascii="宋体" w:hAnsi="宋体" w:eastAsia="宋体" w:cs="宋体"/>
          <w:color w:val="auto"/>
          <w:sz w:val="24"/>
          <w:highlight w:val="none"/>
        </w:rPr>
        <w:t xml:space="preserve">。初审合格后，磋商小组将对响应文件进行磋商。 </w:t>
      </w:r>
    </w:p>
    <w:p w14:paraId="66DFF4A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19.3.3</w:t>
      </w:r>
      <w:r>
        <w:rPr>
          <w:rFonts w:hint="eastAsia" w:ascii="宋体" w:hAnsi="宋体" w:eastAsia="宋体" w:cs="宋体"/>
          <w:b/>
          <w:color w:val="auto"/>
          <w:sz w:val="24"/>
          <w:highlight w:val="none"/>
        </w:rPr>
        <w:t>综合评分</w:t>
      </w:r>
      <w:r>
        <w:rPr>
          <w:rFonts w:hint="eastAsia" w:ascii="宋体" w:hAnsi="宋体" w:eastAsia="宋体" w:cs="宋体"/>
          <w:color w:val="auto"/>
          <w:sz w:val="24"/>
          <w:highlight w:val="none"/>
        </w:rPr>
        <w:t>。磋商小组只对通过初审，实质上响应磋商文件要求的响应文件进行综合评分，由磋商小组采用综合评分法对投标人的响应文件和报价进行综合评分。</w:t>
      </w:r>
    </w:p>
    <w:p w14:paraId="60F5269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19.4相关说明</w:t>
      </w:r>
    </w:p>
    <w:p w14:paraId="37D7732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19.4.1磋商小组根据与投标人磋商情况可能实质性变动磋商文件的内容，包括招标需求中的技术、服务要求以及合同草案条款。磋商文件有实质性变动的，经招标人代表确认作为磋商文件的有效组成部分，磋商小组将以书面形式通知所有参加磋商的投标人。</w:t>
      </w:r>
    </w:p>
    <w:p w14:paraId="5F68C33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19.4.2磋商小组发现投标人的报价或者某些分项报价明显低于其他通过初审的投标人的报价，有可能影响产品质量和不能诚信履约的，应当要求其在合理的时间内提供书面说明，必要时提交相关证明材料；投标人不能证明其报价合理性的，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51168D2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19.4.3无论何种原因，即使投标人磋商时携带了证书材料的原件，但响应文件中未提供与之内容完全一致的扫描件或影印件的，磋商小组可以视同其未提供。</w:t>
      </w:r>
    </w:p>
    <w:p w14:paraId="69318EB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19.4.4磋商小组决定响应文件的响应性及符合性只根据响应文件本身的内容，而不寻求其他外部证据。</w:t>
      </w:r>
    </w:p>
    <w:p w14:paraId="2D3C1CB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19.5投标人授权代表对磋商过程有疑义，以及认为招标人相关工作人员有需要回避的情形的，应当场提出询问或者回避申请，并说明理由。 </w:t>
      </w:r>
    </w:p>
    <w:p w14:paraId="7626F225">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20.终止竞争性磋商</w:t>
      </w:r>
    </w:p>
    <w:p w14:paraId="4F2468D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20.1出现下列情况之一时，招标人有权宣布终止竞争性磋商，并将理由通知所有投标人：</w:t>
      </w:r>
    </w:p>
    <w:p w14:paraId="42D682B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（1）有效投标人数量不足，导致本次磋商缺乏竞争的；</w:t>
      </w:r>
    </w:p>
    <w:p w14:paraId="3A62011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（2）出现影响招标公正的违法、违规行为的；</w:t>
      </w:r>
    </w:p>
    <w:p w14:paraId="5CD1DD2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（3）因重大变故，招标任务取消的；</w:t>
      </w:r>
    </w:p>
    <w:p w14:paraId="7A1DE14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（4）法律法规规定的其他情形。</w:t>
      </w:r>
    </w:p>
    <w:p w14:paraId="675959C1">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21.响应文件的澄清、说明或更正</w:t>
      </w:r>
    </w:p>
    <w:p w14:paraId="69D53B05">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21.1磋商小组将对响应文件的有效性、完整性和响应程度进行审查，审查时可以要求投标人对响应文件中含义不明确、同类问题表述不一致或者有明显文字和计算错误的内容等作出必要的澄清、说明或者更正。投标人的澄清、说明或者更正不得超出响应文件的范围或者改变响应文件的实质性内容。对不同文字文本响应文件的解释发生异议的，以中文文本为准。</w:t>
      </w:r>
    </w:p>
    <w:p w14:paraId="34461CF6">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21.2磋商小组要求投标人澄清、说明或者更正响应文件应当以书面形式（询标）作出。投标人的澄清、说明或者更正应当由法定代表人或其授权代表签字或者加盖公章。</w:t>
      </w:r>
    </w:p>
    <w:p w14:paraId="0F177927">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22.最后报价</w:t>
      </w:r>
    </w:p>
    <w:p w14:paraId="60B7685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22.1磋商限定只进行一轮报价，响应文件中的报价即为最终报价，也是签订合同的依据。</w:t>
      </w:r>
    </w:p>
    <w:p w14:paraId="772A48B9">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23.中标候选人的推荐原则及标准</w:t>
      </w:r>
    </w:p>
    <w:p w14:paraId="2C34E07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23.1磋商小组依据本项目磋商文件所约定的评审方法和标准，按照有效投标人综合总得分由高到低依次推荐中标候选人，同时对拟推荐中标候选人进行信用查询（信用查询要求如下），并将信用查询结果作为推荐中标候选人的依据，如查询存在以下情形的，不得推荐为中标候选人：</w:t>
      </w:r>
    </w:p>
    <w:p w14:paraId="0392ECA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（1）被市场监督管理部门列入严重违法失信名单；</w:t>
      </w:r>
    </w:p>
    <w:p w14:paraId="368D6C7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（2）被人民法院列为失信被执行人；</w:t>
      </w:r>
    </w:p>
    <w:p w14:paraId="6A876BC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（3）被税务机关确定为重大税收违法失信主体。</w:t>
      </w:r>
    </w:p>
    <w:p w14:paraId="29EBF36A">
      <w:pPr>
        <w:spacing w:line="360" w:lineRule="auto"/>
        <w:ind w:firstLine="435"/>
        <w:rPr>
          <w:rFonts w:hint="eastAsia" w:ascii="宋体" w:hAnsi="宋体" w:eastAsia="宋体" w:cs="宋体"/>
          <w:color w:val="auto"/>
          <w:highlight w:val="none"/>
        </w:rPr>
      </w:pPr>
      <w:r>
        <w:rPr>
          <w:rFonts w:hint="eastAsia" w:ascii="宋体" w:hAnsi="宋体" w:eastAsia="宋体" w:cs="宋体"/>
          <w:color w:val="auto"/>
          <w:sz w:val="24"/>
          <w:highlight w:val="none"/>
        </w:rPr>
        <w:t>23.2综合总得分出现两家或两家以上相同者，按报价由低到高排序推荐中标候选人；综合总得分且最后报价均相同的，由磋商小组按照技术指标优劣顺序推荐中标候选人。</w:t>
      </w:r>
    </w:p>
    <w:p w14:paraId="5BE60538">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24.确定中标候选人和中标人</w:t>
      </w:r>
    </w:p>
    <w:p w14:paraId="22631BC6">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24.1磋商小组根据综合评分的结果和投标人须知前附表中规定确定中标候选人，并标明排列顺序。排名第一的中标候选人经招标人或招标人授权的磋商小组确定为中标人后，由招标人在指定网站上予以公告。</w:t>
      </w:r>
    </w:p>
    <w:p w14:paraId="4F2D3A05">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25.编写磋商结论表</w:t>
      </w:r>
    </w:p>
    <w:p w14:paraId="1517A96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25.1磋商结论表由磋商小组全体成员签字。对评审结论持有异议的磋商小组成员可以书面方式阐述其不同意见和理由。磋商小组成员拒绝在磋商结论表上签字且不陈述其不同意见和理由的，视为同意评审结论。</w:t>
      </w:r>
    </w:p>
    <w:p w14:paraId="47CAE195">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26.保密要求</w:t>
      </w:r>
    </w:p>
    <w:p w14:paraId="4D3CF30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26.1评审将在严格保密的情况下进行。</w:t>
      </w:r>
    </w:p>
    <w:p w14:paraId="36456FC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26.2有关人员应当遵守评审工作纪律，不得泄露评审文件、评审情况和评审中获悉的国家秘密、商业秘密。</w:t>
      </w:r>
    </w:p>
    <w:p w14:paraId="20DECDC9">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27. 中标候选人和中标结果公示</w:t>
      </w:r>
    </w:p>
    <w:p w14:paraId="1E896858">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27.1为体现“公开、公平、公正”的原则，磋商结束后，</w:t>
      </w:r>
      <w:r>
        <w:rPr>
          <w:rFonts w:hint="eastAsia" w:ascii="宋体" w:hAnsi="宋体" w:eastAsia="宋体" w:cs="宋体"/>
          <w:color w:val="auto"/>
          <w:sz w:val="24"/>
          <w:szCs w:val="24"/>
          <w:highlight w:val="none"/>
        </w:rPr>
        <w:t>招标人将在</w:t>
      </w:r>
      <w:r>
        <w:rPr>
          <w:rFonts w:hint="eastAsia" w:ascii="宋体" w:hAnsi="宋体" w:eastAsia="宋体" w:cs="宋体"/>
          <w:color w:val="auto"/>
          <w:sz w:val="24"/>
          <w:szCs w:val="18"/>
          <w:highlight w:val="none"/>
        </w:rPr>
        <w:t>合肥滨湖时光产业投资集团有限公司网站: http://bhsggroup.cn/</w:t>
      </w:r>
      <w:r>
        <w:rPr>
          <w:rFonts w:hint="eastAsia" w:ascii="宋体" w:hAnsi="宋体" w:eastAsia="宋体" w:cs="宋体"/>
          <w:color w:val="auto"/>
          <w:sz w:val="24"/>
          <w:szCs w:val="24"/>
          <w:highlight w:val="none"/>
        </w:rPr>
        <w:t>上发布中标</w:t>
      </w:r>
      <w:r>
        <w:rPr>
          <w:rFonts w:hint="eastAsia" w:ascii="宋体" w:hAnsi="宋体" w:eastAsia="宋体" w:cs="宋体"/>
          <w:snapToGrid w:val="0"/>
          <w:color w:val="auto"/>
          <w:sz w:val="24"/>
          <w:szCs w:val="24"/>
          <w:highlight w:val="none"/>
        </w:rPr>
        <w:t>候选人</w:t>
      </w:r>
      <w:r>
        <w:rPr>
          <w:rFonts w:hint="eastAsia" w:ascii="宋体" w:hAnsi="宋体" w:eastAsia="宋体" w:cs="宋体"/>
          <w:color w:val="auto"/>
          <w:sz w:val="24"/>
          <w:szCs w:val="24"/>
          <w:highlight w:val="none"/>
        </w:rPr>
        <w:t>公示和中标结果公示。</w:t>
      </w:r>
    </w:p>
    <w:p w14:paraId="1874C70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27.2招标人在评审结束之日起3日内，依法公示中标候选人。招标人在确定中标人之日起3日内，依法公示中标结果。</w:t>
      </w:r>
    </w:p>
    <w:p w14:paraId="5303D67E">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28.中标通知书</w:t>
      </w:r>
    </w:p>
    <w:p w14:paraId="55488B2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28.1招标代理机构发布中标结果公示的同时以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规定的形式向中标人发出中标通知书。</w:t>
      </w:r>
    </w:p>
    <w:p w14:paraId="5B0EEF7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28.2中标通知书对招标人和中标人具有同等法律效力。中标通知书发出以后，招标人改变中标结果或者中标人放弃中标资格，应当承担相应的法律责任。</w:t>
      </w:r>
    </w:p>
    <w:p w14:paraId="6704BC8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28.3中标通知书是合同的组成部分。</w:t>
      </w:r>
    </w:p>
    <w:p w14:paraId="3BC2931D">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29.告知磋商结果</w:t>
      </w:r>
    </w:p>
    <w:p w14:paraId="32929F3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29.1在公告中标结果的同时，招标人同时以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规定的形式告知未中标人本人的评审得分和排序。</w:t>
      </w:r>
    </w:p>
    <w:p w14:paraId="3DF2FF7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29.2招标人对未中标的投标人不做未中标原因的解释。</w:t>
      </w:r>
    </w:p>
    <w:p w14:paraId="2E3F1CB9">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30.履约保证金</w:t>
      </w:r>
    </w:p>
    <w:p w14:paraId="463DAA4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30.1 中标人应按照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规定缴纳履约保证金（本项目不需要缴纳履约保证金）。</w:t>
      </w:r>
    </w:p>
    <w:p w14:paraId="061ED596">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31.中标服务费</w:t>
      </w:r>
    </w:p>
    <w:p w14:paraId="67F48EA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31.1本项目中标服务费的收取按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的规定执行。</w:t>
      </w:r>
    </w:p>
    <w:p w14:paraId="2C121249">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32.签订合同</w:t>
      </w:r>
    </w:p>
    <w:p w14:paraId="4C543E0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32.1招标人与中标人应当自发出中标通知书之日起30日内签订合同。</w:t>
      </w:r>
    </w:p>
    <w:p w14:paraId="56DC85A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32.2磋商文件、中标人的响应文件及其澄清文件等，均为签订合同的依据。</w:t>
      </w:r>
    </w:p>
    <w:p w14:paraId="36B964F9">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33.廉洁自律规定</w:t>
      </w:r>
    </w:p>
    <w:p w14:paraId="01637DD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33.1招标人工作人员不得以不正当手段获取招标代理业务，不得投标人恶意串通。</w:t>
      </w:r>
    </w:p>
    <w:p w14:paraId="023E5735">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34.异议的提出与接收</w:t>
      </w:r>
    </w:p>
    <w:p w14:paraId="2CA43D5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34.1投标人认为磋商文件、采购过程和中标结果使自己的权益受到损害的，可以在知道或者应知其权益受到损害之日起七个工作日内，以书面形式向招标人提出异议。</w:t>
      </w:r>
    </w:p>
    <w:p w14:paraId="33D1BEB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34.2上述应知其权益受到损害之日，是指：</w:t>
      </w:r>
    </w:p>
    <w:p w14:paraId="108F803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（1）对磋商文件提出异议的，为磋商文件公告期限届满之日；</w:t>
      </w:r>
    </w:p>
    <w:p w14:paraId="6C36040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（2）对采购过程提出异议的，为各采购程序环节结束之日；</w:t>
      </w:r>
    </w:p>
    <w:p w14:paraId="6F46A3F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（3）对中标结果提出异议的，为中标结果公告期限届满之日。</w:t>
      </w:r>
    </w:p>
    <w:p w14:paraId="040E1A8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34.3异议投标人应在法定异议期内以书面形式提出异议，超出法定异议期提交的异议将被拒绝。针对同一招标程序环节的异议应一次性提出。</w:t>
      </w:r>
    </w:p>
    <w:p w14:paraId="2C1C32A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超出法定异议期的、重复提出的、分次提出的或内容、形式不符合规定的，异议投标人将依法承担不利后果。</w:t>
      </w:r>
    </w:p>
    <w:p w14:paraId="50D06F2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34.4招标人异议函接收部门、联系电话和通讯地址，见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67446136">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35.需要补充的其他内容</w:t>
      </w:r>
    </w:p>
    <w:p w14:paraId="45524A1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需要补充的其他内容，见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00F1C075">
      <w:pPr>
        <w:widowControl/>
        <w:jc w:val="left"/>
        <w:rPr>
          <w:rFonts w:hint="eastAsia" w:ascii="宋体" w:hAnsi="宋体" w:eastAsia="宋体" w:cs="宋体"/>
          <w:b/>
          <w:color w:val="auto"/>
          <w:sz w:val="28"/>
          <w:highlight w:val="none"/>
        </w:rPr>
      </w:pPr>
      <w:r>
        <w:rPr>
          <w:rFonts w:hint="eastAsia" w:ascii="宋体" w:hAnsi="宋体" w:eastAsia="宋体" w:cs="宋体"/>
          <w:color w:val="auto"/>
          <w:sz w:val="24"/>
          <w:highlight w:val="none"/>
        </w:rPr>
        <w:br w:type="page"/>
      </w:r>
    </w:p>
    <w:p w14:paraId="55710964">
      <w:pPr>
        <w:spacing w:line="360" w:lineRule="auto"/>
        <w:jc w:val="center"/>
        <w:outlineLvl w:val="1"/>
        <w:rPr>
          <w:rFonts w:hint="eastAsia" w:ascii="宋体" w:hAnsi="宋体" w:eastAsia="宋体" w:cs="宋体"/>
          <w:b/>
          <w:color w:val="auto"/>
          <w:sz w:val="28"/>
          <w:highlight w:val="none"/>
        </w:rPr>
      </w:pPr>
      <w:bookmarkStart w:id="12" w:name="_Toc47026334"/>
      <w:r>
        <w:rPr>
          <w:rFonts w:hint="eastAsia" w:ascii="宋体" w:hAnsi="宋体" w:eastAsia="宋体" w:cs="宋体"/>
          <w:b/>
          <w:color w:val="auto"/>
          <w:sz w:val="28"/>
          <w:highlight w:val="none"/>
        </w:rPr>
        <w:t>第三章  招标需求</w:t>
      </w:r>
      <w:bookmarkEnd w:id="12"/>
    </w:p>
    <w:p w14:paraId="6C8226B4">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前注：</w:t>
      </w:r>
    </w:p>
    <w:p w14:paraId="5813C9D7">
      <w:pPr>
        <w:spacing w:line="360" w:lineRule="auto"/>
        <w:ind w:firstLine="437"/>
        <w:rPr>
          <w:rFonts w:hint="eastAsia" w:ascii="宋体" w:hAnsi="宋体" w:eastAsia="宋体" w:cs="宋体"/>
          <w:color w:val="auto"/>
          <w:sz w:val="24"/>
          <w:highlight w:val="none"/>
        </w:rPr>
      </w:pPr>
      <w:r>
        <w:rPr>
          <w:rFonts w:hint="eastAsia" w:ascii="宋体" w:hAnsi="宋体" w:eastAsia="宋体" w:cs="宋体"/>
          <w:color w:val="auto"/>
          <w:sz w:val="24"/>
          <w:highlight w:val="none"/>
        </w:rPr>
        <w:t>1、本说明中提出的技术方案仅为参考，如无明确限制，投标人可以进行优化，提供满足用户实际需要的更优（或者性能实质上不低于的）服务方案，且此方案须经磋商小组评审认可；</w:t>
      </w:r>
    </w:p>
    <w:p w14:paraId="394CEB80">
      <w:pPr>
        <w:spacing w:line="360" w:lineRule="auto"/>
        <w:ind w:firstLine="437"/>
        <w:rPr>
          <w:rFonts w:hint="eastAsia"/>
          <w:color w:val="auto"/>
          <w:highlight w:val="none"/>
          <w:lang w:eastAsia="zh-CN"/>
        </w:rPr>
      </w:pPr>
      <w:r>
        <w:rPr>
          <w:rFonts w:hint="eastAsia" w:ascii="宋体" w:hAnsi="宋体" w:eastAsia="宋体" w:cs="宋体"/>
          <w:color w:val="auto"/>
          <w:sz w:val="24"/>
          <w:highlight w:val="none"/>
        </w:rPr>
        <w:t>2、如投标人因未及时勘察现场而导致的报价缺项漏项废标、或中标后无法完工，投标人自行承担一切后果。</w:t>
      </w:r>
    </w:p>
    <w:p w14:paraId="75FEB18A">
      <w:pPr>
        <w:spacing w:line="360" w:lineRule="auto"/>
        <w:ind w:firstLine="437"/>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一、招标需求前附表</w:t>
      </w:r>
    </w:p>
    <w:tbl>
      <w:tblPr>
        <w:tblStyle w:val="23"/>
        <w:tblW w:w="8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033"/>
        <w:gridCol w:w="5488"/>
      </w:tblGrid>
      <w:tr w14:paraId="759F4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41" w:type="dxa"/>
            <w:vAlign w:val="center"/>
          </w:tcPr>
          <w:p w14:paraId="46EDF710">
            <w:pPr>
              <w:pStyle w:val="29"/>
              <w:rPr>
                <w:rFonts w:hint="eastAsia"/>
                <w:color w:val="auto"/>
                <w:highlight w:val="none"/>
              </w:rPr>
            </w:pPr>
            <w:r>
              <w:rPr>
                <w:rFonts w:hint="eastAsia"/>
                <w:color w:val="auto"/>
                <w:highlight w:val="none"/>
              </w:rPr>
              <w:t>序号</w:t>
            </w:r>
          </w:p>
        </w:tc>
        <w:tc>
          <w:tcPr>
            <w:tcW w:w="2033" w:type="dxa"/>
            <w:vAlign w:val="center"/>
          </w:tcPr>
          <w:p w14:paraId="322C0B70">
            <w:pPr>
              <w:pStyle w:val="29"/>
              <w:rPr>
                <w:rFonts w:hint="eastAsia"/>
                <w:color w:val="auto"/>
                <w:highlight w:val="none"/>
              </w:rPr>
            </w:pPr>
            <w:r>
              <w:rPr>
                <w:rFonts w:hint="eastAsia"/>
                <w:color w:val="auto"/>
                <w:highlight w:val="none"/>
              </w:rPr>
              <w:t>条款名称</w:t>
            </w:r>
          </w:p>
        </w:tc>
        <w:tc>
          <w:tcPr>
            <w:tcW w:w="5488" w:type="dxa"/>
            <w:vAlign w:val="center"/>
          </w:tcPr>
          <w:p w14:paraId="5EBF8D5F">
            <w:pPr>
              <w:pStyle w:val="29"/>
              <w:rPr>
                <w:rFonts w:hint="eastAsia"/>
                <w:color w:val="auto"/>
                <w:highlight w:val="none"/>
              </w:rPr>
            </w:pPr>
            <w:r>
              <w:rPr>
                <w:rFonts w:hint="eastAsia"/>
                <w:color w:val="auto"/>
                <w:highlight w:val="none"/>
              </w:rPr>
              <w:t>内容、说明与要求</w:t>
            </w:r>
          </w:p>
        </w:tc>
      </w:tr>
      <w:tr w14:paraId="48D4B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41" w:type="dxa"/>
            <w:vAlign w:val="center"/>
          </w:tcPr>
          <w:p w14:paraId="7B46C647">
            <w:pPr>
              <w:pStyle w:val="30"/>
              <w:rPr>
                <w:rFonts w:hint="eastAsia"/>
                <w:color w:val="auto"/>
                <w:highlight w:val="none"/>
              </w:rPr>
            </w:pPr>
            <w:r>
              <w:rPr>
                <w:rFonts w:hint="eastAsia"/>
                <w:color w:val="auto"/>
                <w:highlight w:val="none"/>
              </w:rPr>
              <w:t>1</w:t>
            </w:r>
          </w:p>
        </w:tc>
        <w:tc>
          <w:tcPr>
            <w:tcW w:w="2033" w:type="dxa"/>
            <w:vAlign w:val="center"/>
          </w:tcPr>
          <w:p w14:paraId="653194B1">
            <w:pPr>
              <w:pStyle w:val="29"/>
              <w:rPr>
                <w:rFonts w:hint="eastAsia"/>
                <w:b/>
                <w:color w:val="auto"/>
                <w:highlight w:val="none"/>
              </w:rPr>
            </w:pPr>
            <w:r>
              <w:rPr>
                <w:rFonts w:hint="eastAsia"/>
                <w:color w:val="auto"/>
                <w:highlight w:val="none"/>
              </w:rPr>
              <w:t>付款方式</w:t>
            </w:r>
          </w:p>
        </w:tc>
        <w:tc>
          <w:tcPr>
            <w:tcW w:w="5488" w:type="dxa"/>
            <w:vAlign w:val="center"/>
          </w:tcPr>
          <w:p w14:paraId="55A39F97">
            <w:pPr>
              <w:pStyle w:val="29"/>
              <w:rPr>
                <w:rFonts w:hint="eastAsia"/>
                <w:color w:val="auto"/>
                <w:highlight w:val="none"/>
              </w:rPr>
            </w:pPr>
            <w:r>
              <w:rPr>
                <w:rFonts w:hint="eastAsia"/>
                <w:color w:val="auto"/>
                <w:highlight w:val="none"/>
                <w:lang w:val="en-US" w:eastAsia="zh-CN"/>
              </w:rPr>
              <w:t>培训收入由招标人收取并负责监管，每期培训结束后按中标比例与乙方进行结算，经双方确认结算金额后一个月内，甲方一次性向乙方支付结算款项，并提供相应管理费的增值税发票。</w:t>
            </w:r>
          </w:p>
          <w:p w14:paraId="4CB43506">
            <w:pPr>
              <w:pStyle w:val="29"/>
              <w:rPr>
                <w:rFonts w:hint="eastAsia"/>
                <w:b/>
                <w:color w:val="auto"/>
                <w:highlight w:val="none"/>
              </w:rPr>
            </w:pPr>
            <w:r>
              <w:rPr>
                <w:rFonts w:hint="eastAsia"/>
                <w:color w:val="auto"/>
                <w:highlight w:val="none"/>
              </w:rPr>
              <w:t>注：投标人提交的响应文件中如有关于付款条件的表述与磋商文件规定负偏离的，响应无效。</w:t>
            </w:r>
          </w:p>
        </w:tc>
      </w:tr>
      <w:tr w14:paraId="402DB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41" w:type="dxa"/>
            <w:vAlign w:val="center"/>
          </w:tcPr>
          <w:p w14:paraId="22CBA215">
            <w:pPr>
              <w:pStyle w:val="30"/>
              <w:rPr>
                <w:rFonts w:hint="eastAsia"/>
                <w:color w:val="auto"/>
                <w:highlight w:val="none"/>
              </w:rPr>
            </w:pPr>
            <w:r>
              <w:rPr>
                <w:rFonts w:hint="eastAsia"/>
                <w:color w:val="auto"/>
                <w:highlight w:val="none"/>
              </w:rPr>
              <w:t>2</w:t>
            </w:r>
          </w:p>
        </w:tc>
        <w:tc>
          <w:tcPr>
            <w:tcW w:w="2033" w:type="dxa"/>
            <w:vAlign w:val="center"/>
          </w:tcPr>
          <w:p w14:paraId="7915C29D">
            <w:pPr>
              <w:pStyle w:val="29"/>
              <w:rPr>
                <w:rFonts w:hint="eastAsia"/>
                <w:b/>
                <w:color w:val="auto"/>
                <w:highlight w:val="none"/>
              </w:rPr>
            </w:pPr>
            <w:r>
              <w:rPr>
                <w:rFonts w:hint="eastAsia"/>
                <w:color w:val="auto"/>
                <w:highlight w:val="none"/>
              </w:rPr>
              <w:t>服务地点</w:t>
            </w:r>
          </w:p>
        </w:tc>
        <w:tc>
          <w:tcPr>
            <w:tcW w:w="5488" w:type="dxa"/>
            <w:vAlign w:val="center"/>
          </w:tcPr>
          <w:p w14:paraId="52D7E9B6">
            <w:pPr>
              <w:pStyle w:val="29"/>
              <w:rPr>
                <w:rFonts w:hint="eastAsia"/>
                <w:b/>
                <w:color w:val="auto"/>
                <w:highlight w:val="none"/>
              </w:rPr>
            </w:pPr>
            <w:r>
              <w:rPr>
                <w:rFonts w:hint="eastAsia"/>
                <w:color w:val="auto"/>
                <w:highlight w:val="none"/>
                <w:lang w:val="en-US" w:eastAsia="zh-CN"/>
              </w:rPr>
              <w:t>合肥市包河区滨湖新区中山路180号合肥市师范附属小学及合肥市包河区滨湖新区林芝路378号合肥市师范附属小学南区。</w:t>
            </w:r>
          </w:p>
        </w:tc>
      </w:tr>
      <w:tr w14:paraId="3DE6A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41" w:type="dxa"/>
            <w:vAlign w:val="center"/>
          </w:tcPr>
          <w:p w14:paraId="357F8CF9">
            <w:pPr>
              <w:pStyle w:val="30"/>
              <w:rPr>
                <w:rFonts w:hint="eastAsia"/>
                <w:color w:val="auto"/>
                <w:highlight w:val="none"/>
              </w:rPr>
            </w:pPr>
            <w:r>
              <w:rPr>
                <w:rFonts w:hint="eastAsia"/>
                <w:color w:val="auto"/>
                <w:highlight w:val="none"/>
              </w:rPr>
              <w:t>3</w:t>
            </w:r>
          </w:p>
        </w:tc>
        <w:tc>
          <w:tcPr>
            <w:tcW w:w="2033" w:type="dxa"/>
            <w:vAlign w:val="center"/>
          </w:tcPr>
          <w:p w14:paraId="794FF403">
            <w:pPr>
              <w:pStyle w:val="29"/>
              <w:rPr>
                <w:rFonts w:hint="eastAsia"/>
                <w:color w:val="auto"/>
                <w:highlight w:val="none"/>
              </w:rPr>
            </w:pPr>
            <w:r>
              <w:rPr>
                <w:rFonts w:hint="eastAsia"/>
                <w:color w:val="auto"/>
                <w:highlight w:val="none"/>
              </w:rPr>
              <w:t>服务期限</w:t>
            </w:r>
          </w:p>
        </w:tc>
        <w:tc>
          <w:tcPr>
            <w:tcW w:w="5488" w:type="dxa"/>
            <w:vAlign w:val="center"/>
          </w:tcPr>
          <w:p w14:paraId="0B5102D7">
            <w:pPr>
              <w:pStyle w:val="29"/>
              <w:rPr>
                <w:rFonts w:hint="eastAsia"/>
                <w:color w:val="auto"/>
                <w:highlight w:val="none"/>
              </w:rPr>
            </w:pPr>
            <w:r>
              <w:rPr>
                <w:rFonts w:hint="eastAsia"/>
                <w:color w:val="auto"/>
                <w:highlight w:val="none"/>
              </w:rPr>
              <w:t>合同签订后一年，服务期满，经招标人组织考核合格且入围最新的《包河区中小学体艺中心课程服务单位招募入围结果一览表》</w:t>
            </w:r>
            <w:r>
              <w:rPr>
                <w:rFonts w:hint="eastAsia"/>
                <w:color w:val="auto"/>
                <w:highlight w:val="none"/>
                <w:lang w:val="en-US" w:eastAsia="zh-CN"/>
              </w:rPr>
              <w:t>的，</w:t>
            </w:r>
            <w:r>
              <w:rPr>
                <w:rFonts w:hint="eastAsia"/>
                <w:color w:val="auto"/>
                <w:highlight w:val="none"/>
              </w:rPr>
              <w:t>可按原合同续签。</w:t>
            </w:r>
          </w:p>
        </w:tc>
      </w:tr>
    </w:tbl>
    <w:p w14:paraId="0E9265CA">
      <w:pPr>
        <w:spacing w:line="360" w:lineRule="auto"/>
        <w:ind w:firstLine="437"/>
        <w:rPr>
          <w:rFonts w:hint="eastAsia" w:ascii="宋体" w:hAnsi="宋体" w:eastAsia="宋体" w:cs="宋体"/>
          <w:b/>
          <w:color w:val="auto"/>
          <w:sz w:val="24"/>
          <w:szCs w:val="18"/>
          <w:highlight w:val="none"/>
        </w:rPr>
      </w:pPr>
      <w:bookmarkStart w:id="13" w:name="_Hlk16461016"/>
      <w:r>
        <w:rPr>
          <w:rFonts w:hint="eastAsia" w:ascii="宋体" w:hAnsi="宋体" w:eastAsia="宋体" w:cs="宋体"/>
          <w:b/>
          <w:color w:val="auto"/>
          <w:sz w:val="24"/>
          <w:szCs w:val="18"/>
          <w:highlight w:val="none"/>
        </w:rPr>
        <w:t>二、项目概况</w:t>
      </w:r>
    </w:p>
    <w:p w14:paraId="77F1947D">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为贯彻落实中共安徽省委《关于全面加强和改进新时代学校体育工作的若干措施》和《关于全面加强和改进新时代学校美育工作的若干措施》，加强包河区体艺教育优质发展，促进学生身心健康、全面发展，在包河区教育体育局的指导下，合肥滨湖时光体育发展有限公司（以下简称“公司”）拟与包河区部分公办中小学深入合作，开设“体艺特色发展中心”（以下简称“体艺中心”），为广大中小学生提供全面优质的体艺特色教育服务。</w:t>
      </w:r>
    </w:p>
    <w:p w14:paraId="09DA749A">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体艺中心坚持特色发展、普惠公益的原则，</w:t>
      </w:r>
      <w:bookmarkStart w:id="14" w:name="OLE_LINK10"/>
      <w:r>
        <w:rPr>
          <w:rFonts w:hint="eastAsia" w:ascii="宋体" w:hAnsi="宋体" w:eastAsia="宋体"/>
          <w:bCs/>
          <w:color w:val="auto"/>
          <w:sz w:val="24"/>
          <w:szCs w:val="18"/>
          <w:highlight w:val="none"/>
        </w:rPr>
        <w:t>在双休日、节假日、寒暑假期间为广大在校学生提供体育、文化艺术、科技类教育培训服务，丰富学生课余生活，充分发挥体艺育人功能。</w:t>
      </w:r>
    </w:p>
    <w:bookmarkEnd w:id="14"/>
    <w:p w14:paraId="1CB7EEB8">
      <w:pPr>
        <w:spacing w:line="360" w:lineRule="auto"/>
        <w:ind w:firstLine="437"/>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三、服务需求</w:t>
      </w:r>
    </w:p>
    <w:p w14:paraId="574DDA37">
      <w:pPr>
        <w:spacing w:line="360" w:lineRule="auto"/>
        <w:ind w:firstLine="437"/>
        <w:rPr>
          <w:rFonts w:hint="default" w:ascii="宋体" w:hAnsi="宋体" w:eastAsia="宋体" w:cs="宋体"/>
          <w:bCs/>
          <w:color w:val="FF0000"/>
          <w:sz w:val="24"/>
          <w:szCs w:val="18"/>
          <w:highlight w:val="none"/>
          <w:lang w:val="en-US" w:eastAsia="zh-CN"/>
        </w:rPr>
      </w:pPr>
      <w:r>
        <w:rPr>
          <w:rFonts w:hint="eastAsia" w:ascii="宋体" w:hAnsi="宋体" w:eastAsia="宋体" w:cs="宋体"/>
          <w:bCs/>
          <w:color w:val="auto"/>
          <w:sz w:val="24"/>
          <w:szCs w:val="18"/>
          <w:highlight w:val="none"/>
        </w:rPr>
        <w:t>合肥市师范附属小学拟开设</w:t>
      </w:r>
      <w:r>
        <w:rPr>
          <w:rFonts w:hint="eastAsia" w:ascii="宋体" w:hAnsi="宋体" w:eastAsia="宋体" w:cs="宋体"/>
          <w:bCs/>
          <w:color w:val="auto"/>
          <w:sz w:val="24"/>
          <w:szCs w:val="18"/>
          <w:highlight w:val="none"/>
          <w:lang w:val="en-US" w:eastAsia="zh-CN"/>
        </w:rPr>
        <w:t>足球、轮滑、国际象棋、围棋、中国象棋、国际跳棋、花样跳绳、</w:t>
      </w:r>
      <w:r>
        <w:rPr>
          <w:rFonts w:hint="eastAsia" w:ascii="宋体" w:hAnsi="宋体" w:eastAsia="宋体" w:cs="宋体"/>
          <w:bCs/>
          <w:color w:val="auto"/>
          <w:sz w:val="24"/>
          <w:szCs w:val="18"/>
          <w:highlight w:val="none"/>
        </w:rPr>
        <w:t>篮球课程，</w:t>
      </w:r>
      <w:r>
        <w:rPr>
          <w:rFonts w:hint="eastAsia" w:ascii="宋体" w:hAnsi="宋体" w:eastAsia="宋体" w:cs="宋体"/>
          <w:bCs/>
          <w:color w:val="auto"/>
          <w:sz w:val="24"/>
          <w:szCs w:val="18"/>
          <w:highlight w:val="none"/>
          <w:lang w:val="en-US" w:eastAsia="zh-CN"/>
        </w:rPr>
        <w:t>每年拟设置三个学期，包括春季学期、暑假学期及秋季学期，部分课程需设置不同班次。</w:t>
      </w:r>
    </w:p>
    <w:p w14:paraId="60B953DC">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现针对</w:t>
      </w:r>
      <w:r>
        <w:rPr>
          <w:rFonts w:hint="eastAsia" w:ascii="宋体" w:hAnsi="宋体" w:eastAsia="宋体" w:cs="宋体"/>
          <w:bCs/>
          <w:color w:val="auto"/>
          <w:sz w:val="24"/>
          <w:szCs w:val="18"/>
          <w:highlight w:val="none"/>
          <w:lang w:val="en-US" w:eastAsia="zh-CN"/>
        </w:rPr>
        <w:t>以上课程服务单位</w:t>
      </w:r>
      <w:r>
        <w:rPr>
          <w:rFonts w:hint="eastAsia" w:ascii="宋体" w:hAnsi="宋体" w:eastAsia="宋体" w:cs="宋体"/>
          <w:bCs/>
          <w:color w:val="auto"/>
          <w:sz w:val="24"/>
          <w:szCs w:val="18"/>
          <w:highlight w:val="none"/>
        </w:rPr>
        <w:t>进行招标，负责学生培训、校队建设、安全保障等事宜，</w:t>
      </w:r>
      <w:r>
        <w:rPr>
          <w:rFonts w:hint="eastAsia" w:ascii="宋体" w:hAnsi="宋体" w:eastAsia="宋体" w:cs="宋体"/>
          <w:bCs/>
          <w:color w:val="auto"/>
          <w:sz w:val="24"/>
          <w:szCs w:val="18"/>
          <w:highlight w:val="none"/>
          <w:lang w:val="en-US" w:eastAsia="zh-CN"/>
        </w:rPr>
        <w:t>中标人需负责以下内容</w:t>
      </w:r>
      <w:r>
        <w:rPr>
          <w:rFonts w:hint="eastAsia" w:ascii="宋体" w:hAnsi="宋体" w:eastAsia="宋体" w:cs="宋体"/>
          <w:bCs/>
          <w:color w:val="auto"/>
          <w:sz w:val="24"/>
          <w:szCs w:val="18"/>
          <w:highlight w:val="none"/>
        </w:rPr>
        <w:t>：</w:t>
      </w:r>
    </w:p>
    <w:p w14:paraId="40D2FDA2">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1、根据学校开设的不同等级的班级，服务不同的学生群体，制定具有差异性的授课方案，如基础班，公益普惠性班级，适合无基础或基础较为薄弱的一二年级学生，以增强学生身体素质、培养兴趣爱好为主要目标；提高班，特色班级，适合基础较好的三到六年级学生，带领组织学生参加赛事、考级，以获得荣誉、拓展学生未来发展方向为主要目标。</w:t>
      </w:r>
    </w:p>
    <w:p w14:paraId="7958FA1A">
      <w:pPr>
        <w:spacing w:line="360" w:lineRule="auto"/>
        <w:ind w:firstLine="437"/>
        <w:rPr>
          <w:rFonts w:hint="default" w:ascii="宋体" w:hAnsi="宋体" w:eastAsia="宋体" w:cs="宋体"/>
          <w:bCs/>
          <w:color w:val="auto"/>
          <w:sz w:val="24"/>
          <w:szCs w:val="18"/>
          <w:highlight w:val="none"/>
          <w:lang w:val="en-US" w:eastAsia="zh-CN"/>
        </w:rPr>
      </w:pPr>
      <w:r>
        <w:rPr>
          <w:rFonts w:hint="eastAsia" w:ascii="宋体" w:hAnsi="宋体" w:eastAsia="宋体" w:cs="宋体"/>
          <w:bCs/>
          <w:color w:val="auto"/>
          <w:sz w:val="24"/>
          <w:szCs w:val="18"/>
          <w:highlight w:val="none"/>
        </w:rPr>
        <w:t>2、保证师资力量充足，从教教师必须具有体育/文化艺术/科技类教师资格证或其它符合政策要求的入校教学资质要求，如教练员证、社会体育指导员证、裁判员证、社会艺术水平考级证书等，同时根据学校要求安排资质、能力、教学经验达标的教师带领不同的班级。</w:t>
      </w:r>
      <w:r>
        <w:rPr>
          <w:rFonts w:hint="eastAsia" w:ascii="宋体" w:hAnsi="宋体" w:eastAsia="宋体" w:cs="宋体"/>
          <w:bCs/>
          <w:color w:val="auto"/>
          <w:sz w:val="24"/>
          <w:szCs w:val="18"/>
          <w:highlight w:val="none"/>
          <w:lang w:val="en-US" w:eastAsia="zh-CN"/>
        </w:rPr>
        <w:t>培训期间，由</w:t>
      </w:r>
      <w:r>
        <w:rPr>
          <w:rFonts w:hint="eastAsia" w:ascii="宋体" w:hAnsi="宋体" w:eastAsia="宋体" w:cs="宋体"/>
          <w:bCs/>
          <w:color w:val="auto"/>
          <w:sz w:val="24"/>
          <w:szCs w:val="18"/>
          <w:highlight w:val="none"/>
        </w:rPr>
        <w:t>学校负责提供场地和部分设施设备，学校没有的</w:t>
      </w:r>
      <w:r>
        <w:rPr>
          <w:rFonts w:hint="eastAsia" w:ascii="宋体" w:hAnsi="宋体" w:eastAsia="宋体" w:cs="宋体"/>
          <w:bCs/>
          <w:color w:val="auto"/>
          <w:sz w:val="24"/>
          <w:szCs w:val="18"/>
          <w:highlight w:val="none"/>
          <w:lang w:eastAsia="zh-CN"/>
        </w:rPr>
        <w:t>，</w:t>
      </w:r>
      <w:r>
        <w:rPr>
          <w:rFonts w:hint="eastAsia" w:ascii="宋体" w:hAnsi="宋体" w:eastAsia="宋体" w:cs="宋体"/>
          <w:bCs/>
          <w:color w:val="auto"/>
          <w:sz w:val="24"/>
          <w:szCs w:val="18"/>
          <w:highlight w:val="none"/>
          <w:lang w:val="en-US" w:eastAsia="zh-CN"/>
        </w:rPr>
        <w:t>由中标人协调解决。</w:t>
      </w:r>
      <w:r>
        <w:rPr>
          <w:rFonts w:hint="eastAsia" w:ascii="宋体" w:hAnsi="宋体" w:eastAsia="宋体" w:cs="宋体"/>
          <w:bCs/>
          <w:color w:val="auto"/>
          <w:sz w:val="24"/>
          <w:szCs w:val="18"/>
          <w:highlight w:val="none"/>
        </w:rPr>
        <w:t>如果同一个课程报名人数太多、成立的班级太多，</w:t>
      </w:r>
      <w:r>
        <w:rPr>
          <w:rFonts w:hint="eastAsia" w:ascii="宋体" w:hAnsi="宋体" w:eastAsia="宋体" w:cs="宋体"/>
          <w:bCs/>
          <w:color w:val="auto"/>
          <w:sz w:val="24"/>
          <w:szCs w:val="18"/>
          <w:highlight w:val="none"/>
          <w:lang w:val="en-US" w:eastAsia="zh-CN"/>
        </w:rPr>
        <w:t>中标人需</w:t>
      </w:r>
      <w:r>
        <w:rPr>
          <w:rFonts w:hint="eastAsia" w:ascii="宋体" w:hAnsi="宋体" w:eastAsia="宋体" w:cs="宋体"/>
          <w:bCs/>
          <w:color w:val="auto"/>
          <w:sz w:val="24"/>
          <w:szCs w:val="18"/>
          <w:highlight w:val="none"/>
        </w:rPr>
        <w:t>提供一个额外的教务人员，负责点名签到维持秩序，不用参与授课。</w:t>
      </w:r>
      <w:r>
        <w:rPr>
          <w:rFonts w:hint="eastAsia" w:ascii="宋体" w:hAnsi="宋体" w:eastAsia="宋体" w:cs="宋体"/>
          <w:bCs/>
          <w:color w:val="auto"/>
          <w:sz w:val="24"/>
          <w:szCs w:val="18"/>
          <w:highlight w:val="none"/>
          <w:lang w:val="en-US" w:eastAsia="zh-CN"/>
        </w:rPr>
        <w:t>由中标人负责支付所有老师及教务人员薪资，如中标人拖欠薪资，由此造成的劳动/劳务纠纷均由中标人解决并承担支付责任，包含但不限于薪资、赔偿、诉讼费及可能产生的一切费用。如给招标人带来不良影响或损失的，中标人须承担全部责任并赔偿招标人损失。</w:t>
      </w:r>
    </w:p>
    <w:p w14:paraId="657FB7DF">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3、参与校队人才的选拔，积极协助学校校队建设。根据学校需求维持目前的校队培训方案，可尝试组建培养新的主力校队，制定具有特色的培养计划，并运用到课程和日常管理中。积极组织带领学生参与体育、艺术、科技类赛事和考级，为学校争取荣誉</w:t>
      </w:r>
      <w:r>
        <w:rPr>
          <w:rFonts w:hint="eastAsia" w:ascii="宋体" w:hAnsi="宋体" w:eastAsia="宋体" w:cs="宋体"/>
          <w:bCs/>
          <w:color w:val="auto"/>
          <w:sz w:val="24"/>
          <w:szCs w:val="18"/>
          <w:highlight w:val="none"/>
          <w:lang w:eastAsia="zh-CN"/>
        </w:rPr>
        <w:t>，</w:t>
      </w:r>
      <w:r>
        <w:rPr>
          <w:rFonts w:hint="eastAsia" w:ascii="宋体" w:hAnsi="宋体" w:eastAsia="宋体" w:cs="宋体"/>
          <w:bCs/>
          <w:color w:val="auto"/>
          <w:sz w:val="24"/>
          <w:szCs w:val="18"/>
          <w:highlight w:val="none"/>
          <w:lang w:val="en-US" w:eastAsia="zh-CN"/>
        </w:rPr>
        <w:t>期间可能需要配备的裁判、教练等专业人员均由中标人负责提供并承担相应费用，均包含在合同价中，招标人不再另行支付</w:t>
      </w:r>
      <w:r>
        <w:rPr>
          <w:rFonts w:hint="eastAsia" w:ascii="宋体" w:hAnsi="宋体" w:eastAsia="宋体" w:cs="宋体"/>
          <w:bCs/>
          <w:color w:val="auto"/>
          <w:sz w:val="24"/>
          <w:szCs w:val="18"/>
          <w:highlight w:val="none"/>
        </w:rPr>
        <w:t>。</w:t>
      </w:r>
    </w:p>
    <w:p w14:paraId="6FBDCCBC">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4、</w:t>
      </w:r>
      <w:r>
        <w:rPr>
          <w:rFonts w:hint="eastAsia" w:ascii="宋体" w:hAnsi="宋体" w:eastAsia="宋体" w:cs="宋体"/>
          <w:bCs/>
          <w:color w:val="auto"/>
          <w:sz w:val="24"/>
          <w:szCs w:val="18"/>
          <w:highlight w:val="none"/>
          <w:lang w:val="en-US" w:eastAsia="zh-CN"/>
        </w:rPr>
        <w:t>由中标人负责</w:t>
      </w:r>
      <w:r>
        <w:rPr>
          <w:rFonts w:hint="eastAsia" w:ascii="宋体" w:hAnsi="宋体" w:eastAsia="宋体" w:cs="宋体"/>
          <w:bCs/>
          <w:color w:val="auto"/>
          <w:sz w:val="24"/>
          <w:szCs w:val="18"/>
          <w:highlight w:val="none"/>
        </w:rPr>
        <w:t>服务过程中的安全</w:t>
      </w:r>
      <w:r>
        <w:rPr>
          <w:rFonts w:hint="eastAsia" w:ascii="宋体" w:hAnsi="宋体" w:eastAsia="宋体" w:cs="宋体"/>
          <w:bCs/>
          <w:color w:val="auto"/>
          <w:sz w:val="24"/>
          <w:szCs w:val="18"/>
          <w:highlight w:val="none"/>
          <w:lang w:val="en-US" w:eastAsia="zh-CN"/>
        </w:rPr>
        <w:t>管理</w:t>
      </w:r>
      <w:r>
        <w:rPr>
          <w:rFonts w:hint="eastAsia" w:ascii="宋体" w:hAnsi="宋体" w:eastAsia="宋体" w:cs="宋体"/>
          <w:bCs/>
          <w:color w:val="auto"/>
          <w:sz w:val="24"/>
          <w:szCs w:val="18"/>
          <w:highlight w:val="none"/>
        </w:rPr>
        <w:t>工作，做好从教师的防火、防灾、防伤害培训，保证班级学生的人身安全。教师在授课开始前应知悉学生的身体状况，防止培训过度或防护不足造成的身体和心理损伤。中标人应对培训学生购买学生意外险。</w:t>
      </w:r>
    </w:p>
    <w:p w14:paraId="5F64499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18"/>
          <w:highlight w:val="none"/>
        </w:rPr>
        <w:t>5、中标人在服务期限内，应牢固树立问题意识、安全意识、风险意识、责任意识、廉洁意识，全面加强防范和控制，不得收受家长学生的赠礼、物品和现金。防止出现意识形态领域问题和重大安全事故。如出现相关问题，招标人有权解除合同并进行追责。</w:t>
      </w:r>
    </w:p>
    <w:p w14:paraId="16E3F33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中标人应当向招标人、学生及家长明示机构名称、教师的收费项目、收费标准、退费办法、上课时间和服务承诺等内容，公开透明开展培训活动，中标人、中标人的教师人员不得在公示的项目和标准外向学生收取其他费用。</w:t>
      </w:r>
    </w:p>
    <w:p w14:paraId="1029A1D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中标人的教师人员、管理人员应当符合《校外培训机构从业人员管理办法(试行)》对从业人员的有关要求，品行端正，具备良好的思想品德和职业道德，核查无违法犯罪记录。具有正常开展教育活动的身体条件，无传染性疾病。</w:t>
      </w:r>
    </w:p>
    <w:p w14:paraId="283259A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中标人的培训课程及材料需符合《中小学生校外培训材料管理办法(试行)》有关要求，弘扬社会主义核心价值观，培训课程管理规范，培训内容健康向上，教育教学方法得当，遵循教育规律，符合学生成长规律，有利于学生德智体美劳全面发展。</w:t>
      </w:r>
    </w:p>
    <w:p w14:paraId="7CFF069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9、在履约过程中，招标人有义务共</w:t>
      </w:r>
      <w:r>
        <w:rPr>
          <w:rFonts w:ascii="宋体" w:hAnsi="宋体" w:eastAsia="宋体" w:cs="宋体"/>
          <w:color w:val="auto"/>
          <w:sz w:val="24"/>
          <w:szCs w:val="24"/>
          <w:highlight w:val="none"/>
        </w:rPr>
        <w:t>同加强</w:t>
      </w:r>
      <w:r>
        <w:rPr>
          <w:rFonts w:hint="eastAsia" w:ascii="宋体" w:hAnsi="宋体" w:eastAsia="宋体" w:cs="宋体"/>
          <w:color w:val="auto"/>
          <w:sz w:val="24"/>
          <w:szCs w:val="24"/>
          <w:highlight w:val="none"/>
        </w:rPr>
        <w:t>监督管理，根据学生满意度评价和人才培养结果</w:t>
      </w:r>
      <w:r>
        <w:rPr>
          <w:rFonts w:ascii="宋体" w:hAnsi="宋体" w:eastAsia="宋体" w:cs="宋体"/>
          <w:color w:val="auto"/>
          <w:sz w:val="24"/>
          <w:szCs w:val="24"/>
          <w:highlight w:val="none"/>
        </w:rPr>
        <w:t>进行</w:t>
      </w:r>
      <w:r>
        <w:rPr>
          <w:rFonts w:hint="eastAsia" w:ascii="宋体" w:hAnsi="宋体" w:eastAsia="宋体" w:cs="宋体"/>
          <w:color w:val="auto"/>
          <w:sz w:val="24"/>
          <w:szCs w:val="24"/>
          <w:highlight w:val="none"/>
        </w:rPr>
        <w:t>动态调整，保障教学质量。</w:t>
      </w:r>
    </w:p>
    <w:p w14:paraId="12094A2F">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10、中标人除负责课程培训外，还需参与学校的赛事活动、考级活动等体艺人才梯队建设工作，如学校有需要，需提供专业的裁判员、考级专家、评审专家等，协助学校完成相关工作，</w:t>
      </w:r>
      <w:r>
        <w:rPr>
          <w:rFonts w:hint="eastAsia" w:ascii="宋体" w:hAnsi="宋体" w:eastAsia="宋体" w:cs="宋体"/>
          <w:bCs/>
          <w:color w:val="auto"/>
          <w:sz w:val="24"/>
          <w:szCs w:val="18"/>
          <w:highlight w:val="none"/>
          <w:lang w:val="en-US" w:eastAsia="zh-CN"/>
        </w:rPr>
        <w:t>期间可能产生的费用均由中标人承担，均包含在合同价中，招标人不再另行支付</w:t>
      </w:r>
      <w:r>
        <w:rPr>
          <w:rFonts w:hint="eastAsia" w:ascii="宋体" w:hAnsi="宋体" w:eastAsia="宋体" w:cs="宋体"/>
          <w:color w:val="auto"/>
          <w:sz w:val="24"/>
          <w:szCs w:val="24"/>
          <w:highlight w:val="none"/>
          <w:lang w:val="en-US" w:eastAsia="zh-CN"/>
        </w:rPr>
        <w:t>。中标人应按照学校要求，临时增加部分赛前集训班、考级集训班，学校组织家长报名，报名费仍由招标人收取，按招标文件约定与中标人分成。</w:t>
      </w:r>
    </w:p>
    <w:p w14:paraId="620F8DB2">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11、由中标人负责提供培训期间的医疗保障服务，并承担相应费用。</w:t>
      </w:r>
    </w:p>
    <w:p w14:paraId="3EEA1A0E">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12、招标人和校方在每期课程培训服务结束后，对投标人课程培训服务进行考核打分，如考核不合格将解除合同，停止后续合作。如考核合格将继续履行合同期内合作，招标人并有权要求提升改进教学方式。</w:t>
      </w:r>
    </w:p>
    <w:p w14:paraId="276CF3F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13、中标人服务期间，由中标人负责向报名客户开具发票，如中标人拒绝开具的，招标人有权拒绝支付分成款项，由此造成一切纠纷、损失由中标人自行承担，与招标人无关。</w:t>
      </w:r>
    </w:p>
    <w:p w14:paraId="25694662">
      <w:pPr>
        <w:spacing w:line="360" w:lineRule="auto"/>
        <w:ind w:firstLine="482" w:firstLineChars="200"/>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四、报价要求</w:t>
      </w:r>
    </w:p>
    <w:p w14:paraId="5B4C2CEC">
      <w:pPr>
        <w:spacing w:line="360" w:lineRule="auto"/>
        <w:ind w:firstLine="480" w:firstLineChars="200"/>
        <w:rPr>
          <w:rFonts w:hint="default" w:ascii="宋体" w:hAnsi="宋体" w:eastAsia="宋体" w:cs="宋体"/>
          <w:color w:val="auto"/>
          <w:sz w:val="24"/>
          <w:szCs w:val="24"/>
          <w:highlight w:val="none"/>
          <w:lang w:val="en-US" w:eastAsia="zh-CN"/>
        </w:rPr>
      </w:pPr>
      <w:bookmarkStart w:id="15" w:name="OLE_LINK1"/>
      <w:r>
        <w:rPr>
          <w:rFonts w:hint="eastAsia" w:ascii="宋体" w:hAnsi="宋体" w:eastAsia="宋体" w:cs="宋体"/>
          <w:color w:val="auto"/>
          <w:sz w:val="24"/>
          <w:szCs w:val="24"/>
          <w:highlight w:val="none"/>
          <w:lang w:val="en-US" w:eastAsia="zh-CN"/>
        </w:rPr>
        <w:t>1、本项目采用费率报价，投标人应报出投标人的分成比例，仅计取小数点后两位，例如报价78.999%，按78.99%计，不再“四舍五入”，且投标费率不得超过相应标段的最高限价，否则，报价无效。</w:t>
      </w:r>
      <w:r>
        <w:rPr>
          <w:rFonts w:hint="eastAsia" w:ascii="宋体" w:hAnsi="宋体" w:eastAsia="宋体" w:cs="宋体"/>
          <w:b/>
          <w:bCs/>
          <w:color w:val="auto"/>
          <w:sz w:val="24"/>
          <w:szCs w:val="24"/>
          <w:highlight w:val="none"/>
          <w:lang w:val="en-US" w:eastAsia="zh-CN"/>
        </w:rPr>
        <w:t>其中，第1标段分成比例限价80%，第2标段分成比例限价80%，第3标段分成比例限价60%，第4标段分成比例限价50%，第5标段分成比例限价50%，第6标段分成比例限价50%，第7标段分成比例限价80%。</w:t>
      </w:r>
      <w:r>
        <w:rPr>
          <w:rFonts w:hint="eastAsia" w:ascii="宋体" w:hAnsi="宋体" w:eastAsia="宋体" w:cs="宋体"/>
          <w:color w:val="auto"/>
          <w:sz w:val="24"/>
          <w:szCs w:val="24"/>
          <w:highlight w:val="none"/>
          <w:lang w:val="en-US" w:eastAsia="zh-CN"/>
        </w:rPr>
        <w:t>中标后，中标费率作为招标人与中标人结算依据，结算金额=</w:t>
      </w:r>
      <w:bookmarkEnd w:id="15"/>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中标人按权责发生制已实现的收入</w:t>
      </w:r>
      <w:r>
        <w:rPr>
          <w:rFonts w:hint="eastAsia" w:ascii="宋体" w:hAnsi="宋体" w:eastAsia="宋体" w:cs="宋体"/>
          <w:color w:val="auto"/>
          <w:sz w:val="24"/>
          <w:szCs w:val="24"/>
          <w:highlight w:val="none"/>
          <w:lang w:val="en-US" w:eastAsia="zh-CN"/>
        </w:rPr>
        <w:t>&lt;</w:t>
      </w:r>
      <w:r>
        <w:rPr>
          <w:rFonts w:hint="eastAsia" w:ascii="宋体" w:hAnsi="宋体" w:eastAsia="宋体" w:cs="宋体"/>
          <w:color w:val="auto"/>
          <w:sz w:val="24"/>
          <w:szCs w:val="24"/>
          <w:highlight w:val="none"/>
        </w:rPr>
        <w:t>不包含预付中尚未发生的金额，每期中途退课的学生费用从营业额中实时扣除</w:t>
      </w:r>
      <w:r>
        <w:rPr>
          <w:rFonts w:hint="eastAsia" w:ascii="宋体" w:hAnsi="宋体" w:eastAsia="宋体" w:cs="宋体"/>
          <w:color w:val="auto"/>
          <w:sz w:val="24"/>
          <w:szCs w:val="24"/>
          <w:highlight w:val="none"/>
          <w:lang w:val="en-US" w:eastAsia="zh-CN"/>
        </w:rPr>
        <w:t>&gt;）*中标费率,支付方式按招标文件执行。例如，某中标单位中标费率为75.78%，某期课程按权责发生制已实现的收入为100万元，则该期课程结束后，招标人应支付中标人的费用=100万元*75.78%=75.78万元。</w:t>
      </w:r>
    </w:p>
    <w:p w14:paraId="14643E24">
      <w:pPr>
        <w:spacing w:before="34" w:line="360" w:lineRule="auto"/>
        <w:ind w:left="4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2、支付方式</w:t>
      </w:r>
    </w:p>
    <w:p w14:paraId="3C4EB8D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培训收入由招标人收取并负责监管，每期培训结束后按中标比例与乙方进行结算，经双方确认结算金额后一个月内，甲方一次性向乙方支付结算款项，并提供相应管理费的增值税发票。</w:t>
      </w:r>
    </w:p>
    <w:p w14:paraId="3B9E4210">
      <w:pPr>
        <w:spacing w:line="360" w:lineRule="auto"/>
        <w:ind w:firstLine="437"/>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五、其他要求</w:t>
      </w:r>
    </w:p>
    <w:p w14:paraId="153C81E8">
      <w:pPr>
        <w:spacing w:line="360" w:lineRule="auto"/>
        <w:ind w:firstLine="43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内部空间改造：中标人若需对学校场地进行配合培训及赛事服务需求的内部空间改造，并须在改造期（10个工作日）内一次性完成。中标人在中标后7日内提供书面内部空间改造方案，经招标人及校方审核同意之后中标人方可实施，其中改造产生的所有费用由中标人承担，后期场馆内维修费用由中标人自理。</w:t>
      </w:r>
      <w:r>
        <w:rPr>
          <w:rFonts w:hint="eastAsia" w:ascii="宋体" w:hAnsi="宋体" w:eastAsia="宋体" w:cs="宋体"/>
          <w:color w:val="auto"/>
          <w:sz w:val="24"/>
          <w:szCs w:val="24"/>
          <w:highlight w:val="none"/>
          <w:lang w:eastAsia="zh-CN"/>
        </w:rPr>
        <w:t>中标人不得擅自改变场馆内所有建筑及构筑物的外立面、结构。</w:t>
      </w:r>
    </w:p>
    <w:p w14:paraId="4D505761">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2、中标人在运营时间内需负责</w:t>
      </w:r>
      <w:bookmarkStart w:id="16" w:name="OLE_LINK2"/>
      <w:r>
        <w:rPr>
          <w:rFonts w:hint="eastAsia" w:ascii="宋体" w:hAnsi="宋体" w:eastAsia="宋体" w:cs="宋体"/>
          <w:color w:val="auto"/>
          <w:sz w:val="24"/>
          <w:szCs w:val="24"/>
          <w:highlight w:val="none"/>
          <w:lang w:val="en-US" w:eastAsia="zh-CN"/>
        </w:rPr>
        <w:t>中标标段对应</w:t>
      </w:r>
      <w:r>
        <w:rPr>
          <w:rFonts w:hint="eastAsia" w:ascii="宋体" w:hAnsi="宋体" w:eastAsia="宋体" w:cs="宋体"/>
          <w:color w:val="auto"/>
          <w:sz w:val="24"/>
          <w:szCs w:val="24"/>
          <w:highlight w:val="none"/>
          <w:lang w:eastAsia="zh-CN"/>
        </w:rPr>
        <w:t>课程培训场地内</w:t>
      </w:r>
      <w:bookmarkEnd w:id="16"/>
      <w:r>
        <w:rPr>
          <w:rFonts w:hint="eastAsia" w:ascii="宋体" w:hAnsi="宋体" w:eastAsia="宋体" w:cs="宋体"/>
          <w:color w:val="auto"/>
          <w:sz w:val="24"/>
          <w:szCs w:val="24"/>
          <w:highlight w:val="none"/>
          <w:lang w:eastAsia="zh-CN"/>
        </w:rPr>
        <w:t>所有的安全管理：</w:t>
      </w:r>
    </w:p>
    <w:p w14:paraId="1E3503A0">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（1）中标人应对提供详细的</w:t>
      </w:r>
      <w:r>
        <w:rPr>
          <w:rFonts w:hint="eastAsia" w:ascii="宋体" w:hAnsi="宋体" w:eastAsia="宋体" w:cs="宋体"/>
          <w:b w:val="0"/>
          <w:bCs w:val="0"/>
          <w:color w:val="auto"/>
          <w:sz w:val="24"/>
          <w:szCs w:val="24"/>
          <w:highlight w:val="none"/>
          <w:lang w:eastAsia="zh-CN"/>
        </w:rPr>
        <w:t>安全保障方案（内容包括：流量管控、应急处置、医疗援助等安全管理)，且安全保障方案需流程明确且具备可操作性。如因服务期间管理不当造成人员伤亡的，中标人承担全部责任。</w:t>
      </w:r>
    </w:p>
    <w:p w14:paraId="72D8CD5D">
      <w:pPr>
        <w:pStyle w:val="58"/>
        <w:widowControl w:val="0"/>
        <w:tabs>
          <w:tab w:val="left" w:pos="689"/>
        </w:tabs>
        <w:adjustRightInd/>
        <w:spacing w:line="360" w:lineRule="auto"/>
        <w:ind w:left="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lang w:eastAsia="zh-CN"/>
        </w:rPr>
        <w:t>（2）中标人在服务期限内，应牢固树立问题意识、忧患意识、风险意识、责任意识，签订安全承诺书，全面加强防范和控制，防止出现意识形态领域问题和重大安全事故。</w:t>
      </w:r>
      <w:r>
        <w:rPr>
          <w:rFonts w:hint="eastAsia" w:ascii="宋体" w:hAnsi="宋体" w:eastAsia="宋体" w:cs="宋体"/>
          <w:b w:val="0"/>
          <w:bCs w:val="0"/>
          <w:color w:val="auto"/>
          <w:sz w:val="24"/>
          <w:szCs w:val="24"/>
          <w:highlight w:val="none"/>
          <w:lang w:eastAsia="zh-CN"/>
        </w:rPr>
        <w:t>如出现相关问题，招标人有权解除合同并进行追责，所产生的一切损失由中标人承担。</w:t>
      </w:r>
    </w:p>
    <w:p w14:paraId="024B6A7D">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3、中标人在服务时间内需负责</w:t>
      </w:r>
      <w:r>
        <w:rPr>
          <w:rFonts w:hint="eastAsia" w:ascii="宋体" w:hAnsi="宋体" w:eastAsia="宋体" w:cs="宋体"/>
          <w:color w:val="auto"/>
          <w:sz w:val="24"/>
          <w:szCs w:val="24"/>
          <w:highlight w:val="none"/>
          <w:lang w:val="en-US" w:eastAsia="zh-CN"/>
        </w:rPr>
        <w:t>中标标段对应</w:t>
      </w:r>
      <w:r>
        <w:rPr>
          <w:rFonts w:hint="eastAsia" w:ascii="宋体" w:hAnsi="宋体" w:eastAsia="宋体" w:cs="宋体"/>
          <w:color w:val="auto"/>
          <w:sz w:val="24"/>
          <w:szCs w:val="24"/>
          <w:highlight w:val="none"/>
          <w:lang w:eastAsia="zh-CN"/>
        </w:rPr>
        <w:t>课程培训场地内赛事活动组织及执行：</w:t>
      </w:r>
    </w:p>
    <w:p w14:paraId="22410113">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（1）中标人在服务期内，必须派专项项目负责人或团队驻场。</w:t>
      </w:r>
    </w:p>
    <w:p w14:paraId="32D2EA35">
      <w:pPr>
        <w:pStyle w:val="58"/>
        <w:widowControl w:val="0"/>
        <w:tabs>
          <w:tab w:val="left" w:pos="689"/>
        </w:tabs>
        <w:adjustRightIn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（2）中标人服务期间需悬挂服务项目营业执照、经营从业人员资格证等相关证件；若因证照不全导致的相关责任和损失由中标人承担。</w:t>
      </w:r>
    </w:p>
    <w:p w14:paraId="606FB57D">
      <w:pPr>
        <w:spacing w:line="360" w:lineRule="auto"/>
        <w:ind w:firstLine="480" w:firstLineChars="200"/>
        <w:rPr>
          <w:rFonts w:hint="eastAsia" w:ascii="宋体" w:hAnsi="宋体" w:eastAsia="宋体"/>
          <w:b w:val="0"/>
          <w:bCs w:val="0"/>
          <w:color w:val="auto"/>
          <w:sz w:val="24"/>
          <w:szCs w:val="18"/>
          <w:highlight w:val="none"/>
        </w:rPr>
      </w:pPr>
      <w:r>
        <w:rPr>
          <w:rFonts w:hint="eastAsia" w:ascii="宋体" w:hAnsi="宋体" w:eastAsia="宋体" w:cs="宋体"/>
          <w:color w:val="auto"/>
          <w:sz w:val="24"/>
          <w:szCs w:val="24"/>
          <w:highlight w:val="none"/>
        </w:rPr>
        <w:t>（3）</w:t>
      </w:r>
      <w:r>
        <w:rPr>
          <w:rFonts w:hint="eastAsia" w:ascii="宋体" w:hAnsi="宋体" w:eastAsia="宋体"/>
          <w:bCs/>
          <w:color w:val="auto"/>
          <w:sz w:val="24"/>
          <w:szCs w:val="18"/>
          <w:highlight w:val="none"/>
        </w:rPr>
        <w:t>课程的收费标准遵循公益普惠原则，根据参与学生人数、服务内容、服务时间等核定，并接受我司和学校的指导建议；学校和公司根据学校师资、场地、特色发展等因素选取课程；家长根据需求自愿选择。</w:t>
      </w:r>
      <w:r>
        <w:rPr>
          <w:rFonts w:hint="eastAsia" w:ascii="宋体" w:hAnsi="宋体" w:eastAsia="宋体" w:cs="宋体"/>
          <w:color w:val="auto"/>
          <w:sz w:val="24"/>
          <w:szCs w:val="24"/>
          <w:highlight w:val="none"/>
        </w:rPr>
        <w:t>不得擅自提价，如中标人存在擅自提价或违规收费情况，</w:t>
      </w:r>
      <w:r>
        <w:rPr>
          <w:rFonts w:hint="eastAsia" w:ascii="宋体" w:hAnsi="宋体" w:eastAsia="宋体" w:cs="宋体"/>
          <w:b w:val="0"/>
          <w:bCs w:val="0"/>
          <w:color w:val="auto"/>
          <w:sz w:val="24"/>
          <w:szCs w:val="24"/>
          <w:highlight w:val="none"/>
        </w:rPr>
        <w:t>招标人将采取相应措施责令中标人停业整顿及违约金2万元/次（招标人从投标人分成中直接扣除），中标人承担由此所产生的一切（包括但不限于物价及相关部门的违约金等）责任和后果，且招标人有权单方解除合同。</w:t>
      </w:r>
    </w:p>
    <w:p w14:paraId="38926C21">
      <w:pPr>
        <w:pStyle w:val="58"/>
        <w:widowControl w:val="0"/>
        <w:tabs>
          <w:tab w:val="left" w:pos="689"/>
        </w:tabs>
        <w:adjustRightIn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（4）中标人在服务期间必须有投诉处置能力，如遇投诉后须进一步解释说明并形成报告，若投诉情节严重，中标人须按招标人要求进行整改。</w:t>
      </w:r>
    </w:p>
    <w:p w14:paraId="644B0128">
      <w:pPr>
        <w:pStyle w:val="58"/>
        <w:widowControl w:val="0"/>
        <w:tabs>
          <w:tab w:val="left" w:pos="689"/>
        </w:tabs>
        <w:adjustRightInd/>
        <w:snapToGrid/>
        <w:spacing w:line="360" w:lineRule="auto"/>
        <w:ind w:left="0" w:firstLine="482"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bCs/>
          <w:color w:val="auto"/>
          <w:sz w:val="24"/>
          <w:szCs w:val="24"/>
          <w:highlight w:val="none"/>
          <w:lang w:eastAsia="zh-CN"/>
        </w:rPr>
        <w:t>（5）本项目用途为课程培训服务。如中标人擅自改变转让用途，招标人有权单方解除合同，</w:t>
      </w:r>
      <w:r>
        <w:rPr>
          <w:rFonts w:hint="eastAsia" w:ascii="宋体" w:hAnsi="宋体" w:eastAsia="宋体" w:cs="宋体"/>
          <w:b w:val="0"/>
          <w:bCs w:val="0"/>
          <w:color w:val="auto"/>
          <w:sz w:val="24"/>
          <w:szCs w:val="24"/>
          <w:highlight w:val="none"/>
          <w:lang w:eastAsia="zh-CN"/>
        </w:rPr>
        <w:t>并处以违约金2万元/次（招标人从投标人分成中直接扣除）</w:t>
      </w:r>
    </w:p>
    <w:p w14:paraId="2C784D33">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（7）中标人在培训期内应负责维护场馆公共设施及环境，如造成公共设施损坏，由中标人进行维修或更换。</w:t>
      </w:r>
    </w:p>
    <w:p w14:paraId="1E36660F">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4、中标人在服务期间必须有详细的</w:t>
      </w:r>
      <w:r>
        <w:rPr>
          <w:rFonts w:hint="eastAsia" w:ascii="宋体" w:hAnsi="宋体" w:eastAsia="宋体" w:cs="宋体"/>
          <w:b/>
          <w:bCs/>
          <w:color w:val="auto"/>
          <w:sz w:val="24"/>
          <w:szCs w:val="24"/>
          <w:highlight w:val="none"/>
          <w:lang w:eastAsia="zh-CN"/>
        </w:rPr>
        <w:t>人员配置方案（</w:t>
      </w:r>
      <w:r>
        <w:rPr>
          <w:rFonts w:hint="eastAsia" w:ascii="宋体" w:hAnsi="宋体" w:eastAsia="宋体" w:cs="宋体"/>
          <w:b/>
          <w:bCs/>
          <w:color w:val="auto"/>
          <w:sz w:val="24"/>
          <w:szCs w:val="24"/>
          <w:highlight w:val="none"/>
          <w:lang w:val="en-US" w:eastAsia="zh-CN"/>
        </w:rPr>
        <w:t>按照学校提供分班计划，</w:t>
      </w:r>
      <w:r>
        <w:rPr>
          <w:rFonts w:hint="eastAsia" w:ascii="宋体" w:hAnsi="宋体" w:eastAsia="宋体" w:cs="宋体"/>
          <w:b/>
          <w:bCs/>
          <w:color w:val="auto"/>
          <w:sz w:val="24"/>
          <w:szCs w:val="24"/>
          <w:highlight w:val="none"/>
          <w:lang w:eastAsia="zh-CN"/>
        </w:rPr>
        <w:t>每班配置一名</w:t>
      </w:r>
      <w:r>
        <w:rPr>
          <w:rFonts w:hint="eastAsia" w:ascii="宋体" w:hAnsi="宋体" w:eastAsia="宋体" w:cs="宋体"/>
          <w:b/>
          <w:bCs/>
          <w:color w:val="auto"/>
          <w:sz w:val="24"/>
          <w:szCs w:val="24"/>
          <w:highlight w:val="none"/>
          <w:lang w:val="en-US" w:eastAsia="zh-CN"/>
        </w:rPr>
        <w:t>及以上</w:t>
      </w:r>
      <w:r>
        <w:rPr>
          <w:rFonts w:hint="eastAsia" w:ascii="宋体" w:hAnsi="宋体" w:eastAsia="宋体" w:cs="宋体"/>
          <w:b/>
          <w:bCs/>
          <w:color w:val="auto"/>
          <w:sz w:val="24"/>
          <w:szCs w:val="24"/>
          <w:highlight w:val="none"/>
          <w:lang w:eastAsia="zh-CN"/>
        </w:rPr>
        <w:t>教师，</w:t>
      </w:r>
      <w:r>
        <w:rPr>
          <w:rFonts w:hint="eastAsia" w:ascii="宋体" w:hAnsi="宋体" w:eastAsia="宋体" w:cs="宋体"/>
          <w:b w:val="0"/>
          <w:bCs w:val="0"/>
          <w:color w:val="auto"/>
          <w:sz w:val="24"/>
          <w:szCs w:val="24"/>
          <w:highlight w:val="none"/>
          <w:lang w:val="en-US" w:eastAsia="zh-CN"/>
        </w:rPr>
        <w:t>且在课程开设期间不得无故更换培训教师，若有不可抗原因，需提前告知招标人并在取得同意后方可更换</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lang w:eastAsia="zh-CN"/>
        </w:rPr>
        <w:t>，包括驻场负责人、教练员等工作人员的岗位设置、岗位职责，以及对各类人员的培训计划等相关机制，招标人对中标人工作人员具有监督权。</w:t>
      </w:r>
    </w:p>
    <w:p w14:paraId="27F620B2">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5、因中标人原因解除合同或合同期满终止时，中标人投入的改造、装潢及改造的不可移动的设施设备无偿归招标人所有和使用，并在合同终止后10个日历日内交予招标人，且不得提出任何补偿或赔偿要求。</w:t>
      </w:r>
    </w:p>
    <w:p w14:paraId="28511EF0">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运营期内，中标人不得以任何理由要求减免中标价款（如因法律法规及市政调整除外）。如因法律法规及市政规定需要拆除或改造而导致合同解除的，中标价款按照实际运营时间计算，不足整月的按实际天数计算，多退少补，招标人不承担违约责任。</w:t>
      </w:r>
    </w:p>
    <w:p w14:paraId="4B1CA199">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7、因为天气、灾害、政策及要求等原因造成中标人无法经营的，招标人不承担违约责任。</w:t>
      </w:r>
    </w:p>
    <w:p w14:paraId="24703E34">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服务期内，招标人有权在课程培训场地内开展研学、异业合作、广告招商等经营事项及举办各类活动等（所得收益全部归招标人所有，与中标人无关）。如中标人在场馆进行开展研学、异业合作、广告招商等，需经招标人及校方审核同意，并按中标分成比例进行营收分成。</w:t>
      </w:r>
    </w:p>
    <w:p w14:paraId="2518F0E2">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9、中标人在学校开展的培训课程，须在其办学内容、业务范围或经营许可范围内，不得超范围经营。须配齐配足课后服务队伍，建立健全管理制度，加强组织和管理，与我司签订合作协议，明确进校职责。</w:t>
      </w:r>
    </w:p>
    <w:p w14:paraId="48DDD6B5">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10、机构管理人员须具有相应的业务专长、师资力量和管理能力；机构聘任的专职、兼职从教人员必须爱国爱党、品性优秀、爱护学生，无犯罪及其他不良记录；必须取得相关专业技能资质（教师资格证书或相关专业技能等级证书等）。</w:t>
      </w:r>
    </w:p>
    <w:p w14:paraId="0ED8733F">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11、进校服务人员需服从学校各项管理制度要求，在校内应严格参照师德师范进行自律。严禁入校商业夹带和商业宣传，第三方机构及人员不得借机搞培训、招生宣传，不得诱导学生参与校外培训辅导、购买相关器材或其他课程服务产品。</w:t>
      </w:r>
    </w:p>
    <w:p w14:paraId="45857006">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12、因上级政策原因需要提前终止合作，合同自行终止，双方互不补偿由此产生的损失。</w:t>
      </w:r>
    </w:p>
    <w:p w14:paraId="2B2762E8">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13、由于不可抗力导致合同不能履行的，</w:t>
      </w:r>
      <w:bookmarkStart w:id="17" w:name="OLE_LINK11"/>
      <w:r>
        <w:rPr>
          <w:rFonts w:hint="eastAsia" w:ascii="宋体" w:hAnsi="宋体" w:eastAsia="宋体"/>
          <w:bCs/>
          <w:color w:val="auto"/>
          <w:sz w:val="24"/>
          <w:szCs w:val="18"/>
          <w:highlight w:val="none"/>
        </w:rPr>
        <w:t>甲乙双方互不承担违约责任</w:t>
      </w:r>
      <w:bookmarkEnd w:id="17"/>
      <w:r>
        <w:rPr>
          <w:rFonts w:hint="eastAsia" w:ascii="宋体" w:hAnsi="宋体" w:eastAsia="宋体"/>
          <w:bCs/>
          <w:color w:val="auto"/>
          <w:sz w:val="24"/>
          <w:szCs w:val="18"/>
          <w:highlight w:val="none"/>
        </w:rPr>
        <w:t>，受不可抗力影响的一方应及时书面通知对方。</w:t>
      </w:r>
    </w:p>
    <w:p w14:paraId="1EF932B7">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14、如因上级主管部门要求或其他政策性原因导致招标人不再负责包河区中小学体艺中心运营等相关事宜，合同自动失效。</w:t>
      </w:r>
      <w:bookmarkEnd w:id="13"/>
    </w:p>
    <w:p w14:paraId="7FEF2E1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如中标人在履行合同期间内，因中标人原因退出《包河区中小学体艺中心课程服务单位招募》的，招标人有权解除合同，甲方不承担违约责任，乙方在解除合同前需将相关教学工作妥善进行交接，做好家长及学生解释工作。</w:t>
      </w:r>
      <w:r>
        <w:rPr>
          <w:rFonts w:hint="eastAsia" w:ascii="宋体" w:hAnsi="宋体" w:eastAsia="宋体" w:cs="宋体"/>
          <w:b/>
          <w:bCs/>
          <w:color w:val="auto"/>
          <w:sz w:val="24"/>
          <w:highlight w:val="none"/>
        </w:rPr>
        <w:br w:type="page"/>
      </w:r>
    </w:p>
    <w:p w14:paraId="15C7CACA">
      <w:pPr>
        <w:spacing w:line="360" w:lineRule="auto"/>
        <w:jc w:val="center"/>
        <w:outlineLvl w:val="1"/>
        <w:rPr>
          <w:rFonts w:hint="eastAsia" w:ascii="宋体" w:hAnsi="宋体" w:eastAsia="宋体" w:cs="宋体"/>
          <w:b/>
          <w:color w:val="auto"/>
          <w:sz w:val="28"/>
          <w:highlight w:val="none"/>
        </w:rPr>
      </w:pPr>
      <w:bookmarkStart w:id="18" w:name="_Toc47026335"/>
      <w:r>
        <w:rPr>
          <w:rFonts w:hint="eastAsia" w:ascii="宋体" w:hAnsi="宋体" w:eastAsia="宋体" w:cs="宋体"/>
          <w:b/>
          <w:color w:val="auto"/>
          <w:sz w:val="28"/>
          <w:highlight w:val="none"/>
        </w:rPr>
        <w:t>第四章  评审方法和标准</w:t>
      </w:r>
      <w:bookmarkEnd w:id="18"/>
    </w:p>
    <w:p w14:paraId="2CBB5983">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一、总则</w:t>
      </w:r>
    </w:p>
    <w:p w14:paraId="2A65BDE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本项目将按照磋商文件第二章 投标人须知的相关要求及本章的规定评审。</w:t>
      </w:r>
    </w:p>
    <w:p w14:paraId="1C33DD94">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二、评审方法</w:t>
      </w:r>
    </w:p>
    <w:p w14:paraId="0CC83E4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2.1初审</w:t>
      </w:r>
    </w:p>
    <w:p w14:paraId="7908DBA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磋商小组对投标人的响应文件进行初审，以确定其是否满足磋商文件的实质性要求。初审表如下：</w:t>
      </w:r>
    </w:p>
    <w:tbl>
      <w:tblPr>
        <w:tblStyle w:val="23"/>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653"/>
        <w:gridCol w:w="2260"/>
        <w:gridCol w:w="3867"/>
      </w:tblGrid>
      <w:tr w14:paraId="20C8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95" w:type="dxa"/>
            <w:gridSpan w:val="4"/>
            <w:tcBorders>
              <w:bottom w:val="single" w:color="auto" w:sz="4" w:space="0"/>
            </w:tcBorders>
            <w:vAlign w:val="center"/>
          </w:tcPr>
          <w:p w14:paraId="63DFEE5C">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b/>
                <w:color w:val="auto"/>
                <w:sz w:val="24"/>
                <w:szCs w:val="22"/>
                <w:highlight w:val="none"/>
              </w:rPr>
              <w:t>初审表</w:t>
            </w:r>
          </w:p>
        </w:tc>
      </w:tr>
      <w:tr w14:paraId="76035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393E5CD6">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653" w:type="dxa"/>
            <w:tcBorders>
              <w:bottom w:val="single" w:color="auto" w:sz="4" w:space="0"/>
            </w:tcBorders>
            <w:vAlign w:val="center"/>
          </w:tcPr>
          <w:p w14:paraId="287C606D">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评审指标</w:t>
            </w:r>
          </w:p>
        </w:tc>
        <w:tc>
          <w:tcPr>
            <w:tcW w:w="2260" w:type="dxa"/>
            <w:tcBorders>
              <w:bottom w:val="single" w:color="auto" w:sz="4" w:space="0"/>
            </w:tcBorders>
            <w:vAlign w:val="center"/>
          </w:tcPr>
          <w:p w14:paraId="468BF18A">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评审标准</w:t>
            </w:r>
          </w:p>
        </w:tc>
        <w:tc>
          <w:tcPr>
            <w:tcW w:w="3867" w:type="dxa"/>
            <w:tcBorders>
              <w:bottom w:val="single" w:color="auto" w:sz="4" w:space="0"/>
            </w:tcBorders>
            <w:vAlign w:val="center"/>
          </w:tcPr>
          <w:p w14:paraId="01BE20F7">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格式及材料要求</w:t>
            </w:r>
          </w:p>
        </w:tc>
      </w:tr>
      <w:tr w14:paraId="698D1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715" w:type="dxa"/>
            <w:tcBorders>
              <w:bottom w:val="single" w:color="auto" w:sz="4" w:space="0"/>
            </w:tcBorders>
            <w:vAlign w:val="center"/>
          </w:tcPr>
          <w:p w14:paraId="785807E2">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653" w:type="dxa"/>
            <w:tcBorders>
              <w:bottom w:val="single" w:color="auto" w:sz="4" w:space="0"/>
            </w:tcBorders>
            <w:vAlign w:val="center"/>
          </w:tcPr>
          <w:p w14:paraId="643363E8">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b/>
                <w:bCs/>
                <w:color w:val="auto"/>
                <w:sz w:val="24"/>
                <w:szCs w:val="28"/>
                <w:highlight w:val="none"/>
              </w:rPr>
              <w:t>营业执照</w:t>
            </w:r>
          </w:p>
        </w:tc>
        <w:tc>
          <w:tcPr>
            <w:tcW w:w="2260" w:type="dxa"/>
            <w:tcBorders>
              <w:bottom w:val="single" w:color="auto" w:sz="4" w:space="0"/>
            </w:tcBorders>
            <w:vAlign w:val="center"/>
          </w:tcPr>
          <w:p w14:paraId="228CB065">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合法有效</w:t>
            </w:r>
          </w:p>
        </w:tc>
        <w:tc>
          <w:tcPr>
            <w:tcW w:w="3867" w:type="dxa"/>
            <w:vMerge w:val="restart"/>
            <w:vAlign w:val="center"/>
          </w:tcPr>
          <w:p w14:paraId="0A57E8DD">
            <w:pPr>
              <w:spacing w:line="360" w:lineRule="auto"/>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有效的投标人营业执照（或事业单位法人登记证书）和税务登记证的扫描件或影印件，应完整的体现出营业执照（或事业单位法人登记证书）和税务登记证的全部内容。已办理“三证合一”登记的，响应文件中提供营业执照（或事业单位法人登记证书）扫描件即可。</w:t>
            </w:r>
          </w:p>
        </w:tc>
      </w:tr>
      <w:tr w14:paraId="524C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647B6703">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653" w:type="dxa"/>
            <w:tcBorders>
              <w:bottom w:val="single" w:color="auto" w:sz="4" w:space="0"/>
            </w:tcBorders>
            <w:vAlign w:val="center"/>
          </w:tcPr>
          <w:p w14:paraId="6D2BC052">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b/>
                <w:bCs/>
                <w:color w:val="auto"/>
                <w:sz w:val="24"/>
                <w:szCs w:val="28"/>
                <w:highlight w:val="none"/>
              </w:rPr>
              <w:t>税务登记证</w:t>
            </w:r>
          </w:p>
        </w:tc>
        <w:tc>
          <w:tcPr>
            <w:tcW w:w="2260" w:type="dxa"/>
            <w:tcBorders>
              <w:bottom w:val="single" w:color="auto" w:sz="4" w:space="0"/>
            </w:tcBorders>
            <w:vAlign w:val="center"/>
          </w:tcPr>
          <w:p w14:paraId="427DE8A6">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合法有效</w:t>
            </w:r>
          </w:p>
        </w:tc>
        <w:tc>
          <w:tcPr>
            <w:tcW w:w="3867" w:type="dxa"/>
            <w:vMerge w:val="continue"/>
            <w:tcBorders>
              <w:bottom w:val="single" w:color="auto" w:sz="4" w:space="0"/>
            </w:tcBorders>
            <w:vAlign w:val="center"/>
          </w:tcPr>
          <w:p w14:paraId="735300A4">
            <w:pPr>
              <w:adjustRightInd w:val="0"/>
              <w:snapToGrid w:val="0"/>
              <w:spacing w:line="360" w:lineRule="auto"/>
              <w:ind w:right="-10"/>
              <w:jc w:val="left"/>
              <w:rPr>
                <w:rFonts w:hint="eastAsia" w:ascii="宋体" w:hAnsi="宋体" w:eastAsia="宋体" w:cs="宋体"/>
                <w:color w:val="auto"/>
                <w:sz w:val="24"/>
                <w:highlight w:val="none"/>
              </w:rPr>
            </w:pPr>
          </w:p>
        </w:tc>
      </w:tr>
      <w:tr w14:paraId="6987F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5FB14742">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653" w:type="dxa"/>
            <w:tcBorders>
              <w:bottom w:val="single" w:color="auto" w:sz="4" w:space="0"/>
            </w:tcBorders>
            <w:vAlign w:val="center"/>
          </w:tcPr>
          <w:p w14:paraId="2F07AA03">
            <w:pPr>
              <w:spacing w:after="50" w:line="360" w:lineRule="auto"/>
              <w:ind w:right="-10"/>
              <w:jc w:val="center"/>
              <w:rPr>
                <w:rFonts w:hint="eastAsia" w:ascii="宋体" w:hAnsi="宋体" w:eastAsia="宋体" w:cs="宋体"/>
                <w:color w:val="auto"/>
                <w:sz w:val="24"/>
                <w:szCs w:val="18"/>
                <w:highlight w:val="none"/>
              </w:rPr>
            </w:pPr>
            <w:r>
              <w:rPr>
                <w:rFonts w:hint="eastAsia" w:ascii="宋体" w:hAnsi="宋体" w:eastAsia="宋体" w:cs="宋体"/>
                <w:b/>
                <w:bCs/>
                <w:color w:val="auto"/>
                <w:sz w:val="24"/>
                <w:szCs w:val="28"/>
                <w:highlight w:val="none"/>
              </w:rPr>
              <w:t>无不良信用记录声明函</w:t>
            </w:r>
          </w:p>
        </w:tc>
        <w:tc>
          <w:tcPr>
            <w:tcW w:w="2260" w:type="dxa"/>
            <w:tcBorders>
              <w:bottom w:val="single" w:color="auto" w:sz="4" w:space="0"/>
            </w:tcBorders>
            <w:vAlign w:val="center"/>
          </w:tcPr>
          <w:p w14:paraId="5411F24E">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格式、填写要求符合磋商文件规定并加盖投标人公章</w:t>
            </w:r>
          </w:p>
        </w:tc>
        <w:tc>
          <w:tcPr>
            <w:tcW w:w="3867" w:type="dxa"/>
            <w:tcBorders>
              <w:bottom w:val="single" w:color="auto" w:sz="4" w:space="0"/>
            </w:tcBorders>
            <w:vAlign w:val="center"/>
          </w:tcPr>
          <w:p w14:paraId="4F898389">
            <w:pPr>
              <w:adjustRightInd w:val="0"/>
              <w:snapToGrid w:val="0"/>
              <w:spacing w:line="360" w:lineRule="auto"/>
              <w:ind w:right="-1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详见第六章响应文件格式三</w:t>
            </w:r>
          </w:p>
        </w:tc>
      </w:tr>
      <w:tr w14:paraId="65A2D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207BC8CB">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653" w:type="dxa"/>
            <w:tcBorders>
              <w:bottom w:val="single" w:color="auto" w:sz="4" w:space="0"/>
            </w:tcBorders>
            <w:vAlign w:val="center"/>
          </w:tcPr>
          <w:p w14:paraId="47D2E20C">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b/>
                <w:bCs/>
                <w:color w:val="auto"/>
                <w:sz w:val="24"/>
                <w:szCs w:val="28"/>
                <w:highlight w:val="none"/>
              </w:rPr>
              <w:t>磋商响应函</w:t>
            </w:r>
          </w:p>
        </w:tc>
        <w:tc>
          <w:tcPr>
            <w:tcW w:w="2260" w:type="dxa"/>
            <w:tcBorders>
              <w:bottom w:val="single" w:color="auto" w:sz="4" w:space="0"/>
            </w:tcBorders>
            <w:vAlign w:val="center"/>
          </w:tcPr>
          <w:p w14:paraId="0036B916">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格式、填写要求符合磋商文件规定并加盖投标人公章</w:t>
            </w:r>
          </w:p>
        </w:tc>
        <w:tc>
          <w:tcPr>
            <w:tcW w:w="3867" w:type="dxa"/>
            <w:tcBorders>
              <w:bottom w:val="single" w:color="auto" w:sz="4" w:space="0"/>
            </w:tcBorders>
            <w:vAlign w:val="center"/>
          </w:tcPr>
          <w:p w14:paraId="4E67227C">
            <w:pPr>
              <w:adjustRightInd w:val="0"/>
              <w:snapToGrid w:val="0"/>
              <w:spacing w:line="360" w:lineRule="auto"/>
              <w:ind w:right="-1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详见第六章响应文件格式二</w:t>
            </w:r>
          </w:p>
        </w:tc>
      </w:tr>
      <w:tr w14:paraId="260E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321E1FB9">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653" w:type="dxa"/>
            <w:tcBorders>
              <w:bottom w:val="single" w:color="auto" w:sz="4" w:space="0"/>
            </w:tcBorders>
            <w:vAlign w:val="center"/>
          </w:tcPr>
          <w:p w14:paraId="48B3B873">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b/>
                <w:bCs/>
                <w:color w:val="auto"/>
                <w:sz w:val="24"/>
                <w:szCs w:val="28"/>
                <w:highlight w:val="none"/>
              </w:rPr>
              <w:t>磋商授权书</w:t>
            </w:r>
          </w:p>
        </w:tc>
        <w:tc>
          <w:tcPr>
            <w:tcW w:w="2260" w:type="dxa"/>
            <w:tcBorders>
              <w:bottom w:val="single" w:color="auto" w:sz="4" w:space="0"/>
            </w:tcBorders>
            <w:vAlign w:val="center"/>
          </w:tcPr>
          <w:p w14:paraId="31B7EF1E">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格式、填写要求符合磋商文件规定并加盖投标人公章</w:t>
            </w:r>
          </w:p>
        </w:tc>
        <w:tc>
          <w:tcPr>
            <w:tcW w:w="3867" w:type="dxa"/>
            <w:tcBorders>
              <w:bottom w:val="single" w:color="auto" w:sz="4" w:space="0"/>
            </w:tcBorders>
            <w:vAlign w:val="center"/>
          </w:tcPr>
          <w:p w14:paraId="785D157B">
            <w:pPr>
              <w:adjustRightInd w:val="0"/>
              <w:snapToGrid w:val="0"/>
              <w:spacing w:line="360" w:lineRule="auto"/>
              <w:ind w:right="-10"/>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法定代表人参加磋商的无需此件，提供身份证明即可</w:t>
            </w:r>
            <w:r>
              <w:rPr>
                <w:rFonts w:hint="eastAsia" w:ascii="宋体" w:hAnsi="宋体" w:eastAsia="宋体" w:cs="宋体"/>
                <w:color w:val="auto"/>
                <w:sz w:val="24"/>
                <w:highlight w:val="none"/>
              </w:rPr>
              <w:t>。详见第六章响应文件格式四</w:t>
            </w:r>
          </w:p>
        </w:tc>
      </w:tr>
      <w:tr w14:paraId="50CAB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039893D2">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1653" w:type="dxa"/>
            <w:vAlign w:val="center"/>
          </w:tcPr>
          <w:p w14:paraId="0F6B91F2">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b/>
                <w:bCs/>
                <w:color w:val="auto"/>
                <w:sz w:val="24"/>
                <w:szCs w:val="28"/>
                <w:highlight w:val="none"/>
              </w:rPr>
              <w:t>投标人资质</w:t>
            </w:r>
          </w:p>
          <w:p w14:paraId="2CCA9C4D">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（可编辑）</w:t>
            </w:r>
          </w:p>
        </w:tc>
        <w:tc>
          <w:tcPr>
            <w:tcW w:w="2260" w:type="dxa"/>
            <w:vAlign w:val="center"/>
          </w:tcPr>
          <w:p w14:paraId="73DAEFF7">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符合投标人资格中的资质要求</w:t>
            </w:r>
          </w:p>
        </w:tc>
        <w:tc>
          <w:tcPr>
            <w:tcW w:w="3867" w:type="dxa"/>
            <w:vAlign w:val="center"/>
          </w:tcPr>
          <w:p w14:paraId="3134C733">
            <w:pPr>
              <w:adjustRightInd w:val="0"/>
              <w:snapToGrid w:val="0"/>
              <w:spacing w:line="360" w:lineRule="auto"/>
              <w:ind w:right="-1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w:t>
            </w:r>
            <w:r>
              <w:rPr>
                <w:rFonts w:hint="eastAsia" w:ascii="宋体" w:hAnsi="宋体" w:eastAsia="宋体" w:cs="宋体"/>
                <w:color w:val="auto"/>
                <w:sz w:val="24"/>
                <w:szCs w:val="28"/>
                <w:highlight w:val="none"/>
              </w:rPr>
              <w:t>符合投标人资格中要求的</w:t>
            </w:r>
            <w:r>
              <w:rPr>
                <w:rFonts w:hint="eastAsia" w:ascii="宋体" w:hAnsi="宋体" w:eastAsia="宋体" w:cs="宋体"/>
                <w:color w:val="auto"/>
                <w:sz w:val="24"/>
                <w:highlight w:val="none"/>
              </w:rPr>
              <w:t>资质证书扫描件（可编辑）</w:t>
            </w:r>
          </w:p>
        </w:tc>
      </w:tr>
      <w:tr w14:paraId="58527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0C90C45C">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1653" w:type="dxa"/>
            <w:vAlign w:val="center"/>
          </w:tcPr>
          <w:p w14:paraId="28C9C594">
            <w:pPr>
              <w:spacing w:after="50" w:line="360" w:lineRule="auto"/>
              <w:ind w:right="-10"/>
              <w:jc w:val="center"/>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初审业绩</w:t>
            </w:r>
          </w:p>
          <w:p w14:paraId="5FAD9588">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（可编辑）</w:t>
            </w:r>
          </w:p>
        </w:tc>
        <w:tc>
          <w:tcPr>
            <w:tcW w:w="2260" w:type="dxa"/>
            <w:vAlign w:val="center"/>
          </w:tcPr>
          <w:p w14:paraId="214E6949">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符合投标人资格中的业绩要求</w:t>
            </w:r>
          </w:p>
        </w:tc>
        <w:tc>
          <w:tcPr>
            <w:tcW w:w="3867" w:type="dxa"/>
            <w:vAlign w:val="center"/>
          </w:tcPr>
          <w:p w14:paraId="5829D80E">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提供符合</w:t>
            </w:r>
            <w:r>
              <w:rPr>
                <w:rFonts w:hint="eastAsia" w:ascii="宋体" w:hAnsi="宋体" w:eastAsia="宋体" w:cs="宋体"/>
                <w:color w:val="auto"/>
                <w:sz w:val="24"/>
                <w:szCs w:val="28"/>
                <w:highlight w:val="none"/>
              </w:rPr>
              <w:t>投标人资格中</w:t>
            </w:r>
            <w:r>
              <w:rPr>
                <w:rFonts w:hint="eastAsia" w:ascii="宋体" w:hAnsi="宋体" w:eastAsia="宋体" w:cs="宋体"/>
                <w:color w:val="auto"/>
                <w:sz w:val="24"/>
                <w:highlight w:val="none"/>
              </w:rPr>
              <w:t>业绩要求的合同扫描件（可编辑）</w:t>
            </w:r>
          </w:p>
        </w:tc>
      </w:tr>
      <w:tr w14:paraId="5AA13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23116F65">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1653" w:type="dxa"/>
            <w:vAlign w:val="center"/>
          </w:tcPr>
          <w:p w14:paraId="6EEB3E98">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b/>
                <w:bCs/>
                <w:color w:val="auto"/>
                <w:sz w:val="24"/>
                <w:szCs w:val="28"/>
                <w:highlight w:val="none"/>
              </w:rPr>
              <w:t>磋商报价</w:t>
            </w:r>
          </w:p>
        </w:tc>
        <w:tc>
          <w:tcPr>
            <w:tcW w:w="2260" w:type="dxa"/>
            <w:vAlign w:val="center"/>
          </w:tcPr>
          <w:p w14:paraId="51CD434E">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符合磋商</w:t>
            </w:r>
            <w:r>
              <w:rPr>
                <w:rFonts w:hint="eastAsia" w:ascii="宋体" w:hAnsi="宋体" w:eastAsia="宋体" w:cs="宋体"/>
                <w:color w:val="auto"/>
                <w:sz w:val="24"/>
                <w:highlight w:val="none"/>
              </w:rPr>
              <w:t>文件投标人须知正文第12、22条要求</w:t>
            </w:r>
          </w:p>
        </w:tc>
        <w:tc>
          <w:tcPr>
            <w:tcW w:w="3867" w:type="dxa"/>
            <w:vAlign w:val="center"/>
          </w:tcPr>
          <w:p w14:paraId="4A9BEB5D">
            <w:pPr>
              <w:adjustRightInd w:val="0"/>
              <w:snapToGrid w:val="0"/>
              <w:spacing w:line="360" w:lineRule="auto"/>
              <w:ind w:right="-1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详见第六章响应文件格式一</w:t>
            </w:r>
          </w:p>
        </w:tc>
      </w:tr>
      <w:tr w14:paraId="5767A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7671D355">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1653" w:type="dxa"/>
            <w:vAlign w:val="center"/>
          </w:tcPr>
          <w:p w14:paraId="07C5650F">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商务响应情况</w:t>
            </w:r>
          </w:p>
        </w:tc>
        <w:tc>
          <w:tcPr>
            <w:tcW w:w="2260" w:type="dxa"/>
            <w:vAlign w:val="center"/>
          </w:tcPr>
          <w:p w14:paraId="3AC2A99F">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符合磋商文件招标需求中付款方式、服务期限、服务地点的要求（可编辑）</w:t>
            </w:r>
          </w:p>
        </w:tc>
        <w:tc>
          <w:tcPr>
            <w:tcW w:w="3867" w:type="dxa"/>
            <w:vAlign w:val="center"/>
          </w:tcPr>
          <w:p w14:paraId="58F202F1">
            <w:pPr>
              <w:adjustRightInd w:val="0"/>
              <w:snapToGrid w:val="0"/>
              <w:spacing w:line="360" w:lineRule="auto"/>
              <w:ind w:right="-1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详见第六章响应文件格式五</w:t>
            </w:r>
          </w:p>
        </w:tc>
      </w:tr>
      <w:tr w14:paraId="2975C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57ACCB9A">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1653" w:type="dxa"/>
            <w:vAlign w:val="center"/>
          </w:tcPr>
          <w:p w14:paraId="1B0BCA62">
            <w:pPr>
              <w:spacing w:after="50"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文件获取情况</w:t>
            </w:r>
          </w:p>
        </w:tc>
        <w:tc>
          <w:tcPr>
            <w:tcW w:w="2260" w:type="dxa"/>
            <w:vAlign w:val="center"/>
          </w:tcPr>
          <w:p w14:paraId="2E5FD99C">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在磋商文件获取截 </w:t>
            </w:r>
          </w:p>
          <w:p w14:paraId="2E2BFE81">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止时间前完成磋商 </w:t>
            </w:r>
          </w:p>
          <w:p w14:paraId="68CF639E">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文件获取</w:t>
            </w:r>
          </w:p>
        </w:tc>
        <w:tc>
          <w:tcPr>
            <w:tcW w:w="3867" w:type="dxa"/>
            <w:vAlign w:val="center"/>
          </w:tcPr>
          <w:p w14:paraId="772D8C8C">
            <w:pPr>
              <w:adjustRightInd w:val="0"/>
              <w:snapToGrid w:val="0"/>
              <w:spacing w:line="360" w:lineRule="auto"/>
              <w:ind w:right="-10"/>
              <w:jc w:val="left"/>
              <w:rPr>
                <w:rFonts w:hint="eastAsia" w:ascii="宋体" w:hAnsi="宋体" w:eastAsia="宋体" w:cs="宋体"/>
                <w:color w:val="auto"/>
                <w:sz w:val="24"/>
                <w:highlight w:val="none"/>
              </w:rPr>
            </w:pPr>
          </w:p>
        </w:tc>
      </w:tr>
      <w:tr w14:paraId="49BED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5738A2B4">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1653" w:type="dxa"/>
            <w:vAlign w:val="center"/>
          </w:tcPr>
          <w:p w14:paraId="32C6B433">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其他要求</w:t>
            </w:r>
          </w:p>
        </w:tc>
        <w:tc>
          <w:tcPr>
            <w:tcW w:w="2260" w:type="dxa"/>
            <w:vAlign w:val="center"/>
          </w:tcPr>
          <w:p w14:paraId="0BFBD615">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符合法律、行政法规规定的其他条件或磋商文件列明的其他要求</w:t>
            </w:r>
          </w:p>
        </w:tc>
        <w:tc>
          <w:tcPr>
            <w:tcW w:w="3867" w:type="dxa"/>
            <w:vAlign w:val="center"/>
          </w:tcPr>
          <w:p w14:paraId="57509707">
            <w:pPr>
              <w:adjustRightInd w:val="0"/>
              <w:snapToGrid w:val="0"/>
              <w:spacing w:line="360" w:lineRule="auto"/>
              <w:ind w:right="-10"/>
              <w:jc w:val="left"/>
              <w:rPr>
                <w:rFonts w:hint="eastAsia" w:ascii="宋体" w:hAnsi="宋体" w:eastAsia="宋体" w:cs="宋体"/>
                <w:color w:val="auto"/>
                <w:sz w:val="24"/>
                <w:highlight w:val="none"/>
              </w:rPr>
            </w:pPr>
          </w:p>
        </w:tc>
      </w:tr>
    </w:tbl>
    <w:p w14:paraId="3988B62F">
      <w:pP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初审指标通过标准：</w:t>
      </w:r>
      <w:r>
        <w:rPr>
          <w:rFonts w:hint="eastAsia" w:ascii="宋体" w:hAnsi="宋体" w:eastAsia="宋体" w:cs="宋体"/>
          <w:color w:val="auto"/>
          <w:sz w:val="24"/>
          <w:highlight w:val="none"/>
        </w:rPr>
        <w:t>投标人必须通过初审表中的全部评审指标。</w:t>
      </w:r>
    </w:p>
    <w:p w14:paraId="4CC1F6ED">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2.2综合评分</w:t>
      </w:r>
    </w:p>
    <w:p w14:paraId="482AB15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2.2.1磋商小组按照下表对进入综合评分的所有投标人的响应文件进行综合评分。</w:t>
      </w:r>
    </w:p>
    <w:p w14:paraId="28E36A1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2.2.2本项目综合评分满分为100分，其中：技术资信分值占总分值的权重为</w:t>
      </w:r>
      <w:r>
        <w:rPr>
          <w:rFonts w:hint="eastAsia" w:ascii="宋体" w:hAnsi="宋体" w:eastAsia="宋体" w:cs="宋体"/>
          <w:color w:val="auto"/>
          <w:sz w:val="24"/>
          <w:highlight w:val="none"/>
          <w:u w:val="single"/>
          <w:lang w:val="en-US" w:eastAsia="zh-CN"/>
        </w:rPr>
        <w:t>7</w:t>
      </w:r>
      <w:r>
        <w:rPr>
          <w:rFonts w:hint="eastAsia" w:ascii="宋体" w:hAnsi="宋体" w:eastAsia="宋体" w:cs="宋体"/>
          <w:color w:val="auto"/>
          <w:sz w:val="24"/>
          <w:highlight w:val="none"/>
          <w:u w:val="single"/>
        </w:rPr>
        <w:t>0</w:t>
      </w:r>
      <w:r>
        <w:rPr>
          <w:rFonts w:hint="eastAsia" w:ascii="宋体" w:hAnsi="宋体" w:eastAsia="宋体" w:cs="宋体"/>
          <w:color w:val="auto"/>
          <w:sz w:val="24"/>
          <w:highlight w:val="none"/>
        </w:rPr>
        <w:t>%，价格分值占总分值的权重为</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u w:val="single"/>
        </w:rPr>
        <w:t>0</w:t>
      </w:r>
      <w:r>
        <w:rPr>
          <w:rFonts w:hint="eastAsia" w:ascii="宋体" w:hAnsi="宋体" w:eastAsia="宋体" w:cs="宋体"/>
          <w:color w:val="auto"/>
          <w:sz w:val="24"/>
          <w:highlight w:val="none"/>
        </w:rPr>
        <w:t>%。具体评分细则如下：</w:t>
      </w:r>
    </w:p>
    <w:tbl>
      <w:tblPr>
        <w:tblStyle w:val="23"/>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714"/>
        <w:gridCol w:w="4421"/>
        <w:gridCol w:w="992"/>
      </w:tblGrid>
      <w:tr w14:paraId="44E80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73" w:type="dxa"/>
            <w:tcBorders>
              <w:top w:val="single" w:color="auto" w:sz="4" w:space="0"/>
              <w:left w:val="single" w:color="auto" w:sz="4" w:space="0"/>
              <w:bottom w:val="single" w:color="auto" w:sz="4" w:space="0"/>
              <w:right w:val="single" w:color="auto" w:sz="4" w:space="0"/>
            </w:tcBorders>
            <w:vAlign w:val="center"/>
          </w:tcPr>
          <w:p w14:paraId="3AFB17AC">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类别</w:t>
            </w:r>
          </w:p>
        </w:tc>
        <w:tc>
          <w:tcPr>
            <w:tcW w:w="1714" w:type="dxa"/>
            <w:tcBorders>
              <w:top w:val="single" w:color="auto" w:sz="4" w:space="0"/>
              <w:left w:val="single" w:color="auto" w:sz="4" w:space="0"/>
              <w:bottom w:val="single" w:color="auto" w:sz="4" w:space="0"/>
              <w:right w:val="single" w:color="auto" w:sz="4" w:space="0"/>
            </w:tcBorders>
            <w:vAlign w:val="center"/>
          </w:tcPr>
          <w:p w14:paraId="412E8064">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评分内容</w:t>
            </w:r>
          </w:p>
        </w:tc>
        <w:tc>
          <w:tcPr>
            <w:tcW w:w="4421" w:type="dxa"/>
            <w:tcBorders>
              <w:top w:val="single" w:color="auto" w:sz="4" w:space="0"/>
              <w:left w:val="single" w:color="auto" w:sz="4" w:space="0"/>
              <w:bottom w:val="single" w:color="auto" w:sz="4" w:space="0"/>
              <w:right w:val="single" w:color="auto" w:sz="4" w:space="0"/>
            </w:tcBorders>
            <w:vAlign w:val="center"/>
          </w:tcPr>
          <w:p w14:paraId="463D2053">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评分标准</w:t>
            </w:r>
          </w:p>
        </w:tc>
        <w:tc>
          <w:tcPr>
            <w:tcW w:w="992" w:type="dxa"/>
            <w:tcBorders>
              <w:top w:val="single" w:color="auto" w:sz="4" w:space="0"/>
              <w:left w:val="single" w:color="auto" w:sz="4" w:space="0"/>
              <w:bottom w:val="single" w:color="auto" w:sz="4" w:space="0"/>
              <w:right w:val="single" w:color="auto" w:sz="4" w:space="0"/>
            </w:tcBorders>
            <w:vAlign w:val="center"/>
          </w:tcPr>
          <w:p w14:paraId="741C5352">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分值范围</w:t>
            </w:r>
          </w:p>
        </w:tc>
      </w:tr>
      <w:tr w14:paraId="1B6FE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restart"/>
            <w:tcBorders>
              <w:top w:val="single" w:color="auto" w:sz="4" w:space="0"/>
              <w:left w:val="single" w:color="auto" w:sz="4" w:space="0"/>
              <w:right w:val="single" w:color="auto" w:sz="4" w:space="0"/>
            </w:tcBorders>
            <w:vAlign w:val="center"/>
          </w:tcPr>
          <w:p w14:paraId="2749E2E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技术资信分</w:t>
            </w:r>
          </w:p>
          <w:p w14:paraId="43F50871">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70</w:t>
            </w:r>
            <w:r>
              <w:rPr>
                <w:rFonts w:hint="eastAsia" w:ascii="宋体" w:hAnsi="宋体" w:eastAsia="宋体" w:cs="宋体"/>
                <w:color w:val="auto"/>
                <w:sz w:val="24"/>
                <w:highlight w:val="none"/>
              </w:rPr>
              <w:t>分）</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14:paraId="5765A6E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课程及</w:t>
            </w:r>
            <w:r>
              <w:rPr>
                <w:rFonts w:hint="eastAsia" w:ascii="宋体" w:hAnsi="宋体" w:eastAsia="宋体" w:cs="宋体"/>
                <w:color w:val="auto"/>
                <w:sz w:val="24"/>
                <w:highlight w:val="none"/>
                <w:lang w:val="en-US" w:eastAsia="zh-CN"/>
              </w:rPr>
              <w:t>活动</w:t>
            </w:r>
            <w:r>
              <w:rPr>
                <w:rFonts w:hint="eastAsia" w:ascii="宋体" w:hAnsi="宋体" w:eastAsia="宋体" w:cs="宋体"/>
                <w:color w:val="auto"/>
                <w:sz w:val="24"/>
                <w:highlight w:val="none"/>
              </w:rPr>
              <w:t>服务方案</w:t>
            </w:r>
          </w:p>
        </w:tc>
        <w:tc>
          <w:tcPr>
            <w:tcW w:w="4421" w:type="dxa"/>
            <w:tcBorders>
              <w:top w:val="single" w:color="auto" w:sz="4" w:space="0"/>
              <w:left w:val="single" w:color="auto" w:sz="4" w:space="0"/>
              <w:bottom w:val="single" w:color="auto" w:sz="4" w:space="0"/>
              <w:right w:val="single" w:color="auto" w:sz="4" w:space="0"/>
            </w:tcBorders>
            <w:shd w:val="clear" w:color="auto" w:fill="auto"/>
            <w:vAlign w:val="center"/>
          </w:tcPr>
          <w:p w14:paraId="5DACC0C9">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投标人应按照本项目招标需求的要求提供</w:t>
            </w:r>
            <w:r>
              <w:rPr>
                <w:rFonts w:hint="eastAsia" w:ascii="宋体" w:hAnsi="宋体" w:eastAsia="宋体" w:cs="宋体"/>
                <w:b/>
                <w:bCs/>
                <w:color w:val="auto"/>
                <w:sz w:val="24"/>
                <w:szCs w:val="24"/>
                <w:highlight w:val="none"/>
              </w:rPr>
              <w:t>课程</w:t>
            </w:r>
            <w:r>
              <w:rPr>
                <w:rFonts w:hint="eastAsia" w:ascii="宋体" w:hAnsi="宋体" w:eastAsia="宋体" w:cs="宋体"/>
                <w:b/>
                <w:bCs/>
                <w:color w:val="auto"/>
                <w:sz w:val="24"/>
                <w:highlight w:val="none"/>
              </w:rPr>
              <w:t>及赛事服务方案</w:t>
            </w:r>
            <w:r>
              <w:rPr>
                <w:rFonts w:hint="eastAsia" w:ascii="宋体" w:hAnsi="宋体" w:eastAsia="宋体" w:cs="宋体"/>
                <w:color w:val="auto"/>
                <w:sz w:val="24"/>
                <w:szCs w:val="24"/>
                <w:highlight w:val="none"/>
              </w:rPr>
              <w:t>，包含但不限于课程内容体系、课程材料和设备设施需求详情、赛事</w:t>
            </w:r>
            <w:r>
              <w:rPr>
                <w:rFonts w:hint="eastAsia" w:ascii="宋体" w:hAnsi="宋体" w:eastAsia="宋体" w:cs="宋体"/>
                <w:color w:val="auto"/>
                <w:sz w:val="24"/>
                <w:szCs w:val="24"/>
                <w:highlight w:val="none"/>
                <w:lang w:val="en-US" w:eastAsia="zh-CN"/>
              </w:rPr>
              <w:t>考级活动</w:t>
            </w:r>
            <w:r>
              <w:rPr>
                <w:rFonts w:hint="eastAsia" w:ascii="宋体" w:hAnsi="宋体" w:eastAsia="宋体" w:cs="宋体"/>
                <w:color w:val="auto"/>
                <w:sz w:val="24"/>
                <w:szCs w:val="24"/>
                <w:highlight w:val="none"/>
              </w:rPr>
              <w:t>组织执行计划等。</w:t>
            </w:r>
          </w:p>
          <w:p w14:paraId="0EA3D81D">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（1）方案贴近实际，内容详细、清晰、完善、合理，可操作性强的，得</w:t>
            </w:r>
            <w:r>
              <w:rPr>
                <w:rFonts w:hint="eastAsia" w:ascii="宋体" w:hAnsi="宋体" w:eastAsia="宋体" w:cs="宋体"/>
                <w:bCs/>
                <w:color w:val="auto"/>
                <w:sz w:val="24"/>
                <w:highlight w:val="none"/>
                <w:lang w:val="en-US" w:eastAsia="zh-CN"/>
              </w:rPr>
              <w:t>14</w:t>
            </w:r>
            <w:r>
              <w:rPr>
                <w:rFonts w:hint="eastAsia" w:ascii="宋体" w:hAnsi="宋体" w:eastAsia="宋体" w:cs="宋体"/>
                <w:bCs/>
                <w:color w:val="auto"/>
                <w:sz w:val="24"/>
                <w:highlight w:val="none"/>
              </w:rPr>
              <w:t>＜F≤</w:t>
            </w:r>
            <w:r>
              <w:rPr>
                <w:rFonts w:hint="eastAsia" w:ascii="宋体" w:hAnsi="宋体" w:eastAsia="宋体" w:cs="宋体"/>
                <w:bCs/>
                <w:color w:val="auto"/>
                <w:sz w:val="24"/>
                <w:highlight w:val="none"/>
                <w:lang w:val="en-US" w:eastAsia="zh-CN"/>
              </w:rPr>
              <w:t>20</w:t>
            </w:r>
            <w:r>
              <w:rPr>
                <w:rFonts w:hint="eastAsia" w:ascii="宋体" w:hAnsi="宋体" w:eastAsia="宋体" w:cs="宋体"/>
                <w:bCs/>
                <w:color w:val="auto"/>
                <w:sz w:val="24"/>
                <w:highlight w:val="none"/>
              </w:rPr>
              <w:t>分；</w:t>
            </w:r>
          </w:p>
          <w:p w14:paraId="05EF006D">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（2）方案内容基本完整，具有一定可行性的，得</w:t>
            </w:r>
            <w:r>
              <w:rPr>
                <w:rFonts w:hint="eastAsia" w:ascii="宋体" w:hAnsi="宋体" w:eastAsia="宋体" w:cs="宋体"/>
                <w:bCs/>
                <w:color w:val="auto"/>
                <w:sz w:val="24"/>
                <w:highlight w:val="none"/>
                <w:lang w:val="en-US" w:eastAsia="zh-CN"/>
              </w:rPr>
              <w:t>8</w:t>
            </w:r>
            <w:r>
              <w:rPr>
                <w:rFonts w:hint="eastAsia" w:ascii="宋体" w:hAnsi="宋体" w:eastAsia="宋体" w:cs="宋体"/>
                <w:bCs/>
                <w:color w:val="auto"/>
                <w:sz w:val="24"/>
                <w:highlight w:val="none"/>
              </w:rPr>
              <w:t>＜F≤</w:t>
            </w:r>
            <w:r>
              <w:rPr>
                <w:rFonts w:hint="eastAsia" w:ascii="宋体" w:hAnsi="宋体" w:eastAsia="宋体" w:cs="宋体"/>
                <w:bCs/>
                <w:color w:val="auto"/>
                <w:sz w:val="24"/>
                <w:highlight w:val="none"/>
                <w:lang w:val="en-US" w:eastAsia="zh-CN"/>
              </w:rPr>
              <w:t>14</w:t>
            </w:r>
            <w:r>
              <w:rPr>
                <w:rFonts w:hint="eastAsia" w:ascii="宋体" w:hAnsi="宋体" w:eastAsia="宋体" w:cs="宋体"/>
                <w:bCs/>
                <w:color w:val="auto"/>
                <w:sz w:val="24"/>
                <w:highlight w:val="none"/>
              </w:rPr>
              <w:t>分；</w:t>
            </w:r>
          </w:p>
          <w:p w14:paraId="61C00E21">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（3）初步满足上述要求的，得1≤F≤</w:t>
            </w:r>
            <w:r>
              <w:rPr>
                <w:rFonts w:hint="eastAsia" w:ascii="宋体" w:hAnsi="宋体" w:eastAsia="宋体" w:cs="宋体"/>
                <w:bCs/>
                <w:color w:val="auto"/>
                <w:sz w:val="24"/>
                <w:highlight w:val="none"/>
                <w:lang w:val="en-US" w:eastAsia="zh-CN"/>
              </w:rPr>
              <w:t>8</w:t>
            </w:r>
            <w:r>
              <w:rPr>
                <w:rFonts w:hint="eastAsia" w:ascii="宋体" w:hAnsi="宋体" w:eastAsia="宋体" w:cs="宋体"/>
                <w:bCs/>
                <w:color w:val="auto"/>
                <w:sz w:val="24"/>
                <w:highlight w:val="none"/>
              </w:rPr>
              <w:t>分。</w:t>
            </w:r>
          </w:p>
          <w:p w14:paraId="5493DDD9">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其他或未提供的不得分。</w:t>
            </w:r>
          </w:p>
          <w:p w14:paraId="755E313A">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注：F为本项得分。</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C00F445">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0-</w:t>
            </w:r>
            <w:r>
              <w:rPr>
                <w:rFonts w:hint="eastAsia" w:ascii="宋体" w:hAnsi="宋体" w:eastAsia="宋体" w:cs="宋体"/>
                <w:b/>
                <w:bCs/>
                <w:color w:val="auto"/>
                <w:sz w:val="24"/>
                <w:highlight w:val="none"/>
                <w:lang w:val="en-US" w:eastAsia="zh-CN"/>
              </w:rPr>
              <w:t>20</w:t>
            </w:r>
            <w:r>
              <w:rPr>
                <w:rFonts w:hint="eastAsia" w:ascii="宋体" w:hAnsi="宋体" w:eastAsia="宋体" w:cs="宋体"/>
                <w:b/>
                <w:bCs/>
                <w:color w:val="auto"/>
                <w:sz w:val="24"/>
                <w:highlight w:val="none"/>
              </w:rPr>
              <w:t>分</w:t>
            </w:r>
          </w:p>
        </w:tc>
      </w:tr>
      <w:tr w14:paraId="4DDAD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4106F525">
            <w:pPr>
              <w:spacing w:line="360" w:lineRule="auto"/>
              <w:jc w:val="center"/>
              <w:rPr>
                <w:rFonts w:hint="eastAsia" w:ascii="宋体" w:hAnsi="宋体" w:eastAsia="宋体" w:cs="宋体"/>
                <w:color w:val="auto"/>
                <w:sz w:val="24"/>
                <w:highlight w:val="none"/>
              </w:rP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14:paraId="623459C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师资配备方案</w:t>
            </w:r>
          </w:p>
        </w:tc>
        <w:tc>
          <w:tcPr>
            <w:tcW w:w="4421" w:type="dxa"/>
            <w:tcBorders>
              <w:top w:val="single" w:color="auto" w:sz="4" w:space="0"/>
              <w:left w:val="single" w:color="auto" w:sz="4" w:space="0"/>
              <w:bottom w:val="single" w:color="auto" w:sz="4" w:space="0"/>
              <w:right w:val="single" w:color="auto" w:sz="4" w:space="0"/>
            </w:tcBorders>
            <w:shd w:val="clear" w:color="auto" w:fill="auto"/>
            <w:vAlign w:val="center"/>
          </w:tcPr>
          <w:p w14:paraId="2E2F59C1">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投标人应按照本项目招标需求的要求提供</w:t>
            </w:r>
            <w:r>
              <w:rPr>
                <w:rFonts w:hint="eastAsia" w:ascii="宋体" w:hAnsi="宋体" w:eastAsia="宋体" w:cs="宋体"/>
                <w:b/>
                <w:bCs/>
                <w:color w:val="auto"/>
                <w:sz w:val="24"/>
                <w:szCs w:val="24"/>
                <w:highlight w:val="none"/>
              </w:rPr>
              <w:t>人员配置方案</w:t>
            </w:r>
            <w:r>
              <w:rPr>
                <w:rFonts w:hint="eastAsia" w:ascii="宋体" w:hAnsi="宋体" w:eastAsia="宋体" w:cs="宋体"/>
                <w:color w:val="auto"/>
                <w:sz w:val="24"/>
                <w:szCs w:val="24"/>
                <w:highlight w:val="none"/>
              </w:rPr>
              <w:t>（原则要求每班配置一名</w:t>
            </w:r>
            <w:r>
              <w:rPr>
                <w:rFonts w:hint="eastAsia" w:ascii="宋体" w:hAnsi="宋体" w:eastAsia="宋体" w:cs="宋体"/>
                <w:color w:val="auto"/>
                <w:sz w:val="24"/>
                <w:szCs w:val="24"/>
                <w:highlight w:val="none"/>
                <w:lang w:val="en-US" w:eastAsia="zh-CN"/>
              </w:rPr>
              <w:t>及以上</w:t>
            </w:r>
            <w:r>
              <w:rPr>
                <w:rFonts w:hint="eastAsia" w:ascii="宋体" w:hAnsi="宋体" w:eastAsia="宋体" w:cs="宋体"/>
                <w:color w:val="auto"/>
                <w:sz w:val="24"/>
                <w:szCs w:val="24"/>
                <w:highlight w:val="none"/>
              </w:rPr>
              <w:t>教师，打分结合教师配置人员的方案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师资水平</w:t>
            </w:r>
            <w:r>
              <w:rPr>
                <w:rFonts w:hint="eastAsia" w:ascii="宋体" w:hAnsi="宋体" w:eastAsia="宋体" w:cs="宋体"/>
                <w:color w:val="auto"/>
                <w:sz w:val="24"/>
                <w:szCs w:val="24"/>
                <w:highlight w:val="none"/>
              </w:rPr>
              <w:t>），包含但不限于对应科目从教老师数量、教师职称及资质、教师从业年限与荣誉、岗位职责、计划带班学生数量，以及对各类人员的培训计划、考核机制、奖罚机制等，由评标委员会进行综合评审：</w:t>
            </w:r>
          </w:p>
          <w:p w14:paraId="679D31B6">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（1）方案详尽准确，科学合理的，得</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＜F≤</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p w14:paraId="4ADFF17A">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（2）方案较详尽准确，较科学合理的，得</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＜F≤</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分；</w:t>
            </w:r>
          </w:p>
          <w:p w14:paraId="27645D70">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（3）方案详尽准确性一般，科学合理性一般的，得1≤F≤</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p w14:paraId="77B2B48C">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其他或未提供的不得分。</w:t>
            </w:r>
          </w:p>
          <w:p w14:paraId="0D636A63">
            <w:pPr>
              <w:spacing w:line="360" w:lineRule="auto"/>
              <w:jc w:val="left"/>
              <w:rPr>
                <w:rFonts w:hint="eastAsia" w:ascii="宋体" w:hAnsi="宋体" w:eastAsia="宋体" w:cs="宋体"/>
                <w:color w:val="auto"/>
                <w:sz w:val="24"/>
                <w:highlight w:val="none"/>
              </w:rPr>
            </w:pPr>
            <w:r>
              <w:rPr>
                <w:rFonts w:hint="eastAsia" w:ascii="宋体" w:hAnsi="宋体" w:eastAsia="宋体" w:cs="宋体"/>
                <w:b/>
                <w:bCs/>
                <w:color w:val="auto"/>
                <w:sz w:val="24"/>
                <w:szCs w:val="24"/>
                <w:highlight w:val="none"/>
              </w:rPr>
              <w:t>注：F为本项得分。</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22BA555">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0-</w:t>
            </w:r>
            <w:r>
              <w:rPr>
                <w:rFonts w:hint="eastAsia" w:ascii="宋体" w:hAnsi="宋体" w:eastAsia="宋体" w:cs="宋体"/>
                <w:b/>
                <w:bCs/>
                <w:color w:val="auto"/>
                <w:sz w:val="24"/>
                <w:highlight w:val="none"/>
                <w:lang w:val="en-US" w:eastAsia="zh-CN"/>
              </w:rPr>
              <w:t>20</w:t>
            </w:r>
            <w:r>
              <w:rPr>
                <w:rFonts w:hint="eastAsia" w:ascii="宋体" w:hAnsi="宋体" w:eastAsia="宋体" w:cs="宋体"/>
                <w:b/>
                <w:bCs/>
                <w:color w:val="auto"/>
                <w:sz w:val="24"/>
                <w:highlight w:val="none"/>
              </w:rPr>
              <w:t>分</w:t>
            </w:r>
          </w:p>
        </w:tc>
      </w:tr>
      <w:tr w14:paraId="2754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228C825A">
            <w:pPr>
              <w:spacing w:line="360" w:lineRule="auto"/>
              <w:ind w:firstLine="435"/>
              <w:jc w:val="center"/>
              <w:rPr>
                <w:rFonts w:hint="eastAsia" w:ascii="宋体" w:hAnsi="宋体" w:eastAsia="宋体" w:cs="宋体"/>
                <w:b/>
                <w:bCs/>
                <w:color w:val="auto"/>
                <w:sz w:val="24"/>
                <w:highlight w:val="none"/>
              </w:rP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14:paraId="5E80FE90">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安全保障方案</w:t>
            </w:r>
          </w:p>
        </w:tc>
        <w:tc>
          <w:tcPr>
            <w:tcW w:w="4421" w:type="dxa"/>
            <w:tcBorders>
              <w:top w:val="single" w:color="auto" w:sz="4" w:space="0"/>
              <w:left w:val="single" w:color="auto" w:sz="4" w:space="0"/>
              <w:bottom w:val="single" w:color="auto" w:sz="4" w:space="0"/>
              <w:right w:val="single" w:color="auto" w:sz="4" w:space="0"/>
            </w:tcBorders>
            <w:shd w:val="clear" w:color="auto" w:fill="auto"/>
            <w:vAlign w:val="center"/>
          </w:tcPr>
          <w:p w14:paraId="5587E1A3">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投标人针对课后服务过程中可能出现的安全问题提供安全保障方案，包含但不限于</w:t>
            </w:r>
            <w:r>
              <w:rPr>
                <w:rFonts w:hint="eastAsia" w:ascii="宋体" w:hAnsi="宋体" w:eastAsia="宋体" w:cs="宋体"/>
                <w:b/>
                <w:bCs w:val="0"/>
                <w:color w:val="auto"/>
                <w:sz w:val="24"/>
                <w:highlight w:val="none"/>
              </w:rPr>
              <w:t>安全制度</w:t>
            </w:r>
            <w:r>
              <w:rPr>
                <w:rFonts w:hint="eastAsia" w:ascii="宋体" w:hAnsi="宋体" w:eastAsia="宋体" w:cs="宋体"/>
                <w:bCs/>
                <w:color w:val="auto"/>
                <w:sz w:val="24"/>
                <w:highlight w:val="none"/>
              </w:rPr>
              <w:t>（消防安全教育及培训制度、学生身体健康保障制度、学生安全疏散设施管理制度、参与承办赛事安全制度、设施设备保障制度等）</w:t>
            </w:r>
            <w:r>
              <w:rPr>
                <w:rFonts w:hint="eastAsia" w:ascii="宋体" w:hAnsi="宋体" w:eastAsia="宋体" w:cs="宋体"/>
                <w:b/>
                <w:bCs w:val="0"/>
                <w:color w:val="auto"/>
                <w:sz w:val="24"/>
                <w:highlight w:val="none"/>
              </w:rPr>
              <w:t>、突发事件</w:t>
            </w:r>
            <w:r>
              <w:rPr>
                <w:rFonts w:hint="eastAsia" w:ascii="宋体" w:hAnsi="宋体" w:eastAsia="宋体" w:cs="宋体"/>
                <w:b/>
                <w:bCs w:val="0"/>
                <w:color w:val="auto"/>
                <w:sz w:val="24"/>
                <w:highlight w:val="none"/>
              </w:rPr>
              <w:t>应急方案、保障措施、参保方案</w:t>
            </w:r>
            <w:r>
              <w:rPr>
                <w:rFonts w:hint="eastAsia" w:ascii="宋体" w:hAnsi="宋体" w:eastAsia="宋体" w:cs="宋体"/>
                <w:bCs/>
                <w:color w:val="auto"/>
                <w:sz w:val="24"/>
                <w:highlight w:val="none"/>
              </w:rPr>
              <w:t>等，由评标委员会进行综合评审：</w:t>
            </w:r>
          </w:p>
          <w:p w14:paraId="28419B4E">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（1）方案贴近实际，内容详细、清晰、完善、合理，可操作性强的，得</w:t>
            </w:r>
            <w:r>
              <w:rPr>
                <w:rFonts w:hint="eastAsia" w:ascii="宋体" w:hAnsi="宋体" w:eastAsia="宋体" w:cs="宋体"/>
                <w:bCs/>
                <w:color w:val="auto"/>
                <w:sz w:val="24"/>
                <w:highlight w:val="none"/>
                <w:lang w:val="en-US" w:eastAsia="zh-CN"/>
              </w:rPr>
              <w:t>14</w:t>
            </w:r>
            <w:r>
              <w:rPr>
                <w:rFonts w:hint="eastAsia" w:ascii="宋体" w:hAnsi="宋体" w:eastAsia="宋体" w:cs="宋体"/>
                <w:bCs/>
                <w:color w:val="auto"/>
                <w:sz w:val="24"/>
                <w:highlight w:val="none"/>
              </w:rPr>
              <w:t>＜F≤</w:t>
            </w:r>
            <w:r>
              <w:rPr>
                <w:rFonts w:hint="eastAsia" w:ascii="宋体" w:hAnsi="宋体" w:eastAsia="宋体" w:cs="宋体"/>
                <w:bCs/>
                <w:color w:val="auto"/>
                <w:sz w:val="24"/>
                <w:highlight w:val="none"/>
                <w:lang w:val="en-US" w:eastAsia="zh-CN"/>
              </w:rPr>
              <w:t>20</w:t>
            </w:r>
            <w:r>
              <w:rPr>
                <w:rFonts w:hint="eastAsia" w:ascii="宋体" w:hAnsi="宋体" w:eastAsia="宋体" w:cs="宋体"/>
                <w:bCs/>
                <w:color w:val="auto"/>
                <w:sz w:val="24"/>
                <w:highlight w:val="none"/>
              </w:rPr>
              <w:t>分；</w:t>
            </w:r>
          </w:p>
          <w:p w14:paraId="460E2A65">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（2）方案内容基本完整，具有一定可行性的，得</w:t>
            </w:r>
            <w:r>
              <w:rPr>
                <w:rFonts w:hint="eastAsia" w:ascii="宋体" w:hAnsi="宋体" w:eastAsia="宋体" w:cs="宋体"/>
                <w:bCs/>
                <w:color w:val="auto"/>
                <w:sz w:val="24"/>
                <w:highlight w:val="none"/>
                <w:lang w:val="en-US" w:eastAsia="zh-CN"/>
              </w:rPr>
              <w:t>8</w:t>
            </w:r>
            <w:r>
              <w:rPr>
                <w:rFonts w:hint="eastAsia" w:ascii="宋体" w:hAnsi="宋体" w:eastAsia="宋体" w:cs="宋体"/>
                <w:bCs/>
                <w:color w:val="auto"/>
                <w:sz w:val="24"/>
                <w:highlight w:val="none"/>
              </w:rPr>
              <w:t>＜F≤</w:t>
            </w:r>
            <w:r>
              <w:rPr>
                <w:rFonts w:hint="eastAsia" w:ascii="宋体" w:hAnsi="宋体" w:eastAsia="宋体" w:cs="宋体"/>
                <w:bCs/>
                <w:color w:val="auto"/>
                <w:sz w:val="24"/>
                <w:highlight w:val="none"/>
                <w:lang w:val="en-US" w:eastAsia="zh-CN"/>
              </w:rPr>
              <w:t>14</w:t>
            </w:r>
            <w:r>
              <w:rPr>
                <w:rFonts w:hint="eastAsia" w:ascii="宋体" w:hAnsi="宋体" w:eastAsia="宋体" w:cs="宋体"/>
                <w:bCs/>
                <w:color w:val="auto"/>
                <w:sz w:val="24"/>
                <w:highlight w:val="none"/>
              </w:rPr>
              <w:t>分；</w:t>
            </w:r>
          </w:p>
          <w:p w14:paraId="1DE100DE">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（3）初步满足上述要求的，得1≤F≤</w:t>
            </w:r>
            <w:r>
              <w:rPr>
                <w:rFonts w:hint="eastAsia" w:ascii="宋体" w:hAnsi="宋体" w:eastAsia="宋体" w:cs="宋体"/>
                <w:bCs/>
                <w:color w:val="auto"/>
                <w:sz w:val="24"/>
                <w:highlight w:val="none"/>
                <w:lang w:val="en-US" w:eastAsia="zh-CN"/>
              </w:rPr>
              <w:t>8</w:t>
            </w:r>
            <w:r>
              <w:rPr>
                <w:rFonts w:hint="eastAsia" w:ascii="宋体" w:hAnsi="宋体" w:eastAsia="宋体" w:cs="宋体"/>
                <w:bCs/>
                <w:color w:val="auto"/>
                <w:sz w:val="24"/>
                <w:highlight w:val="none"/>
              </w:rPr>
              <w:t>分。</w:t>
            </w:r>
          </w:p>
          <w:p w14:paraId="672AC67C">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其他或未提供的不得分。</w:t>
            </w:r>
          </w:p>
          <w:p w14:paraId="4CEBCB43">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注：F为本项得分。</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606D7DB">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0-</w:t>
            </w:r>
            <w:r>
              <w:rPr>
                <w:rFonts w:hint="eastAsia" w:ascii="宋体" w:hAnsi="宋体" w:eastAsia="宋体" w:cs="宋体"/>
                <w:b/>
                <w:bCs/>
                <w:color w:val="auto"/>
                <w:sz w:val="24"/>
                <w:highlight w:val="none"/>
                <w:lang w:val="en-US" w:eastAsia="zh-CN"/>
              </w:rPr>
              <w:t>20</w:t>
            </w:r>
            <w:r>
              <w:rPr>
                <w:rFonts w:hint="eastAsia" w:ascii="宋体" w:hAnsi="宋体" w:eastAsia="宋体" w:cs="宋体"/>
                <w:b/>
                <w:bCs/>
                <w:color w:val="auto"/>
                <w:sz w:val="24"/>
                <w:highlight w:val="none"/>
              </w:rPr>
              <w:t>分</w:t>
            </w:r>
          </w:p>
        </w:tc>
      </w:tr>
      <w:tr w14:paraId="6F55A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3D2F6D4A">
            <w:pPr>
              <w:spacing w:line="360" w:lineRule="auto"/>
              <w:ind w:firstLine="435"/>
              <w:jc w:val="center"/>
              <w:rPr>
                <w:rFonts w:hint="eastAsia" w:ascii="宋体" w:hAnsi="宋体" w:eastAsia="宋体" w:cs="宋体"/>
                <w:b/>
                <w:bCs/>
                <w:color w:val="auto"/>
                <w:sz w:val="24"/>
                <w:highlight w:val="none"/>
              </w:rP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14:paraId="15FFF70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p>
          <w:p w14:paraId="5D88652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服务经验</w:t>
            </w:r>
          </w:p>
        </w:tc>
        <w:tc>
          <w:tcPr>
            <w:tcW w:w="4421" w:type="dxa"/>
            <w:tcBorders>
              <w:top w:val="single" w:color="auto" w:sz="4" w:space="0"/>
              <w:left w:val="single" w:color="auto" w:sz="4" w:space="0"/>
              <w:bottom w:val="single" w:color="auto" w:sz="4" w:space="0"/>
              <w:right w:val="single" w:color="auto" w:sz="4" w:space="0"/>
            </w:tcBorders>
            <w:shd w:val="clear" w:color="auto" w:fill="auto"/>
            <w:vAlign w:val="center"/>
          </w:tcPr>
          <w:p w14:paraId="0728361A">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自2019年1月1日以来（以合同签订时间为准），投标人或投标人分公司或投标人全资子公司或投标人控股子公司（持股比例高于50%）</w:t>
            </w:r>
            <w:r>
              <w:rPr>
                <w:rFonts w:hint="eastAsia" w:ascii="宋体" w:hAnsi="宋体" w:eastAsia="宋体" w:cs="宋体"/>
                <w:color w:val="auto"/>
                <w:sz w:val="24"/>
                <w:szCs w:val="24"/>
                <w:highlight w:val="none"/>
                <w:lang w:val="en-US" w:eastAsia="zh-CN"/>
              </w:rPr>
              <w:t>每具有一个</w:t>
            </w:r>
            <w:r>
              <w:rPr>
                <w:rFonts w:hint="eastAsia" w:ascii="宋体" w:hAnsi="宋体" w:eastAsia="宋体" w:cs="宋体"/>
                <w:b/>
                <w:bCs/>
                <w:color w:val="auto"/>
                <w:sz w:val="24"/>
                <w:szCs w:val="24"/>
                <w:highlight w:val="none"/>
              </w:rPr>
              <w:t>中小学</w:t>
            </w:r>
            <w:r>
              <w:rPr>
                <w:rFonts w:hint="eastAsia" w:ascii="宋体" w:hAnsi="宋体" w:eastAsia="宋体" w:cs="宋体"/>
                <w:b/>
                <w:bCs/>
                <w:color w:val="auto"/>
                <w:sz w:val="24"/>
                <w:szCs w:val="24"/>
                <w:highlight w:val="none"/>
                <w:lang w:val="en-US" w:eastAsia="zh-CN"/>
              </w:rPr>
              <w:t>课后服务合同或</w:t>
            </w:r>
            <w:r>
              <w:rPr>
                <w:rFonts w:hint="eastAsia" w:ascii="宋体" w:hAnsi="宋体" w:eastAsia="宋体" w:cs="宋体"/>
                <w:b/>
                <w:bCs/>
                <w:color w:val="auto"/>
                <w:sz w:val="24"/>
                <w:szCs w:val="24"/>
                <w:highlight w:val="none"/>
              </w:rPr>
              <w:t>中小学</w:t>
            </w:r>
            <w:r>
              <w:rPr>
                <w:rFonts w:hint="eastAsia" w:ascii="宋体" w:hAnsi="宋体" w:eastAsia="宋体" w:cs="宋体"/>
                <w:b/>
                <w:bCs/>
                <w:color w:val="auto"/>
                <w:sz w:val="24"/>
                <w:szCs w:val="24"/>
                <w:highlight w:val="none"/>
                <w:lang w:val="en-US" w:eastAsia="zh-CN"/>
              </w:rPr>
              <w:t>课后</w:t>
            </w:r>
            <w:r>
              <w:rPr>
                <w:rFonts w:hint="eastAsia" w:ascii="宋体" w:hAnsi="宋体" w:eastAsia="宋体" w:cs="宋体"/>
                <w:b/>
                <w:bCs/>
                <w:color w:val="auto"/>
                <w:sz w:val="24"/>
                <w:szCs w:val="24"/>
                <w:highlight w:val="none"/>
              </w:rPr>
              <w:t>赛事活动</w:t>
            </w:r>
            <w:r>
              <w:rPr>
                <w:rFonts w:hint="eastAsia" w:ascii="宋体" w:hAnsi="宋体" w:eastAsia="宋体" w:cs="宋体"/>
                <w:b/>
                <w:bCs/>
                <w:color w:val="auto"/>
                <w:sz w:val="24"/>
                <w:szCs w:val="24"/>
                <w:highlight w:val="none"/>
                <w:lang w:val="en-US" w:eastAsia="zh-CN"/>
              </w:rPr>
              <w:t>服务合同</w:t>
            </w:r>
            <w:r>
              <w:rPr>
                <w:rFonts w:hint="eastAsia" w:ascii="宋体" w:hAnsi="宋体" w:eastAsia="宋体" w:cs="宋体"/>
                <w:color w:val="auto"/>
                <w:sz w:val="24"/>
                <w:szCs w:val="24"/>
                <w:highlight w:val="none"/>
                <w:lang w:val="en-US" w:eastAsia="zh-CN"/>
              </w:rPr>
              <w:t>的，每提供1个，得5分。</w:t>
            </w:r>
          </w:p>
          <w:p w14:paraId="13D35701">
            <w:pPr>
              <w:spacing w:line="400" w:lineRule="atLeast"/>
              <w:ind w:right="-1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p>
          <w:p w14:paraId="6E3EDB9F">
            <w:pPr>
              <w:spacing w:line="400" w:lineRule="atLeast"/>
              <w:ind w:right="-1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（1）本项满分</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分。</w:t>
            </w:r>
          </w:p>
          <w:p w14:paraId="50099B91">
            <w:pPr>
              <w:spacing w:line="400" w:lineRule="atLeast"/>
              <w:ind w:right="-11"/>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投标文件中须提供中小学课后服务或</w:t>
            </w:r>
            <w:r>
              <w:rPr>
                <w:rFonts w:hint="eastAsia" w:ascii="宋体" w:hAnsi="宋体" w:eastAsia="宋体" w:cs="宋体"/>
                <w:b/>
                <w:bCs/>
                <w:color w:val="auto"/>
                <w:sz w:val="24"/>
                <w:szCs w:val="24"/>
                <w:highlight w:val="none"/>
              </w:rPr>
              <w:t>中小学</w:t>
            </w:r>
            <w:r>
              <w:rPr>
                <w:rFonts w:hint="eastAsia" w:ascii="宋体" w:hAnsi="宋体" w:eastAsia="宋体" w:cs="宋体"/>
                <w:b/>
                <w:bCs/>
                <w:color w:val="auto"/>
                <w:sz w:val="24"/>
                <w:szCs w:val="24"/>
                <w:highlight w:val="none"/>
                <w:lang w:val="en-US" w:eastAsia="zh-CN"/>
              </w:rPr>
              <w:t>课后</w:t>
            </w:r>
            <w:r>
              <w:rPr>
                <w:rFonts w:hint="eastAsia" w:ascii="宋体" w:hAnsi="宋体" w:eastAsia="宋体" w:cs="宋体"/>
                <w:b/>
                <w:bCs/>
                <w:color w:val="auto"/>
                <w:sz w:val="24"/>
                <w:szCs w:val="24"/>
                <w:highlight w:val="none"/>
              </w:rPr>
              <w:t>赛事活动</w:t>
            </w:r>
            <w:r>
              <w:rPr>
                <w:rFonts w:hint="eastAsia" w:ascii="宋体" w:hAnsi="宋体" w:eastAsia="宋体" w:cs="宋体"/>
                <w:b/>
                <w:bCs/>
                <w:color w:val="auto"/>
                <w:sz w:val="24"/>
                <w:szCs w:val="24"/>
                <w:highlight w:val="none"/>
                <w:lang w:val="en-US" w:eastAsia="zh-CN"/>
              </w:rPr>
              <w:t>服务合同复印件并加盖公章，如无法反映服务内容或合同签订时间等重要信息的，须提供合同甲方的证明文件原件</w:t>
            </w:r>
            <w:r>
              <w:rPr>
                <w:rFonts w:hint="eastAsia" w:ascii="宋体" w:hAnsi="宋体" w:eastAsia="宋体" w:cs="宋体"/>
                <w:b/>
                <w:bCs/>
                <w:color w:val="auto"/>
                <w:sz w:val="24"/>
                <w:szCs w:val="24"/>
                <w:highlight w:val="none"/>
              </w:rPr>
              <w:t>。</w:t>
            </w:r>
          </w:p>
          <w:p w14:paraId="2BDB612F">
            <w:pPr>
              <w:spacing w:line="400" w:lineRule="atLeast"/>
              <w:ind w:right="-1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若提供的业绩为投标人分公司业绩，投标文件还须提供分公司营业执照扫描件；若为投标人全资子公司或投标人控股子公司（持股比例高于50%）业绩的，还须提供投标人持有该公司股权的证明文件（国家企业信用信息公示系统网站截图（www.gsxt.gov.cn）或行政主管部门出具的证明材料）。</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CB876C7">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0-10</w:t>
            </w:r>
            <w:r>
              <w:rPr>
                <w:rFonts w:hint="eastAsia" w:ascii="宋体" w:hAnsi="宋体" w:eastAsia="宋体" w:cs="宋体"/>
                <w:b/>
                <w:bCs/>
                <w:color w:val="auto"/>
                <w:sz w:val="24"/>
                <w:highlight w:val="none"/>
              </w:rPr>
              <w:t>分</w:t>
            </w:r>
          </w:p>
        </w:tc>
      </w:tr>
      <w:tr w14:paraId="1CC2B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tcBorders>
              <w:left w:val="single" w:color="auto" w:sz="4" w:space="0"/>
              <w:right w:val="single" w:color="auto" w:sz="4" w:space="0"/>
            </w:tcBorders>
            <w:vAlign w:val="center"/>
          </w:tcPr>
          <w:p w14:paraId="5D67F422">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价格分</w:t>
            </w:r>
          </w:p>
          <w:p w14:paraId="7FBDD3A8">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u w:val="single"/>
                <w:lang w:val="en-US" w:eastAsia="zh-CN"/>
              </w:rPr>
              <w:t>30</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分）</w:t>
            </w:r>
          </w:p>
        </w:tc>
        <w:tc>
          <w:tcPr>
            <w:tcW w:w="7127" w:type="dxa"/>
            <w:gridSpan w:val="3"/>
            <w:tcBorders>
              <w:top w:val="single" w:color="auto" w:sz="4" w:space="0"/>
              <w:left w:val="single" w:color="auto" w:sz="4" w:space="0"/>
              <w:bottom w:val="single" w:color="auto" w:sz="4" w:space="0"/>
              <w:right w:val="single" w:color="auto" w:sz="4" w:space="0"/>
            </w:tcBorders>
            <w:vAlign w:val="center"/>
          </w:tcPr>
          <w:p w14:paraId="783E7DC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价格分统一采用低价优先法（投标人分成比例报价越低，</w:t>
            </w:r>
            <w:r>
              <w:rPr>
                <w:rFonts w:hint="eastAsia" w:ascii="宋体" w:hAnsi="宋体" w:eastAsia="宋体" w:cs="宋体"/>
                <w:color w:val="auto"/>
                <w:sz w:val="24"/>
                <w:highlight w:val="none"/>
                <w:lang w:val="en-US" w:eastAsia="zh-CN"/>
              </w:rPr>
              <w:t>价格</w:t>
            </w:r>
            <w:r>
              <w:rPr>
                <w:rFonts w:hint="eastAsia" w:ascii="宋体" w:hAnsi="宋体" w:eastAsia="宋体" w:cs="宋体"/>
                <w:color w:val="auto"/>
                <w:sz w:val="24"/>
                <w:highlight w:val="none"/>
              </w:rPr>
              <w:t>分越高），按照营业额收入分成比例报价，即满足磋商文件要求且投标人分成比例最低的最后报价为评标基准价，其价格分为满分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分。其他投标人的价格分统一按照下列公式计算(计算结果保留两位小数)：</w:t>
            </w:r>
          </w:p>
          <w:p w14:paraId="31B9F021">
            <w:pPr>
              <w:spacing w:line="360" w:lineRule="auto"/>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报价得分＝（评标基准价/报价）×100%×</w:t>
            </w:r>
            <w:r>
              <w:rPr>
                <w:rFonts w:hint="eastAsia" w:ascii="宋体" w:hAnsi="宋体" w:eastAsia="宋体" w:cs="宋体"/>
                <w:color w:val="auto"/>
                <w:sz w:val="24"/>
                <w:highlight w:val="none"/>
                <w:lang w:val="en-US" w:eastAsia="zh-CN"/>
              </w:rPr>
              <w:t>30</w:t>
            </w:r>
          </w:p>
        </w:tc>
      </w:tr>
    </w:tbl>
    <w:p w14:paraId="7613336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2.2.3分值汇总</w:t>
      </w:r>
    </w:p>
    <w:p w14:paraId="59A75F90">
      <w:pPr>
        <w:spacing w:line="360" w:lineRule="auto"/>
        <w:ind w:firstLine="435"/>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1）磋商小组各成员应当独立对每个有效响应的文件进行评价、打分，然后汇总每个投标人每项评分因素的得分（四舍五入保留至小数点后两位数），再取各位评委评分之平均值，四舍五入保留至小数点后两位数，得到该投标人的技术资信分。</w:t>
      </w:r>
    </w:p>
    <w:p w14:paraId="7DBEDAF3">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（2）将每个投标人的技术资信分加上根据上述标准计算出的价格分，即为该投标人的综合总得分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综合总得分最高的，作为第一中标候选人，综合总得分相同的，按价格分高的作为中标候选人,如价格分仍相同的，由磋商小组成员采用投票方式决定中标候选人。</w:t>
      </w:r>
    </w:p>
    <w:p w14:paraId="6CEA8F01">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7D7D15D1">
      <w:pPr>
        <w:spacing w:line="360" w:lineRule="auto"/>
        <w:jc w:val="center"/>
        <w:outlineLvl w:val="1"/>
        <w:rPr>
          <w:rFonts w:hint="eastAsia" w:ascii="宋体" w:hAnsi="宋体" w:eastAsia="宋体" w:cs="宋体"/>
          <w:b/>
          <w:color w:val="auto"/>
          <w:sz w:val="28"/>
          <w:highlight w:val="none"/>
        </w:rPr>
      </w:pPr>
      <w:bookmarkStart w:id="19" w:name="_Toc47026336"/>
      <w:r>
        <w:rPr>
          <w:rFonts w:hint="eastAsia" w:ascii="宋体" w:hAnsi="宋体" w:eastAsia="宋体" w:cs="宋体"/>
          <w:b/>
          <w:color w:val="auto"/>
          <w:sz w:val="28"/>
          <w:highlight w:val="none"/>
        </w:rPr>
        <w:t>第五章  合同模板</w:t>
      </w:r>
      <w:bookmarkEnd w:id="19"/>
    </w:p>
    <w:p w14:paraId="42BAE7E4">
      <w:pPr>
        <w:spacing w:line="480" w:lineRule="auto"/>
        <w:jc w:val="center"/>
        <w:rPr>
          <w:rFonts w:hint="eastAsia" w:ascii="宋体" w:hAnsi="宋体" w:eastAsia="宋体" w:cs="宋体"/>
          <w:b/>
          <w:color w:val="auto"/>
          <w:sz w:val="24"/>
          <w:highlight w:val="none"/>
        </w:rPr>
      </w:pPr>
    </w:p>
    <w:p w14:paraId="175EDE23">
      <w:pPr>
        <w:spacing w:line="480" w:lineRule="auto"/>
        <w:jc w:val="center"/>
        <w:rPr>
          <w:rFonts w:hint="eastAsia" w:ascii="宋体" w:hAnsi="宋体" w:eastAsia="宋体" w:cs="宋体"/>
          <w:b/>
          <w:color w:val="auto"/>
          <w:sz w:val="24"/>
          <w:highlight w:val="none"/>
        </w:rPr>
      </w:pPr>
    </w:p>
    <w:p w14:paraId="2D7CA30F">
      <w:pPr>
        <w:spacing w:line="480" w:lineRule="auto"/>
        <w:jc w:val="center"/>
        <w:rPr>
          <w:rFonts w:hint="eastAsia" w:ascii="宋体" w:hAnsi="宋体" w:eastAsia="宋体" w:cs="宋体"/>
          <w:b/>
          <w:color w:val="auto"/>
          <w:sz w:val="24"/>
          <w:highlight w:val="none"/>
        </w:rPr>
      </w:pPr>
    </w:p>
    <w:p w14:paraId="21882EB9">
      <w:pPr>
        <w:spacing w:line="48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合同参考范本</w:t>
      </w:r>
    </w:p>
    <w:p w14:paraId="0075327F">
      <w:pPr>
        <w:spacing w:line="48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（服务类）</w:t>
      </w:r>
    </w:p>
    <w:p w14:paraId="2B1EE9F6">
      <w:pPr>
        <w:spacing w:line="480" w:lineRule="auto"/>
        <w:jc w:val="center"/>
        <w:rPr>
          <w:rFonts w:hint="eastAsia" w:ascii="宋体" w:hAnsi="宋体" w:eastAsia="宋体" w:cs="宋体"/>
          <w:b/>
          <w:color w:val="auto"/>
          <w:sz w:val="24"/>
          <w:highlight w:val="none"/>
        </w:rPr>
      </w:pPr>
    </w:p>
    <w:p w14:paraId="5C024235">
      <w:pPr>
        <w:spacing w:line="480" w:lineRule="auto"/>
        <w:jc w:val="center"/>
        <w:rPr>
          <w:rFonts w:hint="eastAsia" w:ascii="宋体" w:hAnsi="宋体" w:eastAsia="宋体" w:cs="宋体"/>
          <w:b/>
          <w:color w:val="auto"/>
          <w:sz w:val="24"/>
          <w:highlight w:val="none"/>
        </w:rPr>
      </w:pPr>
    </w:p>
    <w:p w14:paraId="5DB2C74D">
      <w:pPr>
        <w:spacing w:line="480" w:lineRule="auto"/>
        <w:jc w:val="center"/>
        <w:rPr>
          <w:rFonts w:hint="eastAsia" w:ascii="宋体" w:hAnsi="宋体" w:eastAsia="宋体" w:cs="宋体"/>
          <w:b/>
          <w:color w:val="auto"/>
          <w:sz w:val="24"/>
          <w:highlight w:val="none"/>
        </w:rPr>
      </w:pPr>
    </w:p>
    <w:p w14:paraId="2E94C79D">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第一部分 合同书</w:t>
      </w:r>
    </w:p>
    <w:p w14:paraId="1CBAA86E">
      <w:pPr>
        <w:spacing w:line="480" w:lineRule="auto"/>
        <w:jc w:val="center"/>
        <w:rPr>
          <w:rFonts w:hint="eastAsia" w:ascii="宋体" w:hAnsi="宋体" w:eastAsia="宋体" w:cs="宋体"/>
          <w:b/>
          <w:color w:val="auto"/>
          <w:sz w:val="24"/>
          <w:highlight w:val="none"/>
        </w:rPr>
      </w:pPr>
    </w:p>
    <w:p w14:paraId="3FDC47FF">
      <w:pPr>
        <w:spacing w:line="480" w:lineRule="auto"/>
        <w:jc w:val="center"/>
        <w:rPr>
          <w:rFonts w:hint="eastAsia" w:ascii="宋体" w:hAnsi="宋体" w:eastAsia="宋体" w:cs="宋体"/>
          <w:b/>
          <w:color w:val="auto"/>
          <w:sz w:val="24"/>
          <w:highlight w:val="none"/>
        </w:rPr>
      </w:pPr>
    </w:p>
    <w:p w14:paraId="00C2D8C8">
      <w:pPr>
        <w:spacing w:line="480" w:lineRule="auto"/>
        <w:jc w:val="center"/>
        <w:rPr>
          <w:rFonts w:hint="eastAsia" w:ascii="宋体" w:hAnsi="宋体" w:eastAsia="宋体" w:cs="宋体"/>
          <w:b/>
          <w:color w:val="auto"/>
          <w:sz w:val="24"/>
          <w:highlight w:val="none"/>
        </w:rPr>
      </w:pPr>
    </w:p>
    <w:p w14:paraId="4E032DA6">
      <w:pPr>
        <w:spacing w:before="120" w:line="480" w:lineRule="auto"/>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lang w:eastAsia="zh-CN"/>
        </w:rPr>
        <w:t>包河区体艺中心合肥市师范附属小学课程服务单位（第一部分）招标（二次）</w:t>
      </w:r>
      <w:r>
        <w:rPr>
          <w:rFonts w:hint="eastAsia" w:ascii="宋体" w:hAnsi="宋体" w:eastAsia="宋体" w:cs="宋体"/>
          <w:i/>
          <w:iCs/>
          <w:color w:val="auto"/>
          <w:sz w:val="24"/>
          <w:highlight w:val="none"/>
        </w:rPr>
        <w:t>（分标段项目须填写完整的标段号及标段名称）</w:t>
      </w:r>
    </w:p>
    <w:p w14:paraId="6AFB0D99">
      <w:pPr>
        <w:spacing w:before="120" w:line="480" w:lineRule="auto"/>
        <w:ind w:left="960"/>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项目编号：</w:t>
      </w:r>
      <w:r>
        <w:rPr>
          <w:rFonts w:hint="eastAsia" w:ascii="宋体" w:hAnsi="宋体" w:eastAsia="宋体" w:cs="宋体"/>
          <w:b/>
          <w:bCs/>
          <w:color w:val="auto"/>
          <w:sz w:val="24"/>
          <w:szCs w:val="18"/>
          <w:highlight w:val="none"/>
          <w:u w:val="single"/>
        </w:rPr>
        <w:t>BHSG</w:t>
      </w:r>
      <w:r>
        <w:rPr>
          <w:rFonts w:hint="eastAsia" w:ascii="宋体" w:hAnsi="宋体" w:eastAsia="宋体" w:cs="宋体"/>
          <w:b/>
          <w:bCs/>
          <w:color w:val="auto"/>
          <w:sz w:val="24"/>
          <w:szCs w:val="18"/>
          <w:highlight w:val="none"/>
          <w:u w:val="single"/>
          <w:lang w:val="en-US" w:eastAsia="zh-CN"/>
        </w:rPr>
        <w:t>-ZTB-2025-03</w:t>
      </w:r>
    </w:p>
    <w:p w14:paraId="3C459926">
      <w:pPr>
        <w:spacing w:before="120" w:line="480" w:lineRule="auto"/>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甲方（招标人）：</w:t>
      </w:r>
      <w:r>
        <w:rPr>
          <w:rFonts w:hint="eastAsia" w:ascii="宋体" w:hAnsi="宋体" w:eastAsia="宋体" w:cs="宋体"/>
          <w:color w:val="auto"/>
          <w:sz w:val="24"/>
          <w:highlight w:val="none"/>
          <w:u w:val="single"/>
        </w:rPr>
        <w:t xml:space="preserve">                              </w:t>
      </w:r>
    </w:p>
    <w:p w14:paraId="5511164D">
      <w:pPr>
        <w:spacing w:before="120" w:line="480" w:lineRule="auto"/>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乙方（中标人）：</w:t>
      </w:r>
      <w:r>
        <w:rPr>
          <w:rFonts w:hint="eastAsia" w:ascii="宋体" w:hAnsi="宋体" w:eastAsia="宋体" w:cs="宋体"/>
          <w:color w:val="auto"/>
          <w:sz w:val="24"/>
          <w:highlight w:val="none"/>
          <w:u w:val="single"/>
        </w:rPr>
        <w:t xml:space="preserve">                              </w:t>
      </w:r>
    </w:p>
    <w:p w14:paraId="0B917D77">
      <w:pPr>
        <w:spacing w:before="120" w:line="480" w:lineRule="auto"/>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签订地：</w:t>
      </w:r>
      <w:r>
        <w:rPr>
          <w:rFonts w:hint="eastAsia" w:ascii="宋体" w:hAnsi="宋体" w:eastAsia="宋体" w:cs="宋体"/>
          <w:color w:val="auto"/>
          <w:sz w:val="24"/>
          <w:highlight w:val="none"/>
          <w:u w:val="single"/>
        </w:rPr>
        <w:t xml:space="preserve">                                     </w:t>
      </w:r>
    </w:p>
    <w:p w14:paraId="6786EA83">
      <w:pPr>
        <w:spacing w:before="120" w:line="480" w:lineRule="auto"/>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4CA70EB2">
      <w:pPr>
        <w:autoSpaceDE w:val="0"/>
        <w:autoSpaceDN w:val="0"/>
        <w:adjustRightInd w:val="0"/>
        <w:spacing w:line="600" w:lineRule="exact"/>
        <w:ind w:firstLine="640"/>
        <w:jc w:val="center"/>
        <w:rPr>
          <w:rFonts w:hint="eastAsia" w:ascii="宋体" w:hAnsi="宋体" w:eastAsia="宋体" w:cs="宋体"/>
          <w:color w:val="auto"/>
          <w:sz w:val="24"/>
          <w:highlight w:val="none"/>
        </w:rPr>
        <w:sectPr>
          <w:footerReference r:id="rId5" w:type="default"/>
          <w:pgSz w:w="11907" w:h="16840"/>
          <w:pgMar w:top="1474" w:right="1814" w:bottom="1474" w:left="1814" w:header="851" w:footer="992" w:gutter="0"/>
          <w:cols w:space="720" w:num="1"/>
          <w:docGrid w:linePitch="462" w:charSpace="0"/>
        </w:sectPr>
      </w:pPr>
    </w:p>
    <w:p w14:paraId="7660E8D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合肥滨湖时光体育发展有限公司</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以下简称：甲方</w:t>
      </w:r>
      <w:r>
        <w:rPr>
          <w:rFonts w:hint="eastAsia" w:ascii="宋体" w:hAnsi="宋体" w:eastAsia="宋体" w:cs="宋体"/>
          <w:color w:val="auto"/>
          <w:sz w:val="24"/>
          <w:highlight w:val="none"/>
        </w:rPr>
        <w:t>）组织的</w:t>
      </w:r>
      <w:r>
        <w:rPr>
          <w:rFonts w:hint="eastAsia" w:ascii="宋体" w:hAnsi="宋体" w:eastAsia="宋体" w:cs="宋体"/>
          <w:color w:val="auto"/>
          <w:sz w:val="24"/>
          <w:highlight w:val="none"/>
          <w:u w:val="single"/>
        </w:rPr>
        <w:t>竞争性磋商</w:t>
      </w:r>
      <w:r>
        <w:rPr>
          <w:rFonts w:hint="eastAsia" w:ascii="宋体" w:hAnsi="宋体" w:eastAsia="宋体" w:cs="宋体"/>
          <w:color w:val="auto"/>
          <w:sz w:val="24"/>
          <w:highlight w:val="none"/>
        </w:rPr>
        <w:t>方式招标活动，经</w:t>
      </w:r>
      <w:r>
        <w:rPr>
          <w:rFonts w:hint="eastAsia" w:ascii="宋体" w:hAnsi="宋体" w:eastAsia="宋体" w:cs="宋体"/>
          <w:color w:val="auto"/>
          <w:sz w:val="24"/>
          <w:highlight w:val="none"/>
          <w:u w:val="single"/>
        </w:rPr>
        <w:t>磋商小组</w:t>
      </w:r>
      <w:r>
        <w:rPr>
          <w:rFonts w:hint="eastAsia" w:ascii="宋体" w:hAnsi="宋体" w:eastAsia="宋体" w:cs="宋体"/>
          <w:color w:val="auto"/>
          <w:sz w:val="24"/>
          <w:highlight w:val="none"/>
        </w:rPr>
        <w:t>评定，</w:t>
      </w:r>
      <w:r>
        <w:rPr>
          <w:rFonts w:hint="eastAsia" w:ascii="宋体" w:hAnsi="宋体" w:eastAsia="宋体" w:cs="宋体"/>
          <w:i/>
          <w:iCs/>
          <w:color w:val="auto"/>
          <w:sz w:val="24"/>
          <w:highlight w:val="none"/>
          <w:u w:val="single"/>
        </w:rPr>
        <w:t>（中标人名称）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以下简称：乙方</w:t>
      </w:r>
      <w:r>
        <w:rPr>
          <w:rFonts w:hint="eastAsia" w:ascii="宋体" w:hAnsi="宋体" w:eastAsia="宋体" w:cs="宋体"/>
          <w:color w:val="auto"/>
          <w:sz w:val="24"/>
          <w:highlight w:val="none"/>
        </w:rPr>
        <w:t>）为本项目中标人，现按照磋商文件确定的事项签订本合同。</w:t>
      </w:r>
    </w:p>
    <w:p w14:paraId="7ED25A58">
      <w:pPr>
        <w:spacing w:line="360" w:lineRule="auto"/>
        <w:ind w:firstLine="435"/>
        <w:rPr>
          <w:rFonts w:hint="eastAsia" w:ascii="宋体" w:hAnsi="宋体" w:eastAsia="宋体" w:cs="宋体"/>
          <w:color w:val="auto"/>
          <w:sz w:val="24"/>
          <w:highlight w:val="none"/>
          <w:lang w:val="zh-CN"/>
        </w:rPr>
      </w:pPr>
      <w:bookmarkStart w:id="20" w:name="_Toc24059"/>
      <w:bookmarkStart w:id="21" w:name="_Toc3029"/>
      <w:bookmarkStart w:id="22" w:name="_Toc2232"/>
      <w:r>
        <w:rPr>
          <w:rFonts w:hint="eastAsia" w:ascii="宋体" w:hAnsi="宋体" w:eastAsia="宋体" w:cs="宋体"/>
          <w:color w:val="auto"/>
          <w:sz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14:paraId="66E0F01B">
      <w:pPr>
        <w:spacing w:line="360" w:lineRule="auto"/>
        <w:ind w:firstLine="437"/>
        <w:outlineLvl w:val="3"/>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1.1 合同组成部分</w:t>
      </w:r>
      <w:bookmarkEnd w:id="20"/>
      <w:bookmarkEnd w:id="21"/>
      <w:bookmarkEnd w:id="22"/>
    </w:p>
    <w:p w14:paraId="5E682BAD">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5D606CF4">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1.1.1本合同及其补充合同、变更协议；</w:t>
      </w:r>
    </w:p>
    <w:p w14:paraId="5740B610">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1.1.2中标通知书；</w:t>
      </w:r>
    </w:p>
    <w:p w14:paraId="68957374">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1.1.3响应文件（含澄清或者说明文件）；</w:t>
      </w:r>
    </w:p>
    <w:p w14:paraId="487B1BB5">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1.1.4磋商文件（含澄清或者修改文件）；</w:t>
      </w:r>
    </w:p>
    <w:p w14:paraId="35E2BE2E">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1.1.5其他相关采购文件。</w:t>
      </w:r>
    </w:p>
    <w:p w14:paraId="56A6B2DE">
      <w:pPr>
        <w:spacing w:line="360" w:lineRule="auto"/>
        <w:ind w:firstLine="437"/>
        <w:outlineLvl w:val="3"/>
        <w:rPr>
          <w:rFonts w:hint="eastAsia" w:ascii="宋体" w:hAnsi="宋体" w:eastAsia="宋体" w:cs="宋体"/>
          <w:b/>
          <w:bCs/>
          <w:color w:val="auto"/>
          <w:sz w:val="24"/>
          <w:highlight w:val="none"/>
          <w:lang w:val="zh-CN"/>
        </w:rPr>
      </w:pPr>
      <w:bookmarkStart w:id="23" w:name="_Toc18585"/>
      <w:bookmarkStart w:id="24" w:name="_Toc6773"/>
      <w:bookmarkStart w:id="25" w:name="_Toc22185"/>
      <w:bookmarkStart w:id="26" w:name="_Toc6311"/>
      <w:bookmarkStart w:id="27" w:name="_Toc2918"/>
      <w:r>
        <w:rPr>
          <w:rFonts w:hint="eastAsia" w:ascii="宋体" w:hAnsi="宋体" w:eastAsia="宋体" w:cs="宋体"/>
          <w:b/>
          <w:bCs/>
          <w:color w:val="auto"/>
          <w:sz w:val="24"/>
          <w:highlight w:val="none"/>
          <w:lang w:val="zh-CN"/>
        </w:rPr>
        <w:t xml:space="preserve">1.2 </w:t>
      </w:r>
      <w:bookmarkEnd w:id="23"/>
      <w:bookmarkEnd w:id="24"/>
      <w:bookmarkEnd w:id="25"/>
      <w:bookmarkEnd w:id="26"/>
      <w:bookmarkEnd w:id="27"/>
      <w:r>
        <w:rPr>
          <w:rFonts w:hint="eastAsia" w:ascii="宋体" w:hAnsi="宋体" w:eastAsia="宋体" w:cs="宋体"/>
          <w:b/>
          <w:bCs/>
          <w:color w:val="auto"/>
          <w:sz w:val="24"/>
          <w:highlight w:val="none"/>
          <w:lang w:val="zh-CN"/>
        </w:rPr>
        <w:t>服务</w:t>
      </w:r>
    </w:p>
    <w:p w14:paraId="5428C56A">
      <w:pPr>
        <w:spacing w:line="360" w:lineRule="auto"/>
        <w:ind w:firstLine="43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1.2.1服务名称：</w:t>
      </w:r>
      <w:r>
        <w:rPr>
          <w:rFonts w:hint="eastAsia" w:ascii="宋体" w:hAnsi="宋体" w:eastAsia="宋体" w:cs="宋体"/>
          <w:color w:val="auto"/>
          <w:sz w:val="24"/>
          <w:highlight w:val="none"/>
          <w:u w:val="single"/>
          <w:lang w:eastAsia="zh-CN"/>
        </w:rPr>
        <w:t>包河区体艺中心合肥市师范附属小学课程服务单位（第一部分）招标（二次）</w:t>
      </w:r>
      <w:r>
        <w:rPr>
          <w:rFonts w:hint="eastAsia" w:ascii="宋体" w:hAnsi="宋体" w:eastAsia="宋体" w:cs="宋体"/>
          <w:color w:val="auto"/>
          <w:sz w:val="24"/>
          <w:highlight w:val="none"/>
        </w:rPr>
        <w:t>；</w:t>
      </w:r>
    </w:p>
    <w:p w14:paraId="3B2A5A63">
      <w:pPr>
        <w:spacing w:line="360" w:lineRule="auto"/>
        <w:ind w:firstLine="43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1.2.2服务内容：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2DA4A8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1.2.3服务质量：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B68F5BA">
      <w:pPr>
        <w:spacing w:line="360" w:lineRule="auto"/>
        <w:ind w:firstLine="437"/>
        <w:outlineLvl w:val="3"/>
        <w:rPr>
          <w:rFonts w:hint="eastAsia" w:ascii="宋体" w:hAnsi="宋体" w:eastAsia="宋体" w:cs="宋体"/>
          <w:b/>
          <w:bCs/>
          <w:color w:val="auto"/>
          <w:sz w:val="24"/>
          <w:highlight w:val="none"/>
          <w:lang w:val="zh-CN"/>
        </w:rPr>
      </w:pPr>
      <w:bookmarkStart w:id="28" w:name="_Toc21551"/>
      <w:bookmarkStart w:id="29" w:name="_Toc23292"/>
      <w:bookmarkStart w:id="30" w:name="_Toc21631"/>
      <w:r>
        <w:rPr>
          <w:rFonts w:hint="eastAsia" w:ascii="宋体" w:hAnsi="宋体" w:eastAsia="宋体" w:cs="宋体"/>
          <w:b/>
          <w:bCs/>
          <w:color w:val="auto"/>
          <w:sz w:val="24"/>
          <w:highlight w:val="none"/>
          <w:lang w:val="zh-CN"/>
        </w:rPr>
        <w:t>1.3 价款</w:t>
      </w:r>
      <w:bookmarkEnd w:id="28"/>
      <w:bookmarkEnd w:id="29"/>
      <w:bookmarkEnd w:id="30"/>
    </w:p>
    <w:p w14:paraId="34A7C99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本合同总价为：￥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p>
    <w:p w14:paraId="23EEA5B7">
      <w:pPr>
        <w:spacing w:line="360" w:lineRule="auto"/>
        <w:ind w:firstLine="43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分项价格：</w:t>
      </w: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1C3F6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155825DD">
            <w:pPr>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序号</w:t>
            </w:r>
          </w:p>
        </w:tc>
        <w:tc>
          <w:tcPr>
            <w:tcW w:w="4316" w:type="dxa"/>
            <w:vAlign w:val="center"/>
          </w:tcPr>
          <w:p w14:paraId="71B15497">
            <w:pPr>
              <w:pStyle w:val="33"/>
              <w:ind w:firstLine="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分项名称</w:t>
            </w:r>
          </w:p>
        </w:tc>
        <w:tc>
          <w:tcPr>
            <w:tcW w:w="3237" w:type="dxa"/>
            <w:gridSpan w:val="2"/>
            <w:vAlign w:val="center"/>
          </w:tcPr>
          <w:p w14:paraId="3B0725BC">
            <w:pPr>
              <w:pStyle w:val="3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分项价格</w:t>
            </w:r>
          </w:p>
        </w:tc>
      </w:tr>
      <w:tr w14:paraId="4CFAA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67771AB">
            <w:pPr>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w:t>
            </w:r>
          </w:p>
        </w:tc>
        <w:tc>
          <w:tcPr>
            <w:tcW w:w="4316" w:type="dxa"/>
            <w:vAlign w:val="center"/>
          </w:tcPr>
          <w:p w14:paraId="6F507EB7">
            <w:pPr>
              <w:pStyle w:val="33"/>
              <w:ind w:firstLine="200"/>
              <w:jc w:val="center"/>
              <w:rPr>
                <w:rFonts w:hint="eastAsia" w:ascii="宋体" w:hAnsi="宋体" w:eastAsia="宋体" w:cs="宋体"/>
                <w:color w:val="auto"/>
                <w:sz w:val="24"/>
                <w:szCs w:val="24"/>
                <w:highlight w:val="none"/>
              </w:rPr>
            </w:pPr>
          </w:p>
        </w:tc>
        <w:tc>
          <w:tcPr>
            <w:tcW w:w="3237" w:type="dxa"/>
            <w:gridSpan w:val="2"/>
            <w:vAlign w:val="center"/>
          </w:tcPr>
          <w:p w14:paraId="7E1A2B43">
            <w:pPr>
              <w:pStyle w:val="33"/>
              <w:ind w:firstLine="200"/>
              <w:jc w:val="center"/>
              <w:rPr>
                <w:rFonts w:hint="eastAsia" w:ascii="宋体" w:hAnsi="宋体" w:eastAsia="宋体" w:cs="宋体"/>
                <w:color w:val="auto"/>
                <w:sz w:val="24"/>
                <w:szCs w:val="24"/>
                <w:highlight w:val="none"/>
              </w:rPr>
            </w:pPr>
          </w:p>
        </w:tc>
      </w:tr>
      <w:tr w14:paraId="3E87D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627982D">
            <w:pPr>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w:t>
            </w:r>
          </w:p>
        </w:tc>
        <w:tc>
          <w:tcPr>
            <w:tcW w:w="4316" w:type="dxa"/>
            <w:vAlign w:val="center"/>
          </w:tcPr>
          <w:p w14:paraId="7805CCD0">
            <w:pPr>
              <w:pStyle w:val="33"/>
              <w:ind w:firstLine="200"/>
              <w:jc w:val="center"/>
              <w:rPr>
                <w:rFonts w:hint="eastAsia" w:ascii="宋体" w:hAnsi="宋体" w:eastAsia="宋体" w:cs="宋体"/>
                <w:color w:val="auto"/>
                <w:sz w:val="24"/>
                <w:szCs w:val="24"/>
                <w:highlight w:val="none"/>
              </w:rPr>
            </w:pPr>
          </w:p>
        </w:tc>
        <w:tc>
          <w:tcPr>
            <w:tcW w:w="3237" w:type="dxa"/>
            <w:gridSpan w:val="2"/>
            <w:vAlign w:val="center"/>
          </w:tcPr>
          <w:p w14:paraId="118F38EF">
            <w:pPr>
              <w:pStyle w:val="33"/>
              <w:ind w:firstLine="200"/>
              <w:jc w:val="center"/>
              <w:rPr>
                <w:rFonts w:hint="eastAsia" w:ascii="宋体" w:hAnsi="宋体" w:eastAsia="宋体" w:cs="宋体"/>
                <w:color w:val="auto"/>
                <w:sz w:val="24"/>
                <w:szCs w:val="24"/>
                <w:highlight w:val="none"/>
              </w:rPr>
            </w:pPr>
          </w:p>
        </w:tc>
      </w:tr>
      <w:tr w14:paraId="6A79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7C189348">
            <w:pPr>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w:t>
            </w:r>
          </w:p>
        </w:tc>
        <w:tc>
          <w:tcPr>
            <w:tcW w:w="4316" w:type="dxa"/>
            <w:vAlign w:val="center"/>
          </w:tcPr>
          <w:p w14:paraId="55D7242C">
            <w:pPr>
              <w:pStyle w:val="33"/>
              <w:ind w:firstLine="200"/>
              <w:jc w:val="center"/>
              <w:rPr>
                <w:rFonts w:hint="eastAsia" w:ascii="宋体" w:hAnsi="宋体" w:eastAsia="宋体" w:cs="宋体"/>
                <w:color w:val="auto"/>
                <w:sz w:val="24"/>
                <w:szCs w:val="24"/>
                <w:highlight w:val="none"/>
              </w:rPr>
            </w:pPr>
          </w:p>
        </w:tc>
        <w:tc>
          <w:tcPr>
            <w:tcW w:w="3237" w:type="dxa"/>
            <w:gridSpan w:val="2"/>
            <w:vAlign w:val="center"/>
          </w:tcPr>
          <w:p w14:paraId="39937EEE">
            <w:pPr>
              <w:pStyle w:val="33"/>
              <w:ind w:firstLine="200"/>
              <w:jc w:val="center"/>
              <w:rPr>
                <w:rFonts w:hint="eastAsia" w:ascii="宋体" w:hAnsi="宋体" w:eastAsia="宋体" w:cs="宋体"/>
                <w:color w:val="auto"/>
                <w:sz w:val="24"/>
                <w:szCs w:val="24"/>
                <w:highlight w:val="none"/>
              </w:rPr>
            </w:pPr>
          </w:p>
        </w:tc>
      </w:tr>
      <w:tr w14:paraId="04DFC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A94589A">
            <w:pPr>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w:t>
            </w:r>
          </w:p>
        </w:tc>
        <w:tc>
          <w:tcPr>
            <w:tcW w:w="4316" w:type="dxa"/>
            <w:vAlign w:val="center"/>
          </w:tcPr>
          <w:p w14:paraId="3817DE11">
            <w:pPr>
              <w:pStyle w:val="33"/>
              <w:ind w:firstLine="200"/>
              <w:jc w:val="center"/>
              <w:rPr>
                <w:rFonts w:hint="eastAsia" w:ascii="宋体" w:hAnsi="宋体" w:eastAsia="宋体" w:cs="宋体"/>
                <w:color w:val="auto"/>
                <w:sz w:val="24"/>
                <w:szCs w:val="24"/>
                <w:highlight w:val="none"/>
              </w:rPr>
            </w:pPr>
          </w:p>
        </w:tc>
        <w:tc>
          <w:tcPr>
            <w:tcW w:w="3237" w:type="dxa"/>
            <w:gridSpan w:val="2"/>
            <w:vAlign w:val="center"/>
          </w:tcPr>
          <w:p w14:paraId="06AF0F04">
            <w:pPr>
              <w:pStyle w:val="33"/>
              <w:ind w:firstLine="200"/>
              <w:jc w:val="center"/>
              <w:rPr>
                <w:rFonts w:hint="eastAsia" w:ascii="宋体" w:hAnsi="宋体" w:eastAsia="宋体" w:cs="宋体"/>
                <w:color w:val="auto"/>
                <w:sz w:val="24"/>
                <w:szCs w:val="24"/>
                <w:highlight w:val="none"/>
              </w:rPr>
            </w:pPr>
          </w:p>
        </w:tc>
      </w:tr>
      <w:tr w14:paraId="6EB4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17207BA5">
            <w:pPr>
              <w:pStyle w:val="33"/>
              <w:ind w:firstLine="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3237" w:type="dxa"/>
            <w:gridSpan w:val="2"/>
            <w:vAlign w:val="center"/>
          </w:tcPr>
          <w:p w14:paraId="54341FCA">
            <w:pPr>
              <w:pStyle w:val="33"/>
              <w:ind w:firstLine="200"/>
              <w:jc w:val="center"/>
              <w:rPr>
                <w:rFonts w:hint="eastAsia" w:ascii="宋体" w:hAnsi="宋体" w:eastAsia="宋体" w:cs="宋体"/>
                <w:color w:val="auto"/>
                <w:sz w:val="24"/>
                <w:szCs w:val="24"/>
                <w:highlight w:val="none"/>
              </w:rPr>
            </w:pPr>
          </w:p>
        </w:tc>
      </w:tr>
    </w:tbl>
    <w:p w14:paraId="28D751CE">
      <w:pPr>
        <w:spacing w:line="360" w:lineRule="auto"/>
        <w:ind w:firstLine="437"/>
        <w:outlineLvl w:val="3"/>
        <w:rPr>
          <w:rFonts w:hint="eastAsia" w:ascii="宋体" w:hAnsi="宋体" w:eastAsia="宋体" w:cs="宋体"/>
          <w:b/>
          <w:bCs/>
          <w:color w:val="auto"/>
          <w:sz w:val="24"/>
          <w:highlight w:val="none"/>
          <w:lang w:val="zh-CN"/>
        </w:rPr>
      </w:pPr>
      <w:bookmarkStart w:id="31" w:name="_Toc1814"/>
      <w:bookmarkStart w:id="32" w:name="_Toc22618"/>
      <w:bookmarkStart w:id="33" w:name="_Toc10340"/>
      <w:bookmarkStart w:id="34" w:name="_Toc32071"/>
      <w:bookmarkStart w:id="35" w:name="_Toc19304"/>
      <w:bookmarkStart w:id="36" w:name="_Toc2846"/>
      <w:r>
        <w:rPr>
          <w:rFonts w:hint="eastAsia" w:ascii="宋体" w:hAnsi="宋体" w:eastAsia="宋体" w:cs="宋体"/>
          <w:b/>
          <w:bCs/>
          <w:color w:val="auto"/>
          <w:sz w:val="24"/>
          <w:highlight w:val="none"/>
          <w:lang w:val="zh-CN"/>
        </w:rPr>
        <w:t>1.4 付款方式和发票开具方式</w:t>
      </w:r>
      <w:bookmarkEnd w:id="31"/>
      <w:bookmarkEnd w:id="32"/>
      <w:bookmarkEnd w:id="33"/>
    </w:p>
    <w:p w14:paraId="47DECFBC">
      <w:pPr>
        <w:pStyle w:val="29"/>
        <w:ind w:firstLine="480" w:firstLineChars="200"/>
        <w:rPr>
          <w:rFonts w:hint="default" w:eastAsia="宋体"/>
          <w:color w:val="auto"/>
          <w:highlight w:val="none"/>
          <w:lang w:val="en-US" w:eastAsia="zh-CN"/>
        </w:rPr>
      </w:pPr>
      <w:r>
        <w:rPr>
          <w:rFonts w:hint="eastAsia" w:ascii="宋体" w:hAnsi="宋体" w:eastAsia="宋体" w:cs="宋体"/>
          <w:color w:val="auto"/>
          <w:sz w:val="24"/>
          <w:highlight w:val="none"/>
        </w:rPr>
        <w:t>1.4.1付款方式：</w:t>
      </w:r>
      <w:r>
        <w:rPr>
          <w:rFonts w:hint="eastAsia"/>
          <w:color w:val="auto"/>
          <w:highlight w:val="none"/>
          <w:u w:val="single"/>
          <w:lang w:val="en-US" w:eastAsia="zh-CN"/>
        </w:rPr>
        <w:t>培训收入由招标人收取并负责监管，每期培训结束后按中标比例与乙方进行结算，经双方确认结算金额后一个月内，甲方一次性向乙方支付结算款项，并提供相应管理费的增值税发票。</w:t>
      </w:r>
    </w:p>
    <w:p w14:paraId="46E4CAC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1.4.2发票开具方式：</w:t>
      </w:r>
      <w:r>
        <w:rPr>
          <w:rFonts w:hint="eastAsia" w:ascii="宋体" w:hAnsi="宋体" w:eastAsia="宋体" w:cs="宋体"/>
          <w:bCs/>
          <w:color w:val="auto"/>
          <w:kern w:val="0"/>
          <w:sz w:val="24"/>
          <w:szCs w:val="28"/>
          <w:highlight w:val="none"/>
          <w:u w:val="single"/>
          <w:lang w:val="en-US" w:eastAsia="zh-CN" w:bidi="ar-SA"/>
        </w:rPr>
        <w:t>甲方向乙方提供相应管理费的增值税发票。由中标人负责向报名客户开具发票，如中标人拒绝开具的，招标人有权拒绝支付分成款项，由此造成一切纠纷、损失由中标人自行承担，与招标人无关。</w:t>
      </w:r>
    </w:p>
    <w:p w14:paraId="28B96EA3">
      <w:pPr>
        <w:spacing w:line="360" w:lineRule="auto"/>
        <w:ind w:firstLine="437"/>
        <w:outlineLvl w:val="3"/>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1.5 服务期限、地点和方式</w:t>
      </w:r>
      <w:bookmarkEnd w:id="34"/>
      <w:bookmarkEnd w:id="35"/>
      <w:bookmarkEnd w:id="36"/>
    </w:p>
    <w:p w14:paraId="6CD6260C">
      <w:pPr>
        <w:spacing w:line="360" w:lineRule="auto"/>
        <w:ind w:firstLine="43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1.5.1服务期限：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E7E9B7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1.5.2服务地点：</w:t>
      </w:r>
      <w:r>
        <w:rPr>
          <w:rFonts w:hint="eastAsia" w:ascii="宋体" w:hAnsi="宋体" w:eastAsia="宋体" w:cs="宋体"/>
          <w:color w:val="auto"/>
          <w:sz w:val="24"/>
          <w:highlight w:val="none"/>
          <w:u w:val="single"/>
        </w:rPr>
        <w:t>合肥市包河区滨湖新区中山路180号合肥市师范附属小学及合肥市包河区滨湖新区林芝路378号合肥市师范附属小学南区。</w:t>
      </w:r>
      <w:r>
        <w:rPr>
          <w:rFonts w:hint="eastAsia" w:ascii="宋体" w:hAnsi="宋体" w:eastAsia="宋体" w:cs="宋体"/>
          <w:color w:val="auto"/>
          <w:sz w:val="24"/>
          <w:highlight w:val="none"/>
        </w:rPr>
        <w:t>；</w:t>
      </w:r>
    </w:p>
    <w:p w14:paraId="0A1ED68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1.5.3服务方式：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C180E92">
      <w:pPr>
        <w:spacing w:line="360" w:lineRule="auto"/>
        <w:ind w:firstLine="437"/>
        <w:outlineLvl w:val="3"/>
        <w:rPr>
          <w:rFonts w:hint="eastAsia" w:ascii="宋体" w:hAnsi="宋体" w:eastAsia="宋体" w:cs="宋体"/>
          <w:b/>
          <w:bCs/>
          <w:color w:val="auto"/>
          <w:sz w:val="24"/>
          <w:highlight w:val="none"/>
          <w:lang w:val="zh-CN"/>
        </w:rPr>
      </w:pPr>
      <w:bookmarkStart w:id="37" w:name="_Toc19554"/>
      <w:bookmarkStart w:id="38" w:name="_Toc21423"/>
      <w:bookmarkStart w:id="39" w:name="_Toc27250"/>
      <w:r>
        <w:rPr>
          <w:rFonts w:hint="eastAsia" w:ascii="宋体" w:hAnsi="宋体" w:eastAsia="宋体" w:cs="宋体"/>
          <w:b/>
          <w:bCs/>
          <w:color w:val="auto"/>
          <w:sz w:val="24"/>
          <w:highlight w:val="none"/>
          <w:lang w:val="zh-CN"/>
        </w:rPr>
        <w:t>1.6 违约责任</w:t>
      </w:r>
      <w:bookmarkEnd w:id="37"/>
      <w:bookmarkEnd w:id="38"/>
      <w:bookmarkEnd w:id="39"/>
    </w:p>
    <w:p w14:paraId="21F3CC9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%；迟延履行的违约金计算数额达到前述最高限额之日起，甲方有权在要求乙方支付违约金的同时，书面通知乙方解除本合同；</w:t>
      </w:r>
    </w:p>
    <w:p w14:paraId="20FD40C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1.6.2除不可抗力外，如果甲方没有按照本合同约定的付款方式付款，那么乙方可要求甲方支付违约金，违约金按每迟延付款一日的应付而未付款的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%；迟延付款的违约金计算数额达到前述最高限额之日起，乙方有权在要求甲方支付违约金的同时，书面通知甲方解除本合同；</w:t>
      </w:r>
    </w:p>
    <w:p w14:paraId="2EAB16C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4953C6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C3C695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4A2ABC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1.6.6如果出现招标投标监督管理部门在处理投诉事项期间，书面通知甲方暂停招标活动的情形，或者询问或异议事项可能影响中标结果的，导致甲方中止履行合同的情形，均不视为甲方违约。</w:t>
      </w:r>
    </w:p>
    <w:p w14:paraId="7FA53527">
      <w:pPr>
        <w:spacing w:line="360" w:lineRule="auto"/>
        <w:ind w:firstLine="437"/>
        <w:outlineLvl w:val="3"/>
        <w:rPr>
          <w:rFonts w:hint="eastAsia" w:ascii="宋体" w:hAnsi="宋体" w:eastAsia="宋体" w:cs="宋体"/>
          <w:b/>
          <w:bCs/>
          <w:color w:val="auto"/>
          <w:sz w:val="24"/>
          <w:highlight w:val="none"/>
          <w:lang w:val="zh-CN"/>
        </w:rPr>
      </w:pPr>
      <w:bookmarkStart w:id="40" w:name="_Toc28375"/>
      <w:bookmarkStart w:id="41" w:name="_Toc15583"/>
      <w:bookmarkStart w:id="42" w:name="_Toc16021"/>
      <w:r>
        <w:rPr>
          <w:rFonts w:hint="eastAsia" w:ascii="宋体" w:hAnsi="宋体" w:eastAsia="宋体" w:cs="宋体"/>
          <w:b/>
          <w:bCs/>
          <w:color w:val="auto"/>
          <w:sz w:val="24"/>
          <w:highlight w:val="none"/>
          <w:lang w:val="zh-CN"/>
        </w:rPr>
        <w:t>1.7 合同争议的解决</w:t>
      </w:r>
      <w:bookmarkEnd w:id="40"/>
      <w:bookmarkEnd w:id="41"/>
      <w:bookmarkEnd w:id="42"/>
    </w:p>
    <w:p w14:paraId="7FF5120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种方式解决：</w:t>
      </w:r>
    </w:p>
    <w:p w14:paraId="77C16FE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1.7.1将争议提交</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仲裁委员会依申请仲裁时其现行有效的仲裁规则裁决；</w:t>
      </w:r>
    </w:p>
    <w:p w14:paraId="52EFF22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1.7.2向</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人民法院起诉。</w:t>
      </w:r>
    </w:p>
    <w:p w14:paraId="5A28886B">
      <w:pPr>
        <w:spacing w:line="360" w:lineRule="auto"/>
        <w:ind w:firstLine="437"/>
        <w:outlineLvl w:val="3"/>
        <w:rPr>
          <w:rFonts w:hint="eastAsia" w:ascii="宋体" w:hAnsi="宋体" w:eastAsia="宋体" w:cs="宋体"/>
          <w:b/>
          <w:bCs/>
          <w:color w:val="auto"/>
          <w:sz w:val="24"/>
          <w:highlight w:val="none"/>
          <w:lang w:val="zh-CN"/>
        </w:rPr>
      </w:pPr>
      <w:bookmarkStart w:id="43" w:name="_Toc7245"/>
      <w:bookmarkStart w:id="44" w:name="_Toc15322"/>
      <w:bookmarkStart w:id="45" w:name="_Toc11173"/>
      <w:r>
        <w:rPr>
          <w:rFonts w:hint="eastAsia" w:ascii="宋体" w:hAnsi="宋体" w:eastAsia="宋体" w:cs="宋体"/>
          <w:b/>
          <w:bCs/>
          <w:color w:val="auto"/>
          <w:sz w:val="24"/>
          <w:highlight w:val="none"/>
          <w:lang w:val="zh-CN"/>
        </w:rPr>
        <w:t>1.8 合同生效</w:t>
      </w:r>
      <w:bookmarkEnd w:id="43"/>
      <w:bookmarkEnd w:id="44"/>
      <w:bookmarkEnd w:id="45"/>
    </w:p>
    <w:p w14:paraId="6006660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本合同自双方当事人公章时生效。</w:t>
      </w:r>
    </w:p>
    <w:p w14:paraId="70862A95">
      <w:pPr>
        <w:autoSpaceDE w:val="0"/>
        <w:autoSpaceDN w:val="0"/>
        <w:adjustRightInd w:val="0"/>
        <w:spacing w:line="560" w:lineRule="exact"/>
        <w:rPr>
          <w:rFonts w:hint="eastAsia" w:ascii="宋体" w:hAnsi="宋体" w:eastAsia="宋体" w:cs="宋体"/>
          <w:color w:val="auto"/>
          <w:sz w:val="24"/>
          <w:highlight w:val="none"/>
          <w:lang w:val="zh-CN"/>
        </w:rPr>
      </w:pPr>
    </w:p>
    <w:p w14:paraId="661C8DDD">
      <w:pPr>
        <w:autoSpaceDE w:val="0"/>
        <w:autoSpaceDN w:val="0"/>
        <w:adjustRightInd w:val="0"/>
        <w:spacing w:line="560" w:lineRule="exact"/>
        <w:rPr>
          <w:rFonts w:hint="eastAsia" w:ascii="宋体" w:hAnsi="宋体" w:eastAsia="宋体" w:cs="宋体"/>
          <w:color w:val="auto"/>
          <w:sz w:val="24"/>
          <w:highlight w:val="none"/>
          <w:lang w:val="zh-CN"/>
        </w:rPr>
      </w:pPr>
    </w:p>
    <w:p w14:paraId="707B3B50">
      <w:pPr>
        <w:autoSpaceDE w:val="0"/>
        <w:autoSpaceDN w:val="0"/>
        <w:adjustRightInd w:val="0"/>
        <w:spacing w:line="560" w:lineRule="exact"/>
        <w:rPr>
          <w:rFonts w:hint="eastAsia" w:ascii="宋体" w:hAnsi="宋体" w:eastAsia="宋体" w:cs="宋体"/>
          <w:color w:val="auto"/>
          <w:sz w:val="24"/>
          <w:highlight w:val="none"/>
          <w:lang w:val="zh-CN"/>
        </w:rPr>
      </w:pPr>
    </w:p>
    <w:p w14:paraId="429F58B5">
      <w:pPr>
        <w:autoSpaceDE w:val="0"/>
        <w:autoSpaceDN w:val="0"/>
        <w:adjustRightInd w:val="0"/>
        <w:spacing w:line="560" w:lineRule="exact"/>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甲    方：</w:t>
      </w:r>
      <w:r>
        <w:rPr>
          <w:rFonts w:hint="eastAsia" w:ascii="宋体" w:hAnsi="宋体" w:eastAsia="宋体" w:cs="宋体"/>
          <w:bCs/>
          <w:color w:val="auto"/>
          <w:sz w:val="24"/>
          <w:highlight w:val="none"/>
          <w:u w:val="single"/>
          <w:lang w:val="zh-CN"/>
        </w:rPr>
        <w:t xml:space="preserve">    （单位公章）     </w:t>
      </w:r>
      <w:r>
        <w:rPr>
          <w:rFonts w:hint="eastAsia" w:ascii="宋体" w:hAnsi="宋体" w:eastAsia="宋体" w:cs="宋体"/>
          <w:bCs/>
          <w:color w:val="auto"/>
          <w:sz w:val="24"/>
          <w:highlight w:val="none"/>
          <w:lang w:val="zh-CN"/>
        </w:rPr>
        <w:t xml:space="preserve">          乙方：</w:t>
      </w:r>
      <w:r>
        <w:rPr>
          <w:rFonts w:hint="eastAsia" w:ascii="宋体" w:hAnsi="宋体" w:eastAsia="宋体" w:cs="宋体"/>
          <w:bCs/>
          <w:color w:val="auto"/>
          <w:sz w:val="24"/>
          <w:highlight w:val="none"/>
          <w:u w:val="single"/>
          <w:lang w:val="zh-CN"/>
        </w:rPr>
        <w:t xml:space="preserve">    （单位公章）     </w:t>
      </w:r>
    </w:p>
    <w:p w14:paraId="761B0047">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                               法定代表人</w:t>
      </w:r>
    </w:p>
    <w:p w14:paraId="04E68C8C">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或授权代表（签字）：                      或授权代表（签字）：</w:t>
      </w:r>
    </w:p>
    <w:p w14:paraId="1BAA87F1">
      <w:pPr>
        <w:widowControl/>
        <w:spacing w:line="560" w:lineRule="exact"/>
        <w:jc w:val="left"/>
        <w:rPr>
          <w:rFonts w:hint="eastAsia" w:ascii="宋体" w:hAnsi="宋体" w:eastAsia="宋体" w:cs="宋体"/>
          <w:bCs/>
          <w:color w:val="auto"/>
          <w:sz w:val="24"/>
          <w:highlight w:val="none"/>
        </w:rPr>
      </w:pPr>
      <w:bookmarkStart w:id="46" w:name="_Toc331685783"/>
      <w:r>
        <w:rPr>
          <w:rFonts w:hint="eastAsia" w:ascii="宋体" w:hAnsi="宋体" w:eastAsia="宋体" w:cs="宋体"/>
          <w:bCs/>
          <w:color w:val="auto"/>
          <w:sz w:val="24"/>
          <w:highlight w:val="none"/>
        </w:rPr>
        <w:t>时间：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日               时间：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日</w:t>
      </w:r>
    </w:p>
    <w:p w14:paraId="782DDB0D">
      <w:pPr>
        <w:widowControl/>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12396BE6">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第二部分 合同一般条款</w:t>
      </w:r>
      <w:bookmarkEnd w:id="46"/>
    </w:p>
    <w:p w14:paraId="3FED18DE">
      <w:pPr>
        <w:spacing w:line="360" w:lineRule="auto"/>
        <w:ind w:firstLine="437"/>
        <w:outlineLvl w:val="3"/>
        <w:rPr>
          <w:rFonts w:hint="eastAsia" w:ascii="宋体" w:hAnsi="宋体" w:eastAsia="宋体" w:cs="宋体"/>
          <w:b/>
          <w:bCs/>
          <w:color w:val="auto"/>
          <w:sz w:val="24"/>
          <w:highlight w:val="none"/>
          <w:lang w:val="zh-CN"/>
        </w:rPr>
      </w:pPr>
      <w:bookmarkStart w:id="47" w:name="_Toc16917"/>
      <w:bookmarkStart w:id="48" w:name="_Toc279701240"/>
      <w:bookmarkStart w:id="49" w:name="_Ref467378463"/>
      <w:bookmarkStart w:id="50" w:name="_Ref467378404"/>
      <w:bookmarkStart w:id="51" w:name="_Ref467379195"/>
      <w:bookmarkStart w:id="52" w:name="_Ref467379214"/>
      <w:bookmarkStart w:id="53" w:name="_Ref467379225"/>
      <w:bookmarkStart w:id="54" w:name="_Ref467379101"/>
      <w:bookmarkStart w:id="55" w:name="_Toc28763"/>
      <w:bookmarkStart w:id="56" w:name="_Toc259093669"/>
      <w:bookmarkStart w:id="57" w:name="_Toc487900349"/>
      <w:bookmarkStart w:id="58" w:name="_Toc19614"/>
      <w:bookmarkStart w:id="59" w:name="_Ref467378499"/>
      <w:bookmarkStart w:id="60" w:name="_Ref467379109"/>
      <w:bookmarkStart w:id="61" w:name="_Ref467379094"/>
      <w:bookmarkStart w:id="62" w:name="_Ref467379205"/>
      <w:r>
        <w:rPr>
          <w:rFonts w:hint="eastAsia" w:ascii="宋体" w:hAnsi="宋体" w:eastAsia="宋体" w:cs="宋体"/>
          <w:b/>
          <w:bCs/>
          <w:color w:val="auto"/>
          <w:sz w:val="24"/>
          <w:highlight w:val="none"/>
          <w:lang w:val="zh-CN"/>
        </w:rPr>
        <w:t>2.1 定义</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05DFCCF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14:paraId="75C73B8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2.1.1“合同”系指招标人和中标人签订的载明双方当事人所达成的协议，并包括所有的附件、附录和构成合同的其他文件。</w:t>
      </w:r>
    </w:p>
    <w:p w14:paraId="7742B5E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2.1.2“合同价”系指根据合同约定，中标人在完全履行合同义务后，招标人应支付给中标人的价格。</w:t>
      </w:r>
    </w:p>
    <w:p w14:paraId="55494A7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2.1.3“服务”系指中标人根据合同约定应向招标人履行的除货物和工程以外的其他招标对象，包括招标人自身需要的服务和向社会公众提供的公共服务。</w:t>
      </w:r>
    </w:p>
    <w:p w14:paraId="77B99DB3">
      <w:pPr>
        <w:spacing w:line="360" w:lineRule="auto"/>
        <w:ind w:firstLine="435"/>
        <w:rPr>
          <w:rFonts w:hint="eastAsia" w:ascii="宋体" w:hAnsi="宋体" w:eastAsia="宋体" w:cs="宋体"/>
          <w:color w:val="auto"/>
          <w:sz w:val="24"/>
          <w:highlight w:val="none"/>
        </w:rPr>
      </w:pPr>
      <w:bookmarkStart w:id="63" w:name="_Ref467378840"/>
      <w:r>
        <w:rPr>
          <w:rFonts w:hint="eastAsia" w:ascii="宋体" w:hAnsi="宋体" w:eastAsia="宋体" w:cs="宋体"/>
          <w:color w:val="auto"/>
          <w:sz w:val="24"/>
          <w:highlight w:val="none"/>
        </w:rPr>
        <w:t>2.1.4“甲方”系指与中标人签署合同的招标人</w:t>
      </w:r>
      <w:bookmarkEnd w:id="63"/>
      <w:r>
        <w:rPr>
          <w:rFonts w:hint="eastAsia" w:ascii="宋体" w:hAnsi="宋体" w:eastAsia="宋体" w:cs="宋体"/>
          <w:color w:val="auto"/>
          <w:sz w:val="24"/>
          <w:highlight w:val="none"/>
        </w:rPr>
        <w:t>；招标人委托招标代理机构代表其与乙方签订合同的，招标人的授权委托书作为合同附件。</w:t>
      </w:r>
    </w:p>
    <w:p w14:paraId="26E3D543">
      <w:pPr>
        <w:spacing w:line="360" w:lineRule="auto"/>
        <w:ind w:firstLine="435"/>
        <w:rPr>
          <w:rFonts w:hint="eastAsia" w:ascii="宋体" w:hAnsi="宋体" w:eastAsia="宋体" w:cs="宋体"/>
          <w:color w:val="auto"/>
          <w:sz w:val="24"/>
          <w:highlight w:val="none"/>
        </w:rPr>
      </w:pPr>
      <w:bookmarkStart w:id="64" w:name="_Ref467379400"/>
      <w:r>
        <w:rPr>
          <w:rFonts w:hint="eastAsia" w:ascii="宋体" w:hAnsi="宋体" w:eastAsia="宋体" w:cs="宋体"/>
          <w:color w:val="auto"/>
          <w:sz w:val="24"/>
          <w:highlight w:val="none"/>
        </w:rPr>
        <w:t>2.1.5“乙方”系指根据合同约定提供服务的中标人</w:t>
      </w:r>
      <w:bookmarkEnd w:id="64"/>
      <w:r>
        <w:rPr>
          <w:rFonts w:hint="eastAsia" w:ascii="宋体" w:hAnsi="宋体" w:eastAsia="宋体" w:cs="宋体"/>
          <w:color w:val="auto"/>
          <w:sz w:val="24"/>
          <w:highlight w:val="none"/>
        </w:rPr>
        <w:t>；两个以上的自然人、法人或者其他组织组成一个联合体，以一个投标人的身份共同参加招标代理的，联合体各方均应为乙方或者与乙方相同地位的合同当事人，并就合同约定的事项对甲方承担连带责任。</w:t>
      </w:r>
    </w:p>
    <w:p w14:paraId="0D794149">
      <w:pPr>
        <w:spacing w:line="360" w:lineRule="auto"/>
        <w:ind w:firstLine="435"/>
        <w:rPr>
          <w:rFonts w:hint="eastAsia" w:ascii="宋体" w:hAnsi="宋体" w:eastAsia="宋体" w:cs="宋体"/>
          <w:color w:val="auto"/>
          <w:sz w:val="24"/>
          <w:highlight w:val="none"/>
        </w:rPr>
      </w:pPr>
      <w:bookmarkStart w:id="65" w:name="_Ref467379436"/>
      <w:r>
        <w:rPr>
          <w:rFonts w:hint="eastAsia" w:ascii="宋体" w:hAnsi="宋体" w:eastAsia="宋体" w:cs="宋体"/>
          <w:color w:val="auto"/>
          <w:sz w:val="24"/>
          <w:highlight w:val="none"/>
        </w:rPr>
        <w:t>2.1.6“现场”系指合同约定提供服务的地点。</w:t>
      </w:r>
      <w:bookmarkEnd w:id="65"/>
    </w:p>
    <w:p w14:paraId="7FCA4E1B">
      <w:pPr>
        <w:spacing w:line="360" w:lineRule="auto"/>
        <w:ind w:firstLine="437"/>
        <w:outlineLvl w:val="3"/>
        <w:rPr>
          <w:rFonts w:hint="eastAsia" w:ascii="宋体" w:hAnsi="宋体" w:eastAsia="宋体" w:cs="宋体"/>
          <w:b/>
          <w:bCs/>
          <w:color w:val="auto"/>
          <w:sz w:val="24"/>
          <w:highlight w:val="none"/>
          <w:lang w:val="zh-CN"/>
        </w:rPr>
      </w:pPr>
      <w:bookmarkStart w:id="66" w:name="_Toc259093670"/>
      <w:bookmarkStart w:id="67" w:name="_Toc279701241"/>
      <w:bookmarkStart w:id="68" w:name="_Toc27635"/>
      <w:bookmarkStart w:id="69" w:name="_Toc32504"/>
      <w:bookmarkStart w:id="70" w:name="_Toc13336"/>
      <w:bookmarkStart w:id="71" w:name="_Toc487900350"/>
      <w:r>
        <w:rPr>
          <w:rFonts w:hint="eastAsia" w:ascii="宋体" w:hAnsi="宋体" w:eastAsia="宋体" w:cs="宋体"/>
          <w:b/>
          <w:bCs/>
          <w:color w:val="auto"/>
          <w:sz w:val="24"/>
          <w:highlight w:val="none"/>
          <w:lang w:val="zh-CN"/>
        </w:rPr>
        <w:t>2.2 技术规范</w:t>
      </w:r>
      <w:bookmarkEnd w:id="66"/>
      <w:bookmarkEnd w:id="67"/>
      <w:bookmarkEnd w:id="68"/>
      <w:bookmarkEnd w:id="69"/>
      <w:bookmarkEnd w:id="70"/>
      <w:bookmarkEnd w:id="71"/>
    </w:p>
    <w:p w14:paraId="0F2351A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9013B07">
      <w:pPr>
        <w:spacing w:line="360" w:lineRule="auto"/>
        <w:ind w:firstLine="437"/>
        <w:outlineLvl w:val="3"/>
        <w:rPr>
          <w:rFonts w:hint="eastAsia" w:ascii="宋体" w:hAnsi="宋体" w:eastAsia="宋体" w:cs="宋体"/>
          <w:b/>
          <w:bCs/>
          <w:color w:val="auto"/>
          <w:sz w:val="24"/>
          <w:highlight w:val="none"/>
          <w:lang w:val="zh-CN"/>
        </w:rPr>
      </w:pPr>
      <w:bookmarkStart w:id="72" w:name="_Toc9829"/>
      <w:bookmarkStart w:id="73" w:name="_Toc487900351"/>
      <w:bookmarkStart w:id="74" w:name="_Toc27853"/>
      <w:bookmarkStart w:id="75" w:name="_Toc31634"/>
      <w:bookmarkStart w:id="76" w:name="_Toc259093671"/>
      <w:bookmarkStart w:id="77" w:name="_Toc279701242"/>
      <w:r>
        <w:rPr>
          <w:rFonts w:hint="eastAsia" w:ascii="宋体" w:hAnsi="宋体" w:eastAsia="宋体" w:cs="宋体"/>
          <w:b/>
          <w:bCs/>
          <w:color w:val="auto"/>
          <w:sz w:val="24"/>
          <w:highlight w:val="none"/>
          <w:lang w:val="zh-CN"/>
        </w:rPr>
        <w:t>2.3 知识产权</w:t>
      </w:r>
      <w:bookmarkEnd w:id="72"/>
      <w:bookmarkEnd w:id="73"/>
      <w:bookmarkEnd w:id="74"/>
      <w:bookmarkEnd w:id="75"/>
      <w:bookmarkEnd w:id="76"/>
      <w:bookmarkEnd w:id="77"/>
    </w:p>
    <w:p w14:paraId="1F426BF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52339B5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2.3.2具有知识产权的计算机软件等货物的知识产权归属，详见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20DB71E9">
      <w:pPr>
        <w:spacing w:line="360" w:lineRule="auto"/>
        <w:ind w:firstLine="437"/>
        <w:outlineLvl w:val="3"/>
        <w:rPr>
          <w:rFonts w:hint="eastAsia" w:ascii="宋体" w:hAnsi="宋体" w:eastAsia="宋体" w:cs="宋体"/>
          <w:b/>
          <w:bCs/>
          <w:color w:val="auto"/>
          <w:sz w:val="24"/>
          <w:highlight w:val="none"/>
          <w:lang w:val="zh-CN"/>
        </w:rPr>
      </w:pPr>
      <w:bookmarkStart w:id="78" w:name="_Ref467379542"/>
      <w:bookmarkStart w:id="79" w:name="_Toc279701245"/>
      <w:bookmarkStart w:id="80" w:name="_Toc259093674"/>
      <w:bookmarkStart w:id="81" w:name="_Ref467378541"/>
      <w:bookmarkStart w:id="82" w:name="_Toc487900354"/>
      <w:bookmarkStart w:id="83" w:name="_Ref467379536"/>
      <w:bookmarkStart w:id="84" w:name="_Ref467378591"/>
      <w:bookmarkStart w:id="85" w:name="_Ref467379527"/>
      <w:bookmarkStart w:id="86" w:name="_Toc19074"/>
      <w:bookmarkStart w:id="87" w:name="_Toc30272"/>
      <w:bookmarkStart w:id="88" w:name="_Toc26182"/>
      <w:r>
        <w:rPr>
          <w:rFonts w:hint="eastAsia" w:ascii="宋体" w:hAnsi="宋体" w:eastAsia="宋体" w:cs="宋体"/>
          <w:b/>
          <w:bCs/>
          <w:color w:val="auto"/>
          <w:sz w:val="24"/>
          <w:highlight w:val="none"/>
          <w:lang w:val="zh-CN"/>
        </w:rPr>
        <w:t>2.</w:t>
      </w:r>
      <w:bookmarkEnd w:id="78"/>
      <w:bookmarkEnd w:id="79"/>
      <w:bookmarkEnd w:id="80"/>
      <w:bookmarkEnd w:id="81"/>
      <w:bookmarkEnd w:id="82"/>
      <w:bookmarkEnd w:id="83"/>
      <w:bookmarkEnd w:id="84"/>
      <w:bookmarkEnd w:id="85"/>
      <w:r>
        <w:rPr>
          <w:rFonts w:hint="eastAsia" w:ascii="宋体" w:hAnsi="宋体" w:eastAsia="宋体" w:cs="宋体"/>
          <w:b/>
          <w:bCs/>
          <w:color w:val="auto"/>
          <w:sz w:val="24"/>
          <w:highlight w:val="none"/>
          <w:lang w:val="zh-CN"/>
        </w:rPr>
        <w:t>4 履约检查和问题反馈</w:t>
      </w:r>
      <w:bookmarkEnd w:id="86"/>
      <w:bookmarkEnd w:id="87"/>
      <w:bookmarkEnd w:id="88"/>
    </w:p>
    <w:p w14:paraId="1DADC38D">
      <w:pPr>
        <w:spacing w:line="360" w:lineRule="auto"/>
        <w:ind w:firstLine="435"/>
        <w:rPr>
          <w:rFonts w:hint="eastAsia" w:ascii="宋体" w:hAnsi="宋体" w:eastAsia="宋体" w:cs="宋体"/>
          <w:color w:val="auto"/>
          <w:sz w:val="24"/>
          <w:highlight w:val="none"/>
        </w:rPr>
      </w:pPr>
      <w:bookmarkStart w:id="89" w:name="_Toc186431854"/>
      <w:bookmarkStart w:id="90" w:name="_Toc487900357"/>
      <w:bookmarkStart w:id="91" w:name="_Ref467379807"/>
      <w:bookmarkStart w:id="92" w:name="_Toc259093676"/>
      <w:bookmarkStart w:id="93" w:name="_Toc279701247"/>
      <w:bookmarkStart w:id="94" w:name="_Ref467379793"/>
      <w:r>
        <w:rPr>
          <w:rFonts w:hint="eastAsia" w:ascii="宋体" w:hAnsi="宋体" w:eastAsia="宋体" w:cs="宋体"/>
          <w:color w:val="auto"/>
          <w:sz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2E33ABC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2.4.2合同履行期间，甲方有权将履行过程中出现的问题反馈给乙方，双方当事人应以书面形式约定需要完善和改进的内容</w:t>
      </w:r>
      <w:bookmarkEnd w:id="89"/>
      <w:bookmarkStart w:id="95" w:name="_Toc186431855"/>
      <w:r>
        <w:rPr>
          <w:rFonts w:hint="eastAsia" w:ascii="宋体" w:hAnsi="宋体" w:eastAsia="宋体" w:cs="宋体"/>
          <w:color w:val="auto"/>
          <w:sz w:val="24"/>
          <w:highlight w:val="none"/>
        </w:rPr>
        <w:t>。</w:t>
      </w:r>
    </w:p>
    <w:bookmarkEnd w:id="95"/>
    <w:p w14:paraId="0F51A393">
      <w:pPr>
        <w:spacing w:line="360" w:lineRule="auto"/>
        <w:ind w:firstLine="437"/>
        <w:outlineLvl w:val="3"/>
        <w:rPr>
          <w:rFonts w:hint="eastAsia" w:ascii="宋体" w:hAnsi="宋体" w:eastAsia="宋体" w:cs="宋体"/>
          <w:b/>
          <w:bCs/>
          <w:color w:val="auto"/>
          <w:sz w:val="24"/>
          <w:highlight w:val="none"/>
          <w:lang w:val="zh-CN"/>
        </w:rPr>
      </w:pPr>
      <w:bookmarkStart w:id="96" w:name="_Toc7836"/>
      <w:bookmarkStart w:id="97" w:name="_Toc28451"/>
      <w:bookmarkStart w:id="98" w:name="_Toc19219"/>
      <w:r>
        <w:rPr>
          <w:rFonts w:hint="eastAsia" w:ascii="宋体" w:hAnsi="宋体" w:eastAsia="宋体" w:cs="宋体"/>
          <w:b/>
          <w:bCs/>
          <w:color w:val="auto"/>
          <w:sz w:val="24"/>
          <w:highlight w:val="none"/>
          <w:lang w:val="zh-CN"/>
        </w:rPr>
        <w:t>2.5 结算方式和付款条件</w:t>
      </w:r>
      <w:bookmarkEnd w:id="90"/>
      <w:bookmarkEnd w:id="91"/>
      <w:bookmarkEnd w:id="92"/>
      <w:bookmarkEnd w:id="93"/>
      <w:bookmarkEnd w:id="94"/>
      <w:bookmarkEnd w:id="96"/>
      <w:bookmarkEnd w:id="97"/>
      <w:bookmarkEnd w:id="98"/>
    </w:p>
    <w:p w14:paraId="49FCED4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0728BE4E">
      <w:pPr>
        <w:spacing w:line="360" w:lineRule="auto"/>
        <w:ind w:firstLine="437"/>
        <w:outlineLvl w:val="3"/>
        <w:rPr>
          <w:rFonts w:hint="eastAsia" w:ascii="宋体" w:hAnsi="宋体" w:eastAsia="宋体" w:cs="宋体"/>
          <w:b/>
          <w:bCs/>
          <w:color w:val="auto"/>
          <w:sz w:val="24"/>
          <w:highlight w:val="none"/>
          <w:lang w:val="zh-CN"/>
        </w:rPr>
      </w:pPr>
      <w:bookmarkStart w:id="99" w:name="_Ref467379852"/>
      <w:bookmarkStart w:id="100" w:name="_Toc487900358"/>
      <w:bookmarkStart w:id="101" w:name="_Toc279701248"/>
      <w:bookmarkStart w:id="102" w:name="_Ref467379923"/>
      <w:bookmarkStart w:id="103" w:name="_Ref467379863"/>
      <w:bookmarkStart w:id="104" w:name="_Toc259093677"/>
      <w:bookmarkStart w:id="105" w:name="_Toc16110"/>
      <w:bookmarkStart w:id="106" w:name="_Toc3225"/>
      <w:bookmarkStart w:id="107" w:name="_Toc774"/>
      <w:r>
        <w:rPr>
          <w:rFonts w:hint="eastAsia" w:ascii="宋体" w:hAnsi="宋体" w:eastAsia="宋体" w:cs="宋体"/>
          <w:b/>
          <w:bCs/>
          <w:color w:val="auto"/>
          <w:sz w:val="24"/>
          <w:highlight w:val="none"/>
          <w:lang w:val="zh-CN"/>
        </w:rPr>
        <w:t>2.6 技术资料</w:t>
      </w:r>
      <w:bookmarkEnd w:id="99"/>
      <w:bookmarkEnd w:id="100"/>
      <w:bookmarkEnd w:id="101"/>
      <w:bookmarkEnd w:id="102"/>
      <w:bookmarkEnd w:id="103"/>
      <w:bookmarkEnd w:id="104"/>
      <w:r>
        <w:rPr>
          <w:rFonts w:hint="eastAsia" w:ascii="宋体" w:hAnsi="宋体" w:eastAsia="宋体" w:cs="宋体"/>
          <w:b/>
          <w:bCs/>
          <w:color w:val="auto"/>
          <w:sz w:val="24"/>
          <w:highlight w:val="none"/>
          <w:lang w:val="zh-CN"/>
        </w:rPr>
        <w:t>和保密义务</w:t>
      </w:r>
      <w:bookmarkEnd w:id="105"/>
      <w:bookmarkEnd w:id="106"/>
      <w:bookmarkEnd w:id="107"/>
    </w:p>
    <w:p w14:paraId="4119583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2.6.1乙方有权依据合同约定和项目需要，向甲方了解有关情况，调阅有关资料等，甲方应予积极配合；</w:t>
      </w:r>
    </w:p>
    <w:p w14:paraId="0459A0A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2.6.2乙方有义务妥善保管和保护由甲方提供的前款信息和资料等；</w:t>
      </w:r>
    </w:p>
    <w:p w14:paraId="7D73FCE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5B92D03">
      <w:pPr>
        <w:spacing w:line="360" w:lineRule="auto"/>
        <w:ind w:firstLine="437"/>
        <w:outlineLvl w:val="3"/>
        <w:rPr>
          <w:rFonts w:hint="eastAsia" w:ascii="宋体" w:hAnsi="宋体" w:eastAsia="宋体" w:cs="宋体"/>
          <w:b/>
          <w:bCs/>
          <w:color w:val="auto"/>
          <w:sz w:val="24"/>
          <w:highlight w:val="none"/>
          <w:lang w:val="zh-CN"/>
        </w:rPr>
      </w:pPr>
      <w:bookmarkStart w:id="108" w:name="_Toc7860"/>
      <w:r>
        <w:rPr>
          <w:rFonts w:hint="eastAsia" w:ascii="宋体" w:hAnsi="宋体" w:eastAsia="宋体" w:cs="宋体"/>
          <w:b/>
          <w:bCs/>
          <w:color w:val="auto"/>
          <w:sz w:val="24"/>
          <w:highlight w:val="none"/>
          <w:lang w:val="zh-CN"/>
        </w:rPr>
        <w:t>2.7 质量保证</w:t>
      </w:r>
      <w:bookmarkEnd w:id="108"/>
    </w:p>
    <w:p w14:paraId="0C00ADE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2.7.1乙方应建立和完善履行合同的内部质量保证体系，并提供相关内部规章制度给甲方，以便甲方进行监督检查；</w:t>
      </w:r>
    </w:p>
    <w:p w14:paraId="111B1F6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2.7.2乙方应保证履行合同的人员数量和素质、软件和硬件设备的配置、场地、环境和设施等满足全面履行合同的要求，并应接受甲方的监督检查。</w:t>
      </w:r>
    </w:p>
    <w:p w14:paraId="58916326">
      <w:pPr>
        <w:spacing w:line="360" w:lineRule="auto"/>
        <w:ind w:firstLine="437"/>
        <w:outlineLvl w:val="3"/>
        <w:rPr>
          <w:rFonts w:hint="eastAsia" w:ascii="宋体" w:hAnsi="宋体" w:eastAsia="宋体" w:cs="宋体"/>
          <w:b/>
          <w:color w:val="auto"/>
          <w:sz w:val="24"/>
          <w:highlight w:val="none"/>
        </w:rPr>
      </w:pPr>
      <w:bookmarkStart w:id="109" w:name="_Toc22267"/>
      <w:r>
        <w:rPr>
          <w:rFonts w:hint="eastAsia" w:ascii="宋体" w:hAnsi="宋体" w:eastAsia="宋体" w:cs="宋体"/>
          <w:b/>
          <w:color w:val="auto"/>
          <w:sz w:val="24"/>
          <w:highlight w:val="none"/>
        </w:rPr>
        <w:t>2.8 延迟履行</w:t>
      </w:r>
      <w:bookmarkEnd w:id="109"/>
    </w:p>
    <w:p w14:paraId="5C959EB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72F7B51D">
      <w:pPr>
        <w:spacing w:line="360" w:lineRule="auto"/>
        <w:ind w:firstLine="437"/>
        <w:outlineLvl w:val="3"/>
        <w:rPr>
          <w:rFonts w:hint="eastAsia" w:ascii="宋体" w:hAnsi="宋体" w:eastAsia="宋体" w:cs="宋体"/>
          <w:b/>
          <w:bCs/>
          <w:color w:val="auto"/>
          <w:sz w:val="24"/>
          <w:highlight w:val="none"/>
          <w:lang w:val="zh-CN"/>
        </w:rPr>
      </w:pPr>
      <w:bookmarkStart w:id="110" w:name="_Toc7502"/>
      <w:bookmarkStart w:id="111" w:name="_Toc279701254"/>
      <w:bookmarkStart w:id="112" w:name="_Toc259093683"/>
      <w:bookmarkStart w:id="113" w:name="_Toc487900364"/>
      <w:bookmarkStart w:id="114" w:name="_Ref467378121"/>
      <w:r>
        <w:rPr>
          <w:rFonts w:hint="eastAsia" w:ascii="宋体" w:hAnsi="宋体" w:eastAsia="宋体" w:cs="宋体"/>
          <w:b/>
          <w:bCs/>
          <w:color w:val="auto"/>
          <w:sz w:val="24"/>
          <w:highlight w:val="none"/>
          <w:lang w:val="zh-CN"/>
        </w:rPr>
        <w:t>2.9 合同变更</w:t>
      </w:r>
      <w:bookmarkEnd w:id="110"/>
    </w:p>
    <w:p w14:paraId="23EC0E6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2.9.1双方当事人协商一致，可以签订书面补充合同的形式变更合同，但不得违背采购文件确定的事项；</w:t>
      </w:r>
    </w:p>
    <w:p w14:paraId="31F22CD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2.9.2合同继续履行将损害国家利益和社会公共利益的，双方当事人应当以书面形式变更合同。有过错的一方应当承担赔偿责任，双方当事人都有过错的，各自承担相应的责任。</w:t>
      </w:r>
      <w:bookmarkStart w:id="115" w:name="_Toc487900369"/>
      <w:bookmarkStart w:id="116" w:name="_Toc259093688"/>
      <w:bookmarkStart w:id="117" w:name="_Toc279701259"/>
    </w:p>
    <w:p w14:paraId="32AFD5C8">
      <w:pPr>
        <w:spacing w:line="360" w:lineRule="auto"/>
        <w:ind w:firstLine="437"/>
        <w:outlineLvl w:val="3"/>
        <w:rPr>
          <w:rFonts w:hint="eastAsia" w:ascii="宋体" w:hAnsi="宋体" w:eastAsia="宋体" w:cs="宋体"/>
          <w:b/>
          <w:bCs/>
          <w:color w:val="auto"/>
          <w:sz w:val="24"/>
          <w:highlight w:val="none"/>
          <w:lang w:val="zh-CN"/>
        </w:rPr>
      </w:pPr>
      <w:bookmarkStart w:id="118" w:name="_Toc22955"/>
      <w:bookmarkStart w:id="119" w:name="_Toc15237"/>
      <w:bookmarkStart w:id="120" w:name="_Toc10366"/>
      <w:r>
        <w:rPr>
          <w:rFonts w:hint="eastAsia" w:ascii="宋体" w:hAnsi="宋体" w:eastAsia="宋体" w:cs="宋体"/>
          <w:b/>
          <w:bCs/>
          <w:color w:val="auto"/>
          <w:sz w:val="24"/>
          <w:highlight w:val="none"/>
          <w:lang w:val="zh-CN"/>
        </w:rPr>
        <w:t>2.10 合同转让</w:t>
      </w:r>
      <w:bookmarkEnd w:id="115"/>
      <w:bookmarkEnd w:id="116"/>
      <w:bookmarkEnd w:id="117"/>
      <w:r>
        <w:rPr>
          <w:rFonts w:hint="eastAsia" w:ascii="宋体" w:hAnsi="宋体" w:eastAsia="宋体" w:cs="宋体"/>
          <w:b/>
          <w:bCs/>
          <w:color w:val="auto"/>
          <w:sz w:val="24"/>
          <w:highlight w:val="none"/>
          <w:lang w:val="zh-CN"/>
        </w:rPr>
        <w:t>和分包</w:t>
      </w:r>
      <w:bookmarkEnd w:id="118"/>
      <w:bookmarkEnd w:id="119"/>
      <w:bookmarkEnd w:id="120"/>
    </w:p>
    <w:p w14:paraId="1EA915A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投标人就分包项目向甲方承担连带责任。</w:t>
      </w:r>
    </w:p>
    <w:p w14:paraId="57B15447">
      <w:pPr>
        <w:spacing w:line="360" w:lineRule="auto"/>
        <w:ind w:firstLine="437"/>
        <w:outlineLvl w:val="3"/>
        <w:rPr>
          <w:rFonts w:hint="eastAsia" w:ascii="宋体" w:hAnsi="宋体" w:eastAsia="宋体" w:cs="宋体"/>
          <w:b/>
          <w:bCs/>
          <w:color w:val="auto"/>
          <w:sz w:val="24"/>
          <w:highlight w:val="none"/>
          <w:lang w:val="zh-CN"/>
        </w:rPr>
      </w:pPr>
      <w:bookmarkStart w:id="121" w:name="_Toc14066"/>
      <w:bookmarkStart w:id="122" w:name="_Toc13566"/>
      <w:bookmarkStart w:id="123" w:name="_Toc16508"/>
      <w:r>
        <w:rPr>
          <w:rFonts w:hint="eastAsia" w:ascii="宋体" w:hAnsi="宋体" w:eastAsia="宋体" w:cs="宋体"/>
          <w:b/>
          <w:bCs/>
          <w:color w:val="auto"/>
          <w:sz w:val="24"/>
          <w:highlight w:val="none"/>
          <w:lang w:val="zh-CN"/>
        </w:rPr>
        <w:t>2.11 不可抗力</w:t>
      </w:r>
      <w:bookmarkEnd w:id="121"/>
      <w:bookmarkEnd w:id="122"/>
      <w:bookmarkEnd w:id="123"/>
    </w:p>
    <w:p w14:paraId="48FB1E1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2.11.1如果任何一方遭遇法律规定的不可抗力，致使合同履行受阻时，履行合同的期限应予延长，延长的期限应相当于不可抗力所影响的时间；</w:t>
      </w:r>
    </w:p>
    <w:p w14:paraId="64BEC46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2.11.2因不可抗力致使不能实现合同目的的，当事人可以解除合同；</w:t>
      </w:r>
    </w:p>
    <w:p w14:paraId="05809D8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2.11.3因不可抗力致使合同有变更必要的，双方当事人应在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14:paraId="3227E0D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2.11.4受不可抗力影响的一方在不可抗力发生后，应在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14:paraId="3EE8822D">
      <w:pPr>
        <w:spacing w:line="360" w:lineRule="auto"/>
        <w:ind w:firstLine="437"/>
        <w:outlineLvl w:val="3"/>
        <w:rPr>
          <w:rFonts w:hint="eastAsia" w:ascii="宋体" w:hAnsi="宋体" w:eastAsia="宋体" w:cs="宋体"/>
          <w:b/>
          <w:bCs/>
          <w:color w:val="auto"/>
          <w:sz w:val="24"/>
          <w:highlight w:val="none"/>
          <w:lang w:val="zh-CN"/>
        </w:rPr>
      </w:pPr>
      <w:bookmarkStart w:id="124" w:name="_Toc689"/>
      <w:bookmarkStart w:id="125" w:name="_Toc6969"/>
      <w:bookmarkStart w:id="126" w:name="_Toc279701255"/>
      <w:bookmarkStart w:id="127" w:name="_Toc30676"/>
      <w:bookmarkStart w:id="128" w:name="_Toc487900365"/>
      <w:bookmarkStart w:id="129" w:name="_Toc259093684"/>
      <w:r>
        <w:rPr>
          <w:rFonts w:hint="eastAsia" w:ascii="宋体" w:hAnsi="宋体" w:eastAsia="宋体" w:cs="宋体"/>
          <w:b/>
          <w:bCs/>
          <w:color w:val="auto"/>
          <w:sz w:val="24"/>
          <w:highlight w:val="none"/>
          <w:lang w:val="zh-CN"/>
        </w:rPr>
        <w:t>2.12 税费</w:t>
      </w:r>
      <w:bookmarkEnd w:id="124"/>
      <w:bookmarkEnd w:id="125"/>
      <w:bookmarkEnd w:id="126"/>
      <w:bookmarkEnd w:id="127"/>
      <w:bookmarkEnd w:id="128"/>
      <w:bookmarkEnd w:id="129"/>
    </w:p>
    <w:p w14:paraId="78D6C06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与合同有关的一切税费，均按照中华人民共和国法律的相关规定缴纳。</w:t>
      </w:r>
    </w:p>
    <w:p w14:paraId="61A10BC2">
      <w:pPr>
        <w:spacing w:line="360" w:lineRule="auto"/>
        <w:ind w:firstLine="437"/>
        <w:outlineLvl w:val="3"/>
        <w:rPr>
          <w:rFonts w:hint="eastAsia" w:ascii="宋体" w:hAnsi="宋体" w:eastAsia="宋体" w:cs="宋体"/>
          <w:b/>
          <w:bCs/>
          <w:color w:val="auto"/>
          <w:sz w:val="24"/>
          <w:highlight w:val="none"/>
          <w:lang w:val="zh-CN"/>
        </w:rPr>
      </w:pPr>
      <w:bookmarkStart w:id="130" w:name="_Toc487900368"/>
      <w:bookmarkStart w:id="131" w:name="_Toc7102"/>
      <w:bookmarkStart w:id="132" w:name="_Toc16959"/>
      <w:bookmarkStart w:id="133" w:name="_Toc259093687"/>
      <w:bookmarkStart w:id="134" w:name="_Toc8298"/>
      <w:bookmarkStart w:id="135" w:name="_Toc279701258"/>
      <w:r>
        <w:rPr>
          <w:rFonts w:hint="eastAsia" w:ascii="宋体" w:hAnsi="宋体" w:eastAsia="宋体" w:cs="宋体"/>
          <w:b/>
          <w:bCs/>
          <w:color w:val="auto"/>
          <w:sz w:val="24"/>
          <w:highlight w:val="none"/>
          <w:lang w:val="zh-CN"/>
        </w:rPr>
        <w:t>2.13 乙方破产</w:t>
      </w:r>
      <w:bookmarkEnd w:id="130"/>
      <w:bookmarkEnd w:id="131"/>
      <w:bookmarkEnd w:id="132"/>
      <w:bookmarkEnd w:id="133"/>
      <w:bookmarkEnd w:id="134"/>
      <w:bookmarkEnd w:id="135"/>
    </w:p>
    <w:p w14:paraId="7A4CFC8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681765A">
      <w:pPr>
        <w:spacing w:line="360" w:lineRule="auto"/>
        <w:ind w:firstLine="437"/>
        <w:outlineLvl w:val="3"/>
        <w:rPr>
          <w:rFonts w:hint="eastAsia" w:ascii="宋体" w:hAnsi="宋体" w:eastAsia="宋体" w:cs="宋体"/>
          <w:b/>
          <w:color w:val="auto"/>
          <w:sz w:val="24"/>
          <w:highlight w:val="none"/>
        </w:rPr>
      </w:pPr>
      <w:bookmarkStart w:id="136" w:name="_Toc6134"/>
      <w:bookmarkStart w:id="137" w:name="_Toc15387"/>
      <w:bookmarkStart w:id="138" w:name="_Toc29333"/>
      <w:r>
        <w:rPr>
          <w:rFonts w:hint="eastAsia" w:ascii="宋体" w:hAnsi="宋体" w:eastAsia="宋体" w:cs="宋体"/>
          <w:b/>
          <w:bCs/>
          <w:color w:val="auto"/>
          <w:sz w:val="24"/>
          <w:highlight w:val="none"/>
          <w:lang w:val="zh-CN"/>
        </w:rPr>
        <w:t>2.14 合同中止、终止</w:t>
      </w:r>
      <w:bookmarkEnd w:id="136"/>
      <w:bookmarkEnd w:id="137"/>
      <w:bookmarkEnd w:id="138"/>
    </w:p>
    <w:p w14:paraId="5FA63F5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2.14.1双方当事人不得擅自中止或者终止合同；</w:t>
      </w:r>
    </w:p>
    <w:p w14:paraId="07D82AE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0AF26192">
      <w:pPr>
        <w:spacing w:line="360" w:lineRule="auto"/>
        <w:ind w:firstLine="437"/>
        <w:outlineLvl w:val="3"/>
        <w:rPr>
          <w:rFonts w:hint="eastAsia" w:ascii="宋体" w:hAnsi="宋体" w:eastAsia="宋体" w:cs="宋体"/>
          <w:b/>
          <w:bCs/>
          <w:color w:val="auto"/>
          <w:sz w:val="24"/>
          <w:highlight w:val="none"/>
          <w:lang w:val="zh-CN"/>
        </w:rPr>
      </w:pPr>
      <w:bookmarkStart w:id="139" w:name="_Toc1125"/>
      <w:bookmarkStart w:id="140" w:name="_Toc6596"/>
      <w:bookmarkStart w:id="141" w:name="_Toc14563"/>
      <w:r>
        <w:rPr>
          <w:rFonts w:hint="eastAsia" w:ascii="宋体" w:hAnsi="宋体" w:eastAsia="宋体" w:cs="宋体"/>
          <w:b/>
          <w:bCs/>
          <w:color w:val="auto"/>
          <w:sz w:val="24"/>
          <w:highlight w:val="none"/>
          <w:lang w:val="zh-CN"/>
        </w:rPr>
        <w:t>2.15 检验和验收</w:t>
      </w:r>
      <w:bookmarkEnd w:id="139"/>
      <w:bookmarkEnd w:id="140"/>
      <w:bookmarkEnd w:id="141"/>
    </w:p>
    <w:p w14:paraId="0F95D15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2.15.1乙方按照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的约定，定期提交服务报告，甲方按照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的约定进行定期验收；</w:t>
      </w:r>
    </w:p>
    <w:p w14:paraId="018DC6E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713ADB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2.15.3检验和验收标准、程序等具体内容以及前述验收书的效力详见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bookmarkEnd w:id="111"/>
    <w:bookmarkEnd w:id="112"/>
    <w:bookmarkEnd w:id="113"/>
    <w:bookmarkEnd w:id="114"/>
    <w:p w14:paraId="08FCD2C7">
      <w:pPr>
        <w:spacing w:line="360" w:lineRule="auto"/>
        <w:ind w:firstLine="437"/>
        <w:outlineLvl w:val="3"/>
        <w:rPr>
          <w:rFonts w:hint="eastAsia" w:ascii="宋体" w:hAnsi="宋体" w:eastAsia="宋体" w:cs="宋体"/>
          <w:b/>
          <w:bCs/>
          <w:color w:val="auto"/>
          <w:sz w:val="24"/>
          <w:highlight w:val="none"/>
        </w:rPr>
      </w:pPr>
      <w:bookmarkStart w:id="142" w:name="_Toc18567"/>
      <w:bookmarkStart w:id="143" w:name="_Toc12773"/>
      <w:bookmarkStart w:id="144" w:name="_Toc279701263"/>
      <w:bookmarkStart w:id="145" w:name="_Toc487900373"/>
      <w:bookmarkStart w:id="146" w:name="_Toc259093692"/>
      <w:bookmarkStart w:id="147" w:name="_Toc10330"/>
      <w:r>
        <w:rPr>
          <w:rFonts w:hint="eastAsia" w:ascii="宋体" w:hAnsi="宋体" w:eastAsia="宋体" w:cs="宋体"/>
          <w:b/>
          <w:bCs/>
          <w:color w:val="auto"/>
          <w:sz w:val="24"/>
          <w:highlight w:val="none"/>
        </w:rPr>
        <w:t xml:space="preserve">2.16 </w:t>
      </w:r>
      <w:r>
        <w:rPr>
          <w:rFonts w:hint="eastAsia" w:ascii="宋体" w:hAnsi="宋体" w:eastAsia="宋体" w:cs="宋体"/>
          <w:b/>
          <w:bCs/>
          <w:color w:val="auto"/>
          <w:sz w:val="24"/>
          <w:highlight w:val="none"/>
          <w:lang w:val="zh-CN"/>
        </w:rPr>
        <w:t>合同使用的文字和适用的法律</w:t>
      </w:r>
      <w:bookmarkEnd w:id="142"/>
      <w:bookmarkEnd w:id="143"/>
      <w:bookmarkEnd w:id="144"/>
      <w:bookmarkEnd w:id="145"/>
      <w:bookmarkEnd w:id="146"/>
      <w:bookmarkEnd w:id="147"/>
    </w:p>
    <w:p w14:paraId="662ED43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2.16.1合同使用汉语书就、变更和解释；</w:t>
      </w:r>
    </w:p>
    <w:p w14:paraId="2D8F229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2.16.2合同适用中华人民共和国法律。</w:t>
      </w:r>
    </w:p>
    <w:p w14:paraId="672F8719">
      <w:pPr>
        <w:spacing w:line="360" w:lineRule="auto"/>
        <w:ind w:firstLine="437"/>
        <w:outlineLvl w:val="3"/>
        <w:rPr>
          <w:rFonts w:hint="eastAsia" w:ascii="宋体" w:hAnsi="宋体" w:eastAsia="宋体" w:cs="宋体"/>
          <w:b/>
          <w:color w:val="auto"/>
          <w:sz w:val="24"/>
          <w:highlight w:val="none"/>
        </w:rPr>
      </w:pPr>
      <w:bookmarkStart w:id="148" w:name="_Toc259093693"/>
      <w:bookmarkStart w:id="149" w:name="_Toc3148"/>
      <w:bookmarkStart w:id="150" w:name="_Toc279701264"/>
      <w:bookmarkStart w:id="151" w:name="_Toc16673"/>
      <w:bookmarkStart w:id="152" w:name="_Toc12004"/>
      <w:bookmarkStart w:id="153" w:name="_Toc487900374"/>
      <w:r>
        <w:rPr>
          <w:rFonts w:hint="eastAsia" w:ascii="宋体" w:hAnsi="宋体" w:eastAsia="宋体" w:cs="宋体"/>
          <w:b/>
          <w:bCs/>
          <w:color w:val="auto"/>
          <w:sz w:val="24"/>
          <w:highlight w:val="none"/>
          <w:lang w:val="zh-CN"/>
        </w:rPr>
        <w:t>2.17 履约保证金</w:t>
      </w:r>
      <w:bookmarkEnd w:id="148"/>
      <w:bookmarkEnd w:id="149"/>
      <w:bookmarkEnd w:id="150"/>
      <w:bookmarkEnd w:id="151"/>
      <w:bookmarkEnd w:id="152"/>
    </w:p>
    <w:p w14:paraId="255EAE6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2.17.1磋商文件要求乙方提交履约保证金（如有）的，乙方应按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约定的方式，以支票、汇票、本票或者金融机构、担保机构出具的保函等非现金形式，提交不超过合同价10%的履约保证金；</w:t>
      </w:r>
    </w:p>
    <w:p w14:paraId="3C55D44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2.17.2履约保证金（如有）在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约定期间内不予退还或者应完全有效，前述约定期间届满之日起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个工作日内，甲方应将履约保证金退还乙方；</w:t>
      </w:r>
    </w:p>
    <w:p w14:paraId="43BE65D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53"/>
    <w:p w14:paraId="7A56AB98">
      <w:pPr>
        <w:spacing w:line="360" w:lineRule="auto"/>
        <w:ind w:firstLine="437"/>
        <w:outlineLvl w:val="3"/>
        <w:rPr>
          <w:rFonts w:hint="eastAsia" w:ascii="宋体" w:hAnsi="宋体" w:eastAsia="宋体" w:cs="宋体"/>
          <w:b/>
          <w:color w:val="auto"/>
          <w:sz w:val="24"/>
          <w:highlight w:val="none"/>
        </w:rPr>
      </w:pPr>
      <w:bookmarkStart w:id="154" w:name="_Toc19890"/>
      <w:bookmarkStart w:id="155" w:name="_Toc14001"/>
      <w:bookmarkStart w:id="156" w:name="_Toc6885"/>
      <w:r>
        <w:rPr>
          <w:rFonts w:hint="eastAsia" w:ascii="宋体" w:hAnsi="宋体" w:eastAsia="宋体" w:cs="宋体"/>
          <w:b/>
          <w:bCs/>
          <w:color w:val="auto"/>
          <w:sz w:val="24"/>
          <w:highlight w:val="none"/>
          <w:lang w:val="zh-CN"/>
        </w:rPr>
        <w:t>2.18 合同份数</w:t>
      </w:r>
      <w:bookmarkEnd w:id="154"/>
      <w:bookmarkEnd w:id="155"/>
      <w:bookmarkEnd w:id="156"/>
    </w:p>
    <w:p w14:paraId="6A01DE0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合同份数按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规定，每份均具有同等法律效力。</w:t>
      </w:r>
    </w:p>
    <w:p w14:paraId="64AF9D77">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color w:val="auto"/>
          <w:sz w:val="24"/>
          <w:highlight w:val="none"/>
        </w:rPr>
        <w:br w:type="page"/>
      </w:r>
      <w:bookmarkStart w:id="157" w:name="_Toc331685784"/>
      <w:r>
        <w:rPr>
          <w:rFonts w:hint="eastAsia" w:ascii="宋体" w:hAnsi="宋体" w:eastAsia="宋体" w:cs="宋体"/>
          <w:b/>
          <w:color w:val="auto"/>
          <w:sz w:val="24"/>
          <w:highlight w:val="none"/>
        </w:rPr>
        <w:t>第三部分 合同专用条款</w:t>
      </w:r>
      <w:bookmarkEnd w:id="157"/>
    </w:p>
    <w:p w14:paraId="4038BFC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3"/>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49A128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5C226EE4">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条款号</w:t>
            </w:r>
          </w:p>
        </w:tc>
        <w:tc>
          <w:tcPr>
            <w:tcW w:w="7568" w:type="dxa"/>
            <w:vAlign w:val="center"/>
          </w:tcPr>
          <w:p w14:paraId="3004F7BF">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约定内容</w:t>
            </w:r>
          </w:p>
        </w:tc>
      </w:tr>
      <w:tr w14:paraId="059EF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46A87A66">
            <w:pPr>
              <w:spacing w:line="560" w:lineRule="exact"/>
              <w:rPr>
                <w:rFonts w:hint="eastAsia" w:ascii="宋体" w:hAnsi="宋体" w:eastAsia="宋体" w:cs="宋体"/>
                <w:color w:val="auto"/>
                <w:sz w:val="24"/>
                <w:highlight w:val="none"/>
              </w:rPr>
            </w:pPr>
          </w:p>
        </w:tc>
        <w:tc>
          <w:tcPr>
            <w:tcW w:w="7568" w:type="dxa"/>
            <w:vAlign w:val="center"/>
          </w:tcPr>
          <w:p w14:paraId="486C8108">
            <w:pPr>
              <w:spacing w:line="560" w:lineRule="exact"/>
              <w:rPr>
                <w:rFonts w:hint="eastAsia" w:ascii="宋体" w:hAnsi="宋体" w:eastAsia="宋体" w:cs="宋体"/>
                <w:color w:val="auto"/>
                <w:sz w:val="24"/>
                <w:highlight w:val="none"/>
              </w:rPr>
            </w:pPr>
          </w:p>
        </w:tc>
      </w:tr>
      <w:tr w14:paraId="1CD02A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DB367F6">
            <w:pPr>
              <w:spacing w:line="560" w:lineRule="exact"/>
              <w:rPr>
                <w:rFonts w:hint="eastAsia" w:ascii="宋体" w:hAnsi="宋体" w:eastAsia="宋体" w:cs="宋体"/>
                <w:color w:val="auto"/>
                <w:sz w:val="24"/>
                <w:highlight w:val="none"/>
              </w:rPr>
            </w:pPr>
          </w:p>
        </w:tc>
        <w:tc>
          <w:tcPr>
            <w:tcW w:w="7568" w:type="dxa"/>
            <w:vAlign w:val="center"/>
          </w:tcPr>
          <w:p w14:paraId="26A82CEC">
            <w:pPr>
              <w:spacing w:line="560" w:lineRule="exact"/>
              <w:rPr>
                <w:rFonts w:hint="eastAsia" w:ascii="宋体" w:hAnsi="宋体" w:eastAsia="宋体" w:cs="宋体"/>
                <w:color w:val="auto"/>
                <w:sz w:val="24"/>
                <w:highlight w:val="none"/>
              </w:rPr>
            </w:pPr>
          </w:p>
        </w:tc>
      </w:tr>
      <w:tr w14:paraId="6253DC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8F8AFD9">
            <w:pPr>
              <w:spacing w:line="560" w:lineRule="exact"/>
              <w:rPr>
                <w:rFonts w:hint="eastAsia" w:ascii="宋体" w:hAnsi="宋体" w:eastAsia="宋体" w:cs="宋体"/>
                <w:color w:val="auto"/>
                <w:sz w:val="24"/>
                <w:highlight w:val="none"/>
              </w:rPr>
            </w:pPr>
          </w:p>
        </w:tc>
        <w:tc>
          <w:tcPr>
            <w:tcW w:w="7568" w:type="dxa"/>
            <w:vAlign w:val="center"/>
          </w:tcPr>
          <w:p w14:paraId="777F1BA1">
            <w:pPr>
              <w:spacing w:line="560" w:lineRule="exact"/>
              <w:rPr>
                <w:rFonts w:hint="eastAsia" w:ascii="宋体" w:hAnsi="宋体" w:eastAsia="宋体" w:cs="宋体"/>
                <w:color w:val="auto"/>
                <w:sz w:val="24"/>
                <w:highlight w:val="none"/>
              </w:rPr>
            </w:pPr>
          </w:p>
        </w:tc>
      </w:tr>
      <w:tr w14:paraId="5F1DA8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464ACBA3">
            <w:pPr>
              <w:spacing w:line="560" w:lineRule="exact"/>
              <w:rPr>
                <w:rFonts w:hint="eastAsia" w:ascii="宋体" w:hAnsi="宋体" w:eastAsia="宋体" w:cs="宋体"/>
                <w:color w:val="auto"/>
                <w:sz w:val="24"/>
                <w:highlight w:val="none"/>
              </w:rPr>
            </w:pPr>
          </w:p>
        </w:tc>
        <w:tc>
          <w:tcPr>
            <w:tcW w:w="7568" w:type="dxa"/>
            <w:vAlign w:val="center"/>
          </w:tcPr>
          <w:p w14:paraId="3E730F45">
            <w:pPr>
              <w:spacing w:line="560" w:lineRule="exact"/>
              <w:rPr>
                <w:rFonts w:hint="eastAsia" w:ascii="宋体" w:hAnsi="宋体" w:eastAsia="宋体" w:cs="宋体"/>
                <w:color w:val="auto"/>
                <w:sz w:val="24"/>
                <w:highlight w:val="none"/>
              </w:rPr>
            </w:pPr>
          </w:p>
        </w:tc>
      </w:tr>
      <w:tr w14:paraId="2BB35C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FE3846C">
            <w:pPr>
              <w:spacing w:line="560" w:lineRule="exact"/>
              <w:rPr>
                <w:rFonts w:hint="eastAsia" w:ascii="宋体" w:hAnsi="宋体" w:eastAsia="宋体" w:cs="宋体"/>
                <w:color w:val="auto"/>
                <w:sz w:val="24"/>
                <w:highlight w:val="none"/>
              </w:rPr>
            </w:pPr>
          </w:p>
        </w:tc>
        <w:tc>
          <w:tcPr>
            <w:tcW w:w="7568" w:type="dxa"/>
            <w:vAlign w:val="center"/>
          </w:tcPr>
          <w:p w14:paraId="265BD2D1">
            <w:pPr>
              <w:spacing w:line="560" w:lineRule="exact"/>
              <w:rPr>
                <w:rFonts w:hint="eastAsia" w:ascii="宋体" w:hAnsi="宋体" w:eastAsia="宋体" w:cs="宋体"/>
                <w:color w:val="auto"/>
                <w:sz w:val="24"/>
                <w:highlight w:val="none"/>
                <w:u w:val="single"/>
              </w:rPr>
            </w:pPr>
          </w:p>
        </w:tc>
      </w:tr>
      <w:tr w14:paraId="4DC614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AF0FD76">
            <w:pPr>
              <w:spacing w:line="560" w:lineRule="exact"/>
              <w:rPr>
                <w:rFonts w:hint="eastAsia" w:ascii="宋体" w:hAnsi="宋体" w:eastAsia="宋体" w:cs="宋体"/>
                <w:color w:val="auto"/>
                <w:sz w:val="24"/>
                <w:highlight w:val="none"/>
              </w:rPr>
            </w:pPr>
          </w:p>
        </w:tc>
        <w:tc>
          <w:tcPr>
            <w:tcW w:w="7568" w:type="dxa"/>
            <w:vAlign w:val="center"/>
          </w:tcPr>
          <w:p w14:paraId="2A38529D">
            <w:pPr>
              <w:spacing w:line="560" w:lineRule="exact"/>
              <w:rPr>
                <w:rFonts w:hint="eastAsia" w:ascii="宋体" w:hAnsi="宋体" w:eastAsia="宋体" w:cs="宋体"/>
                <w:color w:val="auto"/>
                <w:sz w:val="24"/>
                <w:highlight w:val="none"/>
              </w:rPr>
            </w:pPr>
          </w:p>
        </w:tc>
      </w:tr>
      <w:tr w14:paraId="188BD4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42FDCC5D">
            <w:pPr>
              <w:spacing w:line="560" w:lineRule="exact"/>
              <w:rPr>
                <w:rFonts w:hint="eastAsia" w:ascii="宋体" w:hAnsi="宋体" w:eastAsia="宋体" w:cs="宋体"/>
                <w:color w:val="auto"/>
                <w:sz w:val="24"/>
                <w:highlight w:val="none"/>
              </w:rPr>
            </w:pPr>
          </w:p>
        </w:tc>
        <w:tc>
          <w:tcPr>
            <w:tcW w:w="7568" w:type="dxa"/>
            <w:vAlign w:val="center"/>
          </w:tcPr>
          <w:p w14:paraId="1D95D7FD">
            <w:pPr>
              <w:spacing w:line="560" w:lineRule="exact"/>
              <w:rPr>
                <w:rFonts w:hint="eastAsia" w:ascii="宋体" w:hAnsi="宋体" w:eastAsia="宋体" w:cs="宋体"/>
                <w:color w:val="auto"/>
                <w:sz w:val="24"/>
                <w:highlight w:val="none"/>
                <w:u w:val="single"/>
              </w:rPr>
            </w:pPr>
          </w:p>
        </w:tc>
      </w:tr>
      <w:tr w14:paraId="64BF09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75DAF66">
            <w:pPr>
              <w:spacing w:line="560" w:lineRule="exact"/>
              <w:rPr>
                <w:rFonts w:hint="eastAsia" w:ascii="宋体" w:hAnsi="宋体" w:eastAsia="宋体" w:cs="宋体"/>
                <w:color w:val="auto"/>
                <w:sz w:val="24"/>
                <w:highlight w:val="none"/>
              </w:rPr>
            </w:pPr>
          </w:p>
        </w:tc>
        <w:tc>
          <w:tcPr>
            <w:tcW w:w="7568" w:type="dxa"/>
            <w:vAlign w:val="center"/>
          </w:tcPr>
          <w:p w14:paraId="701EB2D2">
            <w:pPr>
              <w:spacing w:line="560" w:lineRule="exact"/>
              <w:rPr>
                <w:rFonts w:hint="eastAsia" w:ascii="宋体" w:hAnsi="宋体" w:eastAsia="宋体" w:cs="宋体"/>
                <w:color w:val="auto"/>
                <w:sz w:val="24"/>
                <w:highlight w:val="none"/>
              </w:rPr>
            </w:pPr>
          </w:p>
        </w:tc>
      </w:tr>
      <w:tr w14:paraId="0A39D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FCF793C">
            <w:pPr>
              <w:spacing w:line="560" w:lineRule="exact"/>
              <w:rPr>
                <w:rFonts w:hint="eastAsia" w:ascii="宋体" w:hAnsi="宋体" w:eastAsia="宋体" w:cs="宋体"/>
                <w:color w:val="auto"/>
                <w:sz w:val="24"/>
                <w:highlight w:val="none"/>
              </w:rPr>
            </w:pPr>
          </w:p>
        </w:tc>
        <w:tc>
          <w:tcPr>
            <w:tcW w:w="7568" w:type="dxa"/>
            <w:vAlign w:val="center"/>
          </w:tcPr>
          <w:p w14:paraId="256AB8A2">
            <w:pPr>
              <w:spacing w:line="560" w:lineRule="exact"/>
              <w:rPr>
                <w:rFonts w:hint="eastAsia" w:ascii="宋体" w:hAnsi="宋体" w:eastAsia="宋体" w:cs="宋体"/>
                <w:color w:val="auto"/>
                <w:sz w:val="24"/>
                <w:highlight w:val="none"/>
              </w:rPr>
            </w:pPr>
          </w:p>
        </w:tc>
      </w:tr>
      <w:tr w14:paraId="68FA55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8F01F0C">
            <w:pPr>
              <w:spacing w:line="560" w:lineRule="exact"/>
              <w:rPr>
                <w:rFonts w:hint="eastAsia" w:ascii="宋体" w:hAnsi="宋体" w:eastAsia="宋体" w:cs="宋体"/>
                <w:color w:val="auto"/>
                <w:sz w:val="24"/>
                <w:highlight w:val="none"/>
              </w:rPr>
            </w:pPr>
          </w:p>
        </w:tc>
        <w:tc>
          <w:tcPr>
            <w:tcW w:w="7568" w:type="dxa"/>
            <w:vAlign w:val="center"/>
          </w:tcPr>
          <w:p w14:paraId="5EE3ECA5">
            <w:pPr>
              <w:spacing w:line="560" w:lineRule="exact"/>
              <w:rPr>
                <w:rFonts w:hint="eastAsia" w:ascii="宋体" w:hAnsi="宋体" w:eastAsia="宋体" w:cs="宋体"/>
                <w:color w:val="auto"/>
                <w:sz w:val="24"/>
                <w:highlight w:val="none"/>
              </w:rPr>
            </w:pPr>
          </w:p>
        </w:tc>
      </w:tr>
      <w:tr w14:paraId="03FFE9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66A553E3">
            <w:pPr>
              <w:spacing w:line="560" w:lineRule="exact"/>
              <w:rPr>
                <w:rFonts w:hint="eastAsia" w:ascii="宋体" w:hAnsi="宋体" w:eastAsia="宋体" w:cs="宋体"/>
                <w:color w:val="auto"/>
                <w:sz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6F900AEC">
            <w:pPr>
              <w:spacing w:line="560" w:lineRule="exact"/>
              <w:rPr>
                <w:rFonts w:hint="eastAsia" w:ascii="宋体" w:hAnsi="宋体" w:eastAsia="宋体" w:cs="宋体"/>
                <w:color w:val="auto"/>
                <w:sz w:val="24"/>
                <w:highlight w:val="none"/>
              </w:rPr>
            </w:pPr>
          </w:p>
        </w:tc>
      </w:tr>
      <w:tr w14:paraId="273087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0BA652FF">
            <w:pPr>
              <w:spacing w:line="560" w:lineRule="exact"/>
              <w:rPr>
                <w:rFonts w:hint="eastAsia" w:ascii="宋体" w:hAnsi="宋体" w:eastAsia="宋体" w:cs="宋体"/>
                <w:color w:val="auto"/>
                <w:sz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06CAA535">
            <w:pPr>
              <w:spacing w:line="560" w:lineRule="exact"/>
              <w:rPr>
                <w:rFonts w:hint="eastAsia" w:ascii="宋体" w:hAnsi="宋体" w:eastAsia="宋体" w:cs="宋体"/>
                <w:color w:val="auto"/>
                <w:sz w:val="24"/>
                <w:highlight w:val="none"/>
              </w:rPr>
            </w:pPr>
          </w:p>
        </w:tc>
      </w:tr>
    </w:tbl>
    <w:p w14:paraId="6C5CE197">
      <w:pPr>
        <w:spacing w:before="240" w:beforeLines="100" w:after="120" w:afterLines="50"/>
        <w:outlineLvl w:val="3"/>
        <w:rPr>
          <w:rFonts w:hint="eastAsia" w:ascii="宋体" w:hAnsi="宋体" w:eastAsia="宋体" w:cs="Times New Roman"/>
          <w:b/>
          <w:bCs/>
          <w:color w:val="auto"/>
          <w:spacing w:val="-1"/>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Times New Roman"/>
          <w:b/>
          <w:bCs/>
          <w:color w:val="auto"/>
          <w:spacing w:val="-1"/>
          <w:sz w:val="28"/>
          <w:szCs w:val="28"/>
          <w:highlight w:val="none"/>
        </w:rPr>
        <w:t>合同附件1</w:t>
      </w:r>
    </w:p>
    <w:p w14:paraId="424750F2">
      <w:pPr>
        <w:adjustRightInd w:val="0"/>
        <w:snapToGrid w:val="0"/>
        <w:spacing w:before="240" w:beforeLines="100" w:after="120" w:afterLines="50" w:line="360" w:lineRule="auto"/>
        <w:jc w:val="center"/>
        <w:rPr>
          <w:rFonts w:hint="eastAsia" w:ascii="宋体" w:hAnsi="宋体" w:eastAsia="宋体" w:cs="黑体"/>
          <w:b/>
          <w:color w:val="auto"/>
          <w:spacing w:val="-1"/>
          <w:sz w:val="32"/>
          <w:szCs w:val="32"/>
          <w:highlight w:val="none"/>
          <w:lang w:eastAsia="zh-Hans"/>
        </w:rPr>
      </w:pPr>
      <w:r>
        <w:rPr>
          <w:rFonts w:hint="eastAsia" w:ascii="宋体" w:hAnsi="宋体" w:eastAsia="宋体" w:cs="黑体"/>
          <w:b/>
          <w:color w:val="auto"/>
          <w:spacing w:val="-1"/>
          <w:sz w:val="32"/>
          <w:szCs w:val="32"/>
          <w:highlight w:val="none"/>
          <w:lang w:eastAsia="zh-Hans"/>
        </w:rPr>
        <w:t>规范运营承诺书</w:t>
      </w:r>
    </w:p>
    <w:p w14:paraId="44F92DC1">
      <w:pPr>
        <w:spacing w:line="360" w:lineRule="auto"/>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为保证体艺课程坚持特色发展、普惠公益的原则，在双休日、节假日、寒暑假期间为广大在校学生提供体育、艺术、科技类教育培训服务，丰富学生课余生活，充分发挥体艺育人功能。本公司作为</w:t>
      </w:r>
      <w:r>
        <w:rPr>
          <w:rFonts w:hint="eastAsia" w:ascii="宋体" w:hAnsi="宋体" w:eastAsia="宋体" w:cs="宋体"/>
          <w:color w:val="auto"/>
          <w:sz w:val="24"/>
          <w:szCs w:val="18"/>
          <w:highlight w:val="none"/>
          <w:u w:val="single"/>
          <w:lang w:eastAsia="zh-CN"/>
        </w:rPr>
        <w:t>包河区体艺中心合肥市师范附属小学课程服务单位（第一部分）招标（二次）</w:t>
      </w:r>
      <w:r>
        <w:rPr>
          <w:rFonts w:hint="eastAsia" w:ascii="宋体" w:hAnsi="宋体" w:eastAsia="宋体" w:cs="宋体"/>
          <w:color w:val="auto"/>
          <w:sz w:val="24"/>
          <w:szCs w:val="18"/>
          <w:highlight w:val="none"/>
          <w:u w:val="single"/>
          <w:lang w:val="en-US" w:eastAsia="zh-CN"/>
        </w:rPr>
        <w:t>第XX标段</w:t>
      </w:r>
      <w:r>
        <w:rPr>
          <w:rFonts w:hint="eastAsia" w:ascii="Times New Roman" w:hAnsi="Times New Roman" w:eastAsia="宋体" w:cs="Times New Roman"/>
          <w:color w:val="auto"/>
          <w:sz w:val="24"/>
          <w:szCs w:val="24"/>
          <w:highlight w:val="none"/>
        </w:rPr>
        <w:t>的委托运营主体，郑重作出以下承诺：</w:t>
      </w:r>
    </w:p>
    <w:p w14:paraId="265D16C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1.严守社会主义核心价值观，维护国家荣誉，遵守社会公德，坚持以学生为核心，诚信经营，提供优质的体艺课程培训服务。</w:t>
      </w:r>
    </w:p>
    <w:p w14:paraId="5C3FF66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2.严格遵守宪法法律及其他相关管理规定，积极接受广大学生家长、学校主管部门的监督。</w:t>
      </w:r>
    </w:p>
    <w:p w14:paraId="1CDCE85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3.知晓学校规范运营的各项规定，积极协助学校组织的各项活动，完全遵守、服从学校的各项规定、要求。</w:t>
      </w:r>
    </w:p>
    <w:p w14:paraId="61CB504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通过场馆显示屏、宣传海报等渠道，宣传散布违背党和人民利益、不利于国家民族团结以及违反社会主义核心价值观的思想言论；不为破坏民族团结、煽动民族分裂，危害社会稳定、国家安全和祖国统一等非法行为及非法社会组织提供活动场所等条件。</w:t>
      </w:r>
    </w:p>
    <w:p w14:paraId="6E9A501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5.加强数据安全管理，严格遵守个人信息保护相关规定，不非法收集和滥用个人信息。不泄露、篡改、损毁已收集的个人信息，未经同意不向他人提供个人信息。</w:t>
      </w:r>
    </w:p>
    <w:p w14:paraId="30FF7D3D">
      <w:pPr>
        <w:wordWrap w:val="0"/>
        <w:spacing w:line="360" w:lineRule="auto"/>
        <w:jc w:val="right"/>
        <w:rPr>
          <w:rFonts w:ascii="Times New Roman" w:hAnsi="Times New Roman" w:eastAsia="宋体" w:cs="Times New Roman"/>
          <w:color w:val="auto"/>
          <w:sz w:val="24"/>
          <w:szCs w:val="24"/>
          <w:highlight w:val="none"/>
        </w:rPr>
      </w:pPr>
      <w:r>
        <w:rPr>
          <w:rFonts w:hint="eastAsia" w:ascii="宋体" w:hAnsi="宋体" w:eastAsia="宋体" w:cs="宋体"/>
          <w:color w:val="auto"/>
          <w:sz w:val="24"/>
          <w:szCs w:val="24"/>
          <w:highlight w:val="none"/>
        </w:rPr>
        <w:t xml:space="preserve">公司名称： </w:t>
      </w:r>
      <w:r>
        <w:rPr>
          <w:rFonts w:hint="eastAsia" w:ascii="Times New Roman" w:hAnsi="Times New Roman" w:eastAsia="宋体" w:cs="Times New Roman"/>
          <w:color w:val="auto"/>
          <w:sz w:val="24"/>
          <w:szCs w:val="24"/>
          <w:highlight w:val="none"/>
        </w:rPr>
        <w:t xml:space="preserve">          </w:t>
      </w:r>
    </w:p>
    <w:p w14:paraId="547462CD">
      <w:pPr>
        <w:wordWrap w:val="0"/>
        <w:jc w:val="right"/>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 xml:space="preserve">   </w:t>
      </w:r>
      <w:r>
        <w:rPr>
          <w:rFonts w:hint="eastAsia" w:ascii="Times New Roman" w:hAnsi="Times New Roman" w:eastAsia="宋体" w:cs="Times New Roman"/>
          <w:color w:val="auto"/>
          <w:sz w:val="24"/>
          <w:szCs w:val="24"/>
          <w:highlight w:val="none"/>
        </w:rPr>
        <w:t>日</w:t>
      </w:r>
      <w:r>
        <w:rPr>
          <w:rFonts w:hint="eastAsia" w:ascii="Times New Roman" w:hAnsi="Times New Roman" w:eastAsia="宋体" w:cs="Times New Roman"/>
          <w:color w:val="auto"/>
          <w:sz w:val="24"/>
          <w:szCs w:val="24"/>
          <w:highlight w:val="none"/>
          <w:lang w:val="en-US" w:eastAsia="zh-CN"/>
        </w:rPr>
        <w:t xml:space="preserve">    </w:t>
      </w:r>
      <w:r>
        <w:rPr>
          <w:rFonts w:hint="eastAsia" w:ascii="Times New Roman" w:hAnsi="Times New Roman" w:eastAsia="宋体" w:cs="Times New Roman"/>
          <w:color w:val="auto"/>
          <w:sz w:val="24"/>
          <w:szCs w:val="24"/>
          <w:highlight w:val="none"/>
        </w:rPr>
        <w:t xml:space="preserve">期：           </w:t>
      </w:r>
    </w:p>
    <w:p w14:paraId="0FFF43EB">
      <w:pPr>
        <w:rPr>
          <w:rFonts w:ascii="Times New Roman" w:hAnsi="Times New Roman" w:eastAsia="宋体" w:cs="Times New Roman"/>
          <w:color w:val="auto"/>
          <w:sz w:val="24"/>
          <w:szCs w:val="24"/>
          <w:highlight w:val="none"/>
        </w:rPr>
      </w:pPr>
    </w:p>
    <w:p w14:paraId="5DF0BB9C">
      <w:pPr>
        <w:rPr>
          <w:rFonts w:ascii="Times New Roman" w:hAnsi="Times New Roman" w:eastAsia="宋体" w:cs="Times New Roman"/>
          <w:color w:val="auto"/>
          <w:highlight w:val="none"/>
        </w:rPr>
        <w:sectPr>
          <w:footerReference r:id="rId6" w:type="default"/>
          <w:pgSz w:w="11910" w:h="16840"/>
          <w:pgMar w:top="1580" w:right="1520" w:bottom="1080" w:left="1540" w:header="0" w:footer="894" w:gutter="0"/>
          <w:pgNumType w:start="20"/>
          <w:cols w:space="720" w:num="1"/>
          <w:docGrid w:linePitch="381" w:charSpace="0"/>
        </w:sectPr>
      </w:pPr>
    </w:p>
    <w:p w14:paraId="1939B33F">
      <w:pPr>
        <w:spacing w:before="240" w:beforeLines="100" w:after="120" w:afterLines="50"/>
        <w:outlineLvl w:val="3"/>
        <w:rPr>
          <w:rFonts w:hint="eastAsia" w:ascii="宋体" w:hAnsi="宋体" w:eastAsia="宋体" w:cs="Times New Roman"/>
          <w:b/>
          <w:bCs/>
          <w:color w:val="auto"/>
          <w:spacing w:val="-1"/>
          <w:sz w:val="28"/>
          <w:szCs w:val="28"/>
          <w:highlight w:val="none"/>
        </w:rPr>
      </w:pPr>
      <w:r>
        <w:rPr>
          <w:rFonts w:hint="eastAsia" w:ascii="宋体" w:hAnsi="宋体" w:eastAsia="宋体" w:cs="Times New Roman"/>
          <w:b/>
          <w:bCs/>
          <w:color w:val="auto"/>
          <w:spacing w:val="-1"/>
          <w:sz w:val="28"/>
          <w:szCs w:val="28"/>
          <w:highlight w:val="none"/>
        </w:rPr>
        <w:t>合同附件2</w:t>
      </w:r>
    </w:p>
    <w:p w14:paraId="559E4908">
      <w:pPr>
        <w:adjustRightInd w:val="0"/>
        <w:snapToGrid w:val="0"/>
        <w:spacing w:before="240" w:beforeLines="100" w:after="120" w:afterLines="50" w:line="360" w:lineRule="auto"/>
        <w:jc w:val="center"/>
        <w:rPr>
          <w:rFonts w:hint="eastAsia" w:ascii="宋体" w:hAnsi="宋体" w:eastAsia="宋体" w:cs="黑体"/>
          <w:b/>
          <w:color w:val="auto"/>
          <w:spacing w:val="-1"/>
          <w:sz w:val="32"/>
          <w:szCs w:val="32"/>
          <w:highlight w:val="none"/>
          <w:lang w:eastAsia="zh-Hans"/>
        </w:rPr>
      </w:pPr>
      <w:r>
        <w:rPr>
          <w:rFonts w:hint="eastAsia" w:ascii="宋体" w:hAnsi="宋体" w:eastAsia="宋体" w:cs="黑体"/>
          <w:b/>
          <w:color w:val="auto"/>
          <w:spacing w:val="-1"/>
          <w:sz w:val="32"/>
          <w:szCs w:val="32"/>
          <w:highlight w:val="none"/>
          <w:lang w:eastAsia="zh-Hans"/>
        </w:rPr>
        <w:t>安全运营责任承诺书</w:t>
      </w:r>
    </w:p>
    <w:p w14:paraId="3464AD3F">
      <w:pPr>
        <w:spacing w:line="360" w:lineRule="auto"/>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为强化安全经营意识，明确安全责任，防止重大事故发生，维护健康经营和发展，根据《中华人民共和国安全生产法》，本单位就安全经营责任作出如下承诺：</w:t>
      </w:r>
    </w:p>
    <w:p w14:paraId="15570E9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1.按照有关法律法规规定办理证照，合法经营。</w:t>
      </w:r>
    </w:p>
    <w:p w14:paraId="47D7CCB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2.坚持“安全第一、预防为主”的安全经营方针和“谁主管、谁负责；谁使用，谁负责”的原则，严格执行各项安全生产法规，建立安全经营秩序和运行机制，强化安全经营意识，加大安全管理力度。</w:t>
      </w:r>
    </w:p>
    <w:p w14:paraId="3CD546B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加强本单位的安全工作。以教育、检查、分析、除患等多种方式，全面落实《突发事件应急处理预案》和经营场所内的各项安全保障措施，从安全大局出发，督促和要求员工切实做好各项安全生产工作。定期开展突发事件灭火、救护、疏散演练，并在演练中不断增强危机处理能力。 </w:t>
      </w:r>
    </w:p>
    <w:p w14:paraId="5D07E50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强化消防安全管理。根据《中华人民共和国消防法》的相关法律、法规的规定，本单位承诺为所属区域消防安全责任人。严格履行消防安全责任，积极采取有效措施消除安全隐患，防止火灾发生，并对消防安全负全面责任。场所内严禁实施私搭乱接电线、堆放易燃、易爆物品和危险品等行为。严禁设备超负荷运行及带病作业；安装和修理用电设备、仪器时，由专业人员进行操作并认真检验。未经消防、电力部门允许，不实施使用大功率电器和私拉电力线路等存在消防隐患的行为，以防火灾。服从安全生产、消防主管部门及甲方的统一监督和管理，按规定定期对场馆进行例行安全检查，对消防设施、特种设备进行检修维护，保证疏散通道和安全出口畅通，积极配合完成各项安全、消防工作任务。</w:t>
      </w:r>
    </w:p>
    <w:p w14:paraId="12EB117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5.坚决实现“四无一杜绝”：无重大火灾、无安全事故、无重大人身伤害事故及无重大资产损害事故，杜绝恶性人为责任事故并有效控制意外突发事件。</w:t>
      </w:r>
    </w:p>
    <w:p w14:paraId="5F0AEC9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6.在经营过程中如发生安全责任事故，本单位自愿承担一切安全事故责任。</w:t>
      </w:r>
    </w:p>
    <w:p w14:paraId="4122F9DA">
      <w:pPr>
        <w:spacing w:line="360" w:lineRule="auto"/>
        <w:ind w:left="3570" w:leftChars="1700"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承诺单位（盖章）：</w:t>
      </w:r>
    </w:p>
    <w:p w14:paraId="75D80558">
      <w:pPr>
        <w:spacing w:line="360" w:lineRule="auto"/>
        <w:ind w:left="3570" w:leftChars="1700"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承诺单位法人或授权代表（签字）：         </w:t>
      </w:r>
    </w:p>
    <w:p w14:paraId="7B520969">
      <w:pPr>
        <w:spacing w:line="360" w:lineRule="auto"/>
        <w:ind w:left="3570" w:leftChars="1700"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签订日期：     年    月    日</w:t>
      </w:r>
    </w:p>
    <w:p w14:paraId="522D5457">
      <w:pPr>
        <w:spacing w:line="360" w:lineRule="auto"/>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br w:type="page"/>
      </w:r>
      <w:r>
        <w:rPr>
          <w:rFonts w:hint="eastAsia" w:ascii="宋体" w:hAnsi="宋体" w:eastAsia="宋体" w:cs="Times New Roman"/>
          <w:b/>
          <w:bCs/>
          <w:color w:val="auto"/>
          <w:spacing w:val="-1"/>
          <w:sz w:val="28"/>
          <w:szCs w:val="28"/>
          <w:highlight w:val="none"/>
        </w:rPr>
        <w:t>合同附件3</w:t>
      </w:r>
    </w:p>
    <w:p w14:paraId="7CF724D6">
      <w:pPr>
        <w:adjustRightInd w:val="0"/>
        <w:snapToGrid w:val="0"/>
        <w:spacing w:before="240" w:beforeLines="100" w:after="120" w:afterLines="50" w:line="360" w:lineRule="auto"/>
        <w:jc w:val="center"/>
        <w:rPr>
          <w:rFonts w:hint="eastAsia" w:ascii="宋体" w:hAnsi="宋体" w:eastAsia="宋体" w:cs="黑体"/>
          <w:b/>
          <w:color w:val="auto"/>
          <w:spacing w:val="-1"/>
          <w:sz w:val="32"/>
          <w:szCs w:val="32"/>
          <w:highlight w:val="none"/>
          <w:lang w:eastAsia="zh-Hans"/>
        </w:rPr>
      </w:pPr>
      <w:r>
        <w:rPr>
          <w:rFonts w:hint="eastAsia" w:ascii="宋体" w:hAnsi="宋体" w:eastAsia="宋体" w:cs="黑体"/>
          <w:b/>
          <w:color w:val="auto"/>
          <w:spacing w:val="-1"/>
          <w:sz w:val="32"/>
          <w:szCs w:val="32"/>
          <w:highlight w:val="none"/>
          <w:lang w:eastAsia="zh-Hans"/>
        </w:rPr>
        <w:t>学期考核办法</w:t>
      </w:r>
    </w:p>
    <w:p w14:paraId="547033E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为加强包河区体艺中心合肥市师范附属小学***课程项目质量管理，科学评价项目运营绩效，现制定合作项目绩效综合考评办法：</w:t>
      </w:r>
    </w:p>
    <w:p w14:paraId="19C2934B">
      <w:pPr>
        <w:spacing w:before="120" w:beforeLines="50" w:after="120" w:after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一、基础评价内容（优秀90分及以上；良好70-90分；不合格70分以下）</w:t>
      </w:r>
    </w:p>
    <w:p w14:paraId="5D559AAB">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w:t>
      </w:r>
      <w:bookmarkStart w:id="158" w:name="_Hlk161650366"/>
      <w:r>
        <w:rPr>
          <w:rFonts w:hint="eastAsia" w:ascii="宋体" w:hAnsi="宋体" w:eastAsia="宋体" w:cs="宋体"/>
          <w:b/>
          <w:bCs/>
          <w:color w:val="auto"/>
          <w:kern w:val="0"/>
          <w:sz w:val="24"/>
          <w:szCs w:val="24"/>
          <w:highlight w:val="none"/>
          <w:lang w:val="en-US" w:eastAsia="zh-CN"/>
        </w:rPr>
        <w:t>课程服务</w:t>
      </w:r>
      <w:r>
        <w:rPr>
          <w:rFonts w:hint="eastAsia" w:ascii="宋体" w:hAnsi="宋体" w:eastAsia="宋体" w:cs="宋体"/>
          <w:b/>
          <w:bCs/>
          <w:color w:val="auto"/>
          <w:kern w:val="0"/>
          <w:sz w:val="24"/>
          <w:szCs w:val="24"/>
          <w:highlight w:val="none"/>
        </w:rPr>
        <w:t>情况</w:t>
      </w:r>
      <w:bookmarkEnd w:id="158"/>
      <w:r>
        <w:rPr>
          <w:rFonts w:hint="eastAsia" w:ascii="宋体" w:hAnsi="宋体" w:eastAsia="宋体" w:cs="宋体"/>
          <w:b/>
          <w:bCs/>
          <w:color w:val="auto"/>
          <w:kern w:val="0"/>
          <w:sz w:val="24"/>
          <w:szCs w:val="24"/>
          <w:highlight w:val="none"/>
        </w:rPr>
        <w:t>（每项20分，总计20分）</w:t>
      </w:r>
    </w:p>
    <w:p w14:paraId="006AF821">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家长</w:t>
      </w:r>
      <w:r>
        <w:rPr>
          <w:rFonts w:hint="eastAsia" w:ascii="宋体" w:hAnsi="宋体" w:eastAsia="宋体" w:cs="宋体"/>
          <w:b/>
          <w:bCs/>
          <w:color w:val="auto"/>
          <w:sz w:val="24"/>
          <w:szCs w:val="24"/>
          <w:highlight w:val="none"/>
        </w:rPr>
        <w:t>满意程度</w:t>
      </w:r>
    </w:p>
    <w:p w14:paraId="60775AE7">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（得分：</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w:t>
      </w:r>
    </w:p>
    <w:p w14:paraId="77CB67A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Hans"/>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Hans"/>
        </w:rPr>
        <w:t>）</w:t>
      </w:r>
      <w:r>
        <w:rPr>
          <w:rFonts w:hint="eastAsia" w:ascii="宋体" w:hAnsi="宋体" w:eastAsia="宋体" w:cs="宋体"/>
          <w:color w:val="auto"/>
          <w:sz w:val="24"/>
          <w:szCs w:val="24"/>
          <w:highlight w:val="none"/>
        </w:rPr>
        <w:t>优秀：一学期</w:t>
      </w:r>
      <w:bookmarkStart w:id="159" w:name="OLE_LINK8"/>
      <w:r>
        <w:rPr>
          <w:rFonts w:hint="eastAsia" w:ascii="宋体" w:hAnsi="宋体" w:eastAsia="宋体" w:cs="宋体"/>
          <w:color w:val="auto"/>
          <w:sz w:val="24"/>
          <w:szCs w:val="24"/>
          <w:highlight w:val="none"/>
        </w:rPr>
        <w:t>/全年</w:t>
      </w:r>
      <w:bookmarkEnd w:id="159"/>
      <w:r>
        <w:rPr>
          <w:rFonts w:hint="eastAsia" w:ascii="宋体" w:hAnsi="宋体" w:eastAsia="宋体" w:cs="宋体"/>
          <w:color w:val="auto"/>
          <w:sz w:val="24"/>
          <w:szCs w:val="24"/>
          <w:highlight w:val="none"/>
        </w:rPr>
        <w:t>无学生、家长投诉现象；</w:t>
      </w:r>
    </w:p>
    <w:p w14:paraId="3D9EECA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（2）良好：一学期/全年投诉量不高于10例；</w:t>
      </w:r>
    </w:p>
    <w:p w14:paraId="0D64DB8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（3）不合格：一学期/全年投诉量大于10例。</w:t>
      </w:r>
    </w:p>
    <w:p w14:paraId="228B7BA4">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（二）运营能力考核（每项10分，总计20分）</w:t>
      </w:r>
    </w:p>
    <w:p w14:paraId="52521019">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1.教师专业技能人才供给</w:t>
      </w:r>
    </w:p>
    <w:p w14:paraId="31C3B49A">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（得分：</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w:t>
      </w:r>
    </w:p>
    <w:p w14:paraId="3039B47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（1）优秀：执教经验≥4年的教练占比不低于50%；</w:t>
      </w:r>
    </w:p>
    <w:p w14:paraId="53931AF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（2）良好：执教经验≥2年的教练占比不低于50%；</w:t>
      </w:r>
    </w:p>
    <w:p w14:paraId="2DB0F94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（3）不合格：执教经验≥2年的教练占比低于50%；</w:t>
      </w:r>
    </w:p>
    <w:p w14:paraId="43A2259F">
      <w:pPr>
        <w:spacing w:line="360" w:lineRule="auto"/>
        <w:ind w:firstLine="482" w:firstLineChars="200"/>
        <w:rPr>
          <w:rFonts w:hint="eastAsia" w:ascii="宋体" w:hAnsi="宋体" w:eastAsia="宋体" w:cs="宋体"/>
          <w:b/>
          <w:bCs/>
          <w:color w:val="auto"/>
          <w:sz w:val="24"/>
          <w:szCs w:val="24"/>
          <w:highlight w:val="none"/>
          <w:lang w:eastAsia="zh-Hans"/>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eastAsia="zh-Hans"/>
        </w:rPr>
        <w:t>规范化、标准化管理水平</w:t>
      </w:r>
    </w:p>
    <w:p w14:paraId="6710B080">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（得分：</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w:t>
      </w:r>
    </w:p>
    <w:p w14:paraId="3ADE2B9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（1）优秀：规范化、标准化管理水平高，相关管理规范、标准、体系制度齐全、有效、执行情况好；</w:t>
      </w:r>
    </w:p>
    <w:p w14:paraId="11A1B5B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（2）良好：规范化、标准化管理水平较高，相关管理规范、标准、体系制度较齐全、执行情况较好；</w:t>
      </w:r>
    </w:p>
    <w:p w14:paraId="0B0D1AD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（3）不合格：规范化、标准化管理水平一般，相关管理规范、标准、体系制度不齐全、执行情况一般</w:t>
      </w:r>
    </w:p>
    <w:p w14:paraId="2DB21456">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（三）安全管理考核（每项15分，总计30分）</w:t>
      </w:r>
    </w:p>
    <w:p w14:paraId="7D329F4D">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1.设施设备管理</w:t>
      </w:r>
    </w:p>
    <w:p w14:paraId="254B10E6">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（得分：</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w:t>
      </w:r>
    </w:p>
    <w:p w14:paraId="075C5F93">
      <w:pPr>
        <w:spacing w:line="360" w:lineRule="auto"/>
        <w:ind w:firstLine="480" w:firstLineChars="200"/>
        <w:rPr>
          <w:rFonts w:hint="eastAsia" w:ascii="宋体" w:hAnsi="宋体" w:eastAsia="宋体" w:cs="宋体"/>
          <w:b/>
          <w:bCs/>
          <w:color w:val="auto"/>
          <w:sz w:val="24"/>
          <w:szCs w:val="24"/>
          <w:highlight w:val="none"/>
          <w:lang w:eastAsia="zh-Hans"/>
        </w:rPr>
      </w:pPr>
      <w:r>
        <w:rPr>
          <w:rFonts w:hint="eastAsia" w:ascii="宋体" w:hAnsi="宋体" w:eastAsia="宋体" w:cs="宋体"/>
          <w:color w:val="auto"/>
          <w:sz w:val="24"/>
          <w:szCs w:val="24"/>
          <w:highlight w:val="none"/>
        </w:rPr>
        <w:t>（1）优秀：维保工作良好进行，运营期间对与体艺经营有关的设施能及时修、更换，保障功能正常使用，维修更换有记录可追踪；</w:t>
      </w:r>
    </w:p>
    <w:p w14:paraId="0690560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（2）良好：维保工作基本进行，运营期间对与体艺经营有关的设施能定期维修、更换，基本保障功能正常使用；</w:t>
      </w:r>
    </w:p>
    <w:p w14:paraId="1A36EA5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（3）不合格：维保工作未有效进行，运营期间对与体艺经营有关的设施不能及时维修、更换，功能无法正常使用。</w:t>
      </w:r>
    </w:p>
    <w:p w14:paraId="50289857">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课程</w:t>
      </w:r>
      <w:r>
        <w:rPr>
          <w:rFonts w:hint="eastAsia" w:ascii="宋体" w:hAnsi="宋体" w:eastAsia="宋体" w:cs="宋体"/>
          <w:b/>
          <w:bCs/>
          <w:color w:val="auto"/>
          <w:sz w:val="24"/>
          <w:szCs w:val="24"/>
          <w:highlight w:val="none"/>
        </w:rPr>
        <w:t>风险控制</w:t>
      </w:r>
    </w:p>
    <w:p w14:paraId="63505538">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（得分：</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w:t>
      </w:r>
    </w:p>
    <w:p w14:paraId="7097095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（1）优秀：风险控制意识强，相关的责任保险齐全、提供意外险购买服务、活动风险控制管理办法齐全合理，应急预案完善并定期开展相关培训及演练；</w:t>
      </w:r>
    </w:p>
    <w:p w14:paraId="67D6046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（2）良好：风险控制意识较强，相关的责任保险较齐全、提供意外险购买服务、活动风险控制管理办法较齐全合理，应急预案较为完善并定期开展相关培训及演练；</w:t>
      </w:r>
    </w:p>
    <w:p w14:paraId="7341046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（3）不合格：风险控制意识一般，相关的责任保险不齐全、未提供意外险购买服务、活动风险控制管理办法一般，应急预案一般，未定期开展相关培训及演练；</w:t>
      </w:r>
    </w:p>
    <w:p w14:paraId="25C74B1E">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（四）活动执行（每项10分，总计10分）</w:t>
      </w:r>
    </w:p>
    <w:p w14:paraId="51E9129B">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1.服务保障</w:t>
      </w:r>
    </w:p>
    <w:p w14:paraId="135AB9D2">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（得分：</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w:t>
      </w:r>
    </w:p>
    <w:p w14:paraId="7020D4F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（1）优秀：积极承办学校的各类活动、公益课程及体艺赛事，并提供良好保障。</w:t>
      </w:r>
    </w:p>
    <w:p w14:paraId="032D687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（2）良好：基本执行学校的各类活动、公益课程及体艺赛事。</w:t>
      </w:r>
    </w:p>
    <w:p w14:paraId="74AD665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（3）不合格：未能承接学校组织的活动和公益课程，未满足学校的活动需求。</w:t>
      </w:r>
    </w:p>
    <w:p w14:paraId="22F484DA">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（五）合作履行情况（每项20分，总计20分）</w:t>
      </w:r>
    </w:p>
    <w:p w14:paraId="5328B255">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1.统一管理遵守情况</w:t>
      </w:r>
    </w:p>
    <w:p w14:paraId="56C45857">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（得分：</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w:t>
      </w:r>
    </w:p>
    <w:p w14:paraId="7E8E9E7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（1）优秀：严格遵循合作原则，严格遵守学校日常运营管理规范；</w:t>
      </w:r>
    </w:p>
    <w:p w14:paraId="2C038B9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（2）良好：基本遵循合作原则，较好遵守学校日常运营管理规范；</w:t>
      </w:r>
    </w:p>
    <w:p w14:paraId="115A08E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（3）不合格：遵守学校日常运营管理规范一般的。</w:t>
      </w:r>
    </w:p>
    <w:p w14:paraId="3790757F">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二、一票否决制</w:t>
      </w:r>
    </w:p>
    <w:p w14:paraId="2E9B081E">
      <w:pPr>
        <w:spacing w:line="360" w:lineRule="auto"/>
        <w:ind w:firstLine="482" w:firstLineChars="200"/>
        <w:rPr>
          <w:rFonts w:hint="eastAsia" w:ascii="宋体" w:hAnsi="宋体" w:eastAsia="宋体" w:cs="宋体"/>
          <w:b/>
          <w:bCs/>
          <w:color w:val="auto"/>
          <w:sz w:val="24"/>
          <w:szCs w:val="24"/>
          <w:highlight w:val="none"/>
        </w:rPr>
      </w:pPr>
      <w:bookmarkStart w:id="160" w:name="_Hlk161650453"/>
      <w:r>
        <w:rPr>
          <w:rFonts w:hint="eastAsia" w:ascii="宋体" w:hAnsi="宋体" w:eastAsia="宋体" w:cs="宋体"/>
          <w:b/>
          <w:bCs/>
          <w:color w:val="auto"/>
          <w:sz w:val="24"/>
          <w:szCs w:val="24"/>
          <w:highlight w:val="none"/>
        </w:rPr>
        <w:t>如运营单位发生一票否决行为，甲方有权随时调整运营方式或无责解除合同，且有权向乙方进行追责和追偿：</w:t>
      </w:r>
    </w:p>
    <w:bookmarkEnd w:id="160"/>
    <w:p w14:paraId="6D271CC0">
      <w:pPr>
        <w:spacing w:line="360" w:lineRule="auto"/>
        <w:ind w:firstLine="482" w:firstLineChars="200"/>
        <w:rPr>
          <w:rFonts w:hint="eastAsia" w:ascii="宋体" w:hAnsi="宋体" w:eastAsia="宋体" w:cs="宋体"/>
          <w:b/>
          <w:bCs/>
          <w:color w:val="auto"/>
          <w:sz w:val="24"/>
          <w:szCs w:val="24"/>
          <w:highlight w:val="none"/>
        </w:rPr>
      </w:pPr>
      <w:bookmarkStart w:id="161" w:name="_Hlk161650489"/>
      <w:r>
        <w:rPr>
          <w:rFonts w:hint="eastAsia" w:ascii="宋体" w:hAnsi="宋体" w:eastAsia="宋体" w:cs="宋体"/>
          <w:b/>
          <w:bCs/>
          <w:color w:val="auto"/>
          <w:sz w:val="24"/>
          <w:szCs w:val="24"/>
          <w:highlight w:val="none"/>
        </w:rPr>
        <w:t>1.出现以下情况，且经甲方提醒后10个工作日未完成整改的，触发一票否决：</w:t>
      </w:r>
    </w:p>
    <w:p w14:paraId="0920C62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（1）乙方擅自转让、分包或以其他未经甲方事先书面同意的方式处置合同运营权的；</w:t>
      </w:r>
    </w:p>
    <w:p w14:paraId="69CC68C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（2）乙方未按照甲方要求，将所有经营性收入和数据纳入甲方平台的，或违反协议所要求的预付款管理要求的；</w:t>
      </w:r>
    </w:p>
    <w:p w14:paraId="121FD97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（3）乙方未按照甲方要求或本合同约定对培训管理的财产进行维护的，或乙方擅自改变建筑物主体结构影响建筑物结构安全的；</w:t>
      </w:r>
    </w:p>
    <w:p w14:paraId="76808AF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（4）乙方违反本合同关于培训时段、收费标准等免费或低收费开放约定，或其不当经营影响到学校的公益属性及公共体艺服务功能的；</w:t>
      </w:r>
    </w:p>
    <w:p w14:paraId="2DFB453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（5）乙方因非法经营、税务问题或其他原因受到行政处罚的。</w:t>
      </w:r>
    </w:p>
    <w:p w14:paraId="0341316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（6）乙方擅自停课的；</w:t>
      </w:r>
    </w:p>
    <w:p w14:paraId="375DEA2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（7）出现因乙方管理不当的意识形态领域安全风险问题的；</w:t>
      </w:r>
    </w:p>
    <w:p w14:paraId="42B00FE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（8）其他导致学校无法正常教学的情形。</w:t>
      </w:r>
    </w:p>
    <w:p w14:paraId="78DFDBC7">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2.出现以下情况，直接触发一票否决：</w:t>
      </w:r>
    </w:p>
    <w:p w14:paraId="3246EE6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（1）因乙方管理问题或应急处理措施不当等原因，出现重大安全事故、突发事件或其他人员伤亡事件的；</w:t>
      </w:r>
    </w:p>
    <w:p w14:paraId="5B232EE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（2）乙方教学期间出现重大变化、面临解散或者破产清算等情形等，无法继续运营的；</w:t>
      </w:r>
    </w:p>
    <w:p w14:paraId="628B1C6E">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（2）其他导致学校无法正常运营的情形。</w:t>
      </w:r>
    </w:p>
    <w:bookmarkEnd w:id="161"/>
    <w:p w14:paraId="3A3B8284">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三、评价实施</w:t>
      </w:r>
    </w:p>
    <w:p w14:paraId="2CBCE527">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考核事宜由招标人和校方共同考核打分，考核取双方 “基础评价内容”中各项得分的平均值作为综合评分。具体考核办法可由招标人根据实际教学情况实时调整。</w:t>
      </w:r>
    </w:p>
    <w:p w14:paraId="180813D5">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四、结果运用</w:t>
      </w:r>
    </w:p>
    <w:p w14:paraId="7B09343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综合评分为“不合格”的，即学期考核不合格，甲方有权终止合作，无偿解除协议，具体结论以甲方会议研究为准。综合评分为“良好”的，乙方需提交服务改进方案，并由考核单位审核通过，乙方在次学期经营中需严格履行。</w:t>
      </w:r>
    </w:p>
    <w:p w14:paraId="18CBAB5B">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五、其他</w:t>
      </w:r>
    </w:p>
    <w:p w14:paraId="42F91EF5">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本考核办法与相关主管部门对甲方的考核办法不一致的，以主管部门的考核办法为准。</w:t>
      </w:r>
    </w:p>
    <w:p w14:paraId="54261DC0">
      <w:pPr>
        <w:rPr>
          <w:rFonts w:hint="eastAsia"/>
          <w:color w:val="auto"/>
          <w:highlight w:val="none"/>
        </w:rPr>
      </w:pPr>
    </w:p>
    <w:p w14:paraId="1CF82AFD">
      <w:pPr>
        <w:spacing w:before="312" w:beforeLines="100" w:after="156" w:afterLines="50"/>
        <w:outlineLvl w:val="3"/>
        <w:rPr>
          <w:rFonts w:hint="eastAsia" w:ascii="宋体" w:hAnsi="宋体" w:eastAsia="宋体" w:cs="宋体"/>
          <w:b/>
          <w:bCs/>
          <w:color w:val="auto"/>
          <w:spacing w:val="-1"/>
          <w:sz w:val="28"/>
          <w:szCs w:val="28"/>
          <w:highlight w:val="none"/>
          <w:lang w:val="en-US" w:eastAsia="zh-CN"/>
        </w:rPr>
      </w:pPr>
      <w:r>
        <w:rPr>
          <w:rFonts w:hint="eastAsia"/>
          <w:color w:val="auto"/>
          <w:highlight w:val="none"/>
        </w:rPr>
        <w:br w:type="page"/>
      </w:r>
      <w:r>
        <w:rPr>
          <w:rFonts w:hint="eastAsia" w:ascii="宋体" w:hAnsi="宋体" w:eastAsia="宋体" w:cs="宋体"/>
          <w:b/>
          <w:bCs/>
          <w:color w:val="auto"/>
          <w:spacing w:val="-1"/>
          <w:sz w:val="28"/>
          <w:szCs w:val="28"/>
          <w:highlight w:val="none"/>
        </w:rPr>
        <w:t>合同附件</w:t>
      </w:r>
      <w:r>
        <w:rPr>
          <w:rFonts w:hint="eastAsia" w:ascii="宋体" w:hAnsi="宋体" w:eastAsia="宋体" w:cs="宋体"/>
          <w:b/>
          <w:bCs/>
          <w:color w:val="auto"/>
          <w:spacing w:val="-1"/>
          <w:sz w:val="28"/>
          <w:szCs w:val="28"/>
          <w:highlight w:val="none"/>
          <w:lang w:val="en-US" w:eastAsia="zh-CN"/>
        </w:rPr>
        <w:t>4</w:t>
      </w:r>
    </w:p>
    <w:p w14:paraId="7795E514">
      <w:pPr>
        <w:adjustRightInd w:val="0"/>
        <w:snapToGrid w:val="0"/>
        <w:spacing w:before="312" w:beforeLines="100" w:after="156" w:afterLines="50" w:line="360" w:lineRule="auto"/>
        <w:jc w:val="center"/>
        <w:rPr>
          <w:rFonts w:hint="eastAsia" w:ascii="宋体" w:hAnsi="宋体" w:eastAsia="宋体" w:cs="宋体"/>
          <w:b/>
          <w:color w:val="auto"/>
          <w:spacing w:val="-1"/>
          <w:sz w:val="32"/>
          <w:szCs w:val="32"/>
          <w:highlight w:val="none"/>
          <w:lang w:eastAsia="zh-Hans"/>
        </w:rPr>
      </w:pPr>
      <w:r>
        <w:rPr>
          <w:rFonts w:hint="eastAsia" w:ascii="宋体" w:hAnsi="宋体" w:eastAsia="宋体" w:cs="宋体"/>
          <w:b/>
          <w:color w:val="auto"/>
          <w:spacing w:val="-1"/>
          <w:sz w:val="32"/>
          <w:szCs w:val="32"/>
          <w:highlight w:val="none"/>
          <w:lang w:eastAsia="zh-Hans"/>
        </w:rPr>
        <w:t>廉政协议书</w:t>
      </w:r>
    </w:p>
    <w:p w14:paraId="4C8220C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                                                        </w:t>
      </w:r>
    </w:p>
    <w:p w14:paraId="3731787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乙方：                                                         </w:t>
      </w:r>
    </w:p>
    <w:p w14:paraId="7FE67FA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为认真贯彻廉洁、高效的工作原则，建立有效的反商业贿赂机制，加强党风廉政建设，防止经营活动中不正之风和腐败现象的发生，经双方协商同意，签订本协议。</w:t>
      </w:r>
    </w:p>
    <w:p w14:paraId="48BD475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第一条协议双方须严格遵守国家法律和廉政建设各项规定及协议。双方有相互监督、遵纪守法、履行协议的义务和权利。</w:t>
      </w:r>
    </w:p>
    <w:p w14:paraId="2066F50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条甲方及有关工作人员不得利用职务便利以任何理由向乙方索要回扣、佣金、礼金礼券、礼卡及各种有价证券；不得向乙方报销应由甲方及个人支付的费用；不得参加可能对公正执行公务有影响的宴请、资助旅游和各种营业性娱乐活动；不得对乙方无理刁难或设卡。</w:t>
      </w:r>
    </w:p>
    <w:p w14:paraId="28D2E34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条乙方在经营活动中必须遵守法律法规和协议规定，不得为获取自身利益而向甲方及有关工作人员赠送现金、礼金礼券、礼卡及各种有价证券；不得与甲方及有关工作人员就协议的有关事宜进行任何不正当的私下交易；不得以洽谈业务、签订协议等为借口邀请甲方及有关工作人员参加宴请、旅游和其他营业性娱乐活动。</w:t>
      </w:r>
    </w:p>
    <w:p w14:paraId="3D65536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第四条乙方对甲方及有关工作人员的违法违纪行为和不正当要求，可及时据实向甲方纪检、监察部门投诉和举报。</w:t>
      </w:r>
    </w:p>
    <w:p w14:paraId="733CD2D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第五条对违反本协议者，根据其后果和违纪程度，可以做出以下处理：批评、诫勉；党纪政纪处分；追究法律责任；追究违约方经济责任；中止协议。</w:t>
      </w:r>
    </w:p>
    <w:p w14:paraId="7F71155C">
      <w:pPr>
        <w:spacing w:line="360" w:lineRule="auto"/>
        <w:ind w:firstLine="480" w:firstLineChars="200"/>
        <w:rPr>
          <w:rFonts w:hint="eastAsia" w:ascii="宋体" w:hAnsi="宋体" w:eastAsia="宋体" w:cs="宋体"/>
          <w:color w:val="auto"/>
          <w:sz w:val="24"/>
          <w:szCs w:val="24"/>
          <w:highlight w:val="none"/>
        </w:rPr>
      </w:pPr>
    </w:p>
    <w:p w14:paraId="304D5E7D">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甲方(盖章)：</w:t>
      </w:r>
    </w:p>
    <w:p w14:paraId="232EA2D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Hans"/>
        </w:rPr>
        <w:t>乙方(盖章)：</w:t>
      </w:r>
    </w:p>
    <w:p w14:paraId="0BDC1068">
      <w:pPr>
        <w:widowControl/>
        <w:jc w:val="left"/>
        <w:rPr>
          <w:rFonts w:hint="eastAsia" w:ascii="宋体" w:hAnsi="宋体" w:eastAsia="宋体" w:cs="宋体"/>
          <w:color w:val="auto"/>
          <w:sz w:val="24"/>
          <w:highlight w:val="none"/>
        </w:rPr>
      </w:pPr>
    </w:p>
    <w:p w14:paraId="2918B72E">
      <w:pPr>
        <w:pStyle w:val="2"/>
        <w:rPr>
          <w:rFonts w:hint="eastAsia"/>
          <w:color w:val="auto"/>
          <w:highlight w:val="none"/>
        </w:rPr>
      </w:pPr>
    </w:p>
    <w:p w14:paraId="146E0FD2">
      <w:pPr>
        <w:spacing w:line="360" w:lineRule="auto"/>
        <w:jc w:val="center"/>
        <w:outlineLvl w:val="1"/>
        <w:rPr>
          <w:rFonts w:hint="eastAsia" w:ascii="宋体" w:hAnsi="宋体" w:eastAsia="宋体" w:cs="宋体"/>
          <w:b/>
          <w:color w:val="auto"/>
          <w:sz w:val="28"/>
          <w:highlight w:val="none"/>
        </w:rPr>
      </w:pPr>
      <w:bookmarkStart w:id="162" w:name="_Toc47026337"/>
      <w:r>
        <w:rPr>
          <w:rFonts w:hint="eastAsia" w:ascii="宋体" w:hAnsi="宋体" w:eastAsia="宋体" w:cs="宋体"/>
          <w:b/>
          <w:color w:val="auto"/>
          <w:sz w:val="28"/>
          <w:highlight w:val="none"/>
        </w:rPr>
        <w:t>第六章  响应文件格式</w:t>
      </w:r>
      <w:bookmarkEnd w:id="162"/>
    </w:p>
    <w:p w14:paraId="0B1B517F">
      <w:pPr>
        <w:spacing w:line="900" w:lineRule="exact"/>
        <w:jc w:val="center"/>
        <w:rPr>
          <w:rFonts w:hint="eastAsia" w:ascii="宋体" w:hAnsi="宋体" w:eastAsia="宋体" w:cs="宋体"/>
          <w:color w:val="auto"/>
          <w:sz w:val="24"/>
          <w:szCs w:val="18"/>
          <w:highlight w:val="none"/>
          <w:u w:val="single"/>
          <w:lang w:eastAsia="zh-CN"/>
        </w:rPr>
      </w:pPr>
      <w:r>
        <w:rPr>
          <w:rFonts w:hint="eastAsia" w:ascii="宋体" w:hAnsi="宋体" w:eastAsia="宋体" w:cs="宋体"/>
          <w:color w:val="auto"/>
          <w:sz w:val="24"/>
          <w:szCs w:val="18"/>
          <w:highlight w:val="none"/>
          <w:u w:val="single"/>
          <w:lang w:eastAsia="zh-CN"/>
        </w:rPr>
        <w:t>包河区体艺中心合肥市师范附属小学课程服务单位（第一部分）招标（二次）</w:t>
      </w:r>
    </w:p>
    <w:p w14:paraId="0481FD79">
      <w:pPr>
        <w:spacing w:line="900" w:lineRule="exact"/>
        <w:jc w:val="center"/>
        <w:rPr>
          <w:rFonts w:hint="default" w:ascii="宋体" w:hAnsi="宋体" w:eastAsia="宋体" w:cs="宋体"/>
          <w:b/>
          <w:color w:val="auto"/>
          <w:sz w:val="72"/>
          <w:highlight w:val="none"/>
          <w:lang w:val="en-US" w:eastAsia="zh-CN"/>
        </w:rPr>
      </w:pPr>
      <w:r>
        <w:rPr>
          <w:rFonts w:hint="eastAsia" w:ascii="宋体" w:hAnsi="宋体" w:eastAsia="宋体" w:cs="宋体"/>
          <w:color w:val="auto"/>
          <w:sz w:val="24"/>
          <w:szCs w:val="18"/>
          <w:highlight w:val="none"/>
          <w:u w:val="single"/>
          <w:lang w:val="en-US" w:eastAsia="zh-CN"/>
        </w:rPr>
        <w:t>第XX标段</w:t>
      </w:r>
    </w:p>
    <w:p w14:paraId="09E5D058">
      <w:pPr>
        <w:spacing w:line="900" w:lineRule="exact"/>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响</w:t>
      </w:r>
    </w:p>
    <w:p w14:paraId="50767B16">
      <w:pPr>
        <w:spacing w:line="900" w:lineRule="exact"/>
        <w:jc w:val="center"/>
        <w:rPr>
          <w:rFonts w:hint="eastAsia" w:ascii="宋体" w:hAnsi="宋体" w:eastAsia="宋体" w:cs="宋体"/>
          <w:b/>
          <w:color w:val="auto"/>
          <w:sz w:val="72"/>
          <w:highlight w:val="none"/>
        </w:rPr>
      </w:pPr>
    </w:p>
    <w:p w14:paraId="6C5CE0E4">
      <w:pPr>
        <w:spacing w:line="900" w:lineRule="exact"/>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应</w:t>
      </w:r>
    </w:p>
    <w:p w14:paraId="422C8C3B">
      <w:pPr>
        <w:spacing w:line="900" w:lineRule="exact"/>
        <w:jc w:val="center"/>
        <w:rPr>
          <w:rFonts w:hint="eastAsia" w:ascii="宋体" w:hAnsi="宋体" w:eastAsia="宋体" w:cs="宋体"/>
          <w:b/>
          <w:color w:val="auto"/>
          <w:sz w:val="72"/>
          <w:highlight w:val="none"/>
        </w:rPr>
      </w:pPr>
    </w:p>
    <w:p w14:paraId="420C8196">
      <w:pPr>
        <w:spacing w:line="900" w:lineRule="exact"/>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文</w:t>
      </w:r>
    </w:p>
    <w:p w14:paraId="74D41C46">
      <w:pPr>
        <w:spacing w:line="900" w:lineRule="exact"/>
        <w:jc w:val="center"/>
        <w:rPr>
          <w:rFonts w:hint="eastAsia" w:ascii="宋体" w:hAnsi="宋体" w:eastAsia="宋体" w:cs="宋体"/>
          <w:b/>
          <w:color w:val="auto"/>
          <w:sz w:val="72"/>
          <w:highlight w:val="none"/>
        </w:rPr>
      </w:pPr>
    </w:p>
    <w:p w14:paraId="084D9FE5">
      <w:pPr>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件</w:t>
      </w:r>
    </w:p>
    <w:p w14:paraId="24FBCE6A">
      <w:pPr>
        <w:spacing w:after="156" w:afterLines="50"/>
        <w:jc w:val="center"/>
        <w:rPr>
          <w:rFonts w:hint="eastAsia" w:ascii="宋体" w:hAnsi="宋体" w:eastAsia="宋体" w:cs="宋体"/>
          <w:b/>
          <w:color w:val="auto"/>
          <w:sz w:val="72"/>
          <w:highlight w:val="none"/>
        </w:rPr>
      </w:pPr>
    </w:p>
    <w:p w14:paraId="5643CB4B">
      <w:pPr>
        <w:spacing w:after="156" w:afterLines="50" w:line="500" w:lineRule="exact"/>
        <w:jc w:val="center"/>
        <w:rPr>
          <w:rFonts w:hint="eastAsia" w:ascii="宋体" w:hAnsi="宋体" w:eastAsia="宋体" w:cs="宋体"/>
          <w:b/>
          <w:color w:val="auto"/>
          <w:sz w:val="28"/>
          <w:szCs w:val="28"/>
          <w:highlight w:val="none"/>
        </w:rPr>
      </w:pPr>
    </w:p>
    <w:p w14:paraId="01DAEC45">
      <w:pPr>
        <w:spacing w:after="156" w:afterLines="50" w:line="500" w:lineRule="exact"/>
        <w:jc w:val="center"/>
        <w:rPr>
          <w:rFonts w:hint="eastAsia" w:ascii="宋体" w:hAnsi="宋体" w:eastAsia="宋体" w:cs="宋体"/>
          <w:b/>
          <w:color w:val="auto"/>
          <w:sz w:val="72"/>
          <w:highlight w:val="none"/>
        </w:rPr>
      </w:pPr>
    </w:p>
    <w:p w14:paraId="46A6B562">
      <w:pPr>
        <w:spacing w:after="156" w:afterLines="50" w:line="500" w:lineRule="exact"/>
        <w:ind w:firstLine="2522" w:firstLineChars="785"/>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投标人：</w:t>
      </w:r>
      <w:r>
        <w:rPr>
          <w:rFonts w:hint="eastAsia" w:ascii="宋体" w:hAnsi="宋体" w:eastAsia="宋体" w:cs="宋体"/>
          <w:b/>
          <w:color w:val="auto"/>
          <w:sz w:val="32"/>
          <w:highlight w:val="none"/>
          <w:u w:val="single"/>
        </w:rPr>
        <w:t xml:space="preserve">               </w:t>
      </w:r>
    </w:p>
    <w:p w14:paraId="048951CA">
      <w:pPr>
        <w:spacing w:after="156" w:afterLines="50" w:line="500" w:lineRule="exact"/>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p>
    <w:p w14:paraId="23136D0E">
      <w:pPr>
        <w:widowControl/>
        <w:jc w:val="left"/>
        <w:rPr>
          <w:rFonts w:hint="eastAsia" w:ascii="宋体" w:hAnsi="宋体" w:eastAsia="宋体" w:cs="宋体"/>
          <w:b/>
          <w:color w:val="auto"/>
          <w:sz w:val="28"/>
          <w:highlight w:val="none"/>
        </w:rPr>
      </w:pPr>
    </w:p>
    <w:p w14:paraId="5FA94CAD">
      <w:pPr>
        <w:pStyle w:val="2"/>
        <w:rPr>
          <w:rFonts w:hint="eastAsia"/>
        </w:rPr>
      </w:pPr>
    </w:p>
    <w:p w14:paraId="3B4B6E2E">
      <w:pPr>
        <w:spacing w:line="360" w:lineRule="auto"/>
        <w:jc w:val="center"/>
        <w:outlineLvl w:val="2"/>
        <w:rPr>
          <w:rFonts w:hint="eastAsia" w:ascii="宋体" w:hAnsi="宋体" w:eastAsia="宋体" w:cs="宋体"/>
          <w:b/>
          <w:color w:val="auto"/>
          <w:sz w:val="24"/>
          <w:highlight w:val="none"/>
        </w:rPr>
      </w:pPr>
      <w:bookmarkStart w:id="163" w:name="_Toc461053086"/>
      <w:bookmarkStart w:id="164" w:name="_Toc461056631"/>
      <w:bookmarkStart w:id="165" w:name="_Toc520983587"/>
      <w:r>
        <w:rPr>
          <w:rFonts w:hint="eastAsia" w:ascii="宋体" w:hAnsi="宋体" w:eastAsia="宋体" w:cs="宋体"/>
          <w:b/>
          <w:color w:val="auto"/>
          <w:sz w:val="24"/>
          <w:highlight w:val="none"/>
        </w:rPr>
        <w:t>一</w:t>
      </w:r>
      <w:bookmarkEnd w:id="163"/>
      <w:bookmarkEnd w:id="164"/>
      <w:r>
        <w:rPr>
          <w:rFonts w:hint="eastAsia" w:ascii="宋体" w:hAnsi="宋体" w:eastAsia="宋体" w:cs="宋体"/>
          <w:b/>
          <w:color w:val="auto"/>
          <w:sz w:val="24"/>
          <w:highlight w:val="none"/>
        </w:rPr>
        <w:t>、报价表格式</w:t>
      </w:r>
      <w:bookmarkEnd w:id="165"/>
    </w:p>
    <w:p w14:paraId="57CEA81C">
      <w:pPr>
        <w:spacing w:before="156" w:beforeLines="50" w:after="156" w:afterLines="50" w:line="360" w:lineRule="auto"/>
        <w:jc w:val="left"/>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1-1 报价表</w:t>
      </w:r>
    </w:p>
    <w:p w14:paraId="2E142C5D">
      <w:pPr>
        <w:snapToGrid w:val="0"/>
        <w:spacing w:line="360" w:lineRule="auto"/>
        <w:jc w:val="left"/>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项目名称：</w:t>
      </w:r>
      <w:r>
        <w:rPr>
          <w:rFonts w:hint="eastAsia" w:ascii="宋体" w:hAnsi="宋体" w:eastAsia="宋体" w:cs="宋体"/>
          <w:color w:val="auto"/>
          <w:sz w:val="24"/>
          <w:szCs w:val="18"/>
          <w:highlight w:val="none"/>
          <w:u w:val="single"/>
          <w:lang w:eastAsia="zh-CN"/>
        </w:rPr>
        <w:t>包河区体艺中心合肥市师范附属小学课程服务单位（第一部分）招标（二次）</w:t>
      </w:r>
      <w:r>
        <w:rPr>
          <w:rFonts w:hint="eastAsia" w:ascii="宋体" w:hAnsi="宋体" w:eastAsia="宋体" w:cs="宋体"/>
          <w:b/>
          <w:color w:val="auto"/>
          <w:sz w:val="24"/>
          <w:szCs w:val="28"/>
          <w:highlight w:val="none"/>
          <w:u w:val="single"/>
          <w:lang w:val="en-US" w:eastAsia="zh-CN"/>
        </w:rPr>
        <w:t>-第X标段</w:t>
      </w:r>
    </w:p>
    <w:p w14:paraId="56F6BEBB">
      <w:pPr>
        <w:snapToGrid w:val="0"/>
        <w:spacing w:after="156" w:afterLines="50" w:line="360" w:lineRule="auto"/>
        <w:jc w:val="left"/>
        <w:rPr>
          <w:rFonts w:hint="eastAsia" w:ascii="宋体" w:hAnsi="宋体" w:eastAsia="宋体" w:cs="宋体"/>
          <w:b/>
          <w:bCs/>
          <w:color w:val="auto"/>
          <w:sz w:val="24"/>
          <w:szCs w:val="28"/>
          <w:highlight w:val="none"/>
          <w:u w:val="single"/>
        </w:rPr>
      </w:pPr>
      <w:r>
        <w:rPr>
          <w:rFonts w:hint="eastAsia" w:ascii="宋体" w:hAnsi="宋体" w:eastAsia="宋体" w:cs="宋体"/>
          <w:b/>
          <w:color w:val="auto"/>
          <w:sz w:val="24"/>
          <w:szCs w:val="28"/>
          <w:highlight w:val="none"/>
        </w:rPr>
        <w:t>项目编号：</w:t>
      </w:r>
      <w:r>
        <w:rPr>
          <w:rFonts w:hint="eastAsia" w:ascii="宋体" w:hAnsi="宋体" w:eastAsia="宋体" w:cs="宋体"/>
          <w:b/>
          <w:color w:val="auto"/>
          <w:sz w:val="24"/>
          <w:szCs w:val="28"/>
          <w:highlight w:val="none"/>
          <w:u w:val="single"/>
        </w:rPr>
        <w:t xml:space="preserve">  </w:t>
      </w:r>
      <w:r>
        <w:rPr>
          <w:rFonts w:hint="eastAsia" w:ascii="宋体" w:hAnsi="宋体" w:eastAsia="宋体" w:cs="宋体"/>
          <w:b/>
          <w:bCs/>
          <w:color w:val="auto"/>
          <w:sz w:val="24"/>
          <w:szCs w:val="18"/>
          <w:highlight w:val="none"/>
          <w:u w:val="single"/>
        </w:rPr>
        <w:t>BHSG</w:t>
      </w:r>
      <w:r>
        <w:rPr>
          <w:rFonts w:hint="eastAsia" w:ascii="宋体" w:hAnsi="宋体" w:eastAsia="宋体" w:cs="宋体"/>
          <w:b/>
          <w:bCs/>
          <w:color w:val="auto"/>
          <w:sz w:val="24"/>
          <w:szCs w:val="18"/>
          <w:highlight w:val="none"/>
          <w:u w:val="single"/>
          <w:lang w:val="en-US" w:eastAsia="zh-CN"/>
        </w:rPr>
        <w:t>-ZTB-2025-03</w:t>
      </w:r>
      <w:r>
        <w:rPr>
          <w:rFonts w:hint="eastAsia" w:ascii="宋体" w:hAnsi="宋体" w:eastAsia="宋体" w:cs="宋体"/>
          <w:b/>
          <w:color w:val="auto"/>
          <w:sz w:val="24"/>
          <w:szCs w:val="28"/>
          <w:highlight w:val="none"/>
          <w:u w:val="single"/>
        </w:rPr>
        <w:t xml:space="preserve">  </w:t>
      </w: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06D74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52FFE8B2">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投标人名称</w:t>
            </w:r>
          </w:p>
        </w:tc>
        <w:tc>
          <w:tcPr>
            <w:tcW w:w="6063" w:type="dxa"/>
            <w:tcBorders>
              <w:left w:val="single" w:color="auto" w:sz="4" w:space="0"/>
            </w:tcBorders>
          </w:tcPr>
          <w:p w14:paraId="3E8EC98F">
            <w:pPr>
              <w:spacing w:line="360" w:lineRule="auto"/>
              <w:rPr>
                <w:rFonts w:hint="eastAsia" w:ascii="宋体" w:hAnsi="宋体" w:eastAsia="宋体" w:cs="宋体"/>
                <w:b/>
                <w:color w:val="auto"/>
                <w:sz w:val="24"/>
                <w:highlight w:val="none"/>
              </w:rPr>
            </w:pPr>
          </w:p>
        </w:tc>
      </w:tr>
      <w:tr w14:paraId="1B294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0B81A061">
            <w:pPr>
              <w:spacing w:line="3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磋商范围</w:t>
            </w:r>
          </w:p>
        </w:tc>
        <w:tc>
          <w:tcPr>
            <w:tcW w:w="6063" w:type="dxa"/>
            <w:tcBorders>
              <w:left w:val="single" w:color="auto" w:sz="4" w:space="0"/>
            </w:tcBorders>
            <w:vAlign w:val="center"/>
          </w:tcPr>
          <w:p w14:paraId="06F25EBE">
            <w:pPr>
              <w:widowControl/>
              <w:spacing w:line="360" w:lineRule="exact"/>
              <w:rPr>
                <w:rFonts w:hint="eastAsia" w:ascii="宋体" w:hAnsi="宋体" w:eastAsia="宋体" w:cs="宋体"/>
                <w:b/>
                <w:color w:val="auto"/>
                <w:sz w:val="24"/>
                <w:highlight w:val="none"/>
              </w:rPr>
            </w:pPr>
            <w:r>
              <w:rPr>
                <w:rFonts w:hint="eastAsia" w:ascii="宋体" w:hAnsi="宋体" w:eastAsia="宋体" w:cs="宋体"/>
                <w:color w:val="auto"/>
                <w:sz w:val="24"/>
                <w:szCs w:val="18"/>
                <w:highlight w:val="none"/>
                <w:u w:val="single"/>
                <w:lang w:eastAsia="zh-CN"/>
              </w:rPr>
              <w:t>包河区体艺中心合肥市师范附属小学课程服务单位（第一部分）招标（二次）</w:t>
            </w:r>
            <w:r>
              <w:rPr>
                <w:rFonts w:hint="eastAsia" w:ascii="宋体" w:hAnsi="宋体" w:eastAsia="宋体" w:cs="宋体"/>
                <w:b/>
                <w:color w:val="auto"/>
                <w:sz w:val="24"/>
                <w:szCs w:val="28"/>
                <w:highlight w:val="none"/>
                <w:u w:val="single"/>
                <w:lang w:val="en-US" w:eastAsia="zh-CN"/>
              </w:rPr>
              <w:t>-第X标段</w:t>
            </w:r>
          </w:p>
        </w:tc>
      </w:tr>
      <w:tr w14:paraId="4B95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293978A7">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报价</w:t>
            </w:r>
          </w:p>
        </w:tc>
        <w:tc>
          <w:tcPr>
            <w:tcW w:w="6063" w:type="dxa"/>
            <w:vAlign w:val="center"/>
          </w:tcPr>
          <w:p w14:paraId="1CD65811">
            <w:pPr>
              <w:snapToGrid w:val="0"/>
              <w:spacing w:line="360" w:lineRule="auto"/>
              <w:rPr>
                <w:rFonts w:hint="eastAsia" w:ascii="宋体" w:hAnsi="宋体" w:eastAsia="宋体" w:cs="宋体"/>
                <w:color w:val="auto"/>
                <w:sz w:val="24"/>
                <w:szCs w:val="28"/>
                <w:highlight w:val="none"/>
              </w:rPr>
            </w:pPr>
          </w:p>
          <w:p w14:paraId="65FD3CE5">
            <w:pPr>
              <w:snapToGrid w:val="0"/>
              <w:spacing w:line="360" w:lineRule="auto"/>
              <w:rPr>
                <w:rFonts w:hint="eastAsia" w:ascii="宋体" w:hAnsi="宋体" w:eastAsia="宋体" w:cs="宋体"/>
                <w:bCs/>
                <w:color w:val="auto"/>
                <w:sz w:val="24"/>
                <w:highlight w:val="none"/>
                <w:u w:val="single"/>
              </w:rPr>
            </w:pPr>
            <w:bookmarkStart w:id="166" w:name="OLE_LINK3"/>
            <w:r>
              <w:rPr>
                <w:rFonts w:hint="eastAsia" w:ascii="宋体" w:hAnsi="宋体" w:eastAsia="宋体" w:cs="宋体"/>
                <w:bCs/>
                <w:color w:val="auto"/>
                <w:sz w:val="24"/>
                <w:highlight w:val="none"/>
              </w:rPr>
              <w:t>投标人分成比例</w:t>
            </w:r>
            <w:bookmarkEnd w:id="166"/>
            <w:r>
              <w:rPr>
                <w:rFonts w:hint="eastAsia" w:ascii="宋体" w:hAnsi="宋体" w:eastAsia="宋体" w:cs="宋体"/>
                <w:bCs/>
                <w:color w:val="auto"/>
                <w:sz w:val="24"/>
                <w:highlight w:val="none"/>
                <w:u w:val="single"/>
              </w:rPr>
              <w:t xml:space="preserve">           %（保留两位小数）</w:t>
            </w:r>
          </w:p>
          <w:p w14:paraId="3F160A4A">
            <w:pPr>
              <w:snapToGrid w:val="0"/>
              <w:spacing w:line="360" w:lineRule="auto"/>
              <w:rPr>
                <w:rFonts w:hint="eastAsia" w:ascii="宋体" w:hAnsi="宋体" w:eastAsia="宋体" w:cs="宋体"/>
                <w:b/>
                <w:color w:val="auto"/>
                <w:sz w:val="24"/>
                <w:highlight w:val="none"/>
              </w:rPr>
            </w:pPr>
          </w:p>
        </w:tc>
      </w:tr>
      <w:tr w14:paraId="441F6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2459" w:type="dxa"/>
            <w:vAlign w:val="center"/>
          </w:tcPr>
          <w:p w14:paraId="411CB80E">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备注说明</w:t>
            </w:r>
          </w:p>
        </w:tc>
        <w:tc>
          <w:tcPr>
            <w:tcW w:w="6063" w:type="dxa"/>
          </w:tcPr>
          <w:p w14:paraId="05CDD2DF">
            <w:pPr>
              <w:spacing w:line="360" w:lineRule="auto"/>
              <w:rPr>
                <w:rFonts w:hint="eastAsia" w:ascii="宋体" w:hAnsi="宋体" w:eastAsia="宋体" w:cs="宋体"/>
                <w:b/>
                <w:color w:val="auto"/>
                <w:sz w:val="24"/>
                <w:highlight w:val="none"/>
              </w:rPr>
            </w:pPr>
          </w:p>
        </w:tc>
      </w:tr>
    </w:tbl>
    <w:p w14:paraId="0434B25F">
      <w:pPr>
        <w:spacing w:line="440" w:lineRule="exact"/>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投标人公章：             </w:t>
      </w:r>
    </w:p>
    <w:p w14:paraId="74AB8FB8">
      <w:pPr>
        <w:spacing w:line="440" w:lineRule="exact"/>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74B5824C">
      <w:pPr>
        <w:adjustRightInd w:val="0"/>
        <w:snapToGrid w:val="0"/>
        <w:spacing w:line="360" w:lineRule="auto"/>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注：</w:t>
      </w:r>
    </w:p>
    <w:p w14:paraId="72549292">
      <w:pPr>
        <w:adjustRightInd w:val="0"/>
        <w:snapToGrid w:val="0"/>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szCs w:val="28"/>
          <w:highlight w:val="none"/>
        </w:rPr>
        <w:t>1.本表内容根据磋商文件要求包括了课程培训服务及现场落地、安装及设施设备耗损、调试、培训、技术服务（包括技术资料、图纸的提供）质保期内的售后服务保障等所有费用。</w:t>
      </w:r>
    </w:p>
    <w:p w14:paraId="3187D9B6">
      <w:pPr>
        <w:adjustRightInd w:val="0"/>
        <w:snapToGrid w:val="0"/>
        <w:spacing w:line="360" w:lineRule="auto"/>
        <w:ind w:firstLine="482" w:firstLineChars="200"/>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2.特殊事项在备注中注明。</w:t>
      </w:r>
    </w:p>
    <w:p w14:paraId="0A669C8F">
      <w:pPr>
        <w:adjustRightInd w:val="0"/>
        <w:snapToGrid w:val="0"/>
        <w:spacing w:line="360" w:lineRule="auto"/>
        <w:ind w:firstLine="482" w:firstLineChars="200"/>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3.投标人应根据其响应文件中报价表的内容填写唱标信息，唱标信息不作为评审的依据。唱标信息与报价表不一致的，以报价表为准。报价表报价仅需</w:t>
      </w:r>
      <w:r>
        <w:rPr>
          <w:rFonts w:hint="eastAsia" w:ascii="宋体" w:hAnsi="宋体" w:eastAsia="宋体" w:cs="宋体"/>
          <w:b/>
          <w:bCs/>
          <w:color w:val="auto"/>
          <w:sz w:val="24"/>
          <w:szCs w:val="28"/>
          <w:highlight w:val="none"/>
          <w:lang w:val="en-US" w:eastAsia="zh-CN"/>
        </w:rPr>
        <w:t>报出</w:t>
      </w:r>
      <w:r>
        <w:rPr>
          <w:rFonts w:hint="eastAsia" w:ascii="宋体" w:hAnsi="宋体" w:eastAsia="宋体" w:cs="宋体"/>
          <w:b/>
          <w:bCs/>
          <w:color w:val="auto"/>
          <w:sz w:val="24"/>
          <w:szCs w:val="28"/>
          <w:highlight w:val="none"/>
        </w:rPr>
        <w:t>投标人分成比例。</w:t>
      </w:r>
    </w:p>
    <w:p w14:paraId="3CA468C6">
      <w:pPr>
        <w:spacing w:line="360" w:lineRule="auto"/>
        <w:jc w:val="center"/>
        <w:outlineLvl w:val="2"/>
        <w:rPr>
          <w:rFonts w:hint="eastAsia" w:ascii="宋体" w:hAnsi="宋体" w:eastAsia="宋体" w:cs="宋体"/>
          <w:b/>
          <w:color w:val="auto"/>
          <w:sz w:val="24"/>
          <w:highlight w:val="none"/>
        </w:rPr>
      </w:pPr>
      <w:bookmarkStart w:id="167" w:name="_Toc520983591"/>
      <w:r>
        <w:rPr>
          <w:rFonts w:hint="eastAsia" w:ascii="宋体" w:hAnsi="宋体" w:eastAsia="宋体" w:cs="宋体"/>
          <w:b/>
          <w:color w:val="auto"/>
          <w:sz w:val="24"/>
          <w:highlight w:val="none"/>
        </w:rPr>
        <w:t>二、磋商响应函</w:t>
      </w:r>
      <w:bookmarkEnd w:id="167"/>
    </w:p>
    <w:p w14:paraId="0A543918">
      <w:pPr>
        <w:pStyle w:val="14"/>
        <w:spacing w:line="360" w:lineRule="auto"/>
        <w:rPr>
          <w:rFonts w:hint="eastAsia" w:ascii="宋体" w:hAnsi="宋体" w:cs="宋体"/>
          <w:color w:val="auto"/>
          <w:sz w:val="24"/>
          <w:highlight w:val="none"/>
        </w:rPr>
      </w:pPr>
      <w:r>
        <w:rPr>
          <w:rFonts w:hint="eastAsia" w:ascii="宋体" w:hAnsi="宋体" w:cs="宋体"/>
          <w:color w:val="auto"/>
          <w:sz w:val="24"/>
          <w:highlight w:val="none"/>
        </w:rPr>
        <w:t>致：合肥滨湖时光体育发展有限公司</w:t>
      </w:r>
    </w:p>
    <w:p w14:paraId="5C1EF3EE">
      <w:pPr>
        <w:spacing w:line="360" w:lineRule="auto"/>
        <w:ind w:firstLine="480" w:firstLineChars="200"/>
        <w:rPr>
          <w:rFonts w:hint="eastAsia" w:ascii="宋体" w:hAnsi="宋体" w:eastAsia="宋体" w:cs="宋体"/>
          <w:dstrike/>
          <w:color w:val="auto"/>
          <w:sz w:val="24"/>
          <w:highlight w:val="none"/>
        </w:rPr>
      </w:pPr>
      <w:r>
        <w:rPr>
          <w:rFonts w:hint="eastAsia" w:ascii="宋体" w:hAnsi="宋体" w:eastAsia="宋体" w:cs="宋体"/>
          <w:color w:val="auto"/>
          <w:sz w:val="24"/>
          <w:highlight w:val="none"/>
        </w:rPr>
        <w:t>根据贵方的竞争性磋商公告，我方兹宣布同意如下：</w:t>
      </w:r>
    </w:p>
    <w:p w14:paraId="2A80E3B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1.如我公司中标，我公司承诺愿意按磋商文件规定缴纳履约保证金。按本次磋商文件规定及报价承诺提供服务。</w:t>
      </w:r>
    </w:p>
    <w:p w14:paraId="2DAD307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2.我方根据本次磋商文件的规定，严格履行合同的责任和义务,并保证于买方要求的日期内完成服务，并通过买方验收。</w:t>
      </w:r>
    </w:p>
    <w:p w14:paraId="6829DDA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3.我方承诺报价低于同类货物和服务的市场平均价格。</w:t>
      </w:r>
    </w:p>
    <w:p w14:paraId="292A7E3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已详细审核本次磋商文件，包括磋商文件附件、参考资料、磋商文件修改书或图纸（如有），我方正式认可并遵守本次磋商文件，并对磋商文件各项条款、规定及要求均无异议。我方知道必须放弃提出含糊不清或误解问题的权利。</w:t>
      </w:r>
    </w:p>
    <w:p w14:paraId="5E3885D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5.我方同意从投标人须知规定的磋商日期起遵循本磋商文件，并在投标人须知规定的磋商有效期之前均具有约束力。</w:t>
      </w:r>
    </w:p>
    <w:p w14:paraId="26B3D2A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6.我方同意按贵方要求在磋商规定时间内向贵方提供与其磋商有关的任何证据或补充资料，否则，我方的响应文件可被贵方拒绝。</w:t>
      </w:r>
    </w:p>
    <w:p w14:paraId="5BA539F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7.我方完全理解贵方不一定接受最低报价的磋商。</w:t>
      </w:r>
    </w:p>
    <w:p w14:paraId="6CACB44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8.我方同意磋商文件规定的付款方式、服务期限。</w:t>
      </w:r>
    </w:p>
    <w:p w14:paraId="388C1C6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9.我方对响应文件中所提供资料、文件、证书及证件的真实性和有效性负责。</w:t>
      </w:r>
    </w:p>
    <w:p w14:paraId="1768082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.我方同意磋商文件规定的付款方式及结算方式。</w:t>
      </w:r>
    </w:p>
    <w:p w14:paraId="0D0C7EC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在你方和我方进行合同磋商之前，我方将按照响应文件中填报人员及磋商文件提出的最低要求填报派驻本标段的其他管理和技术培训人员及主要机械设备，经你方审批后作为派驻本标段的项目管理机构主要人员和主要体育培训设备且不进行更换。我方承诺除非磋商文件另有约定，我方派驻本标段的项目负责人及项目管理机构主要人员均为我单位在职人员（不含外聘人员、返聘人员、临时聘用人员）。如我方拟派驻的人员和设备不满足合同附件要求，你方有权取消我方中标资格。</w:t>
      </w:r>
    </w:p>
    <w:p w14:paraId="3368794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.与本磋商有关的通讯地址：</w:t>
      </w:r>
      <w:r>
        <w:rPr>
          <w:rFonts w:hint="eastAsia" w:ascii="宋体" w:hAnsi="宋体" w:eastAsia="宋体" w:cs="宋体"/>
          <w:color w:val="auto"/>
          <w:sz w:val="24"/>
          <w:highlight w:val="none"/>
          <w:u w:val="single"/>
        </w:rPr>
        <w:t xml:space="preserve">                          </w:t>
      </w:r>
    </w:p>
    <w:p w14:paraId="4A0067B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投标人公章：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3BED6A98">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日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期：</w:t>
      </w:r>
      <w:r>
        <w:rPr>
          <w:rFonts w:hint="eastAsia" w:ascii="宋体" w:hAnsi="宋体" w:eastAsia="宋体" w:cs="宋体"/>
          <w:color w:val="auto"/>
          <w:sz w:val="24"/>
          <w:highlight w:val="none"/>
          <w:u w:val="single"/>
        </w:rPr>
        <w:t xml:space="preserve">                   </w:t>
      </w:r>
    </w:p>
    <w:p w14:paraId="0E767139">
      <w:pPr>
        <w:rPr>
          <w:rFonts w:hint="eastAsia" w:ascii="宋体" w:hAnsi="宋体" w:eastAsia="宋体" w:cs="宋体"/>
          <w:b/>
          <w:color w:val="auto"/>
          <w:sz w:val="24"/>
          <w:highlight w:val="none"/>
        </w:rPr>
      </w:pPr>
    </w:p>
    <w:p w14:paraId="5050BFD0">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三、无不良信用记录声明函</w:t>
      </w:r>
    </w:p>
    <w:p w14:paraId="3365E4E1">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1.本单位郑重声明，我单位无以下不良信用记录情形：</w:t>
      </w:r>
    </w:p>
    <w:p w14:paraId="670A6221">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（1）被责令停产停业，暂扣或者吊销许可证，暂扣或者吊销执照； </w:t>
      </w:r>
    </w:p>
    <w:p w14:paraId="14637664">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（2）进入清算程序，或被宣告破产，或其他丧失履约能力的情形； </w:t>
      </w:r>
    </w:p>
    <w:p w14:paraId="46C18B1B">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（3）在最近三年内（自投标截止之日向前追溯 3 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不受三年期限限制； </w:t>
      </w:r>
    </w:p>
    <w:p w14:paraId="0A026E2B">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（4）被市场监督管理部门列入严重违法失信名单； </w:t>
      </w:r>
    </w:p>
    <w:p w14:paraId="1A49158E">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（5）被人民法院列为失信被执行人； </w:t>
      </w:r>
    </w:p>
    <w:p w14:paraId="00CCA954">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（6）被税务机关确定为重大税收违法失信主体； </w:t>
      </w:r>
    </w:p>
    <w:p w14:paraId="4688AC98">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（7）在近三年内投标人或其法定代表人（单位负责人）有行贿犯罪行为的；</w:t>
      </w:r>
    </w:p>
    <w:p w14:paraId="04521C17">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8）投标人被设区的市级及以上建设行政主管部门/房屋建筑和市政基础设施工程招标投标活动的监督部门因安全生产责任事故限制本次招标项目工程所在地或公共资源交易平台所在地承接新的工程项目且在限制期内。（如不采用，删除）</w:t>
      </w:r>
    </w:p>
    <w:p w14:paraId="5D0C4744">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24"/>
          <w:highlight w:val="none"/>
        </w:rPr>
        <w:t>2.本单位郑重声明，</w:t>
      </w:r>
      <w:r>
        <w:rPr>
          <w:rFonts w:hint="eastAsia" w:ascii="宋体" w:hAnsi="宋体" w:eastAsia="宋体" w:cs="宋体"/>
          <w:color w:val="auto"/>
          <w:sz w:val="24"/>
          <w:szCs w:val="18"/>
          <w:highlight w:val="none"/>
        </w:rPr>
        <w:t xml:space="preserve">未被合肥市及其所辖县（市）、区（开发区）公共资源交易监督管理部门记不良行为记录的；或被记不良行为记录（以公布日期为准），但同时符合下列情形的： </w:t>
      </w:r>
    </w:p>
    <w:p w14:paraId="3B16DC49">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（1）开标日前（含当日）6个月内记分累计未满10分的； </w:t>
      </w:r>
    </w:p>
    <w:p w14:paraId="770DBB87">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（2）开标日前（含当日）12个月内记分累计未满15分的； </w:t>
      </w:r>
    </w:p>
    <w:p w14:paraId="64E0102B">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（3）开标日前（含当日）18个月内记分累计未满20分的； </w:t>
      </w:r>
    </w:p>
    <w:p w14:paraId="02D931A5">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18"/>
          <w:highlight w:val="none"/>
        </w:rPr>
        <w:t>（4）开标日前（含当日）24个月内记分累计未满25分的。</w:t>
      </w:r>
    </w:p>
    <w:p w14:paraId="61522942">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2805AA2A">
      <w:pPr>
        <w:spacing w:line="440" w:lineRule="exact"/>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投标人公章：</w:t>
      </w:r>
      <w:r>
        <w:rPr>
          <w:rFonts w:hint="eastAsia" w:ascii="宋体" w:hAnsi="宋体" w:eastAsia="宋体" w:cs="宋体"/>
          <w:color w:val="auto"/>
          <w:sz w:val="24"/>
          <w:szCs w:val="24"/>
          <w:highlight w:val="none"/>
          <w:u w:val="single"/>
        </w:rPr>
        <w:t xml:space="preserve">             </w:t>
      </w:r>
    </w:p>
    <w:p w14:paraId="7C5DC7EC">
      <w:pPr>
        <w:spacing w:line="440" w:lineRule="exact"/>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05676224">
      <w:pPr>
        <w:spacing w:line="360" w:lineRule="auto"/>
        <w:jc w:val="center"/>
        <w:outlineLvl w:val="2"/>
        <w:rPr>
          <w:rFonts w:hint="eastAsia" w:ascii="宋体" w:hAnsi="宋体" w:eastAsia="宋体" w:cs="宋体"/>
          <w:b/>
          <w:color w:val="auto"/>
          <w:sz w:val="24"/>
          <w:highlight w:val="none"/>
        </w:rPr>
      </w:pPr>
      <w:bookmarkStart w:id="168" w:name="_Toc516969106"/>
      <w:bookmarkStart w:id="169" w:name="_Toc520983594"/>
      <w:bookmarkStart w:id="170" w:name="_Toc204594911"/>
      <w:bookmarkStart w:id="171" w:name="_Toc121626298"/>
    </w:p>
    <w:p w14:paraId="6A2CB27A">
      <w:pPr>
        <w:spacing w:line="360" w:lineRule="auto"/>
        <w:jc w:val="center"/>
        <w:outlineLvl w:val="2"/>
        <w:rPr>
          <w:rFonts w:hint="eastAsia" w:ascii="宋体" w:hAnsi="宋体" w:eastAsia="宋体" w:cs="宋体"/>
          <w:b/>
          <w:color w:val="auto"/>
          <w:sz w:val="24"/>
          <w:highlight w:val="none"/>
        </w:rPr>
      </w:pPr>
    </w:p>
    <w:p w14:paraId="4FC7E363">
      <w:pPr>
        <w:spacing w:line="360" w:lineRule="auto"/>
        <w:jc w:val="center"/>
        <w:outlineLvl w:val="2"/>
        <w:rPr>
          <w:rFonts w:hint="eastAsia" w:ascii="宋体" w:hAnsi="宋体" w:eastAsia="宋体" w:cs="宋体"/>
          <w:b/>
          <w:color w:val="auto"/>
          <w:sz w:val="24"/>
          <w:highlight w:val="none"/>
        </w:rPr>
      </w:pPr>
    </w:p>
    <w:p w14:paraId="426B2A7A">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四、授权书</w:t>
      </w:r>
      <w:bookmarkEnd w:id="168"/>
      <w:bookmarkEnd w:id="169"/>
      <w:bookmarkEnd w:id="170"/>
      <w:bookmarkEnd w:id="171"/>
    </w:p>
    <w:p w14:paraId="2449582C">
      <w:pPr>
        <w:spacing w:line="360" w:lineRule="auto"/>
        <w:jc w:val="center"/>
        <w:rPr>
          <w:rFonts w:hint="eastAsia" w:ascii="宋体" w:hAnsi="宋体" w:eastAsia="宋体" w:cs="宋体"/>
          <w:b/>
          <w:color w:val="auto"/>
          <w:sz w:val="24"/>
          <w:highlight w:val="none"/>
        </w:rPr>
      </w:pPr>
    </w:p>
    <w:p w14:paraId="2CC85F43">
      <w:pPr>
        <w:pStyle w:val="13"/>
        <w:snapToGrid w:val="0"/>
        <w:spacing w:line="360" w:lineRule="auto"/>
        <w:ind w:firstLine="480" w:firstLineChars="200"/>
        <w:jc w:val="left"/>
        <w:rPr>
          <w:rFonts w:hint="eastAsia" w:hAnsi="宋体" w:cs="宋体"/>
          <w:color w:val="auto"/>
          <w:sz w:val="24"/>
          <w:szCs w:val="28"/>
          <w:highlight w:val="none"/>
        </w:rPr>
      </w:pPr>
      <w:r>
        <w:rPr>
          <w:rFonts w:hint="eastAsia" w:hAnsi="宋体" w:cs="宋体"/>
          <w:color w:val="auto"/>
          <w:sz w:val="24"/>
          <w:szCs w:val="28"/>
          <w:highlight w:val="none"/>
        </w:rPr>
        <w:t>本授权书声明：</w:t>
      </w:r>
      <w:r>
        <w:rPr>
          <w:rFonts w:hint="eastAsia" w:hAnsi="宋体" w:cs="宋体"/>
          <w:color w:val="auto"/>
          <w:sz w:val="24"/>
          <w:szCs w:val="28"/>
          <w:highlight w:val="none"/>
          <w:u w:val="single"/>
        </w:rPr>
        <w:t xml:space="preserve">           </w:t>
      </w:r>
      <w:r>
        <w:rPr>
          <w:rFonts w:hint="eastAsia" w:hAnsi="宋体" w:cs="宋体"/>
          <w:color w:val="auto"/>
          <w:sz w:val="24"/>
          <w:szCs w:val="28"/>
          <w:highlight w:val="none"/>
        </w:rPr>
        <w:t>（投标人名称）授权</w:t>
      </w:r>
      <w:r>
        <w:rPr>
          <w:rFonts w:hint="eastAsia" w:hAnsi="宋体" w:cs="宋体"/>
          <w:color w:val="auto"/>
          <w:sz w:val="24"/>
          <w:szCs w:val="28"/>
          <w:highlight w:val="none"/>
          <w:u w:val="single"/>
        </w:rPr>
        <w:t xml:space="preserve">       </w:t>
      </w:r>
      <w:r>
        <w:rPr>
          <w:rFonts w:hint="eastAsia" w:hAnsi="宋体" w:cs="宋体"/>
          <w:color w:val="auto"/>
          <w:sz w:val="24"/>
          <w:szCs w:val="28"/>
          <w:highlight w:val="none"/>
        </w:rPr>
        <w:t>（投标人授权代表姓名）代表我方参加本项目</w:t>
      </w:r>
      <w:r>
        <w:rPr>
          <w:rFonts w:hint="eastAsia" w:hAnsi="宋体" w:cs="宋体"/>
          <w:bCs/>
          <w:color w:val="auto"/>
          <w:sz w:val="24"/>
          <w:szCs w:val="28"/>
          <w:highlight w:val="none"/>
        </w:rPr>
        <w:t>招标活动</w:t>
      </w:r>
      <w:r>
        <w:rPr>
          <w:rFonts w:hint="eastAsia" w:hAnsi="宋体" w:cs="宋体"/>
          <w:color w:val="auto"/>
          <w:sz w:val="24"/>
          <w:szCs w:val="28"/>
          <w:highlight w:val="none"/>
        </w:rPr>
        <w:t>，全权代表我方处理磋商过程的一切事宜，包括但不限于：提交响应文件、参与磋商、签约等。投标人授权代表在招标活动过程中所签署的一切文件和处理与之有关的一切事务，本公司均予以认可并对此承担责任。投标人授权代表无转委托权。特此授权。</w:t>
      </w:r>
    </w:p>
    <w:p w14:paraId="1DFB4790">
      <w:pPr>
        <w:pStyle w:val="13"/>
        <w:snapToGrid w:val="0"/>
        <w:spacing w:line="360" w:lineRule="auto"/>
        <w:ind w:firstLine="480" w:firstLineChars="200"/>
        <w:jc w:val="left"/>
        <w:rPr>
          <w:rFonts w:hint="eastAsia" w:hAnsi="宋体" w:cs="宋体"/>
          <w:color w:val="auto"/>
          <w:sz w:val="24"/>
          <w:szCs w:val="28"/>
          <w:highlight w:val="none"/>
        </w:rPr>
      </w:pPr>
      <w:r>
        <w:rPr>
          <w:rFonts w:hint="eastAsia" w:hAnsi="宋体" w:cs="宋体"/>
          <w:color w:val="auto"/>
          <w:sz w:val="24"/>
          <w:szCs w:val="28"/>
          <w:highlight w:val="none"/>
        </w:rPr>
        <w:t>本授权书自出具之日起生效。</w:t>
      </w:r>
    </w:p>
    <w:p w14:paraId="4BF517F5">
      <w:pPr>
        <w:pStyle w:val="13"/>
        <w:snapToGrid w:val="0"/>
        <w:spacing w:line="360" w:lineRule="auto"/>
        <w:ind w:firstLine="480" w:firstLineChars="200"/>
        <w:jc w:val="left"/>
        <w:rPr>
          <w:rFonts w:hint="eastAsia" w:hAnsi="宋体" w:cs="宋体"/>
          <w:color w:val="auto"/>
          <w:sz w:val="24"/>
          <w:highlight w:val="none"/>
        </w:rPr>
      </w:pPr>
      <w:r>
        <w:rPr>
          <w:rFonts w:hint="eastAsia" w:hAnsi="宋体" w:cs="宋体"/>
          <w:color w:val="auto"/>
          <w:sz w:val="24"/>
          <w:szCs w:val="28"/>
          <w:highlight w:val="none"/>
        </w:rPr>
        <w:t>授权代表</w:t>
      </w:r>
      <w:r>
        <w:rPr>
          <w:rFonts w:hint="eastAsia" w:hAnsi="宋体" w:cs="宋体"/>
          <w:color w:val="auto"/>
          <w:sz w:val="24"/>
          <w:highlight w:val="none"/>
        </w:rPr>
        <w:t>身份证明扫描件或影印件：</w:t>
      </w:r>
    </w:p>
    <w:p w14:paraId="14A4F822">
      <w:pPr>
        <w:pStyle w:val="13"/>
        <w:snapToGrid w:val="0"/>
        <w:spacing w:line="360" w:lineRule="auto"/>
        <w:ind w:firstLine="480" w:firstLineChars="200"/>
        <w:jc w:val="left"/>
        <w:rPr>
          <w:rFonts w:hint="eastAsia" w:hAnsi="宋体" w:cs="宋体"/>
          <w:color w:val="auto"/>
          <w:sz w:val="24"/>
          <w:highlight w:val="none"/>
        </w:rPr>
      </w:pPr>
    </w:p>
    <w:p w14:paraId="17CFF9EF">
      <w:pPr>
        <w:pStyle w:val="13"/>
        <w:snapToGrid w:val="0"/>
        <w:spacing w:line="360" w:lineRule="auto"/>
        <w:ind w:firstLine="480" w:firstLineChars="200"/>
        <w:jc w:val="left"/>
        <w:rPr>
          <w:rFonts w:hint="eastAsia" w:hAnsi="宋体" w:cs="宋体"/>
          <w:color w:val="auto"/>
          <w:sz w:val="24"/>
          <w:highlight w:val="none"/>
        </w:rPr>
      </w:pPr>
    </w:p>
    <w:p w14:paraId="20B4078A">
      <w:pPr>
        <w:pStyle w:val="13"/>
        <w:snapToGrid w:val="0"/>
        <w:spacing w:line="360" w:lineRule="auto"/>
        <w:ind w:firstLine="480" w:firstLineChars="200"/>
        <w:jc w:val="left"/>
        <w:rPr>
          <w:rFonts w:hint="eastAsia" w:hAnsi="宋体" w:cs="宋体"/>
          <w:color w:val="auto"/>
          <w:sz w:val="24"/>
          <w:highlight w:val="none"/>
        </w:rPr>
      </w:pPr>
    </w:p>
    <w:p w14:paraId="3591F813">
      <w:pPr>
        <w:pStyle w:val="13"/>
        <w:snapToGrid w:val="0"/>
        <w:spacing w:line="360" w:lineRule="auto"/>
        <w:ind w:firstLine="480" w:firstLineChars="200"/>
        <w:jc w:val="left"/>
        <w:rPr>
          <w:rFonts w:hint="eastAsia" w:hAnsi="宋体" w:cs="宋体"/>
          <w:color w:val="auto"/>
          <w:sz w:val="24"/>
          <w:highlight w:val="none"/>
        </w:rPr>
      </w:pPr>
    </w:p>
    <w:p w14:paraId="3BE6BA8F">
      <w:pPr>
        <w:pStyle w:val="13"/>
        <w:snapToGrid w:val="0"/>
        <w:spacing w:line="360" w:lineRule="auto"/>
        <w:ind w:firstLine="480" w:firstLineChars="200"/>
        <w:jc w:val="left"/>
        <w:rPr>
          <w:rFonts w:hint="eastAsia" w:hAnsi="宋体" w:cs="宋体"/>
          <w:color w:val="auto"/>
          <w:sz w:val="24"/>
          <w:szCs w:val="28"/>
          <w:highlight w:val="none"/>
          <w:u w:val="single"/>
        </w:rPr>
      </w:pPr>
      <w:r>
        <w:rPr>
          <w:rFonts w:hint="eastAsia" w:hAnsi="宋体" w:cs="宋体"/>
          <w:color w:val="auto"/>
          <w:sz w:val="24"/>
          <w:szCs w:val="28"/>
          <w:highlight w:val="none"/>
        </w:rPr>
        <w:t>授权代表联系方式：</w:t>
      </w:r>
      <w:r>
        <w:rPr>
          <w:rFonts w:hint="eastAsia" w:hAnsi="宋体" w:cs="宋体"/>
          <w:color w:val="auto"/>
          <w:sz w:val="24"/>
          <w:szCs w:val="28"/>
          <w:highlight w:val="none"/>
          <w:u w:val="single"/>
        </w:rPr>
        <w:t xml:space="preserve">          （请填写手机号码）</w:t>
      </w:r>
    </w:p>
    <w:p w14:paraId="1D8FC8A2">
      <w:pPr>
        <w:pStyle w:val="13"/>
        <w:snapToGrid w:val="0"/>
        <w:spacing w:line="360" w:lineRule="auto"/>
        <w:ind w:firstLine="480" w:firstLineChars="200"/>
        <w:jc w:val="left"/>
        <w:rPr>
          <w:rFonts w:hint="eastAsia" w:hAnsi="宋体" w:cs="宋体"/>
          <w:color w:val="auto"/>
          <w:sz w:val="24"/>
          <w:szCs w:val="28"/>
          <w:highlight w:val="none"/>
        </w:rPr>
      </w:pPr>
    </w:p>
    <w:p w14:paraId="3010A9AC">
      <w:pPr>
        <w:spacing w:line="360" w:lineRule="auto"/>
        <w:ind w:firstLine="360" w:firstLineChars="1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特此声明。</w:t>
      </w:r>
    </w:p>
    <w:p w14:paraId="0A49F584">
      <w:pPr>
        <w:spacing w:line="360" w:lineRule="auto"/>
        <w:rPr>
          <w:rFonts w:hint="eastAsia" w:ascii="宋体" w:hAnsi="宋体" w:eastAsia="宋体" w:cs="宋体"/>
          <w:color w:val="auto"/>
          <w:sz w:val="24"/>
          <w:szCs w:val="28"/>
          <w:highlight w:val="none"/>
        </w:rPr>
      </w:pPr>
    </w:p>
    <w:p w14:paraId="525C8E1C">
      <w:pPr>
        <w:spacing w:line="360" w:lineRule="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投标人公章：</w:t>
      </w:r>
      <w:r>
        <w:rPr>
          <w:rFonts w:hint="eastAsia" w:ascii="宋体" w:hAnsi="宋体" w:eastAsia="宋体" w:cs="宋体"/>
          <w:bCs/>
          <w:color w:val="auto"/>
          <w:sz w:val="24"/>
          <w:szCs w:val="28"/>
          <w:highlight w:val="none"/>
          <w:u w:val="single"/>
        </w:rPr>
        <w:t xml:space="preserve">                    </w:t>
      </w:r>
    </w:p>
    <w:p w14:paraId="43C4BB1D">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日      期：</w:t>
      </w:r>
      <w:r>
        <w:rPr>
          <w:rFonts w:hint="eastAsia" w:ascii="宋体" w:hAnsi="宋体" w:eastAsia="宋体" w:cs="宋体"/>
          <w:color w:val="auto"/>
          <w:sz w:val="24"/>
          <w:szCs w:val="28"/>
          <w:highlight w:val="none"/>
          <w:u w:val="single"/>
        </w:rPr>
        <w:t xml:space="preserve">                    </w:t>
      </w:r>
    </w:p>
    <w:p w14:paraId="6D4B136F">
      <w:pPr>
        <w:spacing w:line="360" w:lineRule="auto"/>
        <w:rPr>
          <w:rFonts w:hint="eastAsia" w:ascii="宋体" w:hAnsi="宋体" w:eastAsia="宋体" w:cs="宋体"/>
          <w:color w:val="auto"/>
          <w:sz w:val="24"/>
          <w:szCs w:val="28"/>
          <w:highlight w:val="none"/>
        </w:rPr>
      </w:pPr>
    </w:p>
    <w:p w14:paraId="74358999">
      <w:pPr>
        <w:spacing w:line="360" w:lineRule="auto"/>
        <w:rPr>
          <w:rFonts w:hint="eastAsia" w:ascii="宋体" w:hAnsi="宋体" w:eastAsia="宋体" w:cs="宋体"/>
          <w:color w:val="auto"/>
          <w:sz w:val="24"/>
          <w:szCs w:val="28"/>
          <w:highlight w:val="none"/>
        </w:rPr>
      </w:pPr>
    </w:p>
    <w:p w14:paraId="44ECB196">
      <w:pPr>
        <w:pStyle w:val="13"/>
        <w:snapToGrid w:val="0"/>
        <w:spacing w:line="360" w:lineRule="auto"/>
        <w:jc w:val="left"/>
        <w:rPr>
          <w:rFonts w:hint="eastAsia" w:hAnsi="宋体" w:cs="宋体"/>
          <w:color w:val="auto"/>
          <w:sz w:val="24"/>
          <w:szCs w:val="28"/>
          <w:highlight w:val="none"/>
        </w:rPr>
      </w:pPr>
      <w:r>
        <w:rPr>
          <w:rFonts w:hint="eastAsia" w:hAnsi="宋体" w:cs="宋体"/>
          <w:color w:val="auto"/>
          <w:sz w:val="24"/>
          <w:szCs w:val="28"/>
          <w:highlight w:val="none"/>
        </w:rPr>
        <w:t>注：</w:t>
      </w:r>
    </w:p>
    <w:p w14:paraId="47659CD6">
      <w:pPr>
        <w:pStyle w:val="13"/>
        <w:snapToGrid w:val="0"/>
        <w:spacing w:line="360" w:lineRule="auto"/>
        <w:jc w:val="left"/>
        <w:rPr>
          <w:rFonts w:hint="eastAsia" w:hAnsi="宋体" w:cs="宋体"/>
          <w:color w:val="auto"/>
          <w:sz w:val="24"/>
          <w:szCs w:val="28"/>
          <w:highlight w:val="none"/>
        </w:rPr>
      </w:pPr>
      <w:r>
        <w:rPr>
          <w:rFonts w:hint="eastAsia" w:hAnsi="宋体" w:cs="宋体"/>
          <w:color w:val="auto"/>
          <w:sz w:val="24"/>
          <w:szCs w:val="28"/>
          <w:highlight w:val="none"/>
        </w:rPr>
        <w:t>1.本项目只允许有唯一的投标人授权代表，提供身份证明扫描件或影印件；</w:t>
      </w:r>
    </w:p>
    <w:p w14:paraId="203E935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2.法定代表人参加磋商的无需提供授权书，仅提供身份证明扫描件或影印件。</w:t>
      </w:r>
    </w:p>
    <w:p w14:paraId="1BA6282D">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505FFE18">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五、商务响应表</w:t>
      </w:r>
    </w:p>
    <w:p w14:paraId="0DA3BDF5">
      <w:pPr>
        <w:spacing w:line="360" w:lineRule="auto"/>
        <w:ind w:firstLine="435"/>
        <w:rPr>
          <w:rFonts w:hint="eastAsia" w:ascii="宋体" w:hAnsi="宋体" w:eastAsia="宋体" w:cs="宋体"/>
          <w:b/>
          <w:color w:val="auto"/>
          <w:sz w:val="24"/>
          <w:highlight w:val="none"/>
        </w:rPr>
      </w:pP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14:paraId="7AE54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5DBB0E4F">
            <w:pPr>
              <w:pStyle w:val="13"/>
              <w:jc w:val="center"/>
              <w:rPr>
                <w:rFonts w:hint="eastAsia" w:hAnsi="宋体" w:cs="宋体"/>
                <w:b/>
                <w:color w:val="auto"/>
                <w:sz w:val="24"/>
                <w:highlight w:val="none"/>
              </w:rPr>
            </w:pPr>
            <w:r>
              <w:rPr>
                <w:rFonts w:hint="eastAsia" w:hAnsi="宋体" w:cs="宋体"/>
                <w:b/>
                <w:color w:val="auto"/>
                <w:sz w:val="24"/>
                <w:highlight w:val="none"/>
              </w:rPr>
              <w:t>序号</w:t>
            </w:r>
          </w:p>
        </w:tc>
        <w:tc>
          <w:tcPr>
            <w:tcW w:w="1916" w:type="dxa"/>
            <w:vAlign w:val="center"/>
          </w:tcPr>
          <w:p w14:paraId="6C20D047">
            <w:pPr>
              <w:pStyle w:val="13"/>
              <w:jc w:val="center"/>
              <w:rPr>
                <w:rFonts w:hint="eastAsia" w:hAnsi="宋体" w:cs="宋体"/>
                <w:b/>
                <w:color w:val="auto"/>
                <w:sz w:val="24"/>
                <w:highlight w:val="none"/>
              </w:rPr>
            </w:pPr>
            <w:r>
              <w:rPr>
                <w:rFonts w:hint="eastAsia" w:hAnsi="宋体" w:cs="宋体"/>
                <w:b/>
                <w:bCs/>
                <w:color w:val="auto"/>
                <w:sz w:val="24"/>
                <w:szCs w:val="24"/>
                <w:highlight w:val="none"/>
              </w:rPr>
              <w:t>商务条款</w:t>
            </w:r>
          </w:p>
        </w:tc>
        <w:tc>
          <w:tcPr>
            <w:tcW w:w="2497" w:type="dxa"/>
            <w:vAlign w:val="center"/>
          </w:tcPr>
          <w:p w14:paraId="41E31CFE">
            <w:pPr>
              <w:pStyle w:val="13"/>
              <w:jc w:val="center"/>
              <w:rPr>
                <w:rFonts w:hint="eastAsia" w:hAnsi="宋体" w:cs="宋体"/>
                <w:b/>
                <w:color w:val="auto"/>
                <w:sz w:val="24"/>
                <w:highlight w:val="none"/>
              </w:rPr>
            </w:pPr>
            <w:r>
              <w:rPr>
                <w:rFonts w:hint="eastAsia" w:hAnsi="宋体" w:cs="宋体"/>
                <w:b/>
                <w:color w:val="auto"/>
                <w:sz w:val="24"/>
                <w:highlight w:val="none"/>
              </w:rPr>
              <w:t>磋商文件要求</w:t>
            </w:r>
          </w:p>
        </w:tc>
        <w:tc>
          <w:tcPr>
            <w:tcW w:w="2575" w:type="dxa"/>
            <w:vAlign w:val="center"/>
          </w:tcPr>
          <w:p w14:paraId="40DC1703">
            <w:pPr>
              <w:pStyle w:val="13"/>
              <w:jc w:val="center"/>
              <w:rPr>
                <w:rFonts w:hint="eastAsia" w:hAnsi="宋体" w:cs="宋体"/>
                <w:b/>
                <w:color w:val="auto"/>
                <w:sz w:val="24"/>
                <w:highlight w:val="none"/>
              </w:rPr>
            </w:pPr>
            <w:r>
              <w:rPr>
                <w:rFonts w:hint="eastAsia" w:hAnsi="宋体" w:cs="宋体"/>
                <w:b/>
                <w:color w:val="auto"/>
                <w:sz w:val="24"/>
                <w:highlight w:val="none"/>
              </w:rPr>
              <w:t>投标人承诺</w:t>
            </w:r>
          </w:p>
        </w:tc>
        <w:tc>
          <w:tcPr>
            <w:tcW w:w="810" w:type="dxa"/>
            <w:vAlign w:val="center"/>
          </w:tcPr>
          <w:p w14:paraId="566BA6A7">
            <w:pPr>
              <w:pStyle w:val="13"/>
              <w:jc w:val="center"/>
              <w:rPr>
                <w:rFonts w:hint="eastAsia" w:hAnsi="宋体" w:cs="宋体"/>
                <w:b/>
                <w:color w:val="auto"/>
                <w:sz w:val="24"/>
                <w:highlight w:val="none"/>
              </w:rPr>
            </w:pPr>
            <w:r>
              <w:rPr>
                <w:rFonts w:hint="eastAsia" w:hAnsi="宋体" w:cs="宋体"/>
                <w:b/>
                <w:color w:val="auto"/>
                <w:sz w:val="24"/>
                <w:highlight w:val="none"/>
              </w:rPr>
              <w:t>偏离说明</w:t>
            </w:r>
          </w:p>
        </w:tc>
      </w:tr>
      <w:tr w14:paraId="1F19B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493B149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916" w:type="dxa"/>
            <w:vAlign w:val="center"/>
          </w:tcPr>
          <w:p w14:paraId="7A921FC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w:t>
            </w:r>
          </w:p>
        </w:tc>
        <w:tc>
          <w:tcPr>
            <w:tcW w:w="2497" w:type="dxa"/>
            <w:vAlign w:val="center"/>
          </w:tcPr>
          <w:p w14:paraId="52DADCBB">
            <w:pPr>
              <w:jc w:val="center"/>
              <w:rPr>
                <w:rFonts w:hint="eastAsia" w:ascii="宋体" w:hAnsi="宋体" w:eastAsia="宋体" w:cs="宋体"/>
                <w:color w:val="auto"/>
                <w:sz w:val="24"/>
                <w:highlight w:val="none"/>
              </w:rPr>
            </w:pPr>
          </w:p>
        </w:tc>
        <w:tc>
          <w:tcPr>
            <w:tcW w:w="2575" w:type="dxa"/>
            <w:vAlign w:val="center"/>
          </w:tcPr>
          <w:p w14:paraId="3152C315">
            <w:pPr>
              <w:jc w:val="center"/>
              <w:rPr>
                <w:rFonts w:hint="eastAsia" w:ascii="宋体" w:hAnsi="宋体" w:eastAsia="宋体" w:cs="宋体"/>
                <w:color w:val="auto"/>
                <w:sz w:val="24"/>
                <w:highlight w:val="none"/>
              </w:rPr>
            </w:pPr>
          </w:p>
        </w:tc>
        <w:tc>
          <w:tcPr>
            <w:tcW w:w="810" w:type="dxa"/>
            <w:vAlign w:val="center"/>
          </w:tcPr>
          <w:p w14:paraId="4F12CB9A">
            <w:pPr>
              <w:jc w:val="center"/>
              <w:rPr>
                <w:rFonts w:hint="eastAsia" w:ascii="宋体" w:hAnsi="宋体" w:eastAsia="宋体" w:cs="宋体"/>
                <w:color w:val="auto"/>
                <w:sz w:val="24"/>
                <w:highlight w:val="none"/>
              </w:rPr>
            </w:pPr>
          </w:p>
        </w:tc>
      </w:tr>
      <w:tr w14:paraId="16C9D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399B8EF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916" w:type="dxa"/>
            <w:vAlign w:val="center"/>
          </w:tcPr>
          <w:p w14:paraId="1FC7BE8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服务地点</w:t>
            </w:r>
          </w:p>
        </w:tc>
        <w:tc>
          <w:tcPr>
            <w:tcW w:w="2497" w:type="dxa"/>
            <w:vAlign w:val="center"/>
          </w:tcPr>
          <w:p w14:paraId="4CE5B229">
            <w:pPr>
              <w:jc w:val="center"/>
              <w:rPr>
                <w:rFonts w:hint="eastAsia" w:ascii="宋体" w:hAnsi="宋体" w:eastAsia="宋体" w:cs="宋体"/>
                <w:color w:val="auto"/>
                <w:sz w:val="24"/>
                <w:highlight w:val="none"/>
              </w:rPr>
            </w:pPr>
          </w:p>
        </w:tc>
        <w:tc>
          <w:tcPr>
            <w:tcW w:w="2575" w:type="dxa"/>
            <w:vAlign w:val="center"/>
          </w:tcPr>
          <w:p w14:paraId="22F0BCAB">
            <w:pPr>
              <w:jc w:val="center"/>
              <w:rPr>
                <w:rFonts w:hint="eastAsia" w:ascii="宋体" w:hAnsi="宋体" w:eastAsia="宋体" w:cs="宋体"/>
                <w:color w:val="auto"/>
                <w:sz w:val="24"/>
                <w:highlight w:val="none"/>
              </w:rPr>
            </w:pPr>
          </w:p>
        </w:tc>
        <w:tc>
          <w:tcPr>
            <w:tcW w:w="810" w:type="dxa"/>
            <w:vAlign w:val="center"/>
          </w:tcPr>
          <w:p w14:paraId="0882A392">
            <w:pPr>
              <w:jc w:val="center"/>
              <w:rPr>
                <w:rFonts w:hint="eastAsia" w:ascii="宋体" w:hAnsi="宋体" w:eastAsia="宋体" w:cs="宋体"/>
                <w:color w:val="auto"/>
                <w:sz w:val="24"/>
                <w:highlight w:val="none"/>
              </w:rPr>
            </w:pPr>
          </w:p>
        </w:tc>
      </w:tr>
      <w:tr w14:paraId="33A6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8F2BD3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916" w:type="dxa"/>
            <w:vAlign w:val="center"/>
          </w:tcPr>
          <w:p w14:paraId="73517C5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服务期限</w:t>
            </w:r>
          </w:p>
        </w:tc>
        <w:tc>
          <w:tcPr>
            <w:tcW w:w="2497" w:type="dxa"/>
            <w:vAlign w:val="center"/>
          </w:tcPr>
          <w:p w14:paraId="181BC02B">
            <w:pPr>
              <w:jc w:val="center"/>
              <w:rPr>
                <w:rFonts w:hint="eastAsia" w:ascii="宋体" w:hAnsi="宋体" w:eastAsia="宋体" w:cs="宋体"/>
                <w:color w:val="auto"/>
                <w:sz w:val="24"/>
                <w:highlight w:val="none"/>
              </w:rPr>
            </w:pPr>
          </w:p>
        </w:tc>
        <w:tc>
          <w:tcPr>
            <w:tcW w:w="2575" w:type="dxa"/>
            <w:vAlign w:val="center"/>
          </w:tcPr>
          <w:p w14:paraId="7BA7EBB0">
            <w:pPr>
              <w:pStyle w:val="32"/>
              <w:jc w:val="center"/>
              <w:rPr>
                <w:rFonts w:hint="eastAsia" w:ascii="宋体" w:hAnsi="宋体" w:cs="宋体"/>
                <w:color w:val="auto"/>
                <w:highlight w:val="none"/>
              </w:rPr>
            </w:pPr>
          </w:p>
        </w:tc>
        <w:tc>
          <w:tcPr>
            <w:tcW w:w="810" w:type="dxa"/>
            <w:vAlign w:val="center"/>
          </w:tcPr>
          <w:p w14:paraId="7409B65F">
            <w:pPr>
              <w:jc w:val="center"/>
              <w:rPr>
                <w:rFonts w:hint="eastAsia" w:ascii="宋体" w:hAnsi="宋体" w:eastAsia="宋体" w:cs="宋体"/>
                <w:color w:val="auto"/>
                <w:sz w:val="24"/>
                <w:highlight w:val="none"/>
              </w:rPr>
            </w:pPr>
          </w:p>
        </w:tc>
      </w:tr>
      <w:tr w14:paraId="271EB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0D4C8EC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916" w:type="dxa"/>
            <w:vAlign w:val="center"/>
          </w:tcPr>
          <w:p w14:paraId="4D0D233B">
            <w:pPr>
              <w:jc w:val="center"/>
              <w:rPr>
                <w:rFonts w:hint="eastAsia" w:ascii="宋体" w:hAnsi="宋体" w:eastAsia="宋体" w:cs="宋体"/>
                <w:color w:val="auto"/>
                <w:sz w:val="24"/>
                <w:highlight w:val="none"/>
              </w:rPr>
            </w:pPr>
          </w:p>
        </w:tc>
        <w:tc>
          <w:tcPr>
            <w:tcW w:w="2497" w:type="dxa"/>
            <w:vAlign w:val="center"/>
          </w:tcPr>
          <w:p w14:paraId="0C0D7337">
            <w:pPr>
              <w:jc w:val="center"/>
              <w:rPr>
                <w:rFonts w:hint="eastAsia" w:ascii="宋体" w:hAnsi="宋体" w:eastAsia="宋体" w:cs="宋体"/>
                <w:color w:val="auto"/>
                <w:sz w:val="24"/>
                <w:highlight w:val="none"/>
              </w:rPr>
            </w:pPr>
          </w:p>
        </w:tc>
        <w:tc>
          <w:tcPr>
            <w:tcW w:w="2575" w:type="dxa"/>
            <w:vAlign w:val="center"/>
          </w:tcPr>
          <w:p w14:paraId="7B09C437">
            <w:pPr>
              <w:jc w:val="center"/>
              <w:rPr>
                <w:rFonts w:hint="eastAsia" w:ascii="宋体" w:hAnsi="宋体" w:eastAsia="宋体" w:cs="宋体"/>
                <w:color w:val="auto"/>
                <w:sz w:val="24"/>
                <w:highlight w:val="none"/>
              </w:rPr>
            </w:pPr>
          </w:p>
        </w:tc>
        <w:tc>
          <w:tcPr>
            <w:tcW w:w="810" w:type="dxa"/>
            <w:vAlign w:val="center"/>
          </w:tcPr>
          <w:p w14:paraId="40B97DDF">
            <w:pPr>
              <w:jc w:val="center"/>
              <w:rPr>
                <w:rFonts w:hint="eastAsia" w:ascii="宋体" w:hAnsi="宋体" w:eastAsia="宋体" w:cs="宋体"/>
                <w:color w:val="auto"/>
                <w:sz w:val="24"/>
                <w:highlight w:val="none"/>
              </w:rPr>
            </w:pPr>
          </w:p>
        </w:tc>
      </w:tr>
    </w:tbl>
    <w:p w14:paraId="5FB84D97">
      <w:pPr>
        <w:pStyle w:val="14"/>
        <w:spacing w:line="360" w:lineRule="auto"/>
        <w:rPr>
          <w:rFonts w:hint="eastAsia" w:ascii="宋体" w:hAnsi="宋体" w:cs="宋体"/>
          <w:color w:val="auto"/>
          <w:sz w:val="24"/>
          <w:highlight w:val="none"/>
        </w:rPr>
      </w:pPr>
      <w:r>
        <w:rPr>
          <w:rFonts w:hint="eastAsia" w:ascii="宋体" w:hAnsi="宋体" w:cs="宋体"/>
          <w:color w:val="auto"/>
          <w:sz w:val="24"/>
          <w:highlight w:val="none"/>
        </w:rPr>
        <w:br w:type="page"/>
      </w:r>
    </w:p>
    <w:p w14:paraId="3C85780A">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六、人员配备</w:t>
      </w:r>
    </w:p>
    <w:p w14:paraId="675AFDD5">
      <w:pPr>
        <w:spacing w:line="360" w:lineRule="auto"/>
        <w:jc w:val="center"/>
        <w:rPr>
          <w:rFonts w:hint="eastAsia" w:ascii="宋体" w:hAnsi="宋体" w:eastAsia="宋体" w:cs="宋体"/>
          <w:i/>
          <w:color w:val="auto"/>
          <w:sz w:val="24"/>
          <w:highlight w:val="none"/>
        </w:rPr>
      </w:pPr>
      <w:r>
        <w:rPr>
          <w:rFonts w:hint="eastAsia" w:ascii="宋体" w:hAnsi="宋体" w:eastAsia="宋体" w:cs="宋体"/>
          <w:i/>
          <w:color w:val="auto"/>
          <w:sz w:val="24"/>
          <w:highlight w:val="none"/>
        </w:rPr>
        <w:t>(投标人可自行制作格式)</w:t>
      </w:r>
    </w:p>
    <w:p w14:paraId="28C8CB4B">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3A2BB9D6">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七、服务方案</w:t>
      </w:r>
    </w:p>
    <w:p w14:paraId="3A852C6C">
      <w:pPr>
        <w:spacing w:line="360" w:lineRule="auto"/>
        <w:jc w:val="center"/>
        <w:rPr>
          <w:rFonts w:hint="eastAsia" w:ascii="宋体" w:hAnsi="宋体" w:eastAsia="宋体" w:cs="宋体"/>
          <w:i/>
          <w:color w:val="auto"/>
          <w:sz w:val="24"/>
          <w:highlight w:val="none"/>
        </w:rPr>
      </w:pPr>
      <w:r>
        <w:rPr>
          <w:rFonts w:hint="eastAsia" w:ascii="宋体" w:hAnsi="宋体" w:eastAsia="宋体" w:cs="宋体"/>
          <w:i/>
          <w:color w:val="auto"/>
          <w:sz w:val="24"/>
          <w:highlight w:val="none"/>
        </w:rPr>
        <w:t>(投标人可自行制作格式)</w:t>
      </w:r>
    </w:p>
    <w:p w14:paraId="2205F15F">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color w:val="auto"/>
          <w:sz w:val="24"/>
          <w:highlight w:val="none"/>
        </w:rPr>
        <w:br w:type="page"/>
      </w:r>
    </w:p>
    <w:p w14:paraId="59097D96">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八、服务承诺</w:t>
      </w:r>
    </w:p>
    <w:p w14:paraId="5C23C68C">
      <w:pPr>
        <w:spacing w:line="360" w:lineRule="auto"/>
        <w:jc w:val="center"/>
        <w:rPr>
          <w:rFonts w:hint="eastAsia" w:ascii="宋体" w:hAnsi="宋体" w:eastAsia="宋体" w:cs="宋体"/>
          <w:i/>
          <w:color w:val="auto"/>
          <w:sz w:val="24"/>
          <w:highlight w:val="none"/>
        </w:rPr>
      </w:pPr>
      <w:r>
        <w:rPr>
          <w:rFonts w:hint="eastAsia" w:ascii="宋体" w:hAnsi="宋体" w:eastAsia="宋体" w:cs="宋体"/>
          <w:i/>
          <w:color w:val="auto"/>
          <w:sz w:val="24"/>
          <w:highlight w:val="none"/>
        </w:rPr>
        <w:t>(投标人可自行制作格式)</w:t>
      </w:r>
    </w:p>
    <w:p w14:paraId="6384C7A4">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77EBD629">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九、磋商业绩承诺函</w:t>
      </w:r>
    </w:p>
    <w:p w14:paraId="2D83DF34">
      <w:pPr>
        <w:spacing w:line="360" w:lineRule="auto"/>
        <w:ind w:firstLine="435"/>
        <w:rPr>
          <w:rFonts w:hint="eastAsia" w:ascii="宋体" w:hAnsi="宋体" w:eastAsia="宋体" w:cs="宋体"/>
          <w:color w:val="auto"/>
          <w:sz w:val="24"/>
          <w:highlight w:val="none"/>
        </w:rPr>
      </w:pPr>
    </w:p>
    <w:p w14:paraId="37168E8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我单位同意中标候选人公示中公示以下业绩并承诺：响应文件中所提供的业绩均真实有效，若被发现存在任何虚假、隐瞒情况，我单位承担由此产生的一切后果。</w:t>
      </w:r>
    </w:p>
    <w:p w14:paraId="7767AE0E">
      <w:pPr>
        <w:spacing w:line="360" w:lineRule="auto"/>
        <w:ind w:firstLine="435"/>
        <w:rPr>
          <w:rFonts w:hint="eastAsia" w:ascii="宋体" w:hAnsi="宋体" w:eastAsia="宋体" w:cs="宋体"/>
          <w:color w:val="auto"/>
          <w:sz w:val="24"/>
          <w:highlight w:val="none"/>
        </w:rPr>
      </w:pPr>
    </w:p>
    <w:p w14:paraId="5F8D526F">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投标人公章：</w:t>
      </w:r>
      <w:r>
        <w:rPr>
          <w:rFonts w:hint="eastAsia" w:ascii="宋体" w:hAnsi="宋体" w:eastAsia="宋体" w:cs="宋体"/>
          <w:color w:val="auto"/>
          <w:sz w:val="24"/>
          <w:highlight w:val="none"/>
          <w:u w:val="single"/>
        </w:rPr>
        <w:t xml:space="preserve">              </w:t>
      </w:r>
    </w:p>
    <w:p w14:paraId="4BA05633">
      <w:pPr>
        <w:tabs>
          <w:tab w:val="left" w:pos="630"/>
        </w:tabs>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6117AF41">
      <w:pPr>
        <w:tabs>
          <w:tab w:val="left" w:pos="630"/>
        </w:tabs>
        <w:spacing w:line="360" w:lineRule="auto"/>
        <w:ind w:firstLine="3700" w:firstLineChars="1762"/>
        <w:rPr>
          <w:rFonts w:hint="eastAsia" w:ascii="宋体" w:hAnsi="宋体" w:eastAsia="宋体" w:cs="宋体"/>
          <w:color w:val="auto"/>
          <w:highlight w:val="none"/>
        </w:rPr>
      </w:pP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4106"/>
        <w:gridCol w:w="2528"/>
        <w:gridCol w:w="948"/>
      </w:tblGrid>
      <w:tr w14:paraId="16A6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0" w:type="dxa"/>
            <w:vAlign w:val="center"/>
          </w:tcPr>
          <w:p w14:paraId="64AB2A7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106" w:type="dxa"/>
            <w:vAlign w:val="center"/>
          </w:tcPr>
          <w:p w14:paraId="158875D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2528" w:type="dxa"/>
            <w:vAlign w:val="center"/>
          </w:tcPr>
          <w:p w14:paraId="2F1C85F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服务范围</w:t>
            </w:r>
          </w:p>
        </w:tc>
        <w:tc>
          <w:tcPr>
            <w:tcW w:w="948" w:type="dxa"/>
            <w:vAlign w:val="center"/>
          </w:tcPr>
          <w:p w14:paraId="744BAFD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7B83C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11D7727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106" w:type="dxa"/>
            <w:vAlign w:val="center"/>
          </w:tcPr>
          <w:p w14:paraId="114F4D73">
            <w:pPr>
              <w:spacing w:line="360" w:lineRule="auto"/>
              <w:rPr>
                <w:rFonts w:hint="eastAsia" w:ascii="宋体" w:hAnsi="宋体" w:eastAsia="宋体" w:cs="宋体"/>
                <w:color w:val="auto"/>
                <w:sz w:val="24"/>
                <w:szCs w:val="24"/>
                <w:highlight w:val="none"/>
              </w:rPr>
            </w:pPr>
          </w:p>
        </w:tc>
        <w:tc>
          <w:tcPr>
            <w:tcW w:w="2528" w:type="dxa"/>
            <w:vAlign w:val="center"/>
          </w:tcPr>
          <w:p w14:paraId="2A5ADED0">
            <w:pPr>
              <w:spacing w:line="360" w:lineRule="auto"/>
              <w:rPr>
                <w:rFonts w:hint="eastAsia" w:ascii="宋体" w:hAnsi="宋体" w:eastAsia="宋体" w:cs="宋体"/>
                <w:color w:val="auto"/>
                <w:sz w:val="24"/>
                <w:szCs w:val="24"/>
                <w:highlight w:val="none"/>
              </w:rPr>
            </w:pPr>
          </w:p>
        </w:tc>
        <w:tc>
          <w:tcPr>
            <w:tcW w:w="948" w:type="dxa"/>
            <w:vAlign w:val="center"/>
          </w:tcPr>
          <w:p w14:paraId="7B22A794">
            <w:pPr>
              <w:spacing w:line="360" w:lineRule="auto"/>
              <w:rPr>
                <w:rFonts w:hint="eastAsia" w:ascii="宋体" w:hAnsi="宋体" w:eastAsia="宋体" w:cs="宋体"/>
                <w:color w:val="auto"/>
                <w:sz w:val="24"/>
                <w:szCs w:val="24"/>
                <w:highlight w:val="none"/>
              </w:rPr>
            </w:pPr>
          </w:p>
        </w:tc>
      </w:tr>
      <w:tr w14:paraId="02C7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096A136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106" w:type="dxa"/>
            <w:vAlign w:val="center"/>
          </w:tcPr>
          <w:p w14:paraId="4576F237">
            <w:pPr>
              <w:spacing w:line="360" w:lineRule="auto"/>
              <w:rPr>
                <w:rFonts w:hint="eastAsia" w:ascii="宋体" w:hAnsi="宋体" w:eastAsia="宋体" w:cs="宋体"/>
                <w:color w:val="auto"/>
                <w:sz w:val="24"/>
                <w:szCs w:val="24"/>
                <w:highlight w:val="none"/>
              </w:rPr>
            </w:pPr>
          </w:p>
        </w:tc>
        <w:tc>
          <w:tcPr>
            <w:tcW w:w="2528" w:type="dxa"/>
            <w:vAlign w:val="center"/>
          </w:tcPr>
          <w:p w14:paraId="7F3710BA">
            <w:pPr>
              <w:spacing w:line="360" w:lineRule="auto"/>
              <w:rPr>
                <w:rFonts w:hint="eastAsia" w:ascii="宋体" w:hAnsi="宋体" w:eastAsia="宋体" w:cs="宋体"/>
                <w:color w:val="auto"/>
                <w:sz w:val="24"/>
                <w:szCs w:val="24"/>
                <w:highlight w:val="none"/>
              </w:rPr>
            </w:pPr>
          </w:p>
        </w:tc>
        <w:tc>
          <w:tcPr>
            <w:tcW w:w="948" w:type="dxa"/>
            <w:vAlign w:val="center"/>
          </w:tcPr>
          <w:p w14:paraId="7E89AD39">
            <w:pPr>
              <w:spacing w:line="360" w:lineRule="auto"/>
              <w:rPr>
                <w:rFonts w:hint="eastAsia" w:ascii="宋体" w:hAnsi="宋体" w:eastAsia="宋体" w:cs="宋体"/>
                <w:color w:val="auto"/>
                <w:sz w:val="24"/>
                <w:szCs w:val="24"/>
                <w:highlight w:val="none"/>
              </w:rPr>
            </w:pPr>
          </w:p>
        </w:tc>
      </w:tr>
      <w:tr w14:paraId="34AA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34178D0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106" w:type="dxa"/>
            <w:vAlign w:val="center"/>
          </w:tcPr>
          <w:p w14:paraId="0688FD57">
            <w:pPr>
              <w:spacing w:line="360" w:lineRule="auto"/>
              <w:rPr>
                <w:rFonts w:hint="eastAsia" w:ascii="宋体" w:hAnsi="宋体" w:eastAsia="宋体" w:cs="宋体"/>
                <w:color w:val="auto"/>
                <w:sz w:val="24"/>
                <w:szCs w:val="24"/>
                <w:highlight w:val="none"/>
              </w:rPr>
            </w:pPr>
          </w:p>
        </w:tc>
        <w:tc>
          <w:tcPr>
            <w:tcW w:w="2528" w:type="dxa"/>
            <w:vAlign w:val="center"/>
          </w:tcPr>
          <w:p w14:paraId="506BAFE5">
            <w:pPr>
              <w:spacing w:line="360" w:lineRule="auto"/>
              <w:rPr>
                <w:rFonts w:hint="eastAsia" w:ascii="宋体" w:hAnsi="宋体" w:eastAsia="宋体" w:cs="宋体"/>
                <w:color w:val="auto"/>
                <w:sz w:val="24"/>
                <w:szCs w:val="24"/>
                <w:highlight w:val="none"/>
              </w:rPr>
            </w:pPr>
          </w:p>
        </w:tc>
        <w:tc>
          <w:tcPr>
            <w:tcW w:w="948" w:type="dxa"/>
            <w:vAlign w:val="center"/>
          </w:tcPr>
          <w:p w14:paraId="4E47D45C">
            <w:pPr>
              <w:spacing w:line="360" w:lineRule="auto"/>
              <w:rPr>
                <w:rFonts w:hint="eastAsia" w:ascii="宋体" w:hAnsi="宋体" w:eastAsia="宋体" w:cs="宋体"/>
                <w:color w:val="auto"/>
                <w:sz w:val="24"/>
                <w:szCs w:val="24"/>
                <w:highlight w:val="none"/>
              </w:rPr>
            </w:pPr>
          </w:p>
        </w:tc>
      </w:tr>
      <w:tr w14:paraId="7B8AC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1163EC9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106" w:type="dxa"/>
            <w:vAlign w:val="center"/>
          </w:tcPr>
          <w:p w14:paraId="41778E2E">
            <w:pPr>
              <w:spacing w:line="360" w:lineRule="auto"/>
              <w:rPr>
                <w:rFonts w:hint="eastAsia" w:ascii="宋体" w:hAnsi="宋体" w:eastAsia="宋体" w:cs="宋体"/>
                <w:color w:val="auto"/>
                <w:sz w:val="24"/>
                <w:szCs w:val="24"/>
                <w:highlight w:val="none"/>
              </w:rPr>
            </w:pPr>
          </w:p>
        </w:tc>
        <w:tc>
          <w:tcPr>
            <w:tcW w:w="2528" w:type="dxa"/>
            <w:vAlign w:val="center"/>
          </w:tcPr>
          <w:p w14:paraId="22965F31">
            <w:pPr>
              <w:spacing w:line="360" w:lineRule="auto"/>
              <w:rPr>
                <w:rFonts w:hint="eastAsia" w:ascii="宋体" w:hAnsi="宋体" w:eastAsia="宋体" w:cs="宋体"/>
                <w:color w:val="auto"/>
                <w:sz w:val="24"/>
                <w:szCs w:val="24"/>
                <w:highlight w:val="none"/>
              </w:rPr>
            </w:pPr>
          </w:p>
        </w:tc>
        <w:tc>
          <w:tcPr>
            <w:tcW w:w="948" w:type="dxa"/>
            <w:vAlign w:val="center"/>
          </w:tcPr>
          <w:p w14:paraId="7DCEA487">
            <w:pPr>
              <w:spacing w:line="360" w:lineRule="auto"/>
              <w:rPr>
                <w:rFonts w:hint="eastAsia" w:ascii="宋体" w:hAnsi="宋体" w:eastAsia="宋体" w:cs="宋体"/>
                <w:color w:val="auto"/>
                <w:sz w:val="24"/>
                <w:szCs w:val="24"/>
                <w:highlight w:val="none"/>
              </w:rPr>
            </w:pPr>
          </w:p>
        </w:tc>
      </w:tr>
      <w:tr w14:paraId="1C7B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15B6873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106" w:type="dxa"/>
            <w:vAlign w:val="center"/>
          </w:tcPr>
          <w:p w14:paraId="166E6728">
            <w:pPr>
              <w:spacing w:line="360" w:lineRule="auto"/>
              <w:rPr>
                <w:rFonts w:hint="eastAsia" w:ascii="宋体" w:hAnsi="宋体" w:eastAsia="宋体" w:cs="宋体"/>
                <w:color w:val="auto"/>
                <w:sz w:val="24"/>
                <w:szCs w:val="24"/>
                <w:highlight w:val="none"/>
              </w:rPr>
            </w:pPr>
          </w:p>
        </w:tc>
        <w:tc>
          <w:tcPr>
            <w:tcW w:w="2528" w:type="dxa"/>
            <w:vAlign w:val="center"/>
          </w:tcPr>
          <w:p w14:paraId="24782E05">
            <w:pPr>
              <w:spacing w:line="360" w:lineRule="auto"/>
              <w:rPr>
                <w:rFonts w:hint="eastAsia" w:ascii="宋体" w:hAnsi="宋体" w:eastAsia="宋体" w:cs="宋体"/>
                <w:color w:val="auto"/>
                <w:sz w:val="24"/>
                <w:szCs w:val="24"/>
                <w:highlight w:val="none"/>
              </w:rPr>
            </w:pPr>
          </w:p>
        </w:tc>
        <w:tc>
          <w:tcPr>
            <w:tcW w:w="948" w:type="dxa"/>
            <w:vAlign w:val="center"/>
          </w:tcPr>
          <w:p w14:paraId="318A2A0B">
            <w:pPr>
              <w:spacing w:line="360" w:lineRule="auto"/>
              <w:rPr>
                <w:rFonts w:hint="eastAsia" w:ascii="宋体" w:hAnsi="宋体" w:eastAsia="宋体" w:cs="宋体"/>
                <w:color w:val="auto"/>
                <w:sz w:val="24"/>
                <w:szCs w:val="24"/>
                <w:highlight w:val="none"/>
              </w:rPr>
            </w:pPr>
          </w:p>
        </w:tc>
      </w:tr>
      <w:tr w14:paraId="4AA7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50807AA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4106" w:type="dxa"/>
            <w:vAlign w:val="center"/>
          </w:tcPr>
          <w:p w14:paraId="6BEEC417">
            <w:pPr>
              <w:spacing w:line="360" w:lineRule="auto"/>
              <w:rPr>
                <w:rFonts w:hint="eastAsia" w:ascii="宋体" w:hAnsi="宋体" w:eastAsia="宋体" w:cs="宋体"/>
                <w:color w:val="auto"/>
                <w:sz w:val="24"/>
                <w:szCs w:val="24"/>
                <w:highlight w:val="none"/>
              </w:rPr>
            </w:pPr>
          </w:p>
        </w:tc>
        <w:tc>
          <w:tcPr>
            <w:tcW w:w="2528" w:type="dxa"/>
            <w:vAlign w:val="center"/>
          </w:tcPr>
          <w:p w14:paraId="41E59B9E">
            <w:pPr>
              <w:spacing w:line="360" w:lineRule="auto"/>
              <w:rPr>
                <w:rFonts w:hint="eastAsia" w:ascii="宋体" w:hAnsi="宋体" w:eastAsia="宋体" w:cs="宋体"/>
                <w:color w:val="auto"/>
                <w:sz w:val="24"/>
                <w:szCs w:val="24"/>
                <w:highlight w:val="none"/>
              </w:rPr>
            </w:pPr>
          </w:p>
        </w:tc>
        <w:tc>
          <w:tcPr>
            <w:tcW w:w="948" w:type="dxa"/>
            <w:vAlign w:val="center"/>
          </w:tcPr>
          <w:p w14:paraId="208FE094">
            <w:pPr>
              <w:spacing w:line="360" w:lineRule="auto"/>
              <w:rPr>
                <w:rFonts w:hint="eastAsia" w:ascii="宋体" w:hAnsi="宋体" w:eastAsia="宋体" w:cs="宋体"/>
                <w:color w:val="auto"/>
                <w:sz w:val="24"/>
                <w:szCs w:val="24"/>
                <w:highlight w:val="none"/>
              </w:rPr>
            </w:pPr>
          </w:p>
        </w:tc>
      </w:tr>
    </w:tbl>
    <w:p w14:paraId="1266E0AF">
      <w:pPr>
        <w:adjustRightInd w:val="0"/>
        <w:snapToGrid w:val="0"/>
        <w:spacing w:line="360" w:lineRule="auto"/>
        <w:rPr>
          <w:rFonts w:hint="eastAsia" w:ascii="宋体" w:hAnsi="宋体" w:eastAsia="宋体" w:cs="宋体"/>
          <w:b/>
          <w:bCs/>
          <w:color w:val="auto"/>
          <w:sz w:val="24"/>
          <w:szCs w:val="28"/>
          <w:highlight w:val="none"/>
        </w:rPr>
      </w:pPr>
    </w:p>
    <w:p w14:paraId="0FC64EC7">
      <w:pPr>
        <w:adjustRightInd w:val="0"/>
        <w:snapToGrid w:val="0"/>
        <w:spacing w:line="360" w:lineRule="auto"/>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备注：</w:t>
      </w:r>
    </w:p>
    <w:p w14:paraId="45C8DA6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1.表中所列业绩应为投标人满足磋商文件要求的业绩；</w:t>
      </w:r>
    </w:p>
    <w:p w14:paraId="4570289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2.中标候选人提供的以上业绩情况，如磋商文件《投标人须知前附表》有约定的，将按约定随中标候选人公示同时公告。</w:t>
      </w:r>
    </w:p>
    <w:p w14:paraId="70863D12">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8E1CE67">
      <w:pPr>
        <w:spacing w:line="360" w:lineRule="auto"/>
        <w:ind w:right="480" w:firstLine="4680" w:firstLineChars="1950"/>
        <w:rPr>
          <w:rFonts w:hint="eastAsia" w:ascii="宋体" w:hAnsi="宋体" w:eastAsia="宋体" w:cs="宋体"/>
          <w:color w:val="auto"/>
          <w:sz w:val="24"/>
          <w:highlight w:val="none"/>
        </w:rPr>
      </w:pPr>
    </w:p>
    <w:p w14:paraId="39B830CA">
      <w:pPr>
        <w:spacing w:line="360" w:lineRule="auto"/>
        <w:ind w:right="480" w:firstLine="5460" w:firstLineChars="1950"/>
        <w:rPr>
          <w:rFonts w:hint="eastAsia" w:ascii="宋体" w:hAnsi="宋体" w:eastAsia="宋体" w:cs="宋体"/>
          <w:color w:val="auto"/>
          <w:sz w:val="28"/>
          <w:highlight w:val="none"/>
        </w:rPr>
      </w:pPr>
    </w:p>
    <w:p w14:paraId="4CBDA341">
      <w:pPr>
        <w:widowControl/>
        <w:jc w:val="left"/>
        <w:rPr>
          <w:rFonts w:hint="eastAsia" w:ascii="宋体" w:hAnsi="宋体" w:eastAsia="宋体" w:cs="宋体"/>
          <w:b/>
          <w:bCs/>
          <w:color w:val="auto"/>
          <w:sz w:val="24"/>
          <w:szCs w:val="24"/>
          <w:highlight w:val="none"/>
        </w:rPr>
        <w:sectPr>
          <w:headerReference r:id="rId7" w:type="default"/>
          <w:footerReference r:id="rId8" w:type="default"/>
          <w:pgSz w:w="11906" w:h="16838"/>
          <w:pgMar w:top="1440" w:right="1800" w:bottom="1440" w:left="1800" w:header="851" w:footer="992" w:gutter="0"/>
          <w:cols w:space="720" w:num="1"/>
          <w:docGrid w:type="lines" w:linePitch="312" w:charSpace="0"/>
        </w:sectPr>
      </w:pPr>
    </w:p>
    <w:p w14:paraId="66D58D68">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十、其他相关证明材料</w:t>
      </w:r>
    </w:p>
    <w:p w14:paraId="299EC71F">
      <w:pPr>
        <w:tabs>
          <w:tab w:val="left" w:pos="462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提供符合磋商邀请（磋商公告）、招标需求及评审方法和标准规定的相关证明文件。</w:t>
      </w:r>
    </w:p>
    <w:p w14:paraId="4B49A66F">
      <w:pPr>
        <w:spacing w:line="360" w:lineRule="auto"/>
        <w:ind w:firstLine="435"/>
        <w:rPr>
          <w:rFonts w:hint="eastAsia" w:ascii="宋体" w:hAnsi="宋体" w:eastAsia="宋体" w:cs="宋体"/>
          <w:color w:val="auto"/>
          <w:sz w:val="24"/>
          <w:highlight w:val="none"/>
        </w:rPr>
      </w:pPr>
    </w:p>
    <w:p w14:paraId="6382D6AD">
      <w:pPr>
        <w:spacing w:line="360" w:lineRule="auto"/>
        <w:ind w:firstLine="480" w:firstLineChars="200"/>
        <w:rPr>
          <w:rFonts w:hint="eastAsia" w:ascii="宋体" w:hAnsi="宋体" w:eastAsia="宋体" w:cs="宋体"/>
          <w:color w:val="auto"/>
          <w:sz w:val="24"/>
          <w:highlight w:val="none"/>
        </w:rPr>
      </w:pPr>
    </w:p>
    <w:p w14:paraId="2D728955">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特别提示：</w:t>
      </w:r>
    </w:p>
    <w:p w14:paraId="1E0B5D9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投标人在响应文件制作时可在此栏内上传磋商文件要求上传的证明资料，如营业执照、税务登记证、人员证书、资质证书、荣誉奖项等，应将上述证明材料制作成扫描件上传。</w:t>
      </w:r>
    </w:p>
    <w:p w14:paraId="35125049">
      <w:pPr>
        <w:spacing w:line="360" w:lineRule="auto"/>
        <w:jc w:val="center"/>
        <w:rPr>
          <w:rFonts w:hint="eastAsia" w:ascii="宋体" w:hAnsi="宋体" w:eastAsia="宋体" w:cs="宋体"/>
          <w:b/>
          <w:color w:val="auto"/>
          <w:sz w:val="24"/>
          <w:highlight w:val="none"/>
        </w:rPr>
      </w:pPr>
    </w:p>
    <w:p w14:paraId="1A9EBF9D">
      <w:pPr>
        <w:spacing w:line="360" w:lineRule="auto"/>
        <w:rPr>
          <w:rFonts w:hint="eastAsia" w:ascii="宋体" w:hAnsi="宋体" w:eastAsia="宋体" w:cs="宋体"/>
          <w:bCs/>
          <w:color w:val="auto"/>
          <w:sz w:val="24"/>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auto"/>
    <w:pitch w:val="default"/>
    <w:sig w:usb0="00000000" w:usb1="00000000" w:usb2="00000000" w:usb3="00000000" w:csb0="00040001"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DotumChe">
    <w:altName w:val="Malgun Gothic"/>
    <w:panose1 w:val="00000000000000000000"/>
    <w:charset w:val="81"/>
    <w:family w:val="modern"/>
    <w:pitch w:val="default"/>
    <w:sig w:usb0="00000000" w:usb1="00000000" w:usb2="00000030" w:usb3="00000000" w:csb0="000800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1A1E0">
    <w:pPr>
      <w:pStyle w:val="16"/>
      <w:jc w:val="center"/>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EC7638">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t xml:space="preserve"> 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61EC7638">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E3F7C">
    <w:pPr>
      <w:pStyle w:val="16"/>
      <w:jc w:val="center"/>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3DC361">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t xml:space="preserve"> 页</w:t>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14:paraId="2E3DC361">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8F9C4">
    <w:pPr>
      <w:tabs>
        <w:tab w:val="center" w:pos="4153"/>
        <w:tab w:val="right" w:pos="8306"/>
      </w:tabs>
      <w:snapToGrid w:val="0"/>
      <w:rPr>
        <w:rFonts w:ascii="Calibri" w:hAnsi="Calibri"/>
        <w:sz w:val="18"/>
        <w:szCs w:val="18"/>
      </w:rPr>
    </w:pPr>
  </w:p>
  <w:p w14:paraId="2AF2C1C0">
    <w:pPr>
      <w:jc w:val="left"/>
      <w:rPr>
        <w:rFonts w:ascii="Calibri" w:hAnsi="Calibri"/>
        <w:kern w:val="0"/>
        <w:sz w:val="22"/>
        <w:szCs w:val="22"/>
        <w:lang w:eastAsia="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E3E14">
    <w:pPr>
      <w:pStyle w:val="16"/>
      <w:jc w:val="center"/>
      <w:rPr>
        <w:rFonts w:hint="eastAsia" w:ascii="宋体" w:hAnsi="宋体" w:eastAsia="宋体"/>
        <w:sz w:val="21"/>
        <w:szCs w:val="21"/>
      </w:rPr>
    </w:pPr>
    <w:r>
      <w:rPr>
        <w:rFonts w:hint="eastAsia"/>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A034F7">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t xml:space="preserve"> 页</w:t>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V4aQ8sBAACc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FeGkPLAQAAnAMAAA4AAAAAAAAAAQAgAAAAHgEAAGRycy9lMm9E&#10;b2MueG1sUEsFBgAAAAAGAAYAWQEAAFsFAAAAAA==&#10;">
              <v:fill on="f" focussize="0,0"/>
              <v:stroke on="f"/>
              <v:imagedata o:title=""/>
              <o:lock v:ext="edit" aspectratio="f"/>
              <v:textbox inset="0mm,0mm,0mm,0mm" style="mso-fit-shape-to-text:t;">
                <w:txbxContent>
                  <w:p w14:paraId="02A034F7">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0D301">
    <w:pPr>
      <w:pStyle w:val="17"/>
      <w:jc w:val="both"/>
      <w:rPr>
        <w:rFonts w:hint="eastAsia"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39C1B">
    <w:pPr>
      <w:pStyle w:val="17"/>
      <w:jc w:val="both"/>
      <w:rPr>
        <w:rFonts w:hint="eastAsia"/>
      </w:rPr>
    </w:pPr>
    <w:r>
      <w:rPr>
        <w:rFonts w:hint="eastAsia" w:ascii="宋体" w:hAnsi="宋体" w:eastAsia="宋体"/>
      </w:rPr>
      <w:t>包河交易公司货物和服务范本</w:t>
    </w:r>
    <w:r>
      <w:rPr>
        <w:rFonts w:ascii="宋体" w:hAnsi="宋体" w:eastAsia="宋体"/>
      </w:rPr>
      <w:t>-竞争性</w:t>
    </w:r>
    <w:r>
      <w:rPr>
        <w:rFonts w:hint="eastAsia" w:ascii="宋体" w:hAnsi="宋体" w:eastAsia="宋体"/>
      </w:rPr>
      <w:t>磋商</w:t>
    </w:r>
    <w:r>
      <w:rPr>
        <w:rFonts w:ascii="宋体" w:hAnsi="宋体" w:eastAsia="宋体"/>
      </w:rPr>
      <w:t>文件（</w:t>
    </w:r>
    <w:r>
      <w:rPr>
        <w:rFonts w:hint="eastAsia" w:ascii="宋体" w:hAnsi="宋体" w:eastAsia="宋体"/>
      </w:rPr>
      <w:t>服务</w:t>
    </w:r>
    <w:r>
      <w:rPr>
        <w:rFonts w:ascii="宋体" w:hAnsi="宋体" w:eastAsia="宋体"/>
      </w:rPr>
      <w:t>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D939D0"/>
    <w:multiLevelType w:val="singleLevel"/>
    <w:tmpl w:val="C6D939D0"/>
    <w:lvl w:ilvl="0" w:tentative="0">
      <w:start w:val="2"/>
      <w:numFmt w:val="chineseCounting"/>
      <w:suff w:val="nothing"/>
      <w:lvlText w:val="%1、"/>
      <w:lvlJc w:val="left"/>
      <w:rPr>
        <w:rFonts w:hint="eastAsia"/>
      </w:rPr>
    </w:lvl>
  </w:abstractNum>
  <w:abstractNum w:abstractNumId="1">
    <w:nsid w:val="E70769B1"/>
    <w:multiLevelType w:val="singleLevel"/>
    <w:tmpl w:val="E70769B1"/>
    <w:lvl w:ilvl="0" w:tentative="0">
      <w:start w:val="1"/>
      <w:numFmt w:val="bullet"/>
      <w:pStyle w:val="9"/>
      <w:lvlText w:val=""/>
      <w:lvlJc w:val="left"/>
      <w:pPr>
        <w:tabs>
          <w:tab w:val="left" w:pos="2040"/>
        </w:tabs>
        <w:ind w:left="2040" w:hanging="360"/>
      </w:pPr>
      <w:rPr>
        <w:rFonts w:hint="default" w:ascii="Wingdings" w:hAnsi="Wingdings"/>
      </w:rPr>
    </w:lvl>
  </w:abstractNum>
  <w:abstractNum w:abstractNumId="2">
    <w:nsid w:val="621A2861"/>
    <w:multiLevelType w:val="singleLevel"/>
    <w:tmpl w:val="621A2861"/>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0"/>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yNWVhYWQ4ZGY4YzE5NjE0YjY5MDU3NTgyMDhmOWQifQ=="/>
    <w:docVar w:name="KSO_WPS_MARK_KEY" w:val="d25e825c-24a9-418a-9f6b-1060ba31a447"/>
  </w:docVars>
  <w:rsids>
    <w:rsidRoot w:val="007478F7"/>
    <w:rsid w:val="0000197E"/>
    <w:rsid w:val="00012DA2"/>
    <w:rsid w:val="00017261"/>
    <w:rsid w:val="00017A49"/>
    <w:rsid w:val="0002619C"/>
    <w:rsid w:val="00034526"/>
    <w:rsid w:val="00040076"/>
    <w:rsid w:val="00052F7F"/>
    <w:rsid w:val="00082C3F"/>
    <w:rsid w:val="00083443"/>
    <w:rsid w:val="000851E9"/>
    <w:rsid w:val="0009045A"/>
    <w:rsid w:val="000E3D6E"/>
    <w:rsid w:val="0010229B"/>
    <w:rsid w:val="00132F6E"/>
    <w:rsid w:val="001430C7"/>
    <w:rsid w:val="00144D2E"/>
    <w:rsid w:val="00151647"/>
    <w:rsid w:val="00152D99"/>
    <w:rsid w:val="00176190"/>
    <w:rsid w:val="001B7333"/>
    <w:rsid w:val="001C2BE9"/>
    <w:rsid w:val="001C773F"/>
    <w:rsid w:val="001D3F65"/>
    <w:rsid w:val="001E0211"/>
    <w:rsid w:val="001E1DE1"/>
    <w:rsid w:val="001E3758"/>
    <w:rsid w:val="001F2657"/>
    <w:rsid w:val="001F4E2A"/>
    <w:rsid w:val="00223762"/>
    <w:rsid w:val="0023318E"/>
    <w:rsid w:val="00255ACA"/>
    <w:rsid w:val="0025670F"/>
    <w:rsid w:val="002661C2"/>
    <w:rsid w:val="002743D8"/>
    <w:rsid w:val="002853F0"/>
    <w:rsid w:val="00287235"/>
    <w:rsid w:val="002947ED"/>
    <w:rsid w:val="002A5893"/>
    <w:rsid w:val="002C70D6"/>
    <w:rsid w:val="002F1E76"/>
    <w:rsid w:val="002F4567"/>
    <w:rsid w:val="00315B4D"/>
    <w:rsid w:val="003177BD"/>
    <w:rsid w:val="0032609E"/>
    <w:rsid w:val="00332C95"/>
    <w:rsid w:val="00335549"/>
    <w:rsid w:val="003436EB"/>
    <w:rsid w:val="00353735"/>
    <w:rsid w:val="0035415C"/>
    <w:rsid w:val="00354A28"/>
    <w:rsid w:val="003933D0"/>
    <w:rsid w:val="003958B5"/>
    <w:rsid w:val="003A7ABA"/>
    <w:rsid w:val="003B7832"/>
    <w:rsid w:val="003C4E32"/>
    <w:rsid w:val="003D4ECB"/>
    <w:rsid w:val="003D690F"/>
    <w:rsid w:val="003F0A55"/>
    <w:rsid w:val="003F3A02"/>
    <w:rsid w:val="0041449E"/>
    <w:rsid w:val="00422E3D"/>
    <w:rsid w:val="00424905"/>
    <w:rsid w:val="00435CBE"/>
    <w:rsid w:val="00457101"/>
    <w:rsid w:val="00482989"/>
    <w:rsid w:val="00486675"/>
    <w:rsid w:val="00497149"/>
    <w:rsid w:val="004A3C17"/>
    <w:rsid w:val="004B559B"/>
    <w:rsid w:val="004C3021"/>
    <w:rsid w:val="004D1813"/>
    <w:rsid w:val="00504FD9"/>
    <w:rsid w:val="00523CAF"/>
    <w:rsid w:val="0052673B"/>
    <w:rsid w:val="005327F1"/>
    <w:rsid w:val="0053646C"/>
    <w:rsid w:val="0054461B"/>
    <w:rsid w:val="00564DC6"/>
    <w:rsid w:val="00565841"/>
    <w:rsid w:val="00595F71"/>
    <w:rsid w:val="005B1406"/>
    <w:rsid w:val="005D6A4E"/>
    <w:rsid w:val="005F2FF9"/>
    <w:rsid w:val="00602AD4"/>
    <w:rsid w:val="00630326"/>
    <w:rsid w:val="00654777"/>
    <w:rsid w:val="0067562F"/>
    <w:rsid w:val="00677CD4"/>
    <w:rsid w:val="00686E44"/>
    <w:rsid w:val="006942A4"/>
    <w:rsid w:val="006A61A1"/>
    <w:rsid w:val="006A71C3"/>
    <w:rsid w:val="006B0994"/>
    <w:rsid w:val="006D478B"/>
    <w:rsid w:val="006E35CF"/>
    <w:rsid w:val="006E3B3C"/>
    <w:rsid w:val="006F46FC"/>
    <w:rsid w:val="006F64F1"/>
    <w:rsid w:val="00700F2C"/>
    <w:rsid w:val="007148C9"/>
    <w:rsid w:val="00726ADD"/>
    <w:rsid w:val="00731FCC"/>
    <w:rsid w:val="00732DD5"/>
    <w:rsid w:val="00744ED8"/>
    <w:rsid w:val="007478F7"/>
    <w:rsid w:val="00763ABA"/>
    <w:rsid w:val="00773A28"/>
    <w:rsid w:val="00787C41"/>
    <w:rsid w:val="007B16A6"/>
    <w:rsid w:val="007B382E"/>
    <w:rsid w:val="007F0B4C"/>
    <w:rsid w:val="008078BD"/>
    <w:rsid w:val="00810853"/>
    <w:rsid w:val="008118F8"/>
    <w:rsid w:val="00814F29"/>
    <w:rsid w:val="008328E0"/>
    <w:rsid w:val="008364C4"/>
    <w:rsid w:val="0084474C"/>
    <w:rsid w:val="00850A67"/>
    <w:rsid w:val="0086728E"/>
    <w:rsid w:val="00867936"/>
    <w:rsid w:val="008A2A4E"/>
    <w:rsid w:val="008B024B"/>
    <w:rsid w:val="008D44C9"/>
    <w:rsid w:val="008F089C"/>
    <w:rsid w:val="008F185B"/>
    <w:rsid w:val="00913014"/>
    <w:rsid w:val="009310D3"/>
    <w:rsid w:val="00932828"/>
    <w:rsid w:val="00945461"/>
    <w:rsid w:val="0095683F"/>
    <w:rsid w:val="00972764"/>
    <w:rsid w:val="00997D0C"/>
    <w:rsid w:val="009B1D89"/>
    <w:rsid w:val="009C70F5"/>
    <w:rsid w:val="009D6484"/>
    <w:rsid w:val="009E7029"/>
    <w:rsid w:val="00A04660"/>
    <w:rsid w:val="00A05EDD"/>
    <w:rsid w:val="00A1625E"/>
    <w:rsid w:val="00A30BC7"/>
    <w:rsid w:val="00A37DD4"/>
    <w:rsid w:val="00A42D90"/>
    <w:rsid w:val="00A65AFC"/>
    <w:rsid w:val="00A74ED0"/>
    <w:rsid w:val="00A77198"/>
    <w:rsid w:val="00A8581B"/>
    <w:rsid w:val="00A85E99"/>
    <w:rsid w:val="00AB2011"/>
    <w:rsid w:val="00AC192C"/>
    <w:rsid w:val="00B129AF"/>
    <w:rsid w:val="00B236B5"/>
    <w:rsid w:val="00B422B6"/>
    <w:rsid w:val="00B47FBF"/>
    <w:rsid w:val="00B57D4A"/>
    <w:rsid w:val="00B826ED"/>
    <w:rsid w:val="00BA1ADF"/>
    <w:rsid w:val="00BA2C37"/>
    <w:rsid w:val="00BB3634"/>
    <w:rsid w:val="00BC2D61"/>
    <w:rsid w:val="00BF578B"/>
    <w:rsid w:val="00C0433B"/>
    <w:rsid w:val="00C138C7"/>
    <w:rsid w:val="00C21AEE"/>
    <w:rsid w:val="00C37FCC"/>
    <w:rsid w:val="00C42C25"/>
    <w:rsid w:val="00C45F7C"/>
    <w:rsid w:val="00C51EBE"/>
    <w:rsid w:val="00C52C8B"/>
    <w:rsid w:val="00C703D7"/>
    <w:rsid w:val="00C76DA3"/>
    <w:rsid w:val="00C77C79"/>
    <w:rsid w:val="00C97CEC"/>
    <w:rsid w:val="00CB00E2"/>
    <w:rsid w:val="00CE0719"/>
    <w:rsid w:val="00D02275"/>
    <w:rsid w:val="00D10A49"/>
    <w:rsid w:val="00D11594"/>
    <w:rsid w:val="00D11EF6"/>
    <w:rsid w:val="00D268E9"/>
    <w:rsid w:val="00D36471"/>
    <w:rsid w:val="00D53149"/>
    <w:rsid w:val="00D54C5C"/>
    <w:rsid w:val="00D631AE"/>
    <w:rsid w:val="00D80436"/>
    <w:rsid w:val="00D87A8E"/>
    <w:rsid w:val="00D95A0B"/>
    <w:rsid w:val="00DB2E0B"/>
    <w:rsid w:val="00DB60B2"/>
    <w:rsid w:val="00DC1906"/>
    <w:rsid w:val="00DD0E8A"/>
    <w:rsid w:val="00DE1572"/>
    <w:rsid w:val="00DE2987"/>
    <w:rsid w:val="00E20B78"/>
    <w:rsid w:val="00E36058"/>
    <w:rsid w:val="00E42941"/>
    <w:rsid w:val="00E55F1D"/>
    <w:rsid w:val="00E56C38"/>
    <w:rsid w:val="00E60108"/>
    <w:rsid w:val="00E76433"/>
    <w:rsid w:val="00E84F66"/>
    <w:rsid w:val="00EA22C8"/>
    <w:rsid w:val="00EA6C9E"/>
    <w:rsid w:val="00EC137C"/>
    <w:rsid w:val="00ED40C7"/>
    <w:rsid w:val="00EF0BD6"/>
    <w:rsid w:val="00EF1C8B"/>
    <w:rsid w:val="00F04CCA"/>
    <w:rsid w:val="00F16D42"/>
    <w:rsid w:val="00F212FE"/>
    <w:rsid w:val="00F23A55"/>
    <w:rsid w:val="00F2460F"/>
    <w:rsid w:val="00F248B3"/>
    <w:rsid w:val="00F25E01"/>
    <w:rsid w:val="00F542C8"/>
    <w:rsid w:val="00F62024"/>
    <w:rsid w:val="00F83A76"/>
    <w:rsid w:val="00F87482"/>
    <w:rsid w:val="00F938B7"/>
    <w:rsid w:val="00FA1A5B"/>
    <w:rsid w:val="00FB0891"/>
    <w:rsid w:val="00FB4428"/>
    <w:rsid w:val="00FC751A"/>
    <w:rsid w:val="00FD0D1B"/>
    <w:rsid w:val="00FD10DA"/>
    <w:rsid w:val="00FD6EC5"/>
    <w:rsid w:val="00FF1EDC"/>
    <w:rsid w:val="010D7DD7"/>
    <w:rsid w:val="01255111"/>
    <w:rsid w:val="012A6BDB"/>
    <w:rsid w:val="02182ED7"/>
    <w:rsid w:val="022950E4"/>
    <w:rsid w:val="022A6766"/>
    <w:rsid w:val="02313F99"/>
    <w:rsid w:val="028C11CF"/>
    <w:rsid w:val="029307AF"/>
    <w:rsid w:val="02CD5FA7"/>
    <w:rsid w:val="03595555"/>
    <w:rsid w:val="04082EC9"/>
    <w:rsid w:val="040E5A73"/>
    <w:rsid w:val="049D3B67"/>
    <w:rsid w:val="04FE63B4"/>
    <w:rsid w:val="05EA06E6"/>
    <w:rsid w:val="061340E1"/>
    <w:rsid w:val="061B0173"/>
    <w:rsid w:val="062A31D9"/>
    <w:rsid w:val="069111DA"/>
    <w:rsid w:val="07B17031"/>
    <w:rsid w:val="07E812A9"/>
    <w:rsid w:val="084A44DB"/>
    <w:rsid w:val="099F54E4"/>
    <w:rsid w:val="09D908CA"/>
    <w:rsid w:val="0A4725AB"/>
    <w:rsid w:val="0A655FA3"/>
    <w:rsid w:val="0A8C4462"/>
    <w:rsid w:val="0A9D0FD4"/>
    <w:rsid w:val="0B0A5B53"/>
    <w:rsid w:val="0B375212"/>
    <w:rsid w:val="0BC61173"/>
    <w:rsid w:val="0C264442"/>
    <w:rsid w:val="0CA30B98"/>
    <w:rsid w:val="0CE353E6"/>
    <w:rsid w:val="0D4E30D1"/>
    <w:rsid w:val="0D7E611E"/>
    <w:rsid w:val="0DCB704F"/>
    <w:rsid w:val="0DFC545B"/>
    <w:rsid w:val="0E7F64D9"/>
    <w:rsid w:val="0F84040B"/>
    <w:rsid w:val="0FFC5BE6"/>
    <w:rsid w:val="10503F7E"/>
    <w:rsid w:val="10D85FB9"/>
    <w:rsid w:val="11143410"/>
    <w:rsid w:val="11152FCB"/>
    <w:rsid w:val="12437AFC"/>
    <w:rsid w:val="126169EF"/>
    <w:rsid w:val="128B51CD"/>
    <w:rsid w:val="12B837F0"/>
    <w:rsid w:val="12C55939"/>
    <w:rsid w:val="13927349"/>
    <w:rsid w:val="14294080"/>
    <w:rsid w:val="147A0A87"/>
    <w:rsid w:val="14B00D4D"/>
    <w:rsid w:val="15327079"/>
    <w:rsid w:val="15391894"/>
    <w:rsid w:val="156A6FD9"/>
    <w:rsid w:val="156F628E"/>
    <w:rsid w:val="167F131F"/>
    <w:rsid w:val="16CB1E6E"/>
    <w:rsid w:val="16F70B78"/>
    <w:rsid w:val="172F4AF3"/>
    <w:rsid w:val="17950107"/>
    <w:rsid w:val="17F9321A"/>
    <w:rsid w:val="18027B12"/>
    <w:rsid w:val="185B6A30"/>
    <w:rsid w:val="194E46EF"/>
    <w:rsid w:val="1A4A57A0"/>
    <w:rsid w:val="1B283D33"/>
    <w:rsid w:val="1B821F9D"/>
    <w:rsid w:val="1C026BA9"/>
    <w:rsid w:val="1CF81B63"/>
    <w:rsid w:val="1DA17DCD"/>
    <w:rsid w:val="1DF13E8E"/>
    <w:rsid w:val="1DF76F01"/>
    <w:rsid w:val="1E074A7C"/>
    <w:rsid w:val="1E256308"/>
    <w:rsid w:val="1E37603B"/>
    <w:rsid w:val="1E8F318E"/>
    <w:rsid w:val="1F78690B"/>
    <w:rsid w:val="20311DDA"/>
    <w:rsid w:val="205D4886"/>
    <w:rsid w:val="20A20B23"/>
    <w:rsid w:val="20E57FD0"/>
    <w:rsid w:val="20EA3839"/>
    <w:rsid w:val="21157F22"/>
    <w:rsid w:val="221A12F6"/>
    <w:rsid w:val="223B09D7"/>
    <w:rsid w:val="22EF42C4"/>
    <w:rsid w:val="23867849"/>
    <w:rsid w:val="242A50A9"/>
    <w:rsid w:val="2430513A"/>
    <w:rsid w:val="247A36AC"/>
    <w:rsid w:val="2492046F"/>
    <w:rsid w:val="24C543A1"/>
    <w:rsid w:val="25C903D8"/>
    <w:rsid w:val="26CD578F"/>
    <w:rsid w:val="27335F39"/>
    <w:rsid w:val="27383550"/>
    <w:rsid w:val="275E2CB1"/>
    <w:rsid w:val="2786327B"/>
    <w:rsid w:val="279938C3"/>
    <w:rsid w:val="27CD7F02"/>
    <w:rsid w:val="284D6B87"/>
    <w:rsid w:val="2852419D"/>
    <w:rsid w:val="28546167"/>
    <w:rsid w:val="286F4EFB"/>
    <w:rsid w:val="287E1436"/>
    <w:rsid w:val="28C50E13"/>
    <w:rsid w:val="28C66939"/>
    <w:rsid w:val="29BC7FB3"/>
    <w:rsid w:val="29BF22FB"/>
    <w:rsid w:val="29F01EC0"/>
    <w:rsid w:val="2A4577CC"/>
    <w:rsid w:val="2ABC1FD1"/>
    <w:rsid w:val="2ADE61BC"/>
    <w:rsid w:val="2B08148B"/>
    <w:rsid w:val="2B852ADC"/>
    <w:rsid w:val="2BFD08C4"/>
    <w:rsid w:val="2C6170A5"/>
    <w:rsid w:val="2D0C6328"/>
    <w:rsid w:val="2D746964"/>
    <w:rsid w:val="2D906F19"/>
    <w:rsid w:val="2DAC4350"/>
    <w:rsid w:val="2E171871"/>
    <w:rsid w:val="2E1D349F"/>
    <w:rsid w:val="2ECB4359"/>
    <w:rsid w:val="2EED2E72"/>
    <w:rsid w:val="2F4800A8"/>
    <w:rsid w:val="2F837038"/>
    <w:rsid w:val="2F860BD0"/>
    <w:rsid w:val="2FCF7C19"/>
    <w:rsid w:val="30006BD5"/>
    <w:rsid w:val="307155E8"/>
    <w:rsid w:val="308147BA"/>
    <w:rsid w:val="31024A42"/>
    <w:rsid w:val="310E0E7D"/>
    <w:rsid w:val="31436D79"/>
    <w:rsid w:val="318F1FBE"/>
    <w:rsid w:val="319C2FFC"/>
    <w:rsid w:val="31BE0B72"/>
    <w:rsid w:val="32E7188B"/>
    <w:rsid w:val="342C7F98"/>
    <w:rsid w:val="346C2A8B"/>
    <w:rsid w:val="350500CE"/>
    <w:rsid w:val="350C1B78"/>
    <w:rsid w:val="37126B4F"/>
    <w:rsid w:val="371F6A93"/>
    <w:rsid w:val="37320B19"/>
    <w:rsid w:val="37A41B60"/>
    <w:rsid w:val="37BE184F"/>
    <w:rsid w:val="37CB5D1A"/>
    <w:rsid w:val="386341A5"/>
    <w:rsid w:val="38C75250"/>
    <w:rsid w:val="38E30E42"/>
    <w:rsid w:val="399565E0"/>
    <w:rsid w:val="3A287454"/>
    <w:rsid w:val="3A2B0CF2"/>
    <w:rsid w:val="3A571AE7"/>
    <w:rsid w:val="3B456579"/>
    <w:rsid w:val="3B9E1FFF"/>
    <w:rsid w:val="3C485465"/>
    <w:rsid w:val="3C805325"/>
    <w:rsid w:val="3CA57EFF"/>
    <w:rsid w:val="3CCF4817"/>
    <w:rsid w:val="3D7C7B72"/>
    <w:rsid w:val="3DEB2C72"/>
    <w:rsid w:val="3E614CE2"/>
    <w:rsid w:val="3E8D5AD7"/>
    <w:rsid w:val="3E952C04"/>
    <w:rsid w:val="3F2F146E"/>
    <w:rsid w:val="3FDB2873"/>
    <w:rsid w:val="40451ECE"/>
    <w:rsid w:val="404B17A6"/>
    <w:rsid w:val="40602D9E"/>
    <w:rsid w:val="40BA692C"/>
    <w:rsid w:val="415316D4"/>
    <w:rsid w:val="42894808"/>
    <w:rsid w:val="42DB305B"/>
    <w:rsid w:val="43406C73"/>
    <w:rsid w:val="44B926F4"/>
    <w:rsid w:val="44E126D9"/>
    <w:rsid w:val="44F71EFD"/>
    <w:rsid w:val="453C68D9"/>
    <w:rsid w:val="457419E8"/>
    <w:rsid w:val="45C2075D"/>
    <w:rsid w:val="4697F5D1"/>
    <w:rsid w:val="46D74157"/>
    <w:rsid w:val="477E630A"/>
    <w:rsid w:val="47E421F2"/>
    <w:rsid w:val="48114D0B"/>
    <w:rsid w:val="48142086"/>
    <w:rsid w:val="484C4685"/>
    <w:rsid w:val="48E97888"/>
    <w:rsid w:val="49484AB1"/>
    <w:rsid w:val="49BF6D61"/>
    <w:rsid w:val="4AEA064F"/>
    <w:rsid w:val="4AFA6A2A"/>
    <w:rsid w:val="4B35552D"/>
    <w:rsid w:val="4B58746D"/>
    <w:rsid w:val="4C8204F1"/>
    <w:rsid w:val="4CE65172"/>
    <w:rsid w:val="4D0C7DEB"/>
    <w:rsid w:val="4D29302F"/>
    <w:rsid w:val="4D420F23"/>
    <w:rsid w:val="4DD714F2"/>
    <w:rsid w:val="4E523562"/>
    <w:rsid w:val="4E742810"/>
    <w:rsid w:val="4ED37286"/>
    <w:rsid w:val="4FA33596"/>
    <w:rsid w:val="504F7091"/>
    <w:rsid w:val="513E2C61"/>
    <w:rsid w:val="51BF0246"/>
    <w:rsid w:val="51F53ED9"/>
    <w:rsid w:val="52214A5D"/>
    <w:rsid w:val="52946FDD"/>
    <w:rsid w:val="531243A6"/>
    <w:rsid w:val="5331648C"/>
    <w:rsid w:val="536400AE"/>
    <w:rsid w:val="54014CC7"/>
    <w:rsid w:val="54C618EB"/>
    <w:rsid w:val="54CE266B"/>
    <w:rsid w:val="55216931"/>
    <w:rsid w:val="55534175"/>
    <w:rsid w:val="557B6411"/>
    <w:rsid w:val="560B3A5A"/>
    <w:rsid w:val="56905D0D"/>
    <w:rsid w:val="57FB5557"/>
    <w:rsid w:val="58690F0C"/>
    <w:rsid w:val="58B33F4C"/>
    <w:rsid w:val="59245B38"/>
    <w:rsid w:val="59747B68"/>
    <w:rsid w:val="59A10231"/>
    <w:rsid w:val="59C1489E"/>
    <w:rsid w:val="59DA4A83"/>
    <w:rsid w:val="5AA004E9"/>
    <w:rsid w:val="5BA313DA"/>
    <w:rsid w:val="5BF70FF6"/>
    <w:rsid w:val="5C31229C"/>
    <w:rsid w:val="5C4A67B6"/>
    <w:rsid w:val="5D746FF5"/>
    <w:rsid w:val="5E080586"/>
    <w:rsid w:val="5EEF6B9C"/>
    <w:rsid w:val="5F13692B"/>
    <w:rsid w:val="5F5114D9"/>
    <w:rsid w:val="5F571ABE"/>
    <w:rsid w:val="5F8623A3"/>
    <w:rsid w:val="5F8D0B1A"/>
    <w:rsid w:val="5FF9313F"/>
    <w:rsid w:val="5FFA68C7"/>
    <w:rsid w:val="6005776C"/>
    <w:rsid w:val="60443CE5"/>
    <w:rsid w:val="608F7578"/>
    <w:rsid w:val="60CC2CA1"/>
    <w:rsid w:val="60D96503"/>
    <w:rsid w:val="61CF0031"/>
    <w:rsid w:val="61FC3E95"/>
    <w:rsid w:val="623E6F65"/>
    <w:rsid w:val="628946EB"/>
    <w:rsid w:val="62D603FD"/>
    <w:rsid w:val="630841E4"/>
    <w:rsid w:val="63E93A50"/>
    <w:rsid w:val="65530F79"/>
    <w:rsid w:val="657B158C"/>
    <w:rsid w:val="659C0D88"/>
    <w:rsid w:val="65F52031"/>
    <w:rsid w:val="66061B48"/>
    <w:rsid w:val="66C43787"/>
    <w:rsid w:val="674D095E"/>
    <w:rsid w:val="67582877"/>
    <w:rsid w:val="67C72304"/>
    <w:rsid w:val="67DF08A2"/>
    <w:rsid w:val="68555008"/>
    <w:rsid w:val="689E075E"/>
    <w:rsid w:val="68AC53C7"/>
    <w:rsid w:val="68BC5088"/>
    <w:rsid w:val="690B56C7"/>
    <w:rsid w:val="691655E4"/>
    <w:rsid w:val="69E95A08"/>
    <w:rsid w:val="6A4102A6"/>
    <w:rsid w:val="6B1747F7"/>
    <w:rsid w:val="6B9419A4"/>
    <w:rsid w:val="6BAA621F"/>
    <w:rsid w:val="6BF30DC0"/>
    <w:rsid w:val="6C737520"/>
    <w:rsid w:val="6CEF4128"/>
    <w:rsid w:val="6E602011"/>
    <w:rsid w:val="6E9D5013"/>
    <w:rsid w:val="6F543924"/>
    <w:rsid w:val="70E60EF4"/>
    <w:rsid w:val="710908F8"/>
    <w:rsid w:val="7109314A"/>
    <w:rsid w:val="71E52F59"/>
    <w:rsid w:val="73221F8B"/>
    <w:rsid w:val="73463ECB"/>
    <w:rsid w:val="739310B1"/>
    <w:rsid w:val="73E16EA2"/>
    <w:rsid w:val="74471CA9"/>
    <w:rsid w:val="744E128A"/>
    <w:rsid w:val="74816591"/>
    <w:rsid w:val="749B0247"/>
    <w:rsid w:val="74B975DA"/>
    <w:rsid w:val="74F6722B"/>
    <w:rsid w:val="762A482C"/>
    <w:rsid w:val="765C73A0"/>
    <w:rsid w:val="778C3E77"/>
    <w:rsid w:val="786A41B8"/>
    <w:rsid w:val="78756A91"/>
    <w:rsid w:val="788E628B"/>
    <w:rsid w:val="79B0209F"/>
    <w:rsid w:val="79B31B8F"/>
    <w:rsid w:val="79D2240C"/>
    <w:rsid w:val="7A6C4192"/>
    <w:rsid w:val="7AC57DCC"/>
    <w:rsid w:val="7AEC6AE1"/>
    <w:rsid w:val="7B237658"/>
    <w:rsid w:val="7B753A39"/>
    <w:rsid w:val="7C1B5475"/>
    <w:rsid w:val="7C75312C"/>
    <w:rsid w:val="7C816B78"/>
    <w:rsid w:val="7DFF35F5"/>
    <w:rsid w:val="7F4F291E"/>
    <w:rsid w:val="BD7DF799"/>
    <w:rsid w:val="DBDDF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46"/>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微软简标宋" w:hAnsi="@微软简标宋" w:eastAsia="@微软简标宋"/>
      <w:b/>
      <w:bCs/>
      <w:sz w:val="32"/>
      <w:szCs w:val="32"/>
    </w:rPr>
  </w:style>
  <w:style w:type="paragraph" w:styleId="2">
    <w:name w:val="heading 3"/>
    <w:basedOn w:val="1"/>
    <w:next w:val="1"/>
    <w:link w:val="47"/>
    <w:autoRedefine/>
    <w:unhideWhenUsed/>
    <w:qFormat/>
    <w:uiPriority w:val="9"/>
    <w:pPr>
      <w:keepNext/>
      <w:keepLines/>
      <w:spacing w:line="360" w:lineRule="auto"/>
      <w:outlineLvl w:val="2"/>
    </w:pPr>
    <w:rPr>
      <w:rFonts w:ascii="宋体" w:hAnsi="宋体" w:eastAsia="宋体" w:cs="宋体"/>
      <w:b/>
      <w:bCs/>
      <w:color w:val="C00000"/>
      <w:sz w:val="24"/>
      <w:szCs w:val="24"/>
    </w:rPr>
  </w:style>
  <w:style w:type="paragraph" w:styleId="5">
    <w:name w:val="heading 4"/>
    <w:basedOn w:val="1"/>
    <w:next w:val="1"/>
    <w:link w:val="52"/>
    <w:autoRedefine/>
    <w:qFormat/>
    <w:uiPriority w:val="0"/>
    <w:pPr>
      <w:keepNext/>
      <w:keepLines/>
      <w:spacing w:before="280" w:after="290" w:line="376" w:lineRule="auto"/>
      <w:outlineLvl w:val="3"/>
    </w:pPr>
    <w:rPr>
      <w:b/>
      <w:bCs/>
      <w:sz w:val="28"/>
      <w:szCs w:val="28"/>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45"/>
    <w:autoRedefine/>
    <w:qFormat/>
    <w:uiPriority w:val="0"/>
    <w:pPr>
      <w:jc w:val="left"/>
    </w:pPr>
    <w:rPr>
      <w:rFonts w:ascii="Arial" w:hAnsi="Arial" w:eastAsia="黑体" w:cs="Arial"/>
    </w:rPr>
  </w:style>
  <w:style w:type="paragraph" w:styleId="8">
    <w:name w:val="Body Text"/>
    <w:basedOn w:val="1"/>
    <w:next w:val="9"/>
    <w:link w:val="53"/>
    <w:qFormat/>
    <w:uiPriority w:val="0"/>
    <w:pPr>
      <w:spacing w:after="120"/>
    </w:pPr>
    <w:rPr>
      <w:rFonts w:ascii="@微软简标宋" w:hAnsi="@微软简标宋" w:eastAsia="@微软简标宋" w:cs="@微软简标宋"/>
      <w:szCs w:val="24"/>
      <w:lang w:val="zh-CN"/>
    </w:rPr>
  </w:style>
  <w:style w:type="paragraph" w:styleId="9">
    <w:name w:val="List Bullet 5"/>
    <w:basedOn w:val="1"/>
    <w:semiHidden/>
    <w:unhideWhenUsed/>
    <w:qFormat/>
    <w:uiPriority w:val="99"/>
    <w:pPr>
      <w:numPr>
        <w:ilvl w:val="0"/>
        <w:numId w:val="1"/>
      </w:numPr>
    </w:pPr>
  </w:style>
  <w:style w:type="paragraph" w:styleId="10">
    <w:name w:val="Body Text Indent"/>
    <w:basedOn w:val="1"/>
    <w:next w:val="11"/>
    <w:autoRedefine/>
    <w:qFormat/>
    <w:uiPriority w:val="0"/>
    <w:pPr>
      <w:ind w:firstLine="560" w:firstLineChars="200"/>
    </w:pPr>
    <w:rPr>
      <w:rFonts w:ascii="宋体" w:hAnsi="宋体"/>
      <w:bCs/>
      <w:sz w:val="28"/>
      <w:szCs w:val="32"/>
    </w:rPr>
  </w:style>
  <w:style w:type="paragraph" w:styleId="11">
    <w:name w:val="envelope return"/>
    <w:basedOn w:val="1"/>
    <w:autoRedefine/>
    <w:qFormat/>
    <w:uiPriority w:val="0"/>
    <w:pPr>
      <w:snapToGrid w:val="0"/>
    </w:pPr>
    <w:rPr>
      <w:rFonts w:ascii="Arial" w:hAnsi="Arial"/>
    </w:rPr>
  </w:style>
  <w:style w:type="paragraph" w:styleId="12">
    <w:name w:val="toc 3"/>
    <w:basedOn w:val="1"/>
    <w:next w:val="1"/>
    <w:autoRedefine/>
    <w:unhideWhenUsed/>
    <w:qFormat/>
    <w:uiPriority w:val="39"/>
    <w:pPr>
      <w:widowControl/>
      <w:spacing w:after="100" w:line="276" w:lineRule="auto"/>
      <w:ind w:left="440"/>
      <w:jc w:val="left"/>
    </w:pPr>
    <w:rPr>
      <w:rFonts w:ascii="Calibri" w:hAnsi="Calibri" w:eastAsia="宋体" w:cs="黑体"/>
      <w:kern w:val="0"/>
      <w:sz w:val="22"/>
      <w:szCs w:val="22"/>
    </w:rPr>
  </w:style>
  <w:style w:type="paragraph" w:styleId="13">
    <w:name w:val="Plain Text"/>
    <w:basedOn w:val="1"/>
    <w:link w:val="38"/>
    <w:autoRedefine/>
    <w:qFormat/>
    <w:uiPriority w:val="99"/>
    <w:rPr>
      <w:rFonts w:ascii="宋体" w:hAnsi="Courier New" w:eastAsia="宋体" w:cs="黑体"/>
      <w:szCs w:val="22"/>
    </w:rPr>
  </w:style>
  <w:style w:type="paragraph" w:styleId="14">
    <w:name w:val="Date"/>
    <w:basedOn w:val="1"/>
    <w:next w:val="1"/>
    <w:link w:val="42"/>
    <w:autoRedefine/>
    <w:qFormat/>
    <w:uiPriority w:val="0"/>
    <w:rPr>
      <w:rFonts w:ascii="Arial" w:hAnsi="Arial" w:eastAsia="宋体" w:cs="Arial"/>
      <w:b/>
      <w:sz w:val="28"/>
    </w:rPr>
  </w:style>
  <w:style w:type="paragraph" w:styleId="15">
    <w:name w:val="Balloon Text"/>
    <w:basedOn w:val="1"/>
    <w:link w:val="35"/>
    <w:autoRedefine/>
    <w:semiHidden/>
    <w:unhideWhenUsed/>
    <w:qFormat/>
    <w:uiPriority w:val="99"/>
    <w:rPr>
      <w:sz w:val="18"/>
      <w:szCs w:val="18"/>
    </w:rPr>
  </w:style>
  <w:style w:type="paragraph" w:styleId="16">
    <w:name w:val="footer"/>
    <w:basedOn w:val="1"/>
    <w:link w:val="37"/>
    <w:autoRedefine/>
    <w:unhideWhenUsed/>
    <w:qFormat/>
    <w:uiPriority w:val="99"/>
    <w:pPr>
      <w:tabs>
        <w:tab w:val="center" w:pos="4153"/>
        <w:tab w:val="right" w:pos="8306"/>
      </w:tabs>
      <w:snapToGrid w:val="0"/>
      <w:jc w:val="left"/>
    </w:pPr>
    <w:rPr>
      <w:sz w:val="18"/>
      <w:szCs w:val="18"/>
    </w:rPr>
  </w:style>
  <w:style w:type="paragraph" w:styleId="17">
    <w:name w:val="header"/>
    <w:basedOn w:val="1"/>
    <w:link w:val="3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Calibri" w:hAnsi="Calibri" w:eastAsia="宋体" w:cs="黑体"/>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Calibri" w:hAnsi="Calibri" w:eastAsia="宋体" w:cs="黑体"/>
      <w:kern w:val="0"/>
      <w:sz w:val="22"/>
      <w:szCs w:val="22"/>
    </w:rPr>
  </w:style>
  <w:style w:type="paragraph" w:styleId="20">
    <w:name w:val="index 1"/>
    <w:basedOn w:val="1"/>
    <w:next w:val="1"/>
    <w:autoRedefine/>
    <w:qFormat/>
    <w:uiPriority w:val="0"/>
    <w:pPr>
      <w:jc w:val="center"/>
    </w:pPr>
    <w:rPr>
      <w:rFonts w:ascii="Arial" w:hAnsi="Arial" w:eastAsia="Arial" w:cs="Arial"/>
      <w:b/>
      <w:bCs/>
      <w:sz w:val="28"/>
    </w:rPr>
  </w:style>
  <w:style w:type="paragraph" w:styleId="21">
    <w:name w:val="annotation subject"/>
    <w:basedOn w:val="7"/>
    <w:next w:val="7"/>
    <w:link w:val="54"/>
    <w:autoRedefine/>
    <w:semiHidden/>
    <w:unhideWhenUsed/>
    <w:qFormat/>
    <w:uiPriority w:val="99"/>
    <w:rPr>
      <w:rFonts w:ascii="@仿宋_GB2312" w:hAnsi="@仿宋_GB2312" w:eastAsia="@仿宋_GB2312" w:cs="@仿宋_GB2312"/>
      <w:b/>
      <w:bCs/>
    </w:rPr>
  </w:style>
  <w:style w:type="paragraph" w:styleId="22">
    <w:name w:val="Body Text First Indent 2"/>
    <w:basedOn w:val="10"/>
    <w:next w:val="1"/>
    <w:autoRedefine/>
    <w:qFormat/>
    <w:uiPriority w:val="0"/>
    <w:pPr>
      <w:ind w:left="420" w:firstLine="420"/>
    </w:pPr>
  </w:style>
  <w:style w:type="character" w:styleId="25">
    <w:name w:val="Strong"/>
    <w:autoRedefine/>
    <w:qFormat/>
    <w:uiPriority w:val="0"/>
    <w:rPr>
      <w:b/>
      <w:bCs/>
    </w:rPr>
  </w:style>
  <w:style w:type="character" w:styleId="26">
    <w:name w:val="Hyperlink"/>
    <w:autoRedefine/>
    <w:unhideWhenUsed/>
    <w:qFormat/>
    <w:uiPriority w:val="99"/>
    <w:rPr>
      <w:color w:val="0000FF"/>
      <w:u w:val="single"/>
    </w:rPr>
  </w:style>
  <w:style w:type="character" w:styleId="27">
    <w:name w:val="annotation reference"/>
    <w:autoRedefine/>
    <w:semiHidden/>
    <w:unhideWhenUsed/>
    <w:qFormat/>
    <w:uiPriority w:val="99"/>
    <w:rPr>
      <w:sz w:val="21"/>
      <w:szCs w:val="21"/>
    </w:rPr>
  </w:style>
  <w:style w:type="paragraph" w:customStyle="1" w:styleId="28">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29">
    <w:name w:val="xl31"/>
    <w:basedOn w:val="1"/>
    <w:autoRedefine/>
    <w:qFormat/>
    <w:uiPriority w:val="0"/>
    <w:pPr>
      <w:spacing w:line="360" w:lineRule="auto"/>
    </w:pPr>
    <w:rPr>
      <w:rFonts w:ascii="宋体" w:hAnsi="宋体" w:eastAsia="宋体" w:cs="宋体"/>
      <w:bCs/>
      <w:kern w:val="0"/>
      <w:sz w:val="24"/>
      <w:szCs w:val="28"/>
    </w:rPr>
  </w:style>
  <w:style w:type="paragraph" w:customStyle="1" w:styleId="30">
    <w:name w:val="D&amp;L"/>
    <w:basedOn w:val="17"/>
    <w:autoRedefine/>
    <w:qFormat/>
    <w:uiPriority w:val="0"/>
    <w:pPr>
      <w:pBdr>
        <w:bottom w:val="none" w:color="auto" w:sz="0" w:space="0"/>
      </w:pBdr>
      <w:tabs>
        <w:tab w:val="clear" w:pos="4153"/>
        <w:tab w:val="clear" w:pos="8306"/>
      </w:tabs>
      <w:snapToGrid/>
    </w:pPr>
    <w:rPr>
      <w:kern w:val="0"/>
      <w:sz w:val="24"/>
      <w:szCs w:val="20"/>
    </w:rPr>
  </w:style>
  <w:style w:type="paragraph" w:customStyle="1" w:styleId="31">
    <w:name w:val="列表段落1"/>
    <w:basedOn w:val="1"/>
    <w:autoRedefine/>
    <w:qFormat/>
    <w:uiPriority w:val="34"/>
    <w:pPr>
      <w:ind w:firstLine="420" w:firstLineChars="200"/>
    </w:pPr>
  </w:style>
  <w:style w:type="paragraph" w:customStyle="1" w:styleId="32">
    <w:name w:val="Char Char Char Char Char Char Char1 Char"/>
    <w:basedOn w:val="1"/>
    <w:autoRedefine/>
    <w:qFormat/>
    <w:uiPriority w:val="0"/>
    <w:rPr>
      <w:rFonts w:ascii="Arial" w:hAnsi="Arial" w:eastAsia="宋体" w:cs="Arial"/>
      <w:sz w:val="24"/>
    </w:rPr>
  </w:style>
  <w:style w:type="paragraph" w:customStyle="1" w:styleId="33">
    <w:name w:val="纯文本1"/>
    <w:basedOn w:val="1"/>
    <w:link w:val="43"/>
    <w:autoRedefine/>
    <w:qFormat/>
    <w:uiPriority w:val="0"/>
    <w:rPr>
      <w:rFonts w:ascii="Arial" w:hAnsi="Arial" w:eastAsia="Arial" w:cs="黑体"/>
    </w:rPr>
  </w:style>
  <w:style w:type="paragraph" w:customStyle="1" w:styleId="34">
    <w:name w:val="TOC 标题1"/>
    <w:basedOn w:val="3"/>
    <w:next w:val="1"/>
    <w:autoRedefine/>
    <w:semiHidden/>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character" w:customStyle="1" w:styleId="35">
    <w:name w:val="批注框文本 字符"/>
    <w:link w:val="15"/>
    <w:autoRedefine/>
    <w:semiHidden/>
    <w:qFormat/>
    <w:uiPriority w:val="99"/>
    <w:rPr>
      <w:rFonts w:ascii="@仿宋_GB2312" w:hAnsi="@仿宋_GB2312" w:eastAsia="@仿宋_GB2312" w:cs="@仿宋_GB2312"/>
      <w:sz w:val="18"/>
      <w:szCs w:val="18"/>
    </w:rPr>
  </w:style>
  <w:style w:type="character" w:customStyle="1" w:styleId="36">
    <w:name w:val="页眉 字符"/>
    <w:link w:val="17"/>
    <w:autoRedefine/>
    <w:qFormat/>
    <w:uiPriority w:val="0"/>
    <w:rPr>
      <w:rFonts w:ascii="@仿宋_GB2312" w:hAnsi="@仿宋_GB2312" w:eastAsia="@仿宋_GB2312" w:cs="@仿宋_GB2312"/>
      <w:sz w:val="18"/>
      <w:szCs w:val="18"/>
    </w:rPr>
  </w:style>
  <w:style w:type="character" w:customStyle="1" w:styleId="37">
    <w:name w:val="页脚 字符"/>
    <w:link w:val="16"/>
    <w:autoRedefine/>
    <w:qFormat/>
    <w:uiPriority w:val="99"/>
    <w:rPr>
      <w:rFonts w:ascii="@仿宋_GB2312" w:hAnsi="@仿宋_GB2312" w:eastAsia="@仿宋_GB2312" w:cs="@仿宋_GB2312"/>
      <w:sz w:val="18"/>
      <w:szCs w:val="18"/>
    </w:rPr>
  </w:style>
  <w:style w:type="character" w:customStyle="1" w:styleId="38">
    <w:name w:val="纯文本 字符"/>
    <w:link w:val="13"/>
    <w:autoRedefine/>
    <w:qFormat/>
    <w:uiPriority w:val="0"/>
    <w:rPr>
      <w:rFonts w:ascii="宋体" w:hAnsi="Courier New"/>
    </w:rPr>
  </w:style>
  <w:style w:type="character" w:customStyle="1" w:styleId="39">
    <w:name w:val="纯文本 字符1"/>
    <w:autoRedefine/>
    <w:semiHidden/>
    <w:qFormat/>
    <w:uiPriority w:val="99"/>
    <w:rPr>
      <w:rFonts w:ascii="宋体" w:hAnsi="Courier New" w:cs="Courier New"/>
      <w:szCs w:val="20"/>
    </w:rPr>
  </w:style>
  <w:style w:type="character" w:customStyle="1" w:styleId="40">
    <w:name w:val="未处理的提及1"/>
    <w:autoRedefine/>
    <w:semiHidden/>
    <w:unhideWhenUsed/>
    <w:qFormat/>
    <w:uiPriority w:val="99"/>
    <w:rPr>
      <w:color w:val="605E5C"/>
      <w:shd w:val="clear" w:color="auto" w:fill="E1DFDD"/>
    </w:rPr>
  </w:style>
  <w:style w:type="character" w:customStyle="1" w:styleId="41">
    <w:name w:val="日期 字符"/>
    <w:autoRedefine/>
    <w:semiHidden/>
    <w:qFormat/>
    <w:uiPriority w:val="99"/>
    <w:rPr>
      <w:rFonts w:ascii="@仿宋_GB2312" w:hAnsi="@仿宋_GB2312" w:eastAsia="@仿宋_GB2312" w:cs="@仿宋_GB2312"/>
      <w:szCs w:val="20"/>
    </w:rPr>
  </w:style>
  <w:style w:type="character" w:customStyle="1" w:styleId="42">
    <w:name w:val="日期 字符1"/>
    <w:link w:val="14"/>
    <w:autoRedefine/>
    <w:qFormat/>
    <w:uiPriority w:val="0"/>
    <w:rPr>
      <w:rFonts w:ascii="Arial" w:hAnsi="Arial" w:eastAsia="宋体" w:cs="Arial"/>
      <w:b/>
      <w:sz w:val="28"/>
      <w:szCs w:val="20"/>
    </w:rPr>
  </w:style>
  <w:style w:type="character" w:customStyle="1" w:styleId="43">
    <w:name w:val="纯文本 Char1"/>
    <w:link w:val="33"/>
    <w:autoRedefine/>
    <w:qFormat/>
    <w:locked/>
    <w:uiPriority w:val="0"/>
    <w:rPr>
      <w:rFonts w:ascii="Arial" w:hAnsi="Arial" w:eastAsia="Arial"/>
      <w:kern w:val="2"/>
      <w:sz w:val="21"/>
      <w:lang w:val="en-US" w:eastAsia="zh-CN" w:bidi="ar-SA"/>
    </w:rPr>
  </w:style>
  <w:style w:type="character" w:customStyle="1" w:styleId="44">
    <w:name w:val="批注文字 Char"/>
    <w:autoRedefine/>
    <w:semiHidden/>
    <w:qFormat/>
    <w:uiPriority w:val="99"/>
    <w:rPr>
      <w:rFonts w:ascii="@仿宋_GB2312" w:hAnsi="@仿宋_GB2312" w:eastAsia="@仿宋_GB2312" w:cs="@仿宋_GB2312"/>
      <w:szCs w:val="20"/>
    </w:rPr>
  </w:style>
  <w:style w:type="character" w:customStyle="1" w:styleId="45">
    <w:name w:val="批注文字 字符"/>
    <w:link w:val="7"/>
    <w:autoRedefine/>
    <w:qFormat/>
    <w:uiPriority w:val="0"/>
    <w:rPr>
      <w:rFonts w:ascii="Arial" w:hAnsi="Arial" w:eastAsia="黑体" w:cs="Arial"/>
      <w:szCs w:val="20"/>
    </w:rPr>
  </w:style>
  <w:style w:type="character" w:customStyle="1" w:styleId="46">
    <w:name w:val="标题 1 字符"/>
    <w:link w:val="3"/>
    <w:autoRedefine/>
    <w:qFormat/>
    <w:uiPriority w:val="9"/>
    <w:rPr>
      <w:rFonts w:ascii="@仿宋_GB2312" w:hAnsi="@仿宋_GB2312" w:eastAsia="@仿宋_GB2312" w:cs="@仿宋_GB2312"/>
      <w:b/>
      <w:bCs/>
      <w:kern w:val="44"/>
      <w:sz w:val="44"/>
      <w:szCs w:val="44"/>
    </w:rPr>
  </w:style>
  <w:style w:type="character" w:customStyle="1" w:styleId="47">
    <w:name w:val="标题 3 字符"/>
    <w:link w:val="2"/>
    <w:autoRedefine/>
    <w:qFormat/>
    <w:uiPriority w:val="9"/>
    <w:rPr>
      <w:rFonts w:ascii="宋体" w:hAnsi="宋体" w:cs="宋体"/>
      <w:b/>
      <w:bCs/>
      <w:color w:val="C00000"/>
      <w:kern w:val="2"/>
      <w:sz w:val="24"/>
      <w:szCs w:val="24"/>
    </w:rPr>
  </w:style>
  <w:style w:type="character" w:customStyle="1" w:styleId="48">
    <w:name w:val="fontstyle01"/>
    <w:autoRedefine/>
    <w:qFormat/>
    <w:uiPriority w:val="0"/>
    <w:rPr>
      <w:rFonts w:hint="eastAsia" w:ascii="宋体" w:hAnsi="宋体" w:eastAsia="宋体"/>
      <w:color w:val="000000"/>
      <w:sz w:val="22"/>
      <w:szCs w:val="22"/>
    </w:rPr>
  </w:style>
  <w:style w:type="character" w:customStyle="1" w:styleId="49">
    <w:name w:val="fontstyle21"/>
    <w:autoRedefine/>
    <w:qFormat/>
    <w:uiPriority w:val="0"/>
    <w:rPr>
      <w:rFonts w:hint="default" w:ascii="TimesNewRomanPSMT" w:hAnsi="TimesNewRomanPSMT"/>
      <w:color w:val="000000"/>
      <w:sz w:val="22"/>
      <w:szCs w:val="22"/>
    </w:rPr>
  </w:style>
  <w:style w:type="character" w:customStyle="1" w:styleId="5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1">
    <w:name w:val="标题 4 字符"/>
    <w:autoRedefine/>
    <w:semiHidden/>
    <w:qFormat/>
    <w:uiPriority w:val="9"/>
    <w:rPr>
      <w:rFonts w:ascii="Cambria" w:hAnsi="Cambria" w:eastAsia="宋体" w:cs="黑体"/>
      <w:b/>
      <w:bCs/>
      <w:sz w:val="28"/>
      <w:szCs w:val="28"/>
    </w:rPr>
  </w:style>
  <w:style w:type="character" w:customStyle="1" w:styleId="52">
    <w:name w:val="标题 4 字符1"/>
    <w:link w:val="5"/>
    <w:autoRedefine/>
    <w:qFormat/>
    <w:uiPriority w:val="0"/>
    <w:rPr>
      <w:rFonts w:ascii="@仿宋_GB2312" w:hAnsi="@仿宋_GB2312" w:eastAsia="@仿宋_GB2312" w:cs="@仿宋_GB2312"/>
      <w:b/>
      <w:bCs/>
      <w:sz w:val="28"/>
      <w:szCs w:val="28"/>
    </w:rPr>
  </w:style>
  <w:style w:type="character" w:customStyle="1" w:styleId="53">
    <w:name w:val="正文文本 字符"/>
    <w:link w:val="8"/>
    <w:autoRedefine/>
    <w:qFormat/>
    <w:uiPriority w:val="0"/>
    <w:rPr>
      <w:rFonts w:ascii="@微软简标宋" w:hAnsi="@微软简标宋" w:eastAsia="@微软简标宋" w:cs="@微软简标宋"/>
      <w:szCs w:val="24"/>
      <w:lang w:val="zh-CN" w:eastAsia="zh-CN"/>
    </w:rPr>
  </w:style>
  <w:style w:type="character" w:customStyle="1" w:styleId="54">
    <w:name w:val="批注主题 字符"/>
    <w:link w:val="21"/>
    <w:autoRedefine/>
    <w:semiHidden/>
    <w:qFormat/>
    <w:uiPriority w:val="99"/>
    <w:rPr>
      <w:rFonts w:ascii="@仿宋_GB2312" w:hAnsi="@仿宋_GB2312" w:eastAsia="@仿宋_GB2312" w:cs="@仿宋_GB2312"/>
      <w:b/>
      <w:bCs/>
      <w:kern w:val="2"/>
      <w:sz w:val="21"/>
      <w:szCs w:val="20"/>
    </w:rPr>
  </w:style>
  <w:style w:type="paragraph" w:customStyle="1" w:styleId="55">
    <w:name w:val="标题 2_0"/>
    <w:basedOn w:val="1"/>
    <w:next w:val="56"/>
    <w:autoRedefine/>
    <w:qFormat/>
    <w:uiPriority w:val="0"/>
    <w:pPr>
      <w:keepNext/>
      <w:keepLines/>
      <w:spacing w:before="260" w:after="260" w:line="500" w:lineRule="exact"/>
      <w:jc w:val="center"/>
      <w:outlineLvl w:val="1"/>
    </w:pPr>
    <w:rPr>
      <w:rFonts w:ascii="黑体" w:hAnsi="宋体" w:eastAsia="黑体"/>
      <w:b/>
      <w:smallCaps/>
      <w:snapToGrid w:val="0"/>
      <w:kern w:val="0"/>
      <w:sz w:val="36"/>
      <w:szCs w:val="24"/>
    </w:rPr>
  </w:style>
  <w:style w:type="paragraph" w:customStyle="1" w:styleId="56">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Default"/>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styleId="58">
    <w:name w:val="List Paragraph"/>
    <w:basedOn w:val="1"/>
    <w:qFormat/>
    <w:uiPriority w:val="1"/>
    <w:pPr>
      <w:widowControl/>
      <w:kinsoku w:val="0"/>
      <w:autoSpaceDE w:val="0"/>
      <w:autoSpaceDN w:val="0"/>
      <w:adjustRightInd w:val="0"/>
      <w:snapToGrid w:val="0"/>
      <w:ind w:left="247" w:firstLine="550"/>
      <w:jc w:val="left"/>
      <w:textAlignment w:val="baseline"/>
    </w:pPr>
    <w:rPr>
      <w:rFonts w:ascii="Arial" w:hAnsi="Arial" w:eastAsia="Arial" w:cs="Arial"/>
      <w:snapToGrid w:val="0"/>
      <w:color w:val="000000"/>
      <w:kern w:val="0"/>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59</Pages>
  <Words>27656</Words>
  <Characters>28836</Characters>
  <Lines>218</Lines>
  <Paragraphs>61</Paragraphs>
  <TotalTime>0</TotalTime>
  <ScaleCrop>false</ScaleCrop>
  <LinksUpToDate>false</LinksUpToDate>
  <CharactersWithSpaces>30057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2019-05-07T06:32:00Z</dcterms:created>
  <dc:creator>Anakin</dc:creator>
  <cp:lastModifiedBy>耿新雨</cp:lastModifiedBy>
  <cp:lastPrinted>2024-10-09T00:07:00Z</cp:lastPrinted>
  <dcterms:modified xsi:type="dcterms:W3CDTF">2025-01-24T06:47:48Z</dcterms:modified>
  <dc:title>竞争性磋商文件</dc:title>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B4A5C73E6605D67299E39267463F8B22_43</vt:lpwstr>
  </property>
  <property fmtid="{D5CDD505-2E9C-101B-9397-08002B2CF9AE}" pid="4" name="commondata">
    <vt:lpwstr>eyJoZGlkIjoiYmI2NDUwYjViNjdjMjE3YmI2NjllZGI2ZDQxNDQxMDMifQ==</vt:lpwstr>
  </property>
  <property fmtid="{D5CDD505-2E9C-101B-9397-08002B2CF9AE}" pid="5" name="KSOTemplateDocerSaveRecord">
    <vt:lpwstr>eyJoZGlkIjoiNTFlYTQxN2I4YWExYWM0MzgyOGM1YmViMTZhN2U2YWEiLCJ1c2VySWQiOiIyOTE2NTA1NDQifQ==</vt:lpwstr>
  </property>
</Properties>
</file>