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3F41C">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p>
    <w:p w14:paraId="7CE8C4FD">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p>
    <w:p w14:paraId="08DA10A1">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52"/>
          <w:szCs w:val="52"/>
          <w:highlight w:val="none"/>
        </w:rPr>
      </w:pPr>
      <w:bookmarkStart w:id="0" w:name="_Hlk9544796"/>
      <w:r>
        <w:rPr>
          <w:rFonts w:hint="eastAsia" w:ascii="宋体" w:hAnsi="宋体" w:eastAsia="宋体" w:cs="宋体"/>
          <w:b/>
          <w:bCs/>
          <w:color w:val="auto"/>
          <w:sz w:val="52"/>
          <w:szCs w:val="52"/>
          <w:highlight w:val="none"/>
        </w:rPr>
        <w:t>竞争性磋商文件</w:t>
      </w:r>
    </w:p>
    <w:p w14:paraId="30BCA790">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（服务类）</w:t>
      </w:r>
    </w:p>
    <w:bookmarkEnd w:id="0"/>
    <w:p w14:paraId="50750632">
      <w:pPr>
        <w:tabs>
          <w:tab w:val="left" w:pos="315"/>
          <w:tab w:val="left" w:pos="8820"/>
        </w:tabs>
        <w:spacing w:before="240" w:beforeLines="100" w:after="120" w:afterLines="50" w:line="500" w:lineRule="exact"/>
        <w:ind w:right="267" w:rightChars="127"/>
        <w:jc w:val="center"/>
        <w:rPr>
          <w:rFonts w:hint="eastAsia" w:ascii="宋体" w:hAnsi="宋体" w:eastAsia="宋体" w:cs="宋体"/>
          <w:bCs/>
          <w:color w:val="auto"/>
          <w:sz w:val="44"/>
          <w:szCs w:val="44"/>
          <w:highlight w:val="none"/>
        </w:rPr>
      </w:pPr>
    </w:p>
    <w:p w14:paraId="347B7F8F">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00D97129">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30D6EE10">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4077B02F">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4AAECE48">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2F2C822A">
      <w:pPr>
        <w:tabs>
          <w:tab w:val="left" w:pos="2410"/>
        </w:tabs>
        <w:autoSpaceDE w:val="0"/>
        <w:autoSpaceDN w:val="0"/>
        <w:adjustRightInd w:val="0"/>
        <w:snapToGrid w:val="0"/>
        <w:spacing w:line="360" w:lineRule="auto"/>
        <w:ind w:firstLine="361" w:firstLineChars="100"/>
        <w:rPr>
          <w:rFonts w:hint="eastAsia" w:ascii="宋体" w:hAnsi="宋体" w:eastAsia="宋体" w:cs="宋体"/>
          <w:b/>
          <w:color w:val="auto"/>
          <w:spacing w:val="20"/>
          <w:kern w:val="0"/>
          <w:sz w:val="32"/>
          <w:szCs w:val="32"/>
          <w:highlight w:val="none"/>
          <w:lang w:eastAsia="zh-CN"/>
        </w:rPr>
      </w:pPr>
      <w:r>
        <w:rPr>
          <w:rFonts w:hint="eastAsia" w:ascii="宋体" w:hAnsi="宋体" w:eastAsia="宋体" w:cs="宋体"/>
          <w:b/>
          <w:color w:val="auto"/>
          <w:spacing w:val="20"/>
          <w:kern w:val="0"/>
          <w:sz w:val="32"/>
          <w:szCs w:val="32"/>
          <w:highlight w:val="none"/>
        </w:rPr>
        <w:t>项目名称：</w:t>
      </w:r>
      <w:r>
        <w:rPr>
          <w:rFonts w:hint="eastAsia" w:ascii="宋体" w:hAnsi="宋体" w:eastAsia="宋体" w:cs="宋体"/>
          <w:b/>
          <w:color w:val="auto"/>
          <w:spacing w:val="20"/>
          <w:kern w:val="0"/>
          <w:sz w:val="32"/>
          <w:szCs w:val="32"/>
          <w:highlight w:val="none"/>
          <w:u w:val="single"/>
          <w:lang w:eastAsia="zh-CN"/>
        </w:rPr>
        <w:t>包河区体艺中心合肥市师范附属小学课程服务单位（</w:t>
      </w:r>
      <w:r>
        <w:rPr>
          <w:rFonts w:hint="eastAsia" w:ascii="宋体" w:hAnsi="宋体" w:eastAsia="宋体" w:cs="宋体"/>
          <w:b/>
          <w:color w:val="auto"/>
          <w:spacing w:val="20"/>
          <w:kern w:val="0"/>
          <w:sz w:val="32"/>
          <w:szCs w:val="32"/>
          <w:highlight w:val="none"/>
          <w:u w:val="single"/>
          <w:lang w:val="en-US" w:eastAsia="zh-CN"/>
        </w:rPr>
        <w:t>第二部分</w:t>
      </w:r>
      <w:r>
        <w:rPr>
          <w:rFonts w:hint="eastAsia" w:ascii="宋体" w:hAnsi="宋体" w:eastAsia="宋体" w:cs="宋体"/>
          <w:b/>
          <w:color w:val="auto"/>
          <w:spacing w:val="20"/>
          <w:kern w:val="0"/>
          <w:sz w:val="32"/>
          <w:szCs w:val="32"/>
          <w:highlight w:val="none"/>
          <w:u w:val="single"/>
          <w:lang w:eastAsia="zh-CN"/>
        </w:rPr>
        <w:t>）招标（</w:t>
      </w:r>
      <w:r>
        <w:rPr>
          <w:rFonts w:hint="eastAsia" w:ascii="宋体" w:hAnsi="宋体" w:eastAsia="宋体" w:cs="宋体"/>
          <w:b/>
          <w:color w:val="auto"/>
          <w:spacing w:val="20"/>
          <w:kern w:val="0"/>
          <w:sz w:val="32"/>
          <w:szCs w:val="32"/>
          <w:highlight w:val="none"/>
          <w:u w:val="single"/>
          <w:lang w:val="en-US" w:eastAsia="zh-CN"/>
        </w:rPr>
        <w:t>二次</w:t>
      </w:r>
      <w:r>
        <w:rPr>
          <w:rFonts w:hint="eastAsia" w:ascii="宋体" w:hAnsi="宋体" w:eastAsia="宋体" w:cs="宋体"/>
          <w:b/>
          <w:color w:val="auto"/>
          <w:spacing w:val="20"/>
          <w:kern w:val="0"/>
          <w:sz w:val="32"/>
          <w:szCs w:val="32"/>
          <w:highlight w:val="none"/>
          <w:u w:val="single"/>
          <w:lang w:eastAsia="zh-CN"/>
        </w:rPr>
        <w:t>）</w:t>
      </w:r>
    </w:p>
    <w:p w14:paraId="598A4F36">
      <w:pPr>
        <w:tabs>
          <w:tab w:val="left" w:pos="2410"/>
        </w:tabs>
        <w:autoSpaceDE w:val="0"/>
        <w:autoSpaceDN w:val="0"/>
        <w:adjustRightInd w:val="0"/>
        <w:snapToGrid w:val="0"/>
        <w:spacing w:line="360" w:lineRule="auto"/>
        <w:ind w:firstLine="361" w:firstLineChars="100"/>
        <w:rPr>
          <w:rFonts w:hint="eastAsia" w:ascii="宋体" w:hAnsi="宋体" w:eastAsia="宋体" w:cs="宋体"/>
          <w:b/>
          <w:color w:val="auto"/>
          <w:spacing w:val="20"/>
          <w:kern w:val="0"/>
          <w:sz w:val="32"/>
          <w:szCs w:val="32"/>
          <w:highlight w:val="none"/>
          <w:u w:val="single"/>
        </w:rPr>
      </w:pPr>
      <w:r>
        <w:rPr>
          <w:rFonts w:hint="eastAsia" w:ascii="宋体" w:hAnsi="宋体" w:eastAsia="宋体" w:cs="宋体"/>
          <w:b/>
          <w:color w:val="auto"/>
          <w:spacing w:val="20"/>
          <w:kern w:val="0"/>
          <w:sz w:val="32"/>
          <w:szCs w:val="32"/>
          <w:highlight w:val="none"/>
        </w:rPr>
        <w:t>招 标 人：</w:t>
      </w:r>
      <w:r>
        <w:rPr>
          <w:rFonts w:hint="eastAsia" w:ascii="宋体" w:hAnsi="宋体" w:eastAsia="宋体" w:cs="宋体"/>
          <w:b/>
          <w:color w:val="auto"/>
          <w:spacing w:val="20"/>
          <w:kern w:val="0"/>
          <w:sz w:val="32"/>
          <w:szCs w:val="32"/>
          <w:highlight w:val="none"/>
          <w:u w:val="single"/>
        </w:rPr>
        <w:t>合肥滨湖时光体育发展有限公司</w:t>
      </w:r>
    </w:p>
    <w:p w14:paraId="2ECF2D58">
      <w:pPr>
        <w:tabs>
          <w:tab w:val="left" w:pos="2410"/>
        </w:tabs>
        <w:autoSpaceDE w:val="0"/>
        <w:autoSpaceDN w:val="0"/>
        <w:adjustRightInd w:val="0"/>
        <w:snapToGrid w:val="0"/>
        <w:spacing w:line="360" w:lineRule="auto"/>
        <w:ind w:firstLine="361" w:firstLineChars="100"/>
        <w:jc w:val="left"/>
        <w:rPr>
          <w:rFonts w:hint="eastAsia" w:ascii="宋体" w:hAnsi="DotumChe" w:eastAsia="宋体" w:cs="宋体"/>
          <w:color w:val="auto"/>
          <w:spacing w:val="20"/>
          <w:kern w:val="0"/>
          <w:sz w:val="32"/>
          <w:szCs w:val="32"/>
          <w:highlight w:val="none"/>
        </w:rPr>
      </w:pPr>
      <w:r>
        <w:rPr>
          <w:rFonts w:hint="eastAsia" w:ascii="宋体" w:hAnsi="宋体" w:eastAsia="宋体" w:cs="宋体"/>
          <w:b/>
          <w:color w:val="auto"/>
          <w:spacing w:val="20"/>
          <w:kern w:val="0"/>
          <w:sz w:val="32"/>
          <w:szCs w:val="32"/>
          <w:highlight w:val="none"/>
        </w:rPr>
        <w:t>采购时间：</w:t>
      </w:r>
      <w:r>
        <w:rPr>
          <w:rFonts w:hint="eastAsia" w:ascii="宋体" w:hAnsi="宋体" w:eastAsia="宋体" w:cs="宋体"/>
          <w:b/>
          <w:color w:val="auto"/>
          <w:spacing w:val="20"/>
          <w:kern w:val="0"/>
          <w:sz w:val="32"/>
          <w:szCs w:val="32"/>
          <w:highlight w:val="none"/>
          <w:u w:val="single"/>
        </w:rPr>
        <w:t>202</w:t>
      </w:r>
      <w:r>
        <w:rPr>
          <w:rFonts w:hint="eastAsia" w:ascii="宋体" w:hAnsi="宋体" w:eastAsia="宋体" w:cs="宋体"/>
          <w:b/>
          <w:color w:val="auto"/>
          <w:spacing w:val="20"/>
          <w:kern w:val="0"/>
          <w:sz w:val="32"/>
          <w:szCs w:val="32"/>
          <w:highlight w:val="none"/>
          <w:u w:val="single"/>
          <w:lang w:val="en-US" w:eastAsia="zh-CN"/>
        </w:rPr>
        <w:t>5</w:t>
      </w:r>
      <w:r>
        <w:rPr>
          <w:rFonts w:hint="eastAsia" w:ascii="宋体" w:hAnsi="宋体" w:eastAsia="宋体" w:cs="宋体"/>
          <w:b/>
          <w:color w:val="auto"/>
          <w:spacing w:val="20"/>
          <w:kern w:val="0"/>
          <w:sz w:val="32"/>
          <w:szCs w:val="32"/>
          <w:highlight w:val="none"/>
          <w:u w:val="single"/>
        </w:rPr>
        <w:t>年1月</w:t>
      </w:r>
    </w:p>
    <w:p w14:paraId="1BA8AA4E">
      <w:pPr>
        <w:tabs>
          <w:tab w:val="left" w:pos="2410"/>
        </w:tabs>
        <w:autoSpaceDE w:val="0"/>
        <w:autoSpaceDN w:val="0"/>
        <w:adjustRightInd w:val="0"/>
        <w:snapToGrid w:val="0"/>
        <w:spacing w:line="360" w:lineRule="auto"/>
        <w:ind w:firstLine="361" w:firstLineChars="100"/>
        <w:rPr>
          <w:rFonts w:hint="eastAsia" w:ascii="宋体" w:hAnsi="宋体" w:eastAsia="宋体" w:cs="宋体"/>
          <w:b/>
          <w:color w:val="auto"/>
          <w:spacing w:val="20"/>
          <w:kern w:val="0"/>
          <w:sz w:val="32"/>
          <w:szCs w:val="32"/>
          <w:highlight w:val="none"/>
        </w:rPr>
      </w:pPr>
    </w:p>
    <w:p w14:paraId="2A0DAF2C">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color w:val="auto"/>
          <w:sz w:val="44"/>
          <w:szCs w:val="44"/>
          <w:highlight w:val="none"/>
        </w:rPr>
      </w:pPr>
    </w:p>
    <w:p w14:paraId="6A05FBAE">
      <w:pPr>
        <w:tabs>
          <w:tab w:val="left" w:pos="2410"/>
        </w:tabs>
        <w:autoSpaceDE w:val="0"/>
        <w:autoSpaceDN w:val="0"/>
        <w:adjustRightInd w:val="0"/>
        <w:snapToGrid w:val="0"/>
        <w:spacing w:line="360" w:lineRule="auto"/>
        <w:jc w:val="center"/>
        <w:rPr>
          <w:rFonts w:hint="eastAsia" w:ascii="宋体" w:hAnsi="宋体" w:eastAsia="宋体" w:cs="宋体"/>
          <w:b/>
          <w:color w:val="auto"/>
          <w:sz w:val="36"/>
          <w:highlight w:val="none"/>
          <w:u w:val="single"/>
        </w:rPr>
      </w:pPr>
    </w:p>
    <w:p w14:paraId="0295341B">
      <w:pPr>
        <w:tabs>
          <w:tab w:val="left" w:pos="2410"/>
        </w:tabs>
        <w:autoSpaceDE w:val="0"/>
        <w:autoSpaceDN w:val="0"/>
        <w:adjustRightInd w:val="0"/>
        <w:snapToGrid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u w:val="single"/>
        </w:rPr>
        <w:t xml:space="preserve"> 202</w:t>
      </w:r>
      <w:r>
        <w:rPr>
          <w:rFonts w:hint="eastAsia" w:ascii="宋体" w:hAnsi="宋体" w:eastAsia="宋体" w:cs="宋体"/>
          <w:b/>
          <w:color w:val="auto"/>
          <w:sz w:val="36"/>
          <w:highlight w:val="none"/>
          <w:u w:val="single"/>
          <w:lang w:val="en-US" w:eastAsia="zh-CN"/>
        </w:rPr>
        <w:t>5</w:t>
      </w:r>
      <w:r>
        <w:rPr>
          <w:rFonts w:hint="eastAsia" w:ascii="宋体" w:hAnsi="宋体" w:eastAsia="宋体" w:cs="宋体"/>
          <w:b/>
          <w:color w:val="auto"/>
          <w:sz w:val="36"/>
          <w:highlight w:val="none"/>
          <w:u w:val="single"/>
        </w:rPr>
        <w:t xml:space="preserve"> </w:t>
      </w:r>
      <w:r>
        <w:rPr>
          <w:rFonts w:hint="eastAsia" w:ascii="宋体" w:hAnsi="宋体" w:eastAsia="宋体" w:cs="宋体"/>
          <w:b/>
          <w:color w:val="auto"/>
          <w:sz w:val="36"/>
          <w:highlight w:val="none"/>
        </w:rPr>
        <w:t>年</w:t>
      </w:r>
      <w:r>
        <w:rPr>
          <w:rFonts w:hint="eastAsia" w:ascii="宋体" w:hAnsi="宋体" w:eastAsia="宋体" w:cs="宋体"/>
          <w:b/>
          <w:color w:val="auto"/>
          <w:sz w:val="36"/>
          <w:highlight w:val="none"/>
          <w:u w:val="single"/>
        </w:rPr>
        <w:t xml:space="preserve"> 1 </w:t>
      </w:r>
      <w:r>
        <w:rPr>
          <w:rFonts w:hint="eastAsia" w:ascii="宋体" w:hAnsi="宋体" w:eastAsia="宋体" w:cs="宋体"/>
          <w:b/>
          <w:color w:val="auto"/>
          <w:sz w:val="36"/>
          <w:highlight w:val="none"/>
        </w:rPr>
        <w:t>月</w:t>
      </w:r>
      <w:r>
        <w:rPr>
          <w:rFonts w:hint="eastAsia" w:ascii="宋体" w:hAnsi="宋体" w:eastAsia="宋体" w:cs="宋体"/>
          <w:b/>
          <w:color w:val="auto"/>
          <w:sz w:val="36"/>
          <w:highlight w:val="none"/>
        </w:rPr>
        <w:br w:type="page"/>
      </w:r>
    </w:p>
    <w:p w14:paraId="30FCA6E2">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679AF2FC">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p>
    <w:p w14:paraId="3E6897F2">
      <w:pPr>
        <w:pStyle w:val="19"/>
        <w:tabs>
          <w:tab w:val="right" w:leader="dot" w:pos="8269"/>
        </w:tabs>
        <w:rPr>
          <w:rFonts w:hint="eastAsia" w:ascii="宋体" w:hAnsi="宋体" w:cs="宋体"/>
          <w:color w:val="auto"/>
          <w:kern w:val="2"/>
          <w:sz w:val="21"/>
          <w:highlight w:val="none"/>
        </w:rPr>
      </w:pPr>
      <w:r>
        <w:rPr>
          <w:rFonts w:hint="eastAsia" w:ascii="宋体" w:hAnsi="宋体" w:cs="宋体"/>
          <w:b/>
          <w:color w:val="auto"/>
          <w:sz w:val="24"/>
          <w:szCs w:val="24"/>
          <w:highlight w:val="none"/>
        </w:rPr>
        <w:fldChar w:fldCharType="begin"/>
      </w:r>
      <w:r>
        <w:rPr>
          <w:rFonts w:hint="eastAsia" w:ascii="宋体" w:hAnsi="宋体" w:cs="宋体"/>
          <w:b/>
          <w:color w:val="auto"/>
          <w:sz w:val="24"/>
          <w:szCs w:val="24"/>
          <w:highlight w:val="none"/>
        </w:rPr>
        <w:instrText xml:space="preserve"> TOC \o "1-2" \h \z \u </w:instrText>
      </w:r>
      <w:r>
        <w:rPr>
          <w:rFonts w:hint="eastAsia" w:ascii="宋体" w:hAnsi="宋体" w:cs="宋体"/>
          <w:b/>
          <w:color w:val="auto"/>
          <w:sz w:val="24"/>
          <w:szCs w:val="24"/>
          <w:highlight w:val="none"/>
        </w:rPr>
        <w:fldChar w:fldCharType="separate"/>
      </w:r>
      <w:r>
        <w:rPr>
          <w:color w:val="auto"/>
          <w:highlight w:val="none"/>
        </w:rPr>
        <w:fldChar w:fldCharType="begin"/>
      </w:r>
      <w:r>
        <w:rPr>
          <w:color w:val="auto"/>
          <w:highlight w:val="none"/>
        </w:rPr>
        <w:instrText xml:space="preserve"> HYPERLINK \l "_Toc47026330" </w:instrText>
      </w:r>
      <w:r>
        <w:rPr>
          <w:color w:val="auto"/>
          <w:highlight w:val="none"/>
        </w:rPr>
        <w:fldChar w:fldCharType="separate"/>
      </w:r>
      <w:r>
        <w:rPr>
          <w:rStyle w:val="26"/>
          <w:rFonts w:hint="eastAsia" w:ascii="宋体" w:hAnsi="宋体" w:cs="宋体"/>
          <w:b/>
          <w:color w:val="auto"/>
          <w:highlight w:val="none"/>
        </w:rPr>
        <w:t>第一章  磋商公告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_Toc47026330 \h </w:instrText>
      </w:r>
      <w:r>
        <w:rPr>
          <w:rFonts w:hint="eastAsia" w:ascii="宋体" w:hAnsi="宋体" w:cs="宋体"/>
          <w:color w:val="auto"/>
          <w:highlight w:val="none"/>
        </w:rPr>
        <w:fldChar w:fldCharType="separate"/>
      </w:r>
      <w:r>
        <w:rPr>
          <w:rFonts w:hint="eastAsia" w:ascii="宋体" w:hAnsi="宋体" w:cs="宋体"/>
          <w:color w:val="auto"/>
          <w:highlight w:val="none"/>
        </w:rPr>
        <w:t>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D99F60E">
      <w:pPr>
        <w:pStyle w:val="1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"_Toc47026333" </w:instrText>
      </w:r>
      <w:r>
        <w:rPr>
          <w:color w:val="auto"/>
          <w:highlight w:val="none"/>
        </w:rPr>
        <w:fldChar w:fldCharType="separate"/>
      </w:r>
      <w:r>
        <w:rPr>
          <w:rStyle w:val="26"/>
          <w:rFonts w:hint="eastAsia" w:ascii="宋体" w:hAnsi="宋体" w:cs="宋体"/>
          <w:b/>
          <w:color w:val="auto"/>
          <w:highlight w:val="none"/>
        </w:rPr>
        <w:t>第二章  投标人须知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_Toc47026333 \h </w:instrText>
      </w:r>
      <w:r>
        <w:rPr>
          <w:rFonts w:hint="eastAsia" w:ascii="宋体" w:hAnsi="宋体" w:cs="宋体"/>
          <w:color w:val="auto"/>
          <w:highlight w:val="none"/>
        </w:rPr>
        <w:fldChar w:fldCharType="separate"/>
      </w:r>
      <w:r>
        <w:rPr>
          <w:rFonts w:hint="eastAsia" w:ascii="宋体" w:hAnsi="宋体" w:cs="宋体"/>
          <w:color w:val="auto"/>
          <w:highlight w:val="none"/>
        </w:rPr>
        <w:t>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6815A71">
      <w:pPr>
        <w:pStyle w:val="1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"_Toc47026334" </w:instrText>
      </w:r>
      <w:r>
        <w:rPr>
          <w:color w:val="auto"/>
          <w:highlight w:val="none"/>
        </w:rPr>
        <w:fldChar w:fldCharType="separate"/>
      </w:r>
      <w:r>
        <w:rPr>
          <w:rStyle w:val="26"/>
          <w:rFonts w:hint="eastAsia" w:ascii="宋体" w:hAnsi="宋体" w:cs="宋体"/>
          <w:b/>
          <w:color w:val="auto"/>
          <w:highlight w:val="none"/>
        </w:rPr>
        <w:t>第三章  招标需求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_Toc47026334 \h </w:instrText>
      </w:r>
      <w:r>
        <w:rPr>
          <w:rFonts w:hint="eastAsia" w:ascii="宋体" w:hAnsi="宋体" w:cs="宋体"/>
          <w:color w:val="auto"/>
          <w:highlight w:val="none"/>
        </w:rPr>
        <w:fldChar w:fldCharType="separate"/>
      </w:r>
      <w:r>
        <w:rPr>
          <w:rFonts w:hint="eastAsia" w:ascii="宋体" w:hAnsi="宋体" w:cs="宋体"/>
          <w:color w:val="auto"/>
          <w:highlight w:val="none"/>
        </w:rPr>
        <w:t>19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B777558">
      <w:pPr>
        <w:pStyle w:val="1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"_Toc47026335" </w:instrText>
      </w:r>
      <w:r>
        <w:rPr>
          <w:color w:val="auto"/>
          <w:highlight w:val="none"/>
        </w:rPr>
        <w:fldChar w:fldCharType="separate"/>
      </w:r>
      <w:r>
        <w:rPr>
          <w:rStyle w:val="26"/>
          <w:rFonts w:hint="eastAsia" w:ascii="宋体" w:hAnsi="宋体" w:cs="宋体"/>
          <w:b/>
          <w:color w:val="auto"/>
          <w:highlight w:val="none"/>
        </w:rPr>
        <w:t>第四章  评审方法和标准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_Toc47026335 \h </w:instrText>
      </w:r>
      <w:r>
        <w:rPr>
          <w:rFonts w:hint="eastAsia" w:ascii="宋体" w:hAnsi="宋体" w:cs="宋体"/>
          <w:color w:val="auto"/>
          <w:highlight w:val="none"/>
        </w:rPr>
        <w:fldChar w:fldCharType="separate"/>
      </w:r>
      <w:r>
        <w:rPr>
          <w:rFonts w:hint="eastAsia" w:ascii="宋体" w:hAnsi="宋体" w:cs="宋体"/>
          <w:color w:val="auto"/>
          <w:highlight w:val="none"/>
        </w:rPr>
        <w:t>24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0DD9812">
      <w:pPr>
        <w:pStyle w:val="1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"_Toc47026336" </w:instrText>
      </w:r>
      <w:r>
        <w:rPr>
          <w:color w:val="auto"/>
          <w:highlight w:val="none"/>
        </w:rPr>
        <w:fldChar w:fldCharType="separate"/>
      </w:r>
      <w:r>
        <w:rPr>
          <w:rStyle w:val="26"/>
          <w:rFonts w:hint="eastAsia" w:ascii="宋体" w:hAnsi="宋体" w:cs="宋体"/>
          <w:b/>
          <w:color w:val="auto"/>
          <w:highlight w:val="none"/>
        </w:rPr>
        <w:t>第五章  合同模板</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_Toc47026336 \h </w:instrText>
      </w:r>
      <w:r>
        <w:rPr>
          <w:rFonts w:hint="eastAsia" w:ascii="宋体" w:hAnsi="宋体" w:cs="宋体"/>
          <w:color w:val="auto"/>
          <w:highlight w:val="none"/>
        </w:rPr>
        <w:fldChar w:fldCharType="separate"/>
      </w:r>
      <w:r>
        <w:rPr>
          <w:rFonts w:hint="eastAsia" w:ascii="宋体" w:hAnsi="宋体" w:cs="宋体"/>
          <w:color w:val="auto"/>
          <w:highlight w:val="none"/>
        </w:rPr>
        <w:t>31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01FC1FC">
      <w:pPr>
        <w:pStyle w:val="19"/>
        <w:tabs>
          <w:tab w:val="right" w:leader="dot" w:pos="8269"/>
        </w:tabs>
        <w:rPr>
          <w:rFonts w:hint="eastAsia" w:ascii="宋体" w:hAnsi="宋体" w:cs="宋体"/>
          <w:color w:val="auto"/>
          <w:kern w:val="2"/>
          <w:sz w:val="21"/>
          <w:highlight w:val="none"/>
        </w:rPr>
      </w:pPr>
      <w:r>
        <w:rPr>
          <w:color w:val="auto"/>
          <w:highlight w:val="none"/>
        </w:rPr>
        <w:fldChar w:fldCharType="begin"/>
      </w:r>
      <w:r>
        <w:rPr>
          <w:color w:val="auto"/>
          <w:highlight w:val="none"/>
        </w:rPr>
        <w:instrText xml:space="preserve"> HYPERLINK \l "_Toc47026337" </w:instrText>
      </w:r>
      <w:r>
        <w:rPr>
          <w:color w:val="auto"/>
          <w:highlight w:val="none"/>
        </w:rPr>
        <w:fldChar w:fldCharType="separate"/>
      </w:r>
      <w:r>
        <w:rPr>
          <w:rStyle w:val="26"/>
          <w:rFonts w:hint="eastAsia" w:ascii="宋体" w:hAnsi="宋体" w:cs="宋体"/>
          <w:b/>
          <w:color w:val="auto"/>
          <w:highlight w:val="none"/>
        </w:rPr>
        <w:t>第六章  响应文件格式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_Toc47026337 \h </w:instrText>
      </w:r>
      <w:r>
        <w:rPr>
          <w:rFonts w:hint="eastAsia" w:ascii="宋体" w:hAnsi="宋体" w:cs="宋体"/>
          <w:color w:val="auto"/>
          <w:highlight w:val="none"/>
        </w:rPr>
        <w:fldChar w:fldCharType="separate"/>
      </w:r>
      <w:r>
        <w:rPr>
          <w:rFonts w:hint="eastAsia" w:ascii="宋体" w:hAnsi="宋体" w:cs="宋体"/>
          <w:color w:val="auto"/>
          <w:highlight w:val="none"/>
        </w:rPr>
        <w:t>40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D61930D">
      <w:pPr>
        <w:pStyle w:val="19"/>
        <w:tabs>
          <w:tab w:val="right" w:leader="dot" w:pos="8296"/>
        </w:tabs>
        <w:rPr>
          <w:rFonts w:hint="eastAsia" w:ascii="宋体" w:hAnsi="宋体" w:cs="宋体"/>
          <w:b/>
          <w:color w:val="auto"/>
          <w:sz w:val="32"/>
          <w:highlight w:val="none"/>
        </w:rPr>
      </w:pPr>
      <w:r>
        <w:rPr>
          <w:rFonts w:hint="eastAsia" w:ascii="宋体" w:hAnsi="宋体" w:cs="宋体"/>
          <w:b/>
          <w:color w:val="auto"/>
          <w:sz w:val="24"/>
          <w:szCs w:val="24"/>
          <w:highlight w:val="none"/>
        </w:rPr>
        <w:fldChar w:fldCharType="end"/>
      </w:r>
    </w:p>
    <w:p w14:paraId="7C6BA814">
      <w:pPr>
        <w:spacing w:line="360" w:lineRule="auto"/>
        <w:jc w:val="center"/>
        <w:outlineLvl w:val="1"/>
        <w:rPr>
          <w:rFonts w:hint="eastAsia" w:ascii="宋体" w:hAnsi="宋体" w:eastAsia="宋体" w:cs="宋体"/>
          <w:b/>
          <w:color w:val="auto"/>
          <w:sz w:val="28"/>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p>
    <w:p w14:paraId="7797B4FC">
      <w:pPr>
        <w:spacing w:line="360" w:lineRule="auto"/>
        <w:jc w:val="center"/>
        <w:outlineLvl w:val="1"/>
        <w:rPr>
          <w:rFonts w:hint="eastAsia" w:ascii="宋体" w:hAnsi="宋体" w:eastAsia="宋体" w:cs="宋体"/>
          <w:b/>
          <w:color w:val="auto"/>
          <w:sz w:val="28"/>
          <w:highlight w:val="none"/>
        </w:rPr>
      </w:pPr>
      <w:bookmarkStart w:id="1" w:name="_Toc47026330"/>
    </w:p>
    <w:p w14:paraId="2A434D97">
      <w:pPr>
        <w:spacing w:line="360" w:lineRule="auto"/>
        <w:jc w:val="center"/>
        <w:outlineLvl w:val="1"/>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第一章  磋商公告</w:t>
      </w:r>
      <w:bookmarkEnd w:id="1"/>
    </w:p>
    <w:p w14:paraId="7304606F">
      <w:pPr>
        <w:spacing w:line="360" w:lineRule="auto"/>
        <w:ind w:firstLine="480" w:firstLineChars="200"/>
        <w:jc w:val="left"/>
        <w:outlineLvl w:val="1"/>
        <w:rPr>
          <w:rFonts w:hint="eastAsia" w:ascii="宋体" w:hAnsi="宋体" w:eastAsia="宋体" w:cs="宋体"/>
          <w:b/>
          <w:color w:val="auto"/>
          <w:sz w:val="24"/>
          <w:szCs w:val="24"/>
          <w:highlight w:val="none"/>
        </w:rPr>
      </w:pPr>
      <w:bookmarkStart w:id="2" w:name="_Toc44606294"/>
      <w:bookmarkStart w:id="3" w:name="_Toc47026331"/>
      <w:r>
        <w:rPr>
          <w:rFonts w:hint="eastAsia" w:ascii="宋体" w:hAnsi="宋体" w:eastAsia="宋体" w:cs="宋体"/>
          <w:color w:val="auto"/>
          <w:sz w:val="24"/>
          <w:szCs w:val="24"/>
          <w:highlight w:val="none"/>
        </w:rPr>
        <w:t>为贯彻落实中共安徽省委《关于全面加强和改进新时代学校体育工作的若干措施》和《关于全面加强和改进新时代学校美育工作的若干措施》，加强包河区体艺教育优质发展，促进学生身心健康、全面发展，在包河区教育体育局的指导下，合肥滨湖时光体育发展有限公司（以下简称“招标人”）与合肥市师范附属小学深入合作，在校内开设“体艺特色发展中心”（以下简称“体艺中心”），为广大中小学生提供全面优质的体艺特色教育服务。现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包河区体艺中心合肥市师范附属小学课程服务单位（第二部分）招标（二次）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进行竞争性磋商，欢迎具备条件的</w:t>
      </w:r>
      <w:r>
        <w:rPr>
          <w:rFonts w:hint="eastAsia" w:ascii="宋体" w:hAnsi="宋体" w:eastAsia="宋体" w:cs="宋体"/>
          <w:color w:val="auto"/>
          <w:sz w:val="24"/>
          <w:szCs w:val="24"/>
          <w:highlight w:val="none"/>
          <w:lang w:val="en-US" w:eastAsia="zh-CN"/>
        </w:rPr>
        <w:t>国内</w:t>
      </w:r>
      <w:r>
        <w:rPr>
          <w:rFonts w:hint="eastAsia" w:ascii="宋体" w:hAnsi="宋体" w:eastAsia="宋体" w:cs="宋体"/>
          <w:color w:val="auto"/>
          <w:sz w:val="24"/>
          <w:szCs w:val="24"/>
          <w:highlight w:val="none"/>
        </w:rPr>
        <w:t>投标人参加磋商。</w:t>
      </w:r>
      <w:bookmarkEnd w:id="2"/>
      <w:bookmarkEnd w:id="3"/>
    </w:p>
    <w:p w14:paraId="09F48694">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一、项目名称及内容</w:t>
      </w:r>
    </w:p>
    <w:p w14:paraId="04DB7FCF">
      <w:pPr>
        <w:autoSpaceDE w:val="0"/>
        <w:autoSpaceDN w:val="0"/>
        <w:adjustRightInd w:val="0"/>
        <w:spacing w:line="360" w:lineRule="auto"/>
        <w:ind w:firstLine="436" w:firstLineChars="182"/>
        <w:jc w:val="left"/>
        <w:rPr>
          <w:rFonts w:hint="default" w:ascii="宋体" w:hAnsi="宋体" w:eastAsia="宋体" w:cs="宋体"/>
          <w:color w:val="auto"/>
          <w:sz w:val="24"/>
          <w:szCs w:val="18"/>
          <w:highlight w:val="none"/>
          <w:lang w:val="en-US"/>
        </w:rPr>
      </w:pPr>
      <w:r>
        <w:rPr>
          <w:rFonts w:hint="eastAsia" w:ascii="宋体" w:hAnsi="宋体" w:eastAsia="宋体" w:cs="宋体"/>
          <w:color w:val="auto"/>
          <w:sz w:val="24"/>
          <w:szCs w:val="18"/>
          <w:highlight w:val="none"/>
        </w:rPr>
        <w:t>1.项目编号：</w:t>
      </w:r>
      <w:r>
        <w:rPr>
          <w:rFonts w:hint="eastAsia" w:ascii="宋体" w:hAnsi="宋体" w:eastAsia="宋体" w:cs="宋体"/>
          <w:b/>
          <w:bCs/>
          <w:color w:val="auto"/>
          <w:sz w:val="24"/>
          <w:szCs w:val="18"/>
          <w:highlight w:val="none"/>
          <w:u w:val="single"/>
        </w:rPr>
        <w:t>BHSG</w:t>
      </w:r>
      <w:r>
        <w:rPr>
          <w:rFonts w:hint="eastAsia" w:ascii="宋体" w:hAnsi="宋体" w:eastAsia="宋体" w:cs="宋体"/>
          <w:b/>
          <w:bCs/>
          <w:color w:val="auto"/>
          <w:sz w:val="24"/>
          <w:szCs w:val="18"/>
          <w:highlight w:val="none"/>
          <w:u w:val="single"/>
          <w:lang w:val="en-US" w:eastAsia="zh-CN"/>
        </w:rPr>
        <w:t>-ZTB-2025-04</w:t>
      </w:r>
    </w:p>
    <w:p w14:paraId="73C2E9D5">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lang w:eastAsia="zh-CN"/>
        </w:rPr>
      </w:pPr>
      <w:r>
        <w:rPr>
          <w:rFonts w:hint="eastAsia" w:ascii="宋体" w:hAnsi="宋体" w:eastAsia="宋体" w:cs="宋体"/>
          <w:color w:val="auto"/>
          <w:sz w:val="24"/>
          <w:szCs w:val="18"/>
          <w:highlight w:val="none"/>
        </w:rPr>
        <w:t>2.项目名称：</w:t>
      </w:r>
      <w:r>
        <w:rPr>
          <w:rFonts w:hint="eastAsia" w:ascii="宋体" w:hAnsi="宋体" w:eastAsia="宋体" w:cs="宋体"/>
          <w:color w:val="auto"/>
          <w:sz w:val="24"/>
          <w:szCs w:val="18"/>
          <w:highlight w:val="none"/>
          <w:u w:val="single"/>
          <w:lang w:eastAsia="zh-CN"/>
        </w:rPr>
        <w:t>包河区体艺中心合肥市师范附属小学课程服务单位（第二部分）招标（二次）</w:t>
      </w:r>
    </w:p>
    <w:p w14:paraId="17919514">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3.项目地点：合肥市包河区</w:t>
      </w:r>
      <w:r>
        <w:rPr>
          <w:rFonts w:hint="eastAsia" w:ascii="宋体" w:hAnsi="宋体" w:eastAsia="宋体" w:cs="宋体"/>
          <w:color w:val="auto"/>
          <w:sz w:val="24"/>
          <w:szCs w:val="18"/>
          <w:highlight w:val="none"/>
          <w:lang w:val="en-US" w:eastAsia="zh-CN"/>
        </w:rPr>
        <w:t>滨湖新区中山路180号合肥市师范附属小学及</w:t>
      </w:r>
      <w:r>
        <w:rPr>
          <w:rFonts w:hint="eastAsia" w:ascii="宋体" w:hAnsi="宋体" w:eastAsia="宋体" w:cs="宋体"/>
          <w:color w:val="auto"/>
          <w:sz w:val="24"/>
          <w:szCs w:val="18"/>
          <w:highlight w:val="none"/>
        </w:rPr>
        <w:t>合肥市包河区</w:t>
      </w:r>
      <w:r>
        <w:rPr>
          <w:rFonts w:hint="eastAsia" w:ascii="宋体" w:hAnsi="宋体" w:eastAsia="宋体" w:cs="宋体"/>
          <w:color w:val="auto"/>
          <w:sz w:val="24"/>
          <w:szCs w:val="18"/>
          <w:highlight w:val="none"/>
          <w:lang w:val="en-US" w:eastAsia="zh-CN"/>
        </w:rPr>
        <w:t>滨湖新区林芝路378号合肥市师范附属小学南区。</w:t>
      </w:r>
    </w:p>
    <w:p w14:paraId="4710EE1E">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4.项目单位：</w:t>
      </w:r>
      <w:r>
        <w:rPr>
          <w:rFonts w:hint="eastAsia" w:ascii="宋体" w:hAnsi="宋体" w:eastAsia="宋体" w:cs="宋体"/>
          <w:color w:val="auto"/>
          <w:sz w:val="24"/>
          <w:szCs w:val="24"/>
          <w:highlight w:val="none"/>
        </w:rPr>
        <w:t>合肥滨湖时光体育发展有限公司</w:t>
      </w:r>
    </w:p>
    <w:p w14:paraId="6F8BC42C">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5.项目概况：</w:t>
      </w:r>
      <w:r>
        <w:rPr>
          <w:rFonts w:hint="eastAsia" w:ascii="宋体" w:hAnsi="宋体" w:eastAsia="宋体" w:cs="宋体"/>
          <w:color w:val="auto"/>
          <w:sz w:val="24"/>
          <w:szCs w:val="18"/>
          <w:highlight w:val="none"/>
          <w:u w:val="single"/>
          <w:lang w:eastAsia="zh-CN"/>
        </w:rPr>
        <w:t>包河区体艺中心合肥市师范附属小学课程服务单位（第二部分）招标（二次）</w:t>
      </w:r>
      <w:r>
        <w:rPr>
          <w:rFonts w:hint="eastAsia" w:ascii="宋体" w:hAnsi="宋体" w:eastAsia="宋体" w:cs="宋体"/>
          <w:color w:val="auto"/>
          <w:sz w:val="24"/>
          <w:szCs w:val="18"/>
          <w:highlight w:val="none"/>
        </w:rPr>
        <w:t>，</w:t>
      </w:r>
      <w:r>
        <w:rPr>
          <w:rFonts w:hint="eastAsia" w:ascii="宋体" w:hAnsi="宋体" w:eastAsia="宋体" w:cs="宋体"/>
          <w:color w:val="auto"/>
          <w:sz w:val="24"/>
          <w:highlight w:val="none"/>
        </w:rPr>
        <w:t>详见磋商文件</w:t>
      </w:r>
    </w:p>
    <w:p w14:paraId="5FF1AC91">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6.资金来源：自筹</w:t>
      </w:r>
      <w:r>
        <w:rPr>
          <w:rFonts w:hint="eastAsia" w:ascii="宋体" w:hAnsi="宋体" w:eastAsia="宋体" w:cs="宋体"/>
          <w:color w:val="auto"/>
          <w:sz w:val="24"/>
          <w:szCs w:val="18"/>
          <w:highlight w:val="none"/>
          <w:lang w:val="en-US" w:eastAsia="zh-CN"/>
        </w:rPr>
        <w:t>资金</w:t>
      </w:r>
    </w:p>
    <w:p w14:paraId="56142AFB">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7.项目预算： </w:t>
      </w:r>
    </w:p>
    <w:p w14:paraId="4B6D8FA0">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本项目采用营业额分成方式，投标人需严格按照招标文件要求报出投标人的分成比例作为本项目价格分计算依据和合同签订依据。</w:t>
      </w:r>
    </w:p>
    <w:p w14:paraId="2E2DA093">
      <w:pPr>
        <w:autoSpaceDE w:val="0"/>
        <w:autoSpaceDN w:val="0"/>
        <w:adjustRightInd w:val="0"/>
        <w:spacing w:line="360" w:lineRule="auto"/>
        <w:ind w:firstLine="436" w:firstLineChars="182"/>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8.项目类别：服务类</w:t>
      </w:r>
    </w:p>
    <w:p w14:paraId="5DAA1136">
      <w:pPr>
        <w:autoSpaceDE w:val="0"/>
        <w:autoSpaceDN w:val="0"/>
        <w:adjustRightInd w:val="0"/>
        <w:spacing w:line="360" w:lineRule="auto"/>
        <w:ind w:firstLine="436" w:firstLineChars="182"/>
        <w:jc w:val="left"/>
        <w:rPr>
          <w:rFonts w:hint="default"/>
          <w:color w:val="FF0000"/>
          <w:highlight w:val="none"/>
          <w:lang w:val="en-US" w:eastAsia="zh-CN"/>
        </w:rPr>
      </w:pPr>
      <w:r>
        <w:rPr>
          <w:rFonts w:hint="eastAsia" w:ascii="宋体" w:hAnsi="宋体" w:eastAsia="宋体" w:cs="宋体"/>
          <w:color w:val="auto"/>
          <w:sz w:val="24"/>
          <w:szCs w:val="18"/>
          <w:highlight w:val="none"/>
        </w:rPr>
        <w:t>9.标段（包别）划分：共分</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u w:val="single"/>
          <w:lang w:val="en-US" w:eastAsia="zh-CN"/>
        </w:rPr>
        <w:t>7</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rPr>
        <w:t>个标段</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lang w:val="en-US" w:eastAsia="zh-CN"/>
        </w:rPr>
        <w:t>其中，</w:t>
      </w:r>
      <w:r>
        <w:rPr>
          <w:rFonts w:hint="eastAsia" w:ascii="宋体" w:hAnsi="宋体" w:eastAsia="宋体" w:cs="宋体"/>
          <w:color w:val="auto"/>
          <w:sz w:val="24"/>
          <w:szCs w:val="18"/>
          <w:highlight w:val="none"/>
          <w:lang w:eastAsia="zh-CN"/>
        </w:rPr>
        <w:t>第1标段为</w:t>
      </w:r>
      <w:r>
        <w:rPr>
          <w:rFonts w:hint="eastAsia" w:ascii="宋体" w:hAnsi="宋体" w:eastAsia="宋体" w:cs="宋体"/>
          <w:color w:val="auto"/>
          <w:sz w:val="24"/>
          <w:szCs w:val="18"/>
          <w:highlight w:val="none"/>
          <w:u w:val="single"/>
          <w:lang w:val="en-US" w:eastAsia="zh-CN"/>
        </w:rPr>
        <w:t>民乐</w:t>
      </w:r>
      <w:r>
        <w:rPr>
          <w:rFonts w:hint="eastAsia" w:ascii="宋体" w:hAnsi="宋体" w:eastAsia="宋体" w:cs="宋体"/>
          <w:color w:val="auto"/>
          <w:sz w:val="24"/>
          <w:szCs w:val="18"/>
          <w:highlight w:val="none"/>
          <w:lang w:val="en-US" w:eastAsia="zh-CN"/>
        </w:rPr>
        <w:t>课程；</w:t>
      </w:r>
      <w:r>
        <w:rPr>
          <w:rFonts w:hint="eastAsia" w:ascii="宋体" w:hAnsi="宋体" w:eastAsia="宋体" w:cs="宋体"/>
          <w:color w:val="auto"/>
          <w:sz w:val="24"/>
          <w:szCs w:val="18"/>
          <w:highlight w:val="none"/>
          <w:lang w:eastAsia="zh-CN"/>
        </w:rPr>
        <w:t>第</w:t>
      </w:r>
      <w:r>
        <w:rPr>
          <w:rFonts w:hint="eastAsia" w:ascii="宋体" w:hAnsi="宋体" w:eastAsia="宋体" w:cs="宋体"/>
          <w:color w:val="auto"/>
          <w:sz w:val="24"/>
          <w:szCs w:val="18"/>
          <w:highlight w:val="none"/>
          <w:lang w:val="en-US" w:eastAsia="zh-CN"/>
        </w:rPr>
        <w:t>2</w:t>
      </w:r>
      <w:r>
        <w:rPr>
          <w:rFonts w:hint="eastAsia" w:ascii="宋体" w:hAnsi="宋体" w:eastAsia="宋体" w:cs="宋体"/>
          <w:color w:val="auto"/>
          <w:sz w:val="24"/>
          <w:szCs w:val="18"/>
          <w:highlight w:val="none"/>
          <w:lang w:eastAsia="zh-CN"/>
        </w:rPr>
        <w:t>标段为</w:t>
      </w:r>
      <w:r>
        <w:rPr>
          <w:rFonts w:hint="eastAsia" w:ascii="宋体" w:hAnsi="宋体" w:eastAsia="宋体" w:cs="宋体"/>
          <w:color w:val="auto"/>
          <w:sz w:val="24"/>
          <w:szCs w:val="18"/>
          <w:highlight w:val="none"/>
          <w:u w:val="single"/>
          <w:lang w:val="en-US" w:eastAsia="zh-CN"/>
        </w:rPr>
        <w:t>管乐</w:t>
      </w:r>
      <w:r>
        <w:rPr>
          <w:rFonts w:hint="eastAsia" w:ascii="宋体" w:hAnsi="宋体" w:eastAsia="宋体" w:cs="宋体"/>
          <w:color w:val="auto"/>
          <w:sz w:val="24"/>
          <w:szCs w:val="18"/>
          <w:highlight w:val="none"/>
          <w:lang w:val="en-US" w:eastAsia="zh-CN"/>
        </w:rPr>
        <w:t>课程；</w:t>
      </w:r>
      <w:r>
        <w:rPr>
          <w:rFonts w:hint="eastAsia" w:ascii="宋体" w:hAnsi="宋体" w:eastAsia="宋体" w:cs="宋体"/>
          <w:color w:val="auto"/>
          <w:sz w:val="24"/>
          <w:szCs w:val="18"/>
          <w:highlight w:val="none"/>
          <w:lang w:eastAsia="zh-CN"/>
        </w:rPr>
        <w:t>第</w:t>
      </w:r>
      <w:r>
        <w:rPr>
          <w:rFonts w:hint="eastAsia" w:ascii="宋体" w:hAnsi="宋体" w:eastAsia="宋体" w:cs="宋体"/>
          <w:color w:val="auto"/>
          <w:sz w:val="24"/>
          <w:szCs w:val="18"/>
          <w:highlight w:val="none"/>
          <w:lang w:val="en-US" w:eastAsia="zh-CN"/>
        </w:rPr>
        <w:t>3</w:t>
      </w:r>
      <w:r>
        <w:rPr>
          <w:rFonts w:hint="eastAsia" w:ascii="宋体" w:hAnsi="宋体" w:eastAsia="宋体" w:cs="宋体"/>
          <w:color w:val="auto"/>
          <w:sz w:val="24"/>
          <w:szCs w:val="18"/>
          <w:highlight w:val="none"/>
          <w:lang w:eastAsia="zh-CN"/>
        </w:rPr>
        <w:t>标段为</w:t>
      </w:r>
      <w:r>
        <w:rPr>
          <w:rFonts w:hint="eastAsia" w:ascii="宋体" w:hAnsi="宋体" w:eastAsia="宋体" w:cs="宋体"/>
          <w:color w:val="auto"/>
          <w:sz w:val="24"/>
          <w:szCs w:val="18"/>
          <w:highlight w:val="none"/>
          <w:u w:val="single"/>
          <w:lang w:val="en-US" w:eastAsia="zh-CN"/>
        </w:rPr>
        <w:t>器乐</w:t>
      </w:r>
      <w:r>
        <w:rPr>
          <w:rFonts w:hint="eastAsia" w:ascii="宋体" w:hAnsi="宋体" w:eastAsia="宋体" w:cs="宋体"/>
          <w:color w:val="auto"/>
          <w:sz w:val="24"/>
          <w:szCs w:val="18"/>
          <w:highlight w:val="none"/>
          <w:lang w:val="en-US" w:eastAsia="zh-CN"/>
        </w:rPr>
        <w:t>课程；</w:t>
      </w:r>
      <w:r>
        <w:rPr>
          <w:rFonts w:hint="eastAsia" w:ascii="宋体" w:hAnsi="宋体" w:eastAsia="宋体" w:cs="宋体"/>
          <w:color w:val="auto"/>
          <w:sz w:val="24"/>
          <w:szCs w:val="18"/>
          <w:highlight w:val="none"/>
          <w:lang w:eastAsia="zh-CN"/>
        </w:rPr>
        <w:t>第</w:t>
      </w:r>
      <w:r>
        <w:rPr>
          <w:rFonts w:hint="eastAsia" w:ascii="宋体" w:hAnsi="宋体" w:eastAsia="宋体" w:cs="宋体"/>
          <w:color w:val="auto"/>
          <w:sz w:val="24"/>
          <w:szCs w:val="18"/>
          <w:highlight w:val="none"/>
          <w:lang w:val="en-US" w:eastAsia="zh-CN"/>
        </w:rPr>
        <w:t>4</w:t>
      </w:r>
      <w:r>
        <w:rPr>
          <w:rFonts w:hint="eastAsia" w:ascii="宋体" w:hAnsi="宋体" w:eastAsia="宋体" w:cs="宋体"/>
          <w:color w:val="auto"/>
          <w:sz w:val="24"/>
          <w:szCs w:val="18"/>
          <w:highlight w:val="none"/>
          <w:lang w:eastAsia="zh-CN"/>
        </w:rPr>
        <w:t>标段为</w:t>
      </w:r>
      <w:r>
        <w:rPr>
          <w:rFonts w:hint="eastAsia" w:ascii="宋体" w:hAnsi="宋体" w:eastAsia="宋体" w:cs="宋体"/>
          <w:color w:val="auto"/>
          <w:sz w:val="24"/>
          <w:szCs w:val="18"/>
          <w:highlight w:val="none"/>
          <w:u w:val="single"/>
          <w:lang w:val="en-US" w:eastAsia="zh-CN"/>
        </w:rPr>
        <w:t>美工</w:t>
      </w:r>
      <w:r>
        <w:rPr>
          <w:rFonts w:hint="eastAsia" w:ascii="宋体" w:hAnsi="宋体" w:eastAsia="宋体" w:cs="宋体"/>
          <w:color w:val="auto"/>
          <w:sz w:val="24"/>
          <w:szCs w:val="18"/>
          <w:highlight w:val="none"/>
          <w:lang w:val="en-US" w:eastAsia="zh-CN"/>
        </w:rPr>
        <w:t>课程；</w:t>
      </w:r>
      <w:r>
        <w:rPr>
          <w:rFonts w:hint="eastAsia" w:ascii="宋体" w:hAnsi="宋体" w:eastAsia="宋体" w:cs="宋体"/>
          <w:color w:val="auto"/>
          <w:sz w:val="24"/>
          <w:szCs w:val="18"/>
          <w:highlight w:val="none"/>
          <w:lang w:eastAsia="zh-CN"/>
        </w:rPr>
        <w:t>第</w:t>
      </w:r>
      <w:r>
        <w:rPr>
          <w:rFonts w:hint="eastAsia" w:ascii="宋体" w:hAnsi="宋体" w:eastAsia="宋体" w:cs="宋体"/>
          <w:color w:val="auto"/>
          <w:sz w:val="24"/>
          <w:szCs w:val="18"/>
          <w:highlight w:val="none"/>
          <w:lang w:val="en-US" w:eastAsia="zh-CN"/>
        </w:rPr>
        <w:t>5</w:t>
      </w:r>
      <w:r>
        <w:rPr>
          <w:rFonts w:hint="eastAsia" w:ascii="宋体" w:hAnsi="宋体" w:eastAsia="宋体" w:cs="宋体"/>
          <w:color w:val="auto"/>
          <w:sz w:val="24"/>
          <w:szCs w:val="18"/>
          <w:highlight w:val="none"/>
          <w:lang w:eastAsia="zh-CN"/>
        </w:rPr>
        <w:t>标段为</w:t>
      </w:r>
      <w:r>
        <w:rPr>
          <w:rFonts w:hint="eastAsia" w:ascii="宋体" w:hAnsi="宋体" w:eastAsia="宋体" w:cs="宋体"/>
          <w:color w:val="auto"/>
          <w:sz w:val="24"/>
          <w:szCs w:val="18"/>
          <w:highlight w:val="none"/>
          <w:u w:val="single"/>
          <w:lang w:val="en-US" w:eastAsia="zh-CN"/>
        </w:rPr>
        <w:t>编程</w:t>
      </w:r>
      <w:r>
        <w:rPr>
          <w:rFonts w:hint="eastAsia" w:ascii="宋体" w:hAnsi="宋体" w:eastAsia="宋体" w:cs="宋体"/>
          <w:color w:val="auto"/>
          <w:sz w:val="24"/>
          <w:szCs w:val="18"/>
          <w:highlight w:val="none"/>
          <w:lang w:val="en-US" w:eastAsia="zh-CN"/>
        </w:rPr>
        <w:t>课程；</w:t>
      </w:r>
      <w:r>
        <w:rPr>
          <w:rFonts w:hint="eastAsia" w:ascii="宋体" w:hAnsi="宋体" w:eastAsia="宋体" w:cs="宋体"/>
          <w:color w:val="auto"/>
          <w:sz w:val="24"/>
          <w:szCs w:val="18"/>
          <w:highlight w:val="none"/>
          <w:lang w:eastAsia="zh-CN"/>
        </w:rPr>
        <w:t>第</w:t>
      </w:r>
      <w:r>
        <w:rPr>
          <w:rFonts w:hint="eastAsia" w:ascii="宋体" w:hAnsi="宋体" w:eastAsia="宋体" w:cs="宋体"/>
          <w:color w:val="auto"/>
          <w:sz w:val="24"/>
          <w:szCs w:val="18"/>
          <w:highlight w:val="none"/>
          <w:lang w:val="en-US" w:eastAsia="zh-CN"/>
        </w:rPr>
        <w:t>6</w:t>
      </w:r>
      <w:r>
        <w:rPr>
          <w:rFonts w:hint="eastAsia" w:ascii="宋体" w:hAnsi="宋体" w:eastAsia="宋体" w:cs="宋体"/>
          <w:color w:val="auto"/>
          <w:sz w:val="24"/>
          <w:szCs w:val="18"/>
          <w:highlight w:val="none"/>
          <w:lang w:eastAsia="zh-CN"/>
        </w:rPr>
        <w:t>标段为</w:t>
      </w:r>
      <w:r>
        <w:rPr>
          <w:rFonts w:hint="eastAsia" w:ascii="宋体" w:hAnsi="宋体" w:eastAsia="宋体" w:cs="宋体"/>
          <w:color w:val="auto"/>
          <w:sz w:val="24"/>
          <w:szCs w:val="18"/>
          <w:highlight w:val="none"/>
          <w:u w:val="single"/>
          <w:lang w:val="en-US" w:eastAsia="zh-CN"/>
        </w:rPr>
        <w:t>无人机</w:t>
      </w:r>
      <w:r>
        <w:rPr>
          <w:rFonts w:hint="eastAsia" w:ascii="宋体" w:hAnsi="宋体" w:eastAsia="宋体" w:cs="宋体"/>
          <w:color w:val="auto"/>
          <w:sz w:val="24"/>
          <w:szCs w:val="18"/>
          <w:highlight w:val="none"/>
          <w:lang w:val="en-US" w:eastAsia="zh-CN"/>
        </w:rPr>
        <w:t>课程；</w:t>
      </w:r>
      <w:r>
        <w:rPr>
          <w:rFonts w:hint="eastAsia" w:ascii="宋体" w:hAnsi="宋体" w:eastAsia="宋体" w:cs="宋体"/>
          <w:color w:val="auto"/>
          <w:sz w:val="24"/>
          <w:szCs w:val="18"/>
          <w:highlight w:val="none"/>
          <w:lang w:eastAsia="zh-CN"/>
        </w:rPr>
        <w:t>第</w:t>
      </w:r>
      <w:r>
        <w:rPr>
          <w:rFonts w:hint="eastAsia" w:ascii="宋体" w:hAnsi="宋体" w:eastAsia="宋体" w:cs="宋体"/>
          <w:color w:val="auto"/>
          <w:sz w:val="24"/>
          <w:szCs w:val="18"/>
          <w:highlight w:val="none"/>
          <w:lang w:val="en-US" w:eastAsia="zh-CN"/>
        </w:rPr>
        <w:t>7</w:t>
      </w:r>
      <w:r>
        <w:rPr>
          <w:rFonts w:hint="eastAsia" w:ascii="宋体" w:hAnsi="宋体" w:eastAsia="宋体" w:cs="宋体"/>
          <w:color w:val="auto"/>
          <w:sz w:val="24"/>
          <w:szCs w:val="18"/>
          <w:highlight w:val="none"/>
          <w:lang w:eastAsia="zh-CN"/>
        </w:rPr>
        <w:t>标段为</w:t>
      </w:r>
      <w:r>
        <w:rPr>
          <w:rFonts w:hint="eastAsia" w:ascii="宋体" w:hAnsi="宋体" w:eastAsia="宋体" w:cs="宋体"/>
          <w:color w:val="auto"/>
          <w:sz w:val="24"/>
          <w:szCs w:val="18"/>
          <w:highlight w:val="none"/>
          <w:u w:val="single"/>
          <w:lang w:val="en-US" w:eastAsia="zh-CN"/>
        </w:rPr>
        <w:t>创客</w:t>
      </w:r>
      <w:r>
        <w:rPr>
          <w:rFonts w:hint="eastAsia" w:ascii="宋体" w:hAnsi="宋体" w:eastAsia="宋体" w:cs="宋体"/>
          <w:color w:val="auto"/>
          <w:sz w:val="24"/>
          <w:szCs w:val="18"/>
          <w:highlight w:val="none"/>
          <w:lang w:val="en-US" w:eastAsia="zh-CN"/>
        </w:rPr>
        <w:t>课程。评标时，按标段顺序依次开标。</w:t>
      </w:r>
    </w:p>
    <w:p w14:paraId="720C9C5F">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二</w:t>
      </w:r>
      <w:r>
        <w:rPr>
          <w:rFonts w:hint="eastAsia" w:ascii="宋体" w:hAnsi="宋体" w:eastAsia="宋体" w:cs="宋体"/>
          <w:b/>
          <w:color w:val="auto"/>
          <w:sz w:val="24"/>
          <w:highlight w:val="none"/>
        </w:rPr>
        <w:t>、投标</w:t>
      </w:r>
      <w:r>
        <w:rPr>
          <w:rFonts w:hint="eastAsia" w:ascii="宋体" w:hAnsi="宋体" w:eastAsia="宋体" w:cs="宋体"/>
          <w:b/>
          <w:bCs/>
          <w:color w:val="auto"/>
          <w:sz w:val="24"/>
          <w:szCs w:val="18"/>
          <w:highlight w:val="none"/>
        </w:rPr>
        <w:t>人资格</w:t>
      </w:r>
    </w:p>
    <w:p w14:paraId="0F7B62ED">
      <w:pPr>
        <w:spacing w:line="360" w:lineRule="auto"/>
        <w:ind w:firstLine="435"/>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1.</w:t>
      </w:r>
      <w:r>
        <w:rPr>
          <w:rFonts w:hint="eastAsia" w:ascii="宋体" w:hAnsi="宋体" w:eastAsia="宋体" w:cs="宋体"/>
          <w:color w:val="auto"/>
          <w:sz w:val="24"/>
          <w:szCs w:val="18"/>
          <w:highlight w:val="none"/>
        </w:rPr>
        <w:t>本项目只接受《包河区中小学体艺中心课程服务单位招募》已入围的企业报名，入围名单详见安徽合肥公共资源交易中心2024年9月30日发布的《包河区中小学体艺中心课程服务单位招募结果公告》</w:t>
      </w:r>
      <w:r>
        <w:rPr>
          <w:rFonts w:hint="eastAsia" w:ascii="宋体" w:hAnsi="宋体" w:eastAsia="宋体" w:cs="宋体"/>
          <w:color w:val="auto"/>
          <w:sz w:val="24"/>
          <w:szCs w:val="18"/>
          <w:highlight w:val="none"/>
          <w:lang w:val="en-US" w:eastAsia="zh-CN"/>
        </w:rPr>
        <w:t>和2025年1月17日发布的《包河区中小学体艺中心课程服务单位补充招募结果公告》。其中，参与第1标段的投标人需具备</w:t>
      </w:r>
      <w:r>
        <w:rPr>
          <w:rFonts w:hint="eastAsia" w:ascii="宋体" w:hAnsi="宋体" w:eastAsia="宋体" w:cs="宋体"/>
          <w:b/>
          <w:bCs/>
          <w:color w:val="auto"/>
          <w:sz w:val="24"/>
          <w:szCs w:val="18"/>
          <w:highlight w:val="none"/>
          <w:u w:val="single"/>
          <w:lang w:val="en-US" w:eastAsia="zh-CN"/>
        </w:rPr>
        <w:t>音乐类</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培训资质，并需在投标文件中提供《校外培训机构设立核准书》复印件并加盖投标人公章；参与第2标段的投标人需具备</w:t>
      </w:r>
      <w:r>
        <w:rPr>
          <w:rFonts w:hint="eastAsia" w:ascii="宋体" w:hAnsi="宋体" w:eastAsia="宋体" w:cs="宋体"/>
          <w:b/>
          <w:bCs/>
          <w:color w:val="auto"/>
          <w:sz w:val="24"/>
          <w:szCs w:val="18"/>
          <w:highlight w:val="none"/>
          <w:u w:val="single"/>
          <w:lang w:val="en-US" w:eastAsia="zh-CN"/>
        </w:rPr>
        <w:t>音乐类</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培训资质，并需在投标文件中提供《校外培训机构设立核准书》复印件并加盖投标人公章；参与第3标段的投标人需具备</w:t>
      </w:r>
      <w:r>
        <w:rPr>
          <w:rFonts w:hint="eastAsia" w:ascii="宋体" w:hAnsi="宋体" w:eastAsia="宋体" w:cs="宋体"/>
          <w:b/>
          <w:bCs/>
          <w:color w:val="auto"/>
          <w:sz w:val="24"/>
          <w:szCs w:val="18"/>
          <w:highlight w:val="none"/>
          <w:u w:val="single"/>
          <w:lang w:val="en-US" w:eastAsia="zh-CN"/>
        </w:rPr>
        <w:t>音乐类</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培训资质，并需在投标文件中提供《校外培训机构设立核准书》复印件并加盖投标人公章；参与第4标段的投标人需具备</w:t>
      </w:r>
      <w:r>
        <w:rPr>
          <w:rFonts w:hint="eastAsia" w:ascii="宋体" w:hAnsi="宋体" w:eastAsia="宋体" w:cs="宋体"/>
          <w:b/>
          <w:bCs/>
          <w:color w:val="auto"/>
          <w:sz w:val="24"/>
          <w:szCs w:val="18"/>
          <w:highlight w:val="none"/>
          <w:u w:val="single"/>
          <w:lang w:val="en-US" w:eastAsia="zh-CN"/>
        </w:rPr>
        <w:t>美术类</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培训资质，并需在投标文件中提供《校外培训机构设立核准书》复印件并加盖投标人公章；参与第5标段的投标人需具备</w:t>
      </w:r>
      <w:r>
        <w:rPr>
          <w:rFonts w:hint="eastAsia" w:ascii="宋体" w:hAnsi="宋体" w:eastAsia="宋体" w:cs="宋体"/>
          <w:b/>
          <w:bCs/>
          <w:color w:val="auto"/>
          <w:sz w:val="24"/>
          <w:szCs w:val="18"/>
          <w:highlight w:val="none"/>
          <w:u w:val="single"/>
          <w:lang w:val="en-US" w:eastAsia="zh-CN"/>
        </w:rPr>
        <w:t>编程等科技类</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培训资质，并需在投标文件中提供《校外培训机构设立核准书》复印件并加盖投标人公章；参与第6标段的投标人需具备</w:t>
      </w:r>
      <w:r>
        <w:rPr>
          <w:rFonts w:hint="eastAsia" w:ascii="宋体" w:hAnsi="宋体" w:eastAsia="宋体" w:cs="宋体"/>
          <w:b/>
          <w:bCs/>
          <w:color w:val="auto"/>
          <w:sz w:val="24"/>
          <w:szCs w:val="18"/>
          <w:highlight w:val="none"/>
          <w:u w:val="single"/>
          <w:lang w:val="en-US" w:eastAsia="zh-CN"/>
        </w:rPr>
        <w:t>无人机等科技类</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培训资质，并需在投标文件中提供《校外培训机构设立核准书》复印件并加盖投标人公章；参与第7标段的投标人需具备</w:t>
      </w:r>
      <w:r>
        <w:rPr>
          <w:rFonts w:hint="eastAsia" w:ascii="宋体" w:hAnsi="宋体" w:eastAsia="宋体" w:cs="宋体"/>
          <w:b/>
          <w:bCs/>
          <w:color w:val="auto"/>
          <w:sz w:val="24"/>
          <w:szCs w:val="18"/>
          <w:highlight w:val="none"/>
          <w:u w:val="single"/>
          <w:lang w:val="en-US" w:eastAsia="zh-CN"/>
        </w:rPr>
        <w:t>创客、编程等科技类</w:t>
      </w:r>
      <w:r>
        <w:rPr>
          <w:rFonts w:hint="eastAsia" w:ascii="宋体" w:hAnsi="宋体" w:eastAsia="宋体" w:cs="宋体"/>
          <w:color w:val="auto"/>
          <w:sz w:val="24"/>
          <w:szCs w:val="18"/>
          <w:highlight w:val="none"/>
          <w:lang w:val="en-US" w:eastAsia="zh-CN"/>
        </w:rPr>
        <w:t>培训资质，并需在投标文件中提供《校外培训机构设立核准书》复印件并加盖投标人公章。</w:t>
      </w:r>
    </w:p>
    <w:p w14:paraId="18AF7219">
      <w:pPr>
        <w:pStyle w:val="2"/>
        <w:keepNext/>
        <w:keepLines/>
        <w:pageBreakBefore w:val="0"/>
        <w:widowControl w:val="0"/>
        <w:kinsoku/>
        <w:wordWrap/>
        <w:overflowPunct/>
        <w:topLinePunct w:val="0"/>
        <w:autoSpaceDE/>
        <w:autoSpaceDN/>
        <w:bidi w:val="0"/>
        <w:adjustRightInd/>
        <w:snapToGrid/>
        <w:ind w:firstLine="480" w:firstLineChars="200"/>
        <w:textAlignment w:val="auto"/>
        <w:rPr>
          <w:rFonts w:hint="eastAsia"/>
          <w:b w:val="0"/>
          <w:bCs w:val="0"/>
          <w:color w:val="auto"/>
          <w:highlight w:val="none"/>
          <w:lang w:val="en-US" w:eastAsia="zh-CN"/>
        </w:rPr>
      </w:pPr>
      <w:r>
        <w:rPr>
          <w:rFonts w:hint="eastAsia" w:cs="宋体"/>
          <w:b w:val="0"/>
          <w:bCs w:val="0"/>
          <w:color w:val="auto"/>
          <w:sz w:val="24"/>
          <w:szCs w:val="18"/>
          <w:highlight w:val="none"/>
          <w:lang w:val="en-US" w:eastAsia="zh-CN"/>
        </w:rPr>
        <w:t>备注：各潜在投标人可参与多个标段投标。</w:t>
      </w:r>
    </w:p>
    <w:p w14:paraId="5E094FD1">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2.业绩要求：无；</w:t>
      </w:r>
    </w:p>
    <w:p w14:paraId="2647F6BE">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3.本项目不接受联合体磋商；</w:t>
      </w:r>
    </w:p>
    <w:p w14:paraId="31D1AD7E">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4.投标人未被合肥市及其所辖县（市）、区（开发区）公共资源交易监督管理部门记不良行为记录的；或被记不良行为记录（以公布日期为准），但同时符合下列情形的： </w:t>
      </w:r>
    </w:p>
    <w:p w14:paraId="53F985C7">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（1）开标日前（含当日）6个月内记分累计未满10分的； </w:t>
      </w:r>
    </w:p>
    <w:p w14:paraId="268DF651">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（2）开标日前（含当日）12个月内记分累计未满15分的； </w:t>
      </w:r>
    </w:p>
    <w:p w14:paraId="2F2F3ECB">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（3）开标日前（含当日）18个月内记分累计未满20分的； </w:t>
      </w:r>
    </w:p>
    <w:p w14:paraId="4288C285">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（4）开标日前（含当日）24个月内记分累计未满25分的。</w:t>
      </w:r>
    </w:p>
    <w:p w14:paraId="139B3AD1">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lang w:val="en-US" w:eastAsia="zh-CN"/>
        </w:rPr>
        <w:t>5</w:t>
      </w:r>
      <w:r>
        <w:rPr>
          <w:rFonts w:hint="eastAsia" w:ascii="宋体" w:hAnsi="宋体" w:eastAsia="宋体" w:cs="宋体"/>
          <w:color w:val="auto"/>
          <w:sz w:val="24"/>
          <w:szCs w:val="18"/>
          <w:highlight w:val="none"/>
        </w:rPr>
        <w:t>.投标人存在以下不良信用记录情形之一的，不得推荐为中标候选人，不得确定为中标人：</w:t>
      </w:r>
    </w:p>
    <w:p w14:paraId="452C16E1">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（1）被责令停产停业，暂扣或者吊销许可证，暂扣或者吊销执照； </w:t>
      </w:r>
    </w:p>
    <w:p w14:paraId="47767CFF">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（2）进入清算程序，或被宣告破产，或其他丧失履约能力的情形； </w:t>
      </w:r>
    </w:p>
    <w:p w14:paraId="27A61283">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（3）在最近三年内（自投标截止之日向前追溯 3 年， 下同）有骗取中标或串通投标或严重违约或重大生产安全事故的（以相关行业主管部门的行政处罚决定或司法机关出具的有关法律文书为准），前述行政处罚已完成信用修复的，自行政处罚作出机关或信用修复主管部门同意修复之日起满一年，不受三年期限限制；</w:t>
      </w:r>
    </w:p>
    <w:p w14:paraId="2920F732">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（4）被市场监督管理部门列入严重违法失信名单； </w:t>
      </w:r>
    </w:p>
    <w:p w14:paraId="70B7F734">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（5）被人民法院列为失信被执行人； </w:t>
      </w:r>
    </w:p>
    <w:p w14:paraId="5C936F03">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（6）被税务机关确定为重大税收违法失信主体； </w:t>
      </w:r>
    </w:p>
    <w:p w14:paraId="1F16C04D">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（7）在近三年内投标人或其法定代表人（单位负责人）有行贿犯罪行为的；</w:t>
      </w:r>
    </w:p>
    <w:p w14:paraId="46DC0744">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三</w:t>
      </w:r>
      <w:r>
        <w:rPr>
          <w:rFonts w:hint="eastAsia" w:ascii="宋体" w:hAnsi="宋体" w:eastAsia="宋体" w:cs="宋体"/>
          <w:b/>
          <w:color w:val="auto"/>
          <w:sz w:val="24"/>
          <w:highlight w:val="none"/>
        </w:rPr>
        <w:t>、</w:t>
      </w:r>
      <w:r>
        <w:rPr>
          <w:rFonts w:hint="eastAsia" w:ascii="宋体" w:hAnsi="宋体" w:eastAsia="宋体" w:cs="宋体"/>
          <w:b/>
          <w:bCs/>
          <w:color w:val="auto"/>
          <w:sz w:val="24"/>
          <w:szCs w:val="18"/>
          <w:highlight w:val="none"/>
        </w:rPr>
        <w:t xml:space="preserve">磋商文件的获取 </w:t>
      </w:r>
    </w:p>
    <w:p w14:paraId="50C2F35C">
      <w:pPr>
        <w:spacing w:line="360" w:lineRule="auto"/>
        <w:ind w:firstLine="435"/>
        <w:rPr>
          <w:rFonts w:hint="default"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1</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rPr>
        <w:t>磋商文件获取时间:202</w:t>
      </w:r>
      <w:r>
        <w:rPr>
          <w:rFonts w:hint="eastAsia" w:ascii="宋体" w:hAnsi="宋体" w:eastAsia="宋体" w:cs="宋体"/>
          <w:color w:val="auto"/>
          <w:sz w:val="24"/>
          <w:szCs w:val="18"/>
          <w:highlight w:val="none"/>
          <w:lang w:val="en-US" w:eastAsia="zh-CN"/>
        </w:rPr>
        <w:t>5</w:t>
      </w:r>
      <w:r>
        <w:rPr>
          <w:rFonts w:hint="eastAsia" w:ascii="宋体" w:hAnsi="宋体" w:eastAsia="宋体" w:cs="宋体"/>
          <w:color w:val="auto"/>
          <w:sz w:val="24"/>
          <w:szCs w:val="18"/>
          <w:highlight w:val="none"/>
        </w:rPr>
        <w:t>年</w:t>
      </w:r>
      <w:r>
        <w:rPr>
          <w:rFonts w:hint="eastAsia" w:ascii="宋体" w:hAnsi="宋体" w:eastAsia="宋体" w:cs="宋体"/>
          <w:color w:val="auto"/>
          <w:sz w:val="24"/>
          <w:szCs w:val="18"/>
          <w:highlight w:val="none"/>
          <w:lang w:val="en-US" w:eastAsia="zh-CN"/>
        </w:rPr>
        <w:t>1</w:t>
      </w:r>
      <w:r>
        <w:rPr>
          <w:rFonts w:hint="eastAsia" w:ascii="宋体" w:hAnsi="宋体" w:eastAsia="宋体" w:cs="宋体"/>
          <w:color w:val="auto"/>
          <w:sz w:val="24"/>
          <w:szCs w:val="18"/>
          <w:highlight w:val="none"/>
        </w:rPr>
        <w:t>月</w:t>
      </w:r>
      <w:r>
        <w:rPr>
          <w:rFonts w:hint="eastAsia" w:ascii="宋体" w:hAnsi="宋体" w:eastAsia="宋体" w:cs="宋体"/>
          <w:color w:val="auto"/>
          <w:sz w:val="24"/>
          <w:szCs w:val="18"/>
          <w:highlight w:val="none"/>
          <w:lang w:val="en-US" w:eastAsia="zh-CN"/>
        </w:rPr>
        <w:t>24</w:t>
      </w:r>
      <w:r>
        <w:rPr>
          <w:rFonts w:hint="eastAsia" w:ascii="宋体" w:hAnsi="宋体" w:eastAsia="宋体" w:cs="宋体"/>
          <w:color w:val="auto"/>
          <w:sz w:val="24"/>
          <w:szCs w:val="18"/>
          <w:highlight w:val="none"/>
        </w:rPr>
        <w:t>日至202</w:t>
      </w:r>
      <w:r>
        <w:rPr>
          <w:rFonts w:hint="eastAsia" w:ascii="宋体" w:hAnsi="宋体" w:eastAsia="宋体" w:cs="宋体"/>
          <w:color w:val="auto"/>
          <w:sz w:val="24"/>
          <w:szCs w:val="18"/>
          <w:highlight w:val="none"/>
          <w:lang w:val="en-US" w:eastAsia="zh-CN"/>
        </w:rPr>
        <w:t>5</w:t>
      </w:r>
      <w:r>
        <w:rPr>
          <w:rFonts w:hint="eastAsia" w:ascii="宋体" w:hAnsi="宋体" w:eastAsia="宋体" w:cs="宋体"/>
          <w:color w:val="auto"/>
          <w:sz w:val="24"/>
          <w:szCs w:val="18"/>
          <w:highlight w:val="none"/>
        </w:rPr>
        <w:t>年</w:t>
      </w:r>
      <w:r>
        <w:rPr>
          <w:rFonts w:hint="eastAsia" w:ascii="宋体" w:hAnsi="宋体" w:eastAsia="宋体" w:cs="宋体"/>
          <w:color w:val="auto"/>
          <w:sz w:val="24"/>
          <w:szCs w:val="18"/>
          <w:highlight w:val="none"/>
          <w:lang w:val="en-US" w:eastAsia="zh-CN"/>
        </w:rPr>
        <w:t>2</w:t>
      </w:r>
      <w:r>
        <w:rPr>
          <w:rFonts w:hint="eastAsia" w:ascii="宋体" w:hAnsi="宋体" w:eastAsia="宋体" w:cs="宋体"/>
          <w:color w:val="auto"/>
          <w:sz w:val="24"/>
          <w:szCs w:val="18"/>
          <w:highlight w:val="none"/>
        </w:rPr>
        <w:t>月</w:t>
      </w:r>
      <w:r>
        <w:rPr>
          <w:rFonts w:hint="eastAsia" w:ascii="宋体" w:hAnsi="宋体" w:eastAsia="宋体" w:cs="宋体"/>
          <w:color w:val="auto"/>
          <w:sz w:val="24"/>
          <w:szCs w:val="18"/>
          <w:highlight w:val="none"/>
          <w:lang w:val="en-US" w:eastAsia="zh-CN"/>
        </w:rPr>
        <w:t>11</w:t>
      </w:r>
      <w:r>
        <w:rPr>
          <w:rFonts w:hint="eastAsia" w:ascii="宋体" w:hAnsi="宋体" w:eastAsia="宋体" w:cs="宋体"/>
          <w:color w:val="auto"/>
          <w:sz w:val="24"/>
          <w:szCs w:val="18"/>
          <w:highlight w:val="none"/>
        </w:rPr>
        <w:t>日</w:t>
      </w:r>
      <w:r>
        <w:rPr>
          <w:rFonts w:hint="eastAsia" w:ascii="宋体" w:hAnsi="宋体" w:eastAsia="宋体" w:cs="宋体"/>
          <w:color w:val="auto"/>
          <w:sz w:val="24"/>
          <w:szCs w:val="18"/>
          <w:highlight w:val="none"/>
          <w:lang w:val="en-US" w:eastAsia="zh-CN"/>
        </w:rPr>
        <w:t>13时30分</w:t>
      </w:r>
    </w:p>
    <w:p w14:paraId="5CE7B3E5">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rPr>
        <w:t xml:space="preserve">获取方式： </w:t>
      </w:r>
    </w:p>
    <w:p w14:paraId="7B39C832">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（1）潜在投标人须登录</w:t>
      </w:r>
      <w:bookmarkStart w:id="4" w:name="OLE_LINK6"/>
      <w:r>
        <w:rPr>
          <w:rFonts w:hint="eastAsia" w:ascii="宋体" w:hAnsi="宋体" w:eastAsia="宋体" w:cs="宋体"/>
          <w:color w:val="auto"/>
          <w:sz w:val="24"/>
          <w:szCs w:val="24"/>
          <w:highlight w:val="none"/>
        </w:rPr>
        <w:t>合肥滨湖时光产业投资集团有限公司</w:t>
      </w:r>
      <w:bookmarkEnd w:id="4"/>
      <w:r>
        <w:rPr>
          <w:rFonts w:hint="eastAsia" w:ascii="宋体" w:hAnsi="宋体" w:eastAsia="宋体" w:cs="宋体"/>
          <w:color w:val="auto"/>
          <w:sz w:val="24"/>
          <w:szCs w:val="24"/>
          <w:highlight w:val="none"/>
        </w:rPr>
        <w:t>（以下简称“滨湖时光集团”）官网http://bhsggroup.cn/查阅磋商文件。</w:t>
      </w:r>
    </w:p>
    <w:p w14:paraId="2138F877">
      <w:pPr>
        <w:numPr>
          <w:ilvl w:val="0"/>
          <w:numId w:val="2"/>
        </w:num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磋商文件获取过程中有任何疑问，请在工作时间（周一至周五，上午9:00-12:00，下午1:00-5:00，节假日休息）拨打服务热线，项目咨询请拨打电话：0551-63357563。</w:t>
      </w:r>
    </w:p>
    <w:p w14:paraId="0F63D602">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四</w:t>
      </w:r>
      <w:r>
        <w:rPr>
          <w:rFonts w:hint="eastAsia" w:ascii="宋体" w:hAnsi="宋体" w:eastAsia="宋体" w:cs="宋体"/>
          <w:b/>
          <w:color w:val="auto"/>
          <w:sz w:val="24"/>
          <w:highlight w:val="none"/>
        </w:rPr>
        <w:t>、</w:t>
      </w:r>
      <w:r>
        <w:rPr>
          <w:rFonts w:hint="eastAsia" w:ascii="宋体" w:hAnsi="宋体" w:eastAsia="宋体" w:cs="宋体"/>
          <w:b/>
          <w:bCs/>
          <w:color w:val="auto"/>
          <w:sz w:val="24"/>
          <w:highlight w:val="none"/>
        </w:rPr>
        <w:t>磋商时间、磋商文件送达地址</w:t>
      </w:r>
    </w:p>
    <w:p w14:paraId="1569FD97">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1</w:t>
      </w:r>
      <w:r>
        <w:rPr>
          <w:rFonts w:hint="eastAsia" w:ascii="宋体" w:hAnsi="宋体" w:eastAsia="宋体" w:cs="宋体"/>
          <w:b/>
          <w:color w:val="auto"/>
          <w:sz w:val="24"/>
          <w:highlight w:val="none"/>
        </w:rPr>
        <w:t>.</w:t>
      </w:r>
      <w:r>
        <w:rPr>
          <w:rFonts w:hint="eastAsia" w:ascii="宋体" w:hAnsi="宋体" w:eastAsia="宋体" w:cs="宋体"/>
          <w:color w:val="auto"/>
          <w:sz w:val="24"/>
          <w:szCs w:val="18"/>
          <w:highlight w:val="none"/>
        </w:rPr>
        <w:t>磋商时间：</w:t>
      </w:r>
      <w:r>
        <w:rPr>
          <w:rFonts w:hint="eastAsia" w:ascii="宋体" w:hAnsi="宋体" w:eastAsia="宋体" w:cs="宋体"/>
          <w:color w:val="auto"/>
          <w:sz w:val="24"/>
          <w:szCs w:val="18"/>
          <w:highlight w:val="none"/>
          <w:u w:val="single"/>
        </w:rPr>
        <w:t xml:space="preserve"> 202</w:t>
      </w:r>
      <w:r>
        <w:rPr>
          <w:rFonts w:hint="eastAsia" w:ascii="宋体" w:hAnsi="宋体" w:eastAsia="宋体" w:cs="宋体"/>
          <w:color w:val="auto"/>
          <w:sz w:val="24"/>
          <w:szCs w:val="18"/>
          <w:highlight w:val="none"/>
          <w:u w:val="single"/>
          <w:lang w:val="en-US" w:eastAsia="zh-CN"/>
        </w:rPr>
        <w:t>5</w:t>
      </w:r>
      <w:r>
        <w:rPr>
          <w:rFonts w:hint="eastAsia" w:ascii="宋体" w:hAnsi="宋体" w:eastAsia="宋体" w:cs="宋体"/>
          <w:color w:val="auto"/>
          <w:sz w:val="24"/>
          <w:szCs w:val="18"/>
          <w:highlight w:val="none"/>
        </w:rPr>
        <w:t>年</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u w:val="single"/>
          <w:lang w:val="en-US" w:eastAsia="zh-CN"/>
        </w:rPr>
        <w:t>2</w:t>
      </w:r>
      <w:r>
        <w:rPr>
          <w:rFonts w:hint="eastAsia" w:ascii="宋体" w:hAnsi="宋体" w:eastAsia="宋体" w:cs="宋体"/>
          <w:color w:val="auto"/>
          <w:sz w:val="24"/>
          <w:szCs w:val="18"/>
          <w:highlight w:val="none"/>
        </w:rPr>
        <w:t>月</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u w:val="single"/>
          <w:lang w:val="en-US" w:eastAsia="zh-CN"/>
        </w:rPr>
        <w:t>11</w:t>
      </w:r>
      <w:r>
        <w:rPr>
          <w:rFonts w:hint="eastAsia" w:ascii="宋体" w:hAnsi="宋体" w:eastAsia="宋体" w:cs="宋体"/>
          <w:color w:val="auto"/>
          <w:sz w:val="24"/>
          <w:szCs w:val="18"/>
          <w:highlight w:val="none"/>
        </w:rPr>
        <w:t>日</w:t>
      </w:r>
      <w:r>
        <w:rPr>
          <w:rFonts w:hint="eastAsia" w:ascii="宋体" w:hAnsi="宋体" w:eastAsia="宋体" w:cs="宋体"/>
          <w:color w:val="auto"/>
          <w:sz w:val="24"/>
          <w:szCs w:val="18"/>
          <w:highlight w:val="none"/>
          <w:u w:val="single"/>
        </w:rPr>
        <w:t xml:space="preserve"> </w:t>
      </w:r>
      <w:r>
        <w:rPr>
          <w:rFonts w:hint="eastAsia" w:ascii="宋体" w:hAnsi="宋体" w:eastAsia="宋体" w:cs="宋体"/>
          <w:color w:val="auto"/>
          <w:sz w:val="24"/>
          <w:szCs w:val="18"/>
          <w:highlight w:val="none"/>
          <w:u w:val="single"/>
          <w:lang w:val="en-US" w:eastAsia="zh-CN"/>
        </w:rPr>
        <w:t>13</w:t>
      </w:r>
      <w:r>
        <w:rPr>
          <w:rFonts w:hint="eastAsia" w:ascii="宋体" w:hAnsi="宋体" w:eastAsia="宋体" w:cs="宋体"/>
          <w:color w:val="auto"/>
          <w:sz w:val="24"/>
          <w:szCs w:val="18"/>
          <w:highlight w:val="none"/>
        </w:rPr>
        <w:t>时</w:t>
      </w:r>
      <w:r>
        <w:rPr>
          <w:rFonts w:hint="eastAsia" w:ascii="宋体" w:hAnsi="宋体" w:eastAsia="宋体" w:cs="宋体"/>
          <w:color w:val="auto"/>
          <w:sz w:val="24"/>
          <w:szCs w:val="18"/>
          <w:highlight w:val="none"/>
          <w:u w:val="single"/>
        </w:rPr>
        <w:t>30</w:t>
      </w:r>
      <w:r>
        <w:rPr>
          <w:rFonts w:hint="eastAsia" w:ascii="宋体" w:hAnsi="宋体" w:eastAsia="宋体" w:cs="宋体"/>
          <w:color w:val="auto"/>
          <w:sz w:val="24"/>
          <w:szCs w:val="18"/>
          <w:highlight w:val="none"/>
        </w:rPr>
        <w:t>分</w:t>
      </w:r>
    </w:p>
    <w:p w14:paraId="0FD5163A">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color w:val="auto"/>
          <w:sz w:val="24"/>
          <w:szCs w:val="18"/>
          <w:highlight w:val="none"/>
        </w:rPr>
        <w:t>2</w:t>
      </w:r>
      <w:r>
        <w:rPr>
          <w:rFonts w:hint="eastAsia" w:ascii="宋体" w:hAnsi="宋体" w:eastAsia="宋体" w:cs="宋体"/>
          <w:b/>
          <w:color w:val="auto"/>
          <w:sz w:val="24"/>
          <w:highlight w:val="none"/>
        </w:rPr>
        <w:t>.</w:t>
      </w:r>
      <w:r>
        <w:rPr>
          <w:rFonts w:hint="eastAsia" w:ascii="宋体" w:hAnsi="宋体" w:eastAsia="宋体" w:cs="宋体"/>
          <w:color w:val="auto"/>
          <w:sz w:val="24"/>
          <w:szCs w:val="18"/>
          <w:highlight w:val="none"/>
        </w:rPr>
        <w:t>磋商文件送达地址：</w:t>
      </w:r>
      <w:r>
        <w:rPr>
          <w:rFonts w:hint="eastAsia" w:ascii="宋体" w:hAnsi="宋体" w:eastAsia="宋体"/>
          <w:color w:val="auto"/>
          <w:sz w:val="24"/>
          <w:szCs w:val="18"/>
          <w:highlight w:val="none"/>
        </w:rPr>
        <w:t>合肥市包河区大圩镇花园大道卓越城文华园一期2号楼4楼407室（收件人：</w:t>
      </w:r>
      <w:r>
        <w:rPr>
          <w:rFonts w:hint="eastAsia" w:ascii="宋体" w:hAnsi="宋体" w:eastAsia="宋体" w:cs="宋体"/>
          <w:color w:val="auto"/>
          <w:sz w:val="24"/>
          <w:szCs w:val="18"/>
          <w:highlight w:val="none"/>
        </w:rPr>
        <w:t>耿工，电话：17318512331）</w:t>
      </w:r>
      <w:r>
        <w:rPr>
          <w:rFonts w:hint="eastAsia" w:ascii="宋体" w:hAnsi="宋体" w:eastAsia="宋体" w:cs="宋体"/>
          <w:color w:val="auto"/>
          <w:sz w:val="24"/>
          <w:szCs w:val="18"/>
          <w:highlight w:val="none"/>
        </w:rPr>
        <w:br w:type="textWrapping"/>
      </w:r>
      <w:r>
        <w:rPr>
          <w:rFonts w:hint="eastAsia" w:ascii="宋体" w:hAnsi="宋体" w:eastAsia="宋体" w:cs="宋体"/>
          <w:b/>
          <w:bCs/>
          <w:color w:val="auto"/>
          <w:sz w:val="24"/>
          <w:szCs w:val="18"/>
          <w:highlight w:val="none"/>
        </w:rPr>
        <w:t xml:space="preserve">   五</w:t>
      </w:r>
      <w:r>
        <w:rPr>
          <w:rFonts w:hint="eastAsia" w:ascii="宋体" w:hAnsi="宋体" w:eastAsia="宋体" w:cs="宋体"/>
          <w:b/>
          <w:color w:val="auto"/>
          <w:sz w:val="24"/>
          <w:highlight w:val="none"/>
        </w:rPr>
        <w:t>、</w:t>
      </w:r>
      <w:r>
        <w:rPr>
          <w:rFonts w:hint="eastAsia" w:ascii="宋体" w:hAnsi="宋体" w:eastAsia="宋体" w:cs="宋体"/>
          <w:b/>
          <w:bCs/>
          <w:color w:val="auto"/>
          <w:sz w:val="24"/>
          <w:highlight w:val="none"/>
        </w:rPr>
        <w:t>响应文件提交截止时间</w:t>
      </w:r>
    </w:p>
    <w:p w14:paraId="74EB502C">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同磋商时间</w:t>
      </w:r>
    </w:p>
    <w:p w14:paraId="27523C63">
      <w:pPr>
        <w:spacing w:line="360" w:lineRule="auto"/>
        <w:ind w:firstLine="435"/>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六</w:t>
      </w:r>
      <w:r>
        <w:rPr>
          <w:rFonts w:hint="eastAsia" w:ascii="宋体" w:hAnsi="宋体" w:eastAsia="宋体" w:cs="宋体"/>
          <w:b/>
          <w:color w:val="auto"/>
          <w:sz w:val="24"/>
          <w:highlight w:val="none"/>
        </w:rPr>
        <w:t>、</w:t>
      </w:r>
      <w:r>
        <w:rPr>
          <w:rFonts w:hint="eastAsia" w:ascii="宋体" w:hAnsi="宋体" w:eastAsia="宋体" w:cs="宋体"/>
          <w:b/>
          <w:bCs/>
          <w:color w:val="auto"/>
          <w:sz w:val="24"/>
          <w:szCs w:val="18"/>
          <w:highlight w:val="none"/>
        </w:rPr>
        <w:t>联系方法</w:t>
      </w:r>
    </w:p>
    <w:p w14:paraId="6246F4C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1.项目单位：</w:t>
      </w:r>
      <w:r>
        <w:rPr>
          <w:rFonts w:hint="eastAsia" w:ascii="宋体" w:hAnsi="宋体" w:eastAsia="宋体" w:cs="宋体"/>
          <w:color w:val="auto"/>
          <w:sz w:val="24"/>
          <w:szCs w:val="18"/>
          <w:highlight w:val="none"/>
          <w:lang w:val="en-US" w:eastAsia="zh-CN"/>
        </w:rPr>
        <w:t>合肥滨湖时光体育发展有限公司</w:t>
      </w:r>
      <w:r>
        <w:rPr>
          <w:rFonts w:hint="eastAsia" w:ascii="宋体" w:hAnsi="宋体" w:eastAsia="宋体" w:cs="宋体"/>
          <w:color w:val="auto"/>
          <w:sz w:val="24"/>
          <w:szCs w:val="18"/>
          <w:highlight w:val="none"/>
        </w:rPr>
        <w:t xml:space="preserve"> </w:t>
      </w:r>
    </w:p>
    <w:p w14:paraId="79ACA56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2.地址： 合肥市包河区大圩镇花园大道卓越城文华园一期2号楼4F</w:t>
      </w:r>
    </w:p>
    <w:p w14:paraId="47DCEA8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3.联系人：</w:t>
      </w:r>
      <w:bookmarkStart w:id="5" w:name="_Hlk179384748"/>
      <w:r>
        <w:rPr>
          <w:rFonts w:hint="eastAsia" w:ascii="宋体" w:hAnsi="宋体" w:eastAsia="宋体" w:cs="宋体"/>
          <w:color w:val="auto"/>
          <w:sz w:val="24"/>
          <w:szCs w:val="18"/>
          <w:highlight w:val="none"/>
        </w:rPr>
        <w:t xml:space="preserve"> 耿工</w:t>
      </w:r>
    </w:p>
    <w:p w14:paraId="17CB160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4.电话： 17318512331</w:t>
      </w:r>
      <w:bookmarkEnd w:id="5"/>
    </w:p>
    <w:p w14:paraId="18E3633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5.合肥滨湖时光产业投资集团有限公司网址: http://bhsggroup.cn/</w:t>
      </w:r>
    </w:p>
    <w:p w14:paraId="666289E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color w:val="auto"/>
          <w:sz w:val="24"/>
          <w:szCs w:val="18"/>
          <w:highlight w:val="none"/>
        </w:rPr>
      </w:pPr>
      <w:bookmarkStart w:id="6" w:name="_Toc44606295"/>
      <w:bookmarkStart w:id="7" w:name="_Toc47026332"/>
      <w:r>
        <w:rPr>
          <w:rFonts w:hint="eastAsia" w:ascii="宋体" w:hAnsi="宋体" w:eastAsia="宋体" w:cs="宋体"/>
          <w:b/>
          <w:color w:val="auto"/>
          <w:sz w:val="24"/>
          <w:szCs w:val="18"/>
          <w:highlight w:val="none"/>
        </w:rPr>
        <w:t>七</w:t>
      </w:r>
      <w:r>
        <w:rPr>
          <w:rFonts w:hint="eastAsia" w:ascii="宋体" w:hAnsi="宋体" w:eastAsia="宋体" w:cs="宋体"/>
          <w:b/>
          <w:color w:val="auto"/>
          <w:sz w:val="24"/>
          <w:highlight w:val="none"/>
        </w:rPr>
        <w:t>、</w:t>
      </w:r>
      <w:r>
        <w:rPr>
          <w:rFonts w:hint="eastAsia" w:ascii="宋体" w:hAnsi="宋体" w:eastAsia="宋体" w:cs="宋体"/>
          <w:b/>
          <w:color w:val="auto"/>
          <w:sz w:val="24"/>
          <w:szCs w:val="18"/>
          <w:highlight w:val="none"/>
        </w:rPr>
        <w:t>其他事项说明</w:t>
      </w:r>
      <w:bookmarkEnd w:id="6"/>
      <w:bookmarkEnd w:id="7"/>
    </w:p>
    <w:p w14:paraId="6D522B7A">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color w:val="auto"/>
          <w:sz w:val="24"/>
          <w:highlight w:val="none"/>
        </w:rPr>
        <w:t>1.</w:t>
      </w:r>
      <w:r>
        <w:rPr>
          <w:rFonts w:hint="eastAsia" w:ascii="宋体" w:hAnsi="宋体" w:eastAsia="宋体" w:cs="宋体"/>
          <w:bCs/>
          <w:color w:val="auto"/>
          <w:sz w:val="24"/>
          <w:szCs w:val="18"/>
          <w:highlight w:val="none"/>
        </w:rPr>
        <w:t>投标人应合理安排</w:t>
      </w:r>
      <w:r>
        <w:rPr>
          <w:rFonts w:hint="eastAsia" w:ascii="宋体" w:hAnsi="宋体" w:eastAsia="宋体" w:cs="宋体"/>
          <w:color w:val="auto"/>
          <w:sz w:val="24"/>
          <w:szCs w:val="18"/>
          <w:highlight w:val="none"/>
        </w:rPr>
        <w:t>磋商</w:t>
      </w:r>
      <w:r>
        <w:rPr>
          <w:rFonts w:hint="eastAsia" w:ascii="宋体" w:hAnsi="宋体" w:eastAsia="宋体" w:cs="宋体"/>
          <w:bCs/>
          <w:color w:val="auto"/>
          <w:sz w:val="24"/>
          <w:szCs w:val="18"/>
          <w:highlight w:val="none"/>
        </w:rPr>
        <w:t>文件获取时间，如果因计算机及网络故障造成无法完成</w:t>
      </w:r>
      <w:r>
        <w:rPr>
          <w:rFonts w:hint="eastAsia" w:ascii="宋体" w:hAnsi="宋体" w:eastAsia="宋体" w:cs="宋体"/>
          <w:color w:val="auto"/>
          <w:sz w:val="24"/>
          <w:szCs w:val="18"/>
          <w:highlight w:val="none"/>
        </w:rPr>
        <w:t>磋商</w:t>
      </w:r>
      <w:r>
        <w:rPr>
          <w:rFonts w:hint="eastAsia" w:ascii="宋体" w:hAnsi="宋体" w:eastAsia="宋体" w:cs="宋体"/>
          <w:bCs/>
          <w:color w:val="auto"/>
          <w:sz w:val="24"/>
          <w:szCs w:val="18"/>
          <w:highlight w:val="none"/>
        </w:rPr>
        <w:t>文件获取，责任自负。</w:t>
      </w:r>
    </w:p>
    <w:p w14:paraId="045AD41F">
      <w:pPr>
        <w:spacing w:line="360" w:lineRule="auto"/>
        <w:ind w:firstLine="435"/>
        <w:jc w:val="left"/>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2.本项目采用线下开标，投标人无需前往磋商现场。</w:t>
      </w:r>
    </w:p>
    <w:p w14:paraId="21D2C1AF">
      <w:pPr>
        <w:spacing w:line="360" w:lineRule="auto"/>
        <w:ind w:firstLine="435"/>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八、保证金缴纳账户</w:t>
      </w:r>
    </w:p>
    <w:p w14:paraId="36114CB4">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1.公司名称：</w:t>
      </w:r>
      <w:bookmarkStart w:id="8" w:name="OLE_LINK4"/>
      <w:r>
        <w:rPr>
          <w:rFonts w:hint="eastAsia" w:ascii="宋体" w:hAnsi="宋体" w:eastAsia="宋体" w:cs="宋体"/>
          <w:bCs/>
          <w:color w:val="auto"/>
          <w:sz w:val="24"/>
          <w:szCs w:val="18"/>
          <w:highlight w:val="none"/>
        </w:rPr>
        <w:t>合肥滨湖时光体育发展有限公司</w:t>
      </w:r>
      <w:bookmarkEnd w:id="8"/>
    </w:p>
    <w:p w14:paraId="50B85887">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2.社会信用代码：91340111MADXJ9C21F</w:t>
      </w:r>
    </w:p>
    <w:p w14:paraId="4B29034A">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3.开户行：徽商银行合肥濉溪路支行</w:t>
      </w:r>
    </w:p>
    <w:p w14:paraId="7F701C53">
      <w:pPr>
        <w:spacing w:line="360" w:lineRule="auto"/>
        <w:ind w:firstLine="435"/>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4.账号：261680629121000002</w:t>
      </w:r>
    </w:p>
    <w:p w14:paraId="7028F222">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Cs/>
          <w:color w:val="auto"/>
          <w:sz w:val="24"/>
          <w:szCs w:val="18"/>
          <w:highlight w:val="none"/>
        </w:rPr>
        <w:t>5.公司地址：安徽省合肥市包河区大圩镇花园大道365号滨湖卓越城A2栋407室</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4"/>
          <w:szCs w:val="18"/>
          <w:highlight w:val="none"/>
        </w:rPr>
        <w:br w:type="page"/>
      </w:r>
    </w:p>
    <w:p w14:paraId="7693D018">
      <w:pPr>
        <w:spacing w:line="360" w:lineRule="auto"/>
        <w:jc w:val="center"/>
        <w:outlineLvl w:val="1"/>
        <w:rPr>
          <w:rFonts w:hint="eastAsia" w:ascii="宋体" w:hAnsi="宋体" w:eastAsia="宋体" w:cs="宋体"/>
          <w:b/>
          <w:color w:val="auto"/>
          <w:sz w:val="28"/>
          <w:highlight w:val="none"/>
        </w:rPr>
      </w:pPr>
      <w:bookmarkStart w:id="9" w:name="_Toc47026333"/>
      <w:r>
        <w:rPr>
          <w:rFonts w:hint="eastAsia" w:ascii="宋体" w:hAnsi="宋体" w:eastAsia="宋体" w:cs="宋体"/>
          <w:b/>
          <w:color w:val="auto"/>
          <w:sz w:val="28"/>
          <w:highlight w:val="none"/>
        </w:rPr>
        <w:t>第二章  投标人须知</w:t>
      </w:r>
      <w:bookmarkEnd w:id="9"/>
    </w:p>
    <w:p w14:paraId="1FA326D3">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一、投标人须知前附表</w:t>
      </w:r>
    </w:p>
    <w:p w14:paraId="51153B1A">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23"/>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2025"/>
        <w:gridCol w:w="5466"/>
      </w:tblGrid>
      <w:tr w14:paraId="514FA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3689351B">
            <w:pPr>
              <w:pStyle w:val="29"/>
              <w:rPr>
                <w:rFonts w:hint="eastAsia"/>
                <w:color w:val="auto"/>
                <w:highlight w:val="none"/>
              </w:rPr>
            </w:pPr>
            <w:r>
              <w:rPr>
                <w:rFonts w:hint="eastAsia"/>
                <w:color w:val="auto"/>
                <w:highlight w:val="none"/>
              </w:rPr>
              <w:t>条款号</w:t>
            </w:r>
          </w:p>
        </w:tc>
        <w:tc>
          <w:tcPr>
            <w:tcW w:w="2025" w:type="dxa"/>
            <w:vAlign w:val="center"/>
          </w:tcPr>
          <w:p w14:paraId="48C70C6C">
            <w:pPr>
              <w:pStyle w:val="29"/>
              <w:rPr>
                <w:rFonts w:hint="eastAsia"/>
                <w:color w:val="auto"/>
                <w:highlight w:val="none"/>
              </w:rPr>
            </w:pPr>
            <w:r>
              <w:rPr>
                <w:rFonts w:hint="eastAsia"/>
                <w:color w:val="auto"/>
                <w:highlight w:val="none"/>
              </w:rPr>
              <w:t>条款名称</w:t>
            </w:r>
          </w:p>
        </w:tc>
        <w:tc>
          <w:tcPr>
            <w:tcW w:w="5466" w:type="dxa"/>
            <w:vAlign w:val="center"/>
          </w:tcPr>
          <w:p w14:paraId="17346D3E">
            <w:pPr>
              <w:pStyle w:val="29"/>
              <w:rPr>
                <w:rFonts w:hint="eastAsia"/>
                <w:color w:val="auto"/>
                <w:highlight w:val="none"/>
              </w:rPr>
            </w:pPr>
            <w:r>
              <w:rPr>
                <w:rFonts w:hint="eastAsia"/>
                <w:color w:val="auto"/>
                <w:highlight w:val="none"/>
              </w:rPr>
              <w:t>内容、说明与要求</w:t>
            </w:r>
          </w:p>
        </w:tc>
      </w:tr>
      <w:tr w14:paraId="2C8E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78BF05DF">
            <w:pPr>
              <w:pStyle w:val="30"/>
              <w:rPr>
                <w:rFonts w:hint="eastAsia"/>
                <w:color w:val="auto"/>
                <w:highlight w:val="none"/>
              </w:rPr>
            </w:pPr>
            <w:r>
              <w:rPr>
                <w:rFonts w:hint="eastAsia"/>
                <w:color w:val="auto"/>
                <w:highlight w:val="none"/>
              </w:rPr>
              <w:t>3.1</w:t>
            </w:r>
          </w:p>
        </w:tc>
        <w:tc>
          <w:tcPr>
            <w:tcW w:w="2025" w:type="dxa"/>
            <w:vAlign w:val="center"/>
          </w:tcPr>
          <w:p w14:paraId="53513312">
            <w:pPr>
              <w:pStyle w:val="29"/>
              <w:rPr>
                <w:rFonts w:hint="eastAsia"/>
                <w:b/>
                <w:color w:val="auto"/>
                <w:highlight w:val="none"/>
              </w:rPr>
            </w:pPr>
            <w:r>
              <w:rPr>
                <w:rFonts w:hint="eastAsia"/>
                <w:color w:val="auto"/>
                <w:highlight w:val="none"/>
              </w:rPr>
              <w:t>招标人</w:t>
            </w:r>
          </w:p>
        </w:tc>
        <w:tc>
          <w:tcPr>
            <w:tcW w:w="5466" w:type="dxa"/>
            <w:vAlign w:val="center"/>
          </w:tcPr>
          <w:p w14:paraId="6D212B81">
            <w:pPr>
              <w:pStyle w:val="29"/>
              <w:rPr>
                <w:rFonts w:hint="eastAsia"/>
                <w:b/>
                <w:color w:val="auto"/>
                <w:kern w:val="2"/>
                <w:szCs w:val="20"/>
                <w:highlight w:val="none"/>
              </w:rPr>
            </w:pPr>
            <w:r>
              <w:rPr>
                <w:rFonts w:hint="eastAsia"/>
                <w:color w:val="auto"/>
                <w:highlight w:val="none"/>
              </w:rPr>
              <w:t>合肥滨湖时光体育发展有限公司</w:t>
            </w:r>
          </w:p>
        </w:tc>
      </w:tr>
      <w:tr w14:paraId="0CCA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7F0B91D3">
            <w:pPr>
              <w:pStyle w:val="30"/>
              <w:rPr>
                <w:rFonts w:hint="eastAsia"/>
                <w:color w:val="auto"/>
                <w:highlight w:val="none"/>
              </w:rPr>
            </w:pPr>
            <w:r>
              <w:rPr>
                <w:rFonts w:hint="eastAsia"/>
                <w:color w:val="auto"/>
                <w:highlight w:val="none"/>
              </w:rPr>
              <w:t>3.2</w:t>
            </w:r>
          </w:p>
        </w:tc>
        <w:tc>
          <w:tcPr>
            <w:tcW w:w="2025" w:type="dxa"/>
            <w:vAlign w:val="center"/>
          </w:tcPr>
          <w:p w14:paraId="79E645C8">
            <w:pPr>
              <w:pStyle w:val="29"/>
              <w:rPr>
                <w:rFonts w:hint="eastAsia"/>
                <w:b/>
                <w:color w:val="auto"/>
                <w:highlight w:val="none"/>
              </w:rPr>
            </w:pPr>
            <w:r>
              <w:rPr>
                <w:rFonts w:hint="eastAsia"/>
                <w:color w:val="auto"/>
                <w:highlight w:val="none"/>
              </w:rPr>
              <w:t>招标投标监督管理部门</w:t>
            </w:r>
          </w:p>
        </w:tc>
        <w:tc>
          <w:tcPr>
            <w:tcW w:w="5466" w:type="dxa"/>
            <w:vAlign w:val="center"/>
          </w:tcPr>
          <w:p w14:paraId="12100CDC">
            <w:pPr>
              <w:pStyle w:val="29"/>
              <w:rPr>
                <w:rFonts w:hint="eastAsia"/>
                <w:b/>
                <w:color w:val="auto"/>
                <w:highlight w:val="none"/>
              </w:rPr>
            </w:pPr>
            <w:r>
              <w:rPr>
                <w:rFonts w:hint="eastAsia"/>
                <w:color w:val="auto"/>
                <w:highlight w:val="none"/>
              </w:rPr>
              <w:t>合肥滨湖时光产业投资集团有限公司</w:t>
            </w:r>
          </w:p>
        </w:tc>
      </w:tr>
      <w:tr w14:paraId="4395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3DDB221B">
            <w:pPr>
              <w:pStyle w:val="30"/>
              <w:rPr>
                <w:rFonts w:hint="eastAsia"/>
                <w:color w:val="auto"/>
                <w:highlight w:val="none"/>
              </w:rPr>
            </w:pPr>
            <w:r>
              <w:rPr>
                <w:rFonts w:hint="eastAsia"/>
                <w:color w:val="auto"/>
                <w:highlight w:val="none"/>
              </w:rPr>
              <w:t>3.5</w:t>
            </w:r>
          </w:p>
        </w:tc>
        <w:tc>
          <w:tcPr>
            <w:tcW w:w="2025" w:type="dxa"/>
            <w:vAlign w:val="center"/>
          </w:tcPr>
          <w:p w14:paraId="1AB83EE7">
            <w:pPr>
              <w:pStyle w:val="29"/>
              <w:rPr>
                <w:rFonts w:hint="eastAsia"/>
                <w:b/>
                <w:color w:val="auto"/>
                <w:highlight w:val="none"/>
              </w:rPr>
            </w:pPr>
            <w:r>
              <w:rPr>
                <w:rFonts w:hint="eastAsia"/>
                <w:color w:val="auto"/>
                <w:highlight w:val="none"/>
              </w:rPr>
              <w:t>是否允许联合体参加磋商</w:t>
            </w:r>
          </w:p>
        </w:tc>
        <w:tc>
          <w:tcPr>
            <w:tcW w:w="5466" w:type="dxa"/>
            <w:vAlign w:val="center"/>
          </w:tcPr>
          <w:p w14:paraId="2951D646">
            <w:pPr>
              <w:pStyle w:val="29"/>
              <w:rPr>
                <w:rFonts w:hint="eastAsia"/>
                <w:b/>
                <w:color w:val="auto"/>
                <w:highlight w:val="none"/>
              </w:rPr>
            </w:pPr>
            <w:r>
              <w:rPr>
                <w:rFonts w:hint="eastAsia"/>
                <w:color w:val="auto"/>
                <w:highlight w:val="none"/>
              </w:rPr>
              <w:t xml:space="preserve">□是  </w:t>
            </w:r>
            <w:r>
              <w:rPr>
                <w:rFonts w:hint="eastAsia"/>
                <w:color w:val="auto"/>
                <w:szCs w:val="24"/>
                <w:highlight w:val="none"/>
              </w:rPr>
              <w:sym w:font="Wingdings 2" w:char="0052"/>
            </w:r>
            <w:r>
              <w:rPr>
                <w:rFonts w:hint="eastAsia"/>
                <w:color w:val="auto"/>
                <w:highlight w:val="none"/>
              </w:rPr>
              <w:t>否</w:t>
            </w:r>
          </w:p>
        </w:tc>
      </w:tr>
      <w:tr w14:paraId="05F6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6A5707D0">
            <w:pPr>
              <w:pStyle w:val="30"/>
              <w:rPr>
                <w:rFonts w:hint="eastAsia"/>
                <w:color w:val="auto"/>
                <w:highlight w:val="none"/>
              </w:rPr>
            </w:pPr>
            <w:r>
              <w:rPr>
                <w:rFonts w:hint="eastAsia"/>
                <w:color w:val="auto"/>
                <w:highlight w:val="none"/>
              </w:rPr>
              <w:t>7.3</w:t>
            </w:r>
          </w:p>
        </w:tc>
        <w:tc>
          <w:tcPr>
            <w:tcW w:w="2025" w:type="dxa"/>
            <w:vAlign w:val="center"/>
          </w:tcPr>
          <w:p w14:paraId="27D3A588">
            <w:pPr>
              <w:pStyle w:val="29"/>
              <w:rPr>
                <w:rFonts w:hint="eastAsia"/>
                <w:b/>
                <w:color w:val="auto"/>
                <w:highlight w:val="none"/>
              </w:rPr>
            </w:pPr>
            <w:r>
              <w:rPr>
                <w:rFonts w:hint="eastAsia"/>
                <w:color w:val="auto"/>
                <w:highlight w:val="none"/>
              </w:rPr>
              <w:t>现场考察</w:t>
            </w:r>
          </w:p>
        </w:tc>
        <w:tc>
          <w:tcPr>
            <w:tcW w:w="5466" w:type="dxa"/>
            <w:vAlign w:val="center"/>
          </w:tcPr>
          <w:p w14:paraId="7D822C9E">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rPr>
              <w:sym w:font="Wingdings 2" w:char="0052"/>
            </w:r>
            <w:r>
              <w:rPr>
                <w:rFonts w:hint="eastAsia" w:ascii="宋体" w:hAnsi="宋体" w:eastAsia="宋体" w:cs="宋体"/>
                <w:color w:val="auto"/>
                <w:sz w:val="24"/>
                <w:highlight w:val="none"/>
              </w:rPr>
              <w:t>不组织，投标人</w:t>
            </w:r>
            <w:r>
              <w:rPr>
                <w:rFonts w:hint="eastAsia" w:ascii="宋体" w:hAnsi="宋体" w:eastAsia="宋体" w:cs="宋体"/>
                <w:bCs/>
                <w:color w:val="auto"/>
                <w:sz w:val="24"/>
                <w:highlight w:val="none"/>
              </w:rPr>
              <w:t>自行考察</w:t>
            </w:r>
          </w:p>
        </w:tc>
      </w:tr>
      <w:tr w14:paraId="5043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6114DEDD">
            <w:pPr>
              <w:pStyle w:val="30"/>
              <w:rPr>
                <w:rFonts w:hint="eastAsia"/>
                <w:color w:val="auto"/>
                <w:highlight w:val="none"/>
              </w:rPr>
            </w:pPr>
            <w:r>
              <w:rPr>
                <w:rFonts w:hint="eastAsia"/>
                <w:color w:val="auto"/>
                <w:highlight w:val="none"/>
              </w:rPr>
              <w:t>8.1</w:t>
            </w:r>
          </w:p>
        </w:tc>
        <w:tc>
          <w:tcPr>
            <w:tcW w:w="2025" w:type="dxa"/>
            <w:vAlign w:val="center"/>
          </w:tcPr>
          <w:p w14:paraId="78B6C1B6">
            <w:pPr>
              <w:pStyle w:val="29"/>
              <w:rPr>
                <w:rFonts w:hint="eastAsia"/>
                <w:b/>
                <w:color w:val="auto"/>
                <w:highlight w:val="none"/>
              </w:rPr>
            </w:pPr>
            <w:r>
              <w:rPr>
                <w:rFonts w:hint="eastAsia"/>
                <w:color w:val="auto"/>
                <w:highlight w:val="none"/>
              </w:rPr>
              <w:t>答疑截止时间</w:t>
            </w:r>
          </w:p>
        </w:tc>
        <w:tc>
          <w:tcPr>
            <w:tcW w:w="5466" w:type="dxa"/>
            <w:vAlign w:val="center"/>
          </w:tcPr>
          <w:p w14:paraId="163265DF">
            <w:pPr>
              <w:pStyle w:val="29"/>
              <w:rPr>
                <w:rFonts w:hint="eastAsia"/>
                <w:color w:val="auto"/>
                <w:highlight w:val="none"/>
              </w:rPr>
            </w:pPr>
            <w:r>
              <w:rPr>
                <w:rFonts w:hint="eastAsia"/>
                <w:color w:val="auto"/>
                <w:highlight w:val="none"/>
              </w:rPr>
              <w:t>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2</w:t>
            </w:r>
            <w:r>
              <w:rPr>
                <w:rFonts w:hint="eastAsia"/>
                <w:color w:val="auto"/>
                <w:highlight w:val="none"/>
              </w:rPr>
              <w:t>月</w:t>
            </w:r>
            <w:r>
              <w:rPr>
                <w:rFonts w:hint="eastAsia"/>
                <w:color w:val="auto"/>
                <w:highlight w:val="none"/>
                <w:lang w:val="en-US" w:eastAsia="zh-CN"/>
              </w:rPr>
              <w:t>10</w:t>
            </w:r>
            <w:r>
              <w:rPr>
                <w:rFonts w:hint="eastAsia"/>
                <w:color w:val="auto"/>
                <w:highlight w:val="none"/>
              </w:rPr>
              <w:t>日17:30前接受答疑（逾期不予受理）。</w:t>
            </w:r>
          </w:p>
          <w:p w14:paraId="267ACE24">
            <w:pPr>
              <w:pStyle w:val="29"/>
              <w:rPr>
                <w:rFonts w:hint="eastAsia"/>
                <w:b/>
                <w:color w:val="auto"/>
                <w:highlight w:val="none"/>
              </w:rPr>
            </w:pPr>
            <w:r>
              <w:rPr>
                <w:rFonts w:hint="eastAsia"/>
                <w:color w:val="auto"/>
                <w:highlight w:val="none"/>
              </w:rPr>
              <w:t>投标人请注意：合肥滨湖时光体育发展有限公司对磋商文件进行的澄清、更正或更改，将在网站上及时发布，该公告内容为磋商文件的组成部分，对投标人具有同样约束力。投标人应主动上网查询。合肥滨湖时光体育发展有限公司不承担投标人未及时关注相关信息引发的相关责任。</w:t>
            </w:r>
          </w:p>
        </w:tc>
      </w:tr>
      <w:tr w14:paraId="5A33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04" w:type="dxa"/>
            <w:vAlign w:val="center"/>
          </w:tcPr>
          <w:p w14:paraId="35C04CFD">
            <w:pPr>
              <w:pStyle w:val="30"/>
              <w:rPr>
                <w:rFonts w:hint="eastAsia"/>
                <w:color w:val="auto"/>
                <w:highlight w:val="none"/>
              </w:rPr>
            </w:pPr>
            <w:r>
              <w:rPr>
                <w:rFonts w:hint="eastAsia"/>
                <w:color w:val="auto"/>
                <w:highlight w:val="none"/>
              </w:rPr>
              <w:t>9.1</w:t>
            </w:r>
          </w:p>
        </w:tc>
        <w:tc>
          <w:tcPr>
            <w:tcW w:w="2025" w:type="dxa"/>
            <w:vAlign w:val="center"/>
          </w:tcPr>
          <w:p w14:paraId="2D564D65">
            <w:pPr>
              <w:pStyle w:val="29"/>
              <w:rPr>
                <w:rFonts w:hint="eastAsia"/>
                <w:b/>
                <w:color w:val="auto"/>
                <w:highlight w:val="none"/>
              </w:rPr>
            </w:pPr>
            <w:r>
              <w:rPr>
                <w:rFonts w:hint="eastAsia"/>
                <w:color w:val="auto"/>
                <w:highlight w:val="none"/>
              </w:rPr>
              <w:t>标段划分</w:t>
            </w:r>
          </w:p>
        </w:tc>
        <w:tc>
          <w:tcPr>
            <w:tcW w:w="5466" w:type="dxa"/>
            <w:vAlign w:val="center"/>
          </w:tcPr>
          <w:p w14:paraId="62E3DA1B">
            <w:pPr>
              <w:pStyle w:val="2"/>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宋体"/>
                <w:color w:val="auto"/>
                <w:sz w:val="24"/>
                <w:szCs w:val="18"/>
                <w:highlight w:val="none"/>
                <w:lang w:val="en-US" w:eastAsia="zh-CN"/>
              </w:rPr>
            </w:pPr>
            <w:r>
              <w:rPr>
                <w:rFonts w:hint="eastAsia" w:cs="宋体"/>
                <w:color w:val="auto"/>
                <w:sz w:val="24"/>
                <w:szCs w:val="18"/>
                <w:highlight w:val="none"/>
                <w:lang w:val="en-US" w:eastAsia="zh-CN"/>
              </w:rPr>
              <w:t>共分7个标段。其中，第1标段为民乐课程；第2标段为管乐课程；第3标段为器乐课程；第4标段为美工课程；第5标段为编程课程；第6标段为无人机课程；第7标段为创客课程。</w:t>
            </w:r>
          </w:p>
          <w:p w14:paraId="60D494B5">
            <w:pPr>
              <w:pStyle w:val="29"/>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ascii="宋体" w:hAnsi="宋体" w:eastAsia="宋体" w:cs="宋体"/>
                <w:color w:val="auto"/>
                <w:sz w:val="24"/>
                <w:szCs w:val="18"/>
                <w:highlight w:val="none"/>
                <w:lang w:val="en-US" w:eastAsia="zh-CN"/>
              </w:rPr>
            </w:pPr>
            <w:r>
              <w:rPr>
                <w:rFonts w:hint="eastAsia" w:ascii="宋体" w:hAnsi="宋体" w:eastAsia="宋体" w:cs="宋体"/>
                <w:b/>
                <w:bCs/>
                <w:color w:val="auto"/>
                <w:kern w:val="2"/>
                <w:sz w:val="24"/>
                <w:szCs w:val="18"/>
                <w:highlight w:val="none"/>
                <w:lang w:val="en-US" w:eastAsia="zh-CN" w:bidi="ar-SA"/>
              </w:rPr>
              <w:t>备注：各潜在投标人可参与多个标段投标</w:t>
            </w:r>
            <w:r>
              <w:rPr>
                <w:rFonts w:hint="eastAsia" w:cs="宋体"/>
                <w:b/>
                <w:bCs/>
                <w:color w:val="auto"/>
                <w:kern w:val="2"/>
                <w:sz w:val="24"/>
                <w:szCs w:val="18"/>
                <w:highlight w:val="none"/>
                <w:lang w:val="en-US" w:eastAsia="zh-CN" w:bidi="ar-SA"/>
              </w:rPr>
              <w:t>。</w:t>
            </w:r>
          </w:p>
        </w:tc>
      </w:tr>
      <w:tr w14:paraId="601E9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004" w:type="dxa"/>
            <w:vAlign w:val="center"/>
          </w:tcPr>
          <w:p w14:paraId="76E258AB">
            <w:pPr>
              <w:pStyle w:val="30"/>
              <w:rPr>
                <w:rFonts w:hint="eastAsia"/>
                <w:color w:val="auto"/>
                <w:highlight w:val="none"/>
              </w:rPr>
            </w:pPr>
            <w:r>
              <w:rPr>
                <w:rFonts w:hint="eastAsia"/>
                <w:color w:val="auto"/>
                <w:highlight w:val="none"/>
              </w:rPr>
              <w:t>13.1</w:t>
            </w:r>
          </w:p>
        </w:tc>
        <w:tc>
          <w:tcPr>
            <w:tcW w:w="2025" w:type="dxa"/>
            <w:vAlign w:val="center"/>
          </w:tcPr>
          <w:p w14:paraId="64709D0B">
            <w:pPr>
              <w:pStyle w:val="29"/>
              <w:rPr>
                <w:rFonts w:hint="eastAsia"/>
                <w:b/>
                <w:color w:val="auto"/>
                <w:highlight w:val="none"/>
              </w:rPr>
            </w:pPr>
            <w:r>
              <w:rPr>
                <w:rFonts w:hint="eastAsia"/>
                <w:color w:val="auto"/>
                <w:highlight w:val="none"/>
              </w:rPr>
              <w:t>磋商保证金</w:t>
            </w:r>
          </w:p>
        </w:tc>
        <w:tc>
          <w:tcPr>
            <w:tcW w:w="5466" w:type="dxa"/>
            <w:vAlign w:val="center"/>
          </w:tcPr>
          <w:p w14:paraId="4F4591D3">
            <w:pPr>
              <w:snapToGrid w:val="0"/>
              <w:spacing w:line="520" w:lineRule="exact"/>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是否要求投标人提交磋商保证金：</w:t>
            </w:r>
          </w:p>
          <w:p w14:paraId="3AF83BE5">
            <w:pPr>
              <w:snapToGrid w:val="0"/>
              <w:spacing w:line="520" w:lineRule="exact"/>
              <w:rPr>
                <w:rFonts w:hint="eastAsia" w:ascii="宋体" w:hAnsi="宋体" w:eastAsia="宋体" w:cs="宋体"/>
                <w:bCs/>
                <w:color w:val="auto"/>
                <w:kern w:val="0"/>
                <w:sz w:val="24"/>
                <w:szCs w:val="28"/>
                <w:highlight w:val="none"/>
              </w:rPr>
            </w:pPr>
            <w:r>
              <w:rPr>
                <w:rFonts w:hint="eastAsia" w:ascii="宋体" w:hAnsi="宋体" w:eastAsia="宋体" w:cs="宋体"/>
                <w:bCs/>
                <w:color w:val="auto"/>
                <w:sz w:val="24"/>
                <w:szCs w:val="24"/>
                <w:highlight w:val="none"/>
              </w:rPr>
              <w:sym w:font="Wingdings 2" w:char="0052"/>
            </w:r>
            <w:r>
              <w:rPr>
                <w:rFonts w:hint="eastAsia" w:ascii="宋体" w:hAnsi="宋体" w:eastAsia="宋体" w:cs="宋体"/>
                <w:bCs/>
                <w:color w:val="auto"/>
                <w:kern w:val="0"/>
                <w:sz w:val="24"/>
                <w:szCs w:val="28"/>
                <w:highlight w:val="none"/>
              </w:rPr>
              <w:t>不要求</w:t>
            </w:r>
          </w:p>
        </w:tc>
      </w:tr>
      <w:tr w14:paraId="39B3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004" w:type="dxa"/>
            <w:vAlign w:val="center"/>
          </w:tcPr>
          <w:p w14:paraId="1197B01D">
            <w:pPr>
              <w:pStyle w:val="30"/>
              <w:rPr>
                <w:rFonts w:hint="eastAsia"/>
                <w:color w:val="auto"/>
                <w:highlight w:val="none"/>
              </w:rPr>
            </w:pPr>
            <w:r>
              <w:rPr>
                <w:rFonts w:hint="eastAsia"/>
                <w:color w:val="auto"/>
                <w:highlight w:val="none"/>
              </w:rPr>
              <w:t>13.3</w:t>
            </w:r>
          </w:p>
        </w:tc>
        <w:tc>
          <w:tcPr>
            <w:tcW w:w="2025" w:type="dxa"/>
            <w:vAlign w:val="center"/>
          </w:tcPr>
          <w:p w14:paraId="034C13B1">
            <w:pPr>
              <w:pStyle w:val="29"/>
              <w:rPr>
                <w:rFonts w:hint="eastAsia"/>
                <w:b/>
                <w:color w:val="auto"/>
                <w:highlight w:val="none"/>
              </w:rPr>
            </w:pPr>
            <w:r>
              <w:rPr>
                <w:rFonts w:hint="eastAsia"/>
                <w:color w:val="auto"/>
                <w:highlight w:val="none"/>
              </w:rPr>
              <w:t>其他不予退还磋商保证金的情形</w:t>
            </w:r>
          </w:p>
        </w:tc>
        <w:tc>
          <w:tcPr>
            <w:tcW w:w="5466" w:type="dxa"/>
            <w:vAlign w:val="center"/>
          </w:tcPr>
          <w:p w14:paraId="189C27E6">
            <w:pPr>
              <w:pStyle w:val="29"/>
              <w:rPr>
                <w:rFonts w:hint="eastAsia"/>
                <w:color w:val="auto"/>
                <w:highlight w:val="none"/>
              </w:rPr>
            </w:pPr>
            <w:r>
              <w:rPr>
                <w:rFonts w:hint="eastAsia"/>
                <w:color w:val="auto"/>
                <w:highlight w:val="none"/>
              </w:rPr>
              <w:t>/</w:t>
            </w:r>
          </w:p>
        </w:tc>
      </w:tr>
      <w:tr w14:paraId="6EB1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303796BD">
            <w:pPr>
              <w:pStyle w:val="30"/>
              <w:rPr>
                <w:rFonts w:hint="eastAsia"/>
                <w:color w:val="auto"/>
                <w:highlight w:val="none"/>
              </w:rPr>
            </w:pPr>
            <w:r>
              <w:rPr>
                <w:rFonts w:hint="eastAsia"/>
                <w:color w:val="auto"/>
                <w:highlight w:val="none"/>
              </w:rPr>
              <w:t>14.1</w:t>
            </w:r>
          </w:p>
        </w:tc>
        <w:tc>
          <w:tcPr>
            <w:tcW w:w="2025" w:type="dxa"/>
            <w:vAlign w:val="center"/>
          </w:tcPr>
          <w:p w14:paraId="5F9E930C">
            <w:pPr>
              <w:pStyle w:val="29"/>
              <w:rPr>
                <w:rFonts w:hint="eastAsia"/>
                <w:b/>
                <w:color w:val="auto"/>
                <w:highlight w:val="none"/>
              </w:rPr>
            </w:pPr>
            <w:r>
              <w:rPr>
                <w:rFonts w:hint="eastAsia"/>
                <w:color w:val="auto"/>
                <w:highlight w:val="none"/>
              </w:rPr>
              <w:t>磋商有效期</w:t>
            </w:r>
          </w:p>
        </w:tc>
        <w:tc>
          <w:tcPr>
            <w:tcW w:w="5466" w:type="dxa"/>
            <w:vAlign w:val="center"/>
          </w:tcPr>
          <w:p w14:paraId="617C0AA6">
            <w:pPr>
              <w:pStyle w:val="29"/>
              <w:rPr>
                <w:rFonts w:hint="eastAsia"/>
                <w:b/>
                <w:color w:val="auto"/>
                <w:highlight w:val="none"/>
              </w:rPr>
            </w:pPr>
            <w:r>
              <w:rPr>
                <w:rFonts w:hint="eastAsia"/>
                <w:color w:val="auto"/>
                <w:highlight w:val="none"/>
              </w:rPr>
              <w:t>120日历日</w:t>
            </w:r>
          </w:p>
        </w:tc>
      </w:tr>
      <w:tr w14:paraId="73412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8AC80A3">
            <w:pPr>
              <w:pStyle w:val="30"/>
              <w:rPr>
                <w:rFonts w:hint="eastAsia"/>
                <w:color w:val="auto"/>
                <w:highlight w:val="none"/>
              </w:rPr>
            </w:pPr>
            <w:r>
              <w:rPr>
                <w:rFonts w:hint="eastAsia"/>
                <w:color w:val="auto"/>
                <w:highlight w:val="none"/>
              </w:rPr>
              <w:t>15.1</w:t>
            </w:r>
          </w:p>
        </w:tc>
        <w:tc>
          <w:tcPr>
            <w:tcW w:w="2025" w:type="dxa"/>
            <w:vAlign w:val="center"/>
          </w:tcPr>
          <w:p w14:paraId="4EE0561A">
            <w:pPr>
              <w:pStyle w:val="29"/>
              <w:rPr>
                <w:rFonts w:hint="eastAsia"/>
                <w:b/>
                <w:color w:val="auto"/>
                <w:highlight w:val="none"/>
              </w:rPr>
            </w:pPr>
            <w:r>
              <w:rPr>
                <w:rFonts w:hint="eastAsia"/>
                <w:color w:val="auto"/>
                <w:highlight w:val="none"/>
              </w:rPr>
              <w:t>响应文件要求</w:t>
            </w:r>
          </w:p>
          <w:p w14:paraId="7CCFAEC6">
            <w:pPr>
              <w:pStyle w:val="29"/>
              <w:rPr>
                <w:rFonts w:hint="eastAsia"/>
                <w:color w:val="auto"/>
                <w:highlight w:val="none"/>
              </w:rPr>
            </w:pPr>
            <w:r>
              <w:rPr>
                <w:rFonts w:hint="eastAsia"/>
                <w:color w:val="auto"/>
                <w:highlight w:val="none"/>
              </w:rPr>
              <w:t>（纸质）</w:t>
            </w:r>
          </w:p>
        </w:tc>
        <w:tc>
          <w:tcPr>
            <w:tcW w:w="5466" w:type="dxa"/>
            <w:vAlign w:val="center"/>
          </w:tcPr>
          <w:p w14:paraId="3556E2C8">
            <w:pPr>
              <w:pStyle w:val="29"/>
              <w:rPr>
                <w:rFonts w:hint="eastAsia"/>
                <w:b/>
                <w:bCs w:val="0"/>
                <w:color w:val="auto"/>
                <w:highlight w:val="none"/>
              </w:rPr>
            </w:pPr>
            <w:bookmarkStart w:id="10" w:name="_Hlk179388000"/>
            <w:r>
              <w:rPr>
                <w:rFonts w:hint="eastAsia"/>
                <w:b/>
                <w:bCs w:val="0"/>
                <w:color w:val="auto"/>
                <w:highlight w:val="none"/>
              </w:rPr>
              <w:t>（1）纸质版投标文件（要求胶装成册）：</w:t>
            </w:r>
          </w:p>
          <w:p w14:paraId="6146F5DC">
            <w:pPr>
              <w:pStyle w:val="29"/>
              <w:rPr>
                <w:rFonts w:hint="eastAsia"/>
                <w:b/>
                <w:bCs w:val="0"/>
                <w:color w:val="auto"/>
                <w:highlight w:val="none"/>
              </w:rPr>
            </w:pPr>
            <w:r>
              <w:rPr>
                <w:rFonts w:hint="eastAsia"/>
                <w:b/>
                <w:bCs w:val="0"/>
                <w:color w:val="auto"/>
                <w:highlight w:val="none"/>
              </w:rPr>
              <w:t>正本1份；副本2份，密封提交。</w:t>
            </w:r>
          </w:p>
          <w:p w14:paraId="7A52E5A4">
            <w:pPr>
              <w:pStyle w:val="29"/>
              <w:rPr>
                <w:rFonts w:hint="eastAsia"/>
                <w:color w:val="auto"/>
                <w:highlight w:val="none"/>
              </w:rPr>
            </w:pPr>
            <w:r>
              <w:rPr>
                <w:rFonts w:hint="eastAsia"/>
                <w:color w:val="auto"/>
                <w:highlight w:val="none"/>
              </w:rPr>
              <w:t>（2）电子版投标文件（仅作为存档使用，不作为否决条款，要求与纸质版投标文件一致）：</w:t>
            </w:r>
          </w:p>
          <w:p w14:paraId="5940B3EC">
            <w:pPr>
              <w:pStyle w:val="29"/>
              <w:rPr>
                <w:rFonts w:hint="eastAsia"/>
                <w:color w:val="auto"/>
                <w:highlight w:val="none"/>
              </w:rPr>
            </w:pPr>
            <w:r>
              <w:rPr>
                <w:rFonts w:hint="eastAsia"/>
                <w:color w:val="auto"/>
                <w:highlight w:val="none"/>
              </w:rPr>
              <w:t>U盘或光盘1份（加盖公章后完整版投标文件扫件）。</w:t>
            </w:r>
          </w:p>
          <w:bookmarkEnd w:id="10"/>
          <w:p w14:paraId="4670DFA9">
            <w:pPr>
              <w:pStyle w:val="29"/>
              <w:rPr>
                <w:rFonts w:hint="eastAsia"/>
                <w:color w:val="auto"/>
                <w:highlight w:val="none"/>
              </w:rPr>
            </w:pPr>
            <w:r>
              <w:rPr>
                <w:rFonts w:hint="eastAsia"/>
                <w:b/>
                <w:bCs w:val="0"/>
                <w:color w:val="auto"/>
                <w:highlight w:val="none"/>
              </w:rPr>
              <w:t>重要提示：以上文件均须密封提交，密封档案袋封面格式由投标人自行拟定，但须至少反映出投标项目名称</w:t>
            </w:r>
            <w:r>
              <w:rPr>
                <w:rFonts w:hint="eastAsia"/>
                <w:b/>
                <w:bCs w:val="0"/>
                <w:color w:val="auto"/>
                <w:highlight w:val="none"/>
                <w:lang w:val="en-US" w:eastAsia="zh-CN"/>
              </w:rPr>
              <w:t>及标段</w:t>
            </w:r>
            <w:r>
              <w:rPr>
                <w:rFonts w:hint="eastAsia"/>
                <w:b/>
                <w:bCs w:val="0"/>
                <w:color w:val="auto"/>
                <w:highlight w:val="none"/>
              </w:rPr>
              <w:t>、项目编号、投标人名称、投标时间，并加盖投标人公章。如未注明以上信息，则视为</w:t>
            </w:r>
            <w:r>
              <w:rPr>
                <w:rFonts w:hint="eastAsia"/>
                <w:b/>
                <w:bCs w:val="0"/>
                <w:color w:val="auto"/>
                <w:highlight w:val="none"/>
                <w:lang w:eastAsia="zh-CN"/>
              </w:rPr>
              <w:t>未</w:t>
            </w:r>
            <w:r>
              <w:rPr>
                <w:rFonts w:hint="eastAsia"/>
                <w:b/>
                <w:bCs w:val="0"/>
                <w:color w:val="auto"/>
                <w:highlight w:val="none"/>
              </w:rPr>
              <w:t>响应招标文件要求，将作废标处理，由此造成的所有责任由投标人自行承担。</w:t>
            </w:r>
          </w:p>
        </w:tc>
      </w:tr>
      <w:tr w14:paraId="63AA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5B94CEC">
            <w:pPr>
              <w:pStyle w:val="30"/>
              <w:rPr>
                <w:rFonts w:hint="eastAsia"/>
                <w:color w:val="auto"/>
                <w:highlight w:val="none"/>
              </w:rPr>
            </w:pPr>
            <w:r>
              <w:rPr>
                <w:rFonts w:hint="eastAsia"/>
                <w:color w:val="auto"/>
                <w:highlight w:val="none"/>
              </w:rPr>
              <w:t>15.3</w:t>
            </w:r>
          </w:p>
        </w:tc>
        <w:tc>
          <w:tcPr>
            <w:tcW w:w="2025" w:type="dxa"/>
            <w:vAlign w:val="center"/>
          </w:tcPr>
          <w:p w14:paraId="50C8B381">
            <w:pPr>
              <w:pStyle w:val="29"/>
              <w:rPr>
                <w:rFonts w:hint="eastAsia"/>
                <w:b/>
                <w:color w:val="auto"/>
                <w:highlight w:val="none"/>
              </w:rPr>
            </w:pPr>
            <w:r>
              <w:rPr>
                <w:rFonts w:hint="eastAsia"/>
                <w:color w:val="auto"/>
                <w:highlight w:val="none"/>
              </w:rPr>
              <w:t>磋商现场提交的其他材料要求</w:t>
            </w:r>
          </w:p>
        </w:tc>
        <w:tc>
          <w:tcPr>
            <w:tcW w:w="5466" w:type="dxa"/>
            <w:vAlign w:val="center"/>
          </w:tcPr>
          <w:p w14:paraId="3E9B376D">
            <w:pPr>
              <w:pStyle w:val="29"/>
              <w:rPr>
                <w:rFonts w:hint="eastAsia"/>
                <w:b/>
                <w:color w:val="auto"/>
                <w:highlight w:val="none"/>
              </w:rPr>
            </w:pPr>
            <w:r>
              <w:rPr>
                <w:rFonts w:hint="eastAsia"/>
                <w:color w:val="auto"/>
                <w:highlight w:val="none"/>
              </w:rPr>
              <w:t xml:space="preserve">  无  </w:t>
            </w:r>
          </w:p>
        </w:tc>
      </w:tr>
      <w:tr w14:paraId="0404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11F71EB1">
            <w:pPr>
              <w:pStyle w:val="30"/>
              <w:rPr>
                <w:rFonts w:hint="eastAsia"/>
                <w:color w:val="auto"/>
                <w:highlight w:val="none"/>
              </w:rPr>
            </w:pPr>
            <w:r>
              <w:rPr>
                <w:rFonts w:hint="eastAsia"/>
                <w:color w:val="auto"/>
                <w:highlight w:val="none"/>
              </w:rPr>
              <w:t>16.1</w:t>
            </w:r>
          </w:p>
        </w:tc>
        <w:tc>
          <w:tcPr>
            <w:tcW w:w="2025" w:type="dxa"/>
            <w:vAlign w:val="center"/>
          </w:tcPr>
          <w:p w14:paraId="50611CC7">
            <w:pPr>
              <w:pStyle w:val="29"/>
              <w:rPr>
                <w:rFonts w:hint="eastAsia"/>
                <w:b/>
                <w:color w:val="auto"/>
                <w:highlight w:val="none"/>
              </w:rPr>
            </w:pPr>
            <w:r>
              <w:rPr>
                <w:rFonts w:hint="eastAsia"/>
                <w:color w:val="auto"/>
                <w:highlight w:val="none"/>
              </w:rPr>
              <w:t>响应文件提交截止时间</w:t>
            </w:r>
          </w:p>
        </w:tc>
        <w:tc>
          <w:tcPr>
            <w:tcW w:w="5466" w:type="dxa"/>
            <w:vAlign w:val="center"/>
          </w:tcPr>
          <w:p w14:paraId="3899EC23">
            <w:pPr>
              <w:pStyle w:val="29"/>
              <w:rPr>
                <w:rFonts w:hint="eastAsia"/>
                <w:b/>
                <w:color w:val="auto"/>
                <w:highlight w:val="none"/>
              </w:rPr>
            </w:pPr>
            <w:r>
              <w:rPr>
                <w:rFonts w:hint="eastAsia"/>
                <w:color w:val="auto"/>
                <w:highlight w:val="none"/>
              </w:rPr>
              <w:t>详见磋商公告</w:t>
            </w:r>
          </w:p>
        </w:tc>
      </w:tr>
      <w:tr w14:paraId="4A45C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restart"/>
            <w:vAlign w:val="center"/>
          </w:tcPr>
          <w:p w14:paraId="49FECA60">
            <w:pPr>
              <w:pStyle w:val="30"/>
              <w:rPr>
                <w:rFonts w:hint="eastAsia"/>
                <w:color w:val="auto"/>
                <w:highlight w:val="none"/>
              </w:rPr>
            </w:pPr>
            <w:r>
              <w:rPr>
                <w:rFonts w:hint="eastAsia"/>
                <w:color w:val="auto"/>
                <w:highlight w:val="none"/>
              </w:rPr>
              <w:t>19.1</w:t>
            </w:r>
          </w:p>
        </w:tc>
        <w:tc>
          <w:tcPr>
            <w:tcW w:w="2025" w:type="dxa"/>
            <w:vAlign w:val="center"/>
          </w:tcPr>
          <w:p w14:paraId="4EA6AA67">
            <w:pPr>
              <w:pStyle w:val="29"/>
              <w:rPr>
                <w:rFonts w:hint="eastAsia"/>
                <w:b/>
                <w:color w:val="auto"/>
                <w:highlight w:val="none"/>
              </w:rPr>
            </w:pPr>
            <w:r>
              <w:rPr>
                <w:rFonts w:hint="eastAsia"/>
                <w:color w:val="auto"/>
                <w:highlight w:val="none"/>
              </w:rPr>
              <w:t>磋商时间</w:t>
            </w:r>
          </w:p>
        </w:tc>
        <w:tc>
          <w:tcPr>
            <w:tcW w:w="5466" w:type="dxa"/>
            <w:vAlign w:val="center"/>
          </w:tcPr>
          <w:p w14:paraId="6AE40FFA">
            <w:pPr>
              <w:pStyle w:val="29"/>
              <w:rPr>
                <w:rFonts w:hint="eastAsia"/>
                <w:b/>
                <w:color w:val="auto"/>
                <w:highlight w:val="none"/>
              </w:rPr>
            </w:pPr>
            <w:r>
              <w:rPr>
                <w:rFonts w:hint="eastAsia"/>
                <w:color w:val="auto"/>
                <w:highlight w:val="none"/>
              </w:rPr>
              <w:t>详见磋商公告</w:t>
            </w:r>
          </w:p>
        </w:tc>
      </w:tr>
      <w:tr w14:paraId="2743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continue"/>
            <w:vAlign w:val="center"/>
          </w:tcPr>
          <w:p w14:paraId="72C32CE1">
            <w:pPr>
              <w:pStyle w:val="30"/>
              <w:rPr>
                <w:rFonts w:hint="eastAsia"/>
                <w:color w:val="auto"/>
                <w:highlight w:val="none"/>
              </w:rPr>
            </w:pPr>
          </w:p>
        </w:tc>
        <w:tc>
          <w:tcPr>
            <w:tcW w:w="2025" w:type="dxa"/>
            <w:vAlign w:val="center"/>
          </w:tcPr>
          <w:p w14:paraId="449DA089">
            <w:pPr>
              <w:pStyle w:val="29"/>
              <w:rPr>
                <w:rFonts w:hint="eastAsia"/>
                <w:b/>
                <w:color w:val="auto"/>
                <w:highlight w:val="none"/>
              </w:rPr>
            </w:pPr>
            <w:r>
              <w:rPr>
                <w:rFonts w:hint="eastAsia"/>
                <w:color w:val="auto"/>
                <w:highlight w:val="none"/>
              </w:rPr>
              <w:t>磋商地点</w:t>
            </w:r>
          </w:p>
        </w:tc>
        <w:tc>
          <w:tcPr>
            <w:tcW w:w="5466" w:type="dxa"/>
            <w:vAlign w:val="center"/>
          </w:tcPr>
          <w:p w14:paraId="6E2477B7">
            <w:pPr>
              <w:pStyle w:val="29"/>
              <w:rPr>
                <w:rFonts w:hint="eastAsia"/>
                <w:b/>
                <w:color w:val="auto"/>
                <w:highlight w:val="none"/>
              </w:rPr>
            </w:pPr>
            <w:r>
              <w:rPr>
                <w:rFonts w:hint="eastAsia"/>
                <w:color w:val="auto"/>
                <w:highlight w:val="none"/>
              </w:rPr>
              <w:t>详见磋商公告</w:t>
            </w:r>
          </w:p>
          <w:p w14:paraId="0811A06B">
            <w:pPr>
              <w:pStyle w:val="29"/>
              <w:rPr>
                <w:rFonts w:hint="eastAsia"/>
                <w:b/>
                <w:color w:val="auto"/>
                <w:highlight w:val="none"/>
              </w:rPr>
            </w:pPr>
            <w:r>
              <w:rPr>
                <w:rFonts w:hint="eastAsia"/>
                <w:color w:val="auto"/>
                <w:highlight w:val="none"/>
              </w:rPr>
              <w:t>注：投标人无须现场参加磋商</w:t>
            </w:r>
          </w:p>
        </w:tc>
      </w:tr>
      <w:tr w14:paraId="534F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7266089F">
            <w:pPr>
              <w:pStyle w:val="30"/>
              <w:rPr>
                <w:rFonts w:hint="eastAsia"/>
                <w:color w:val="auto"/>
                <w:highlight w:val="none"/>
              </w:rPr>
            </w:pPr>
            <w:r>
              <w:rPr>
                <w:rFonts w:hint="eastAsia"/>
                <w:color w:val="auto"/>
                <w:highlight w:val="none"/>
              </w:rPr>
              <w:t>19.3</w:t>
            </w:r>
          </w:p>
        </w:tc>
        <w:tc>
          <w:tcPr>
            <w:tcW w:w="2025" w:type="dxa"/>
            <w:vAlign w:val="center"/>
          </w:tcPr>
          <w:p w14:paraId="4F65AA21">
            <w:pPr>
              <w:pStyle w:val="29"/>
              <w:rPr>
                <w:rFonts w:hint="eastAsia"/>
                <w:b/>
                <w:color w:val="auto"/>
                <w:highlight w:val="none"/>
              </w:rPr>
            </w:pPr>
            <w:r>
              <w:rPr>
                <w:rFonts w:hint="eastAsia"/>
                <w:color w:val="auto"/>
                <w:highlight w:val="none"/>
              </w:rPr>
              <w:t>评审方法</w:t>
            </w:r>
          </w:p>
        </w:tc>
        <w:tc>
          <w:tcPr>
            <w:tcW w:w="5466" w:type="dxa"/>
            <w:vAlign w:val="center"/>
          </w:tcPr>
          <w:p w14:paraId="0A3CA343">
            <w:pPr>
              <w:pStyle w:val="29"/>
              <w:rPr>
                <w:rFonts w:hint="eastAsia"/>
                <w:b/>
                <w:color w:val="auto"/>
                <w:highlight w:val="none"/>
              </w:rPr>
            </w:pPr>
            <w:r>
              <w:rPr>
                <w:rFonts w:hint="eastAsia"/>
                <w:color w:val="auto"/>
                <w:highlight w:val="none"/>
              </w:rPr>
              <w:sym w:font="Wingdings" w:char="F0FE"/>
            </w:r>
            <w:r>
              <w:rPr>
                <w:rFonts w:hint="eastAsia"/>
                <w:color w:val="auto"/>
                <w:highlight w:val="none"/>
              </w:rPr>
              <w:t>综合评分法</w:t>
            </w:r>
          </w:p>
        </w:tc>
      </w:tr>
      <w:tr w14:paraId="7F4B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restart"/>
            <w:vAlign w:val="center"/>
          </w:tcPr>
          <w:p w14:paraId="3BEBB90F">
            <w:pPr>
              <w:pStyle w:val="30"/>
              <w:rPr>
                <w:rFonts w:hint="eastAsia"/>
                <w:color w:val="auto"/>
                <w:highlight w:val="none"/>
              </w:rPr>
            </w:pPr>
            <w:r>
              <w:rPr>
                <w:rFonts w:hint="eastAsia"/>
                <w:color w:val="auto"/>
                <w:highlight w:val="none"/>
              </w:rPr>
              <w:t>24.1</w:t>
            </w:r>
          </w:p>
        </w:tc>
        <w:tc>
          <w:tcPr>
            <w:tcW w:w="2025" w:type="dxa"/>
            <w:vMerge w:val="restart"/>
            <w:vAlign w:val="center"/>
          </w:tcPr>
          <w:p w14:paraId="5D273ABB">
            <w:pPr>
              <w:pStyle w:val="29"/>
              <w:rPr>
                <w:rFonts w:hint="eastAsia"/>
                <w:b/>
                <w:color w:val="auto"/>
                <w:highlight w:val="none"/>
              </w:rPr>
            </w:pPr>
            <w:r>
              <w:rPr>
                <w:rFonts w:hint="eastAsia"/>
                <w:color w:val="auto"/>
                <w:highlight w:val="none"/>
              </w:rPr>
              <w:t>确定中标候选人和中标人</w:t>
            </w:r>
          </w:p>
        </w:tc>
        <w:tc>
          <w:tcPr>
            <w:tcW w:w="5466" w:type="dxa"/>
            <w:vAlign w:val="center"/>
          </w:tcPr>
          <w:p w14:paraId="4505004F">
            <w:pPr>
              <w:pStyle w:val="29"/>
              <w:rPr>
                <w:rFonts w:hint="eastAsia"/>
                <w:b/>
                <w:color w:val="auto"/>
                <w:highlight w:val="none"/>
              </w:rPr>
            </w:pPr>
            <w:r>
              <w:rPr>
                <w:rFonts w:hint="eastAsia"/>
                <w:color w:val="auto"/>
                <w:highlight w:val="none"/>
              </w:rPr>
              <w:t>磋商小组推荐中标候选人的数量：</w:t>
            </w:r>
            <w:r>
              <w:rPr>
                <w:rFonts w:hint="eastAsia"/>
                <w:color w:val="auto"/>
                <w:highlight w:val="none"/>
                <w:lang w:val="en-US" w:eastAsia="zh-CN"/>
              </w:rPr>
              <w:t>每个标段推荐1家中标候选人</w:t>
            </w:r>
            <w:r>
              <w:rPr>
                <w:rFonts w:hint="eastAsia"/>
                <w:color w:val="auto"/>
                <w:highlight w:val="none"/>
              </w:rPr>
              <w:t xml:space="preserve">  </w:t>
            </w:r>
          </w:p>
        </w:tc>
      </w:tr>
      <w:tr w14:paraId="0EC2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Merge w:val="continue"/>
            <w:vAlign w:val="center"/>
          </w:tcPr>
          <w:p w14:paraId="1A2F6BE2">
            <w:pPr>
              <w:pStyle w:val="30"/>
              <w:rPr>
                <w:rFonts w:hint="eastAsia"/>
                <w:color w:val="auto"/>
                <w:highlight w:val="none"/>
              </w:rPr>
            </w:pPr>
          </w:p>
        </w:tc>
        <w:tc>
          <w:tcPr>
            <w:tcW w:w="2025" w:type="dxa"/>
            <w:vMerge w:val="continue"/>
            <w:vAlign w:val="center"/>
          </w:tcPr>
          <w:p w14:paraId="284A70E1">
            <w:pPr>
              <w:pStyle w:val="29"/>
              <w:rPr>
                <w:rFonts w:hint="eastAsia"/>
                <w:color w:val="auto"/>
                <w:highlight w:val="none"/>
              </w:rPr>
            </w:pPr>
          </w:p>
        </w:tc>
        <w:tc>
          <w:tcPr>
            <w:tcW w:w="5466" w:type="dxa"/>
            <w:vAlign w:val="center"/>
          </w:tcPr>
          <w:p w14:paraId="4AD92EEB">
            <w:pPr>
              <w:pStyle w:val="29"/>
              <w:rPr>
                <w:rFonts w:hint="eastAsia"/>
                <w:b/>
                <w:color w:val="auto"/>
                <w:highlight w:val="none"/>
              </w:rPr>
            </w:pPr>
            <w:r>
              <w:rPr>
                <w:rFonts w:hint="eastAsia"/>
                <w:color w:val="auto"/>
                <w:highlight w:val="none"/>
              </w:rPr>
              <w:t>确定中标人：</w:t>
            </w:r>
          </w:p>
          <w:p w14:paraId="08E9DCA5">
            <w:pPr>
              <w:pStyle w:val="29"/>
              <w:rPr>
                <w:rFonts w:hint="eastAsia"/>
                <w:b/>
                <w:color w:val="auto"/>
                <w:highlight w:val="none"/>
              </w:rPr>
            </w:pPr>
            <w:r>
              <w:rPr>
                <w:rFonts w:hint="eastAsia"/>
                <w:color w:val="auto"/>
                <w:highlight w:val="none"/>
              </w:rPr>
              <w:sym w:font="Wingdings" w:char="F0FE"/>
            </w:r>
            <w:r>
              <w:rPr>
                <w:rFonts w:hint="eastAsia"/>
                <w:color w:val="auto"/>
                <w:highlight w:val="none"/>
              </w:rPr>
              <w:t>招标人委托磋商小组确定     □招标人确定</w:t>
            </w:r>
          </w:p>
        </w:tc>
      </w:tr>
      <w:tr w14:paraId="04C0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4F692100">
            <w:pPr>
              <w:pStyle w:val="30"/>
              <w:rPr>
                <w:rFonts w:hint="eastAsia"/>
                <w:color w:val="auto"/>
                <w:highlight w:val="none"/>
              </w:rPr>
            </w:pPr>
            <w:r>
              <w:rPr>
                <w:rFonts w:hint="eastAsia"/>
                <w:color w:val="auto"/>
                <w:highlight w:val="none"/>
              </w:rPr>
              <w:t>28.1</w:t>
            </w:r>
          </w:p>
        </w:tc>
        <w:tc>
          <w:tcPr>
            <w:tcW w:w="2025" w:type="dxa"/>
            <w:vAlign w:val="center"/>
          </w:tcPr>
          <w:p w14:paraId="0F23E9A6">
            <w:pPr>
              <w:pStyle w:val="29"/>
              <w:rPr>
                <w:rFonts w:hint="eastAsia"/>
                <w:b/>
                <w:color w:val="auto"/>
                <w:highlight w:val="none"/>
              </w:rPr>
            </w:pPr>
            <w:r>
              <w:rPr>
                <w:rFonts w:hint="eastAsia"/>
                <w:color w:val="auto"/>
                <w:highlight w:val="none"/>
              </w:rPr>
              <w:t>中标通知书发出的形式</w:t>
            </w:r>
          </w:p>
        </w:tc>
        <w:tc>
          <w:tcPr>
            <w:tcW w:w="5466" w:type="dxa"/>
            <w:vAlign w:val="center"/>
          </w:tcPr>
          <w:p w14:paraId="6FC74750">
            <w:pPr>
              <w:pStyle w:val="29"/>
              <w:rPr>
                <w:rFonts w:hint="eastAsia"/>
                <w:b/>
                <w:color w:val="auto"/>
                <w:highlight w:val="none"/>
              </w:rPr>
            </w:pPr>
            <w:r>
              <w:rPr>
                <w:rFonts w:hint="eastAsia"/>
                <w:color w:val="auto"/>
                <w:highlight w:val="none"/>
              </w:rPr>
              <w:t xml:space="preserve"> </w:t>
            </w:r>
            <w:r>
              <w:rPr>
                <w:rFonts w:hint="eastAsia"/>
                <w:color w:val="auto"/>
                <w:highlight w:val="none"/>
              </w:rPr>
              <w:sym w:font="Wingdings" w:char="F0FE"/>
            </w:r>
            <w:r>
              <w:rPr>
                <w:rFonts w:hint="eastAsia"/>
                <w:color w:val="auto"/>
                <w:highlight w:val="none"/>
              </w:rPr>
              <w:t>数据电文</w:t>
            </w:r>
          </w:p>
          <w:p w14:paraId="4B07C93D">
            <w:pPr>
              <w:pStyle w:val="29"/>
              <w:rPr>
                <w:rFonts w:hint="eastAsia"/>
                <w:b/>
                <w:color w:val="auto"/>
                <w:highlight w:val="none"/>
              </w:rPr>
            </w:pPr>
            <w:r>
              <w:rPr>
                <w:rFonts w:hint="eastAsia"/>
                <w:snapToGrid w:val="0"/>
                <w:color w:val="auto"/>
                <w:highlight w:val="none"/>
              </w:rPr>
              <w:t xml:space="preserve">特别提醒：招标人确定中标人后，通过线上邮箱或通讯工具发送，中标通知书发出即视为送达。 </w:t>
            </w:r>
          </w:p>
        </w:tc>
      </w:tr>
      <w:tr w14:paraId="4DAE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561A5ED8">
            <w:pPr>
              <w:pStyle w:val="30"/>
              <w:rPr>
                <w:rFonts w:hint="eastAsia"/>
                <w:color w:val="auto"/>
                <w:highlight w:val="none"/>
              </w:rPr>
            </w:pPr>
            <w:r>
              <w:rPr>
                <w:rFonts w:hint="eastAsia"/>
                <w:color w:val="auto"/>
                <w:highlight w:val="none"/>
              </w:rPr>
              <w:t>29.1</w:t>
            </w:r>
          </w:p>
        </w:tc>
        <w:tc>
          <w:tcPr>
            <w:tcW w:w="2025" w:type="dxa"/>
            <w:vAlign w:val="center"/>
          </w:tcPr>
          <w:p w14:paraId="4CB55790">
            <w:pPr>
              <w:pStyle w:val="29"/>
              <w:rPr>
                <w:rFonts w:hint="eastAsia"/>
                <w:b/>
                <w:color w:val="auto"/>
                <w:highlight w:val="none"/>
              </w:rPr>
            </w:pPr>
            <w:r>
              <w:rPr>
                <w:rFonts w:hint="eastAsia"/>
                <w:color w:val="auto"/>
                <w:highlight w:val="none"/>
              </w:rPr>
              <w:t>告知磋商结果的形式</w:t>
            </w:r>
          </w:p>
        </w:tc>
        <w:tc>
          <w:tcPr>
            <w:tcW w:w="5466" w:type="dxa"/>
            <w:vAlign w:val="center"/>
          </w:tcPr>
          <w:p w14:paraId="1A0BB1BE">
            <w:pPr>
              <w:pStyle w:val="29"/>
              <w:rPr>
                <w:rFonts w:hint="eastAsia"/>
                <w:b/>
                <w:color w:val="auto"/>
                <w:highlight w:val="none"/>
              </w:rPr>
            </w:pPr>
            <w:r>
              <w:rPr>
                <w:rFonts w:hint="eastAsia"/>
                <w:color w:val="auto"/>
                <w:highlight w:val="none"/>
              </w:rPr>
              <w:sym w:font="Wingdings" w:char="F0FE"/>
            </w:r>
            <w:r>
              <w:rPr>
                <w:rFonts w:hint="eastAsia"/>
                <w:color w:val="auto"/>
                <w:highlight w:val="none"/>
              </w:rPr>
              <w:t>投标人自行登录滨湖时光集团官网查看</w:t>
            </w:r>
          </w:p>
        </w:tc>
      </w:tr>
      <w:tr w14:paraId="7D56F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3E2C5EFC">
            <w:pPr>
              <w:pStyle w:val="30"/>
              <w:rPr>
                <w:rFonts w:hint="eastAsia"/>
                <w:color w:val="auto"/>
                <w:highlight w:val="none"/>
              </w:rPr>
            </w:pPr>
            <w:r>
              <w:rPr>
                <w:rFonts w:hint="eastAsia"/>
                <w:color w:val="auto"/>
                <w:highlight w:val="none"/>
              </w:rPr>
              <w:t>30.1</w:t>
            </w:r>
          </w:p>
        </w:tc>
        <w:tc>
          <w:tcPr>
            <w:tcW w:w="2025" w:type="dxa"/>
            <w:vAlign w:val="center"/>
          </w:tcPr>
          <w:p w14:paraId="4744C290">
            <w:pPr>
              <w:pStyle w:val="29"/>
              <w:rPr>
                <w:rFonts w:hint="eastAsia"/>
                <w:b/>
                <w:color w:val="auto"/>
                <w:highlight w:val="none"/>
              </w:rPr>
            </w:pPr>
            <w:r>
              <w:rPr>
                <w:rFonts w:hint="eastAsia"/>
                <w:color w:val="auto"/>
                <w:highlight w:val="none"/>
              </w:rPr>
              <w:t>履约保证金</w:t>
            </w:r>
          </w:p>
        </w:tc>
        <w:tc>
          <w:tcPr>
            <w:tcW w:w="5466" w:type="dxa"/>
            <w:vAlign w:val="center"/>
          </w:tcPr>
          <w:p w14:paraId="33E8E00F">
            <w:pPr>
              <w:pStyle w:val="29"/>
              <w:rPr>
                <w:rFonts w:hint="eastAsia"/>
                <w:b/>
                <w:color w:val="auto"/>
                <w:highlight w:val="none"/>
              </w:rPr>
            </w:pPr>
            <w:r>
              <w:rPr>
                <w:rFonts w:hint="eastAsia"/>
                <w:color w:val="auto"/>
                <w:highlight w:val="none"/>
              </w:rPr>
              <w:t>是否要求投标人递交履约保证金：</w:t>
            </w:r>
          </w:p>
          <w:p w14:paraId="4CB2AB00">
            <w:pPr>
              <w:pStyle w:val="29"/>
              <w:rPr>
                <w:rFonts w:hint="eastAsia"/>
                <w:b/>
                <w:color w:val="auto"/>
                <w:highlight w:val="none"/>
              </w:rPr>
            </w:pPr>
            <w:r>
              <w:rPr>
                <w:rFonts w:hint="eastAsia"/>
                <w:color w:val="auto"/>
                <w:highlight w:val="none"/>
              </w:rPr>
              <w:sym w:font="Wingdings 2" w:char="0052"/>
            </w:r>
            <w:r>
              <w:rPr>
                <w:rFonts w:hint="eastAsia"/>
                <w:color w:val="auto"/>
                <w:highlight w:val="none"/>
              </w:rPr>
              <w:t>不要求</w:t>
            </w:r>
          </w:p>
        </w:tc>
      </w:tr>
      <w:tr w14:paraId="35A21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0CE87E08">
            <w:pPr>
              <w:pStyle w:val="30"/>
              <w:rPr>
                <w:rFonts w:hint="eastAsia"/>
                <w:color w:val="auto"/>
                <w:highlight w:val="none"/>
              </w:rPr>
            </w:pPr>
            <w:r>
              <w:rPr>
                <w:rFonts w:hint="eastAsia"/>
                <w:color w:val="auto"/>
                <w:highlight w:val="none"/>
              </w:rPr>
              <w:t>31.1</w:t>
            </w:r>
          </w:p>
        </w:tc>
        <w:tc>
          <w:tcPr>
            <w:tcW w:w="2025" w:type="dxa"/>
            <w:vAlign w:val="center"/>
          </w:tcPr>
          <w:p w14:paraId="4E37A796">
            <w:pPr>
              <w:pStyle w:val="29"/>
              <w:rPr>
                <w:rFonts w:hint="eastAsia"/>
                <w:b/>
                <w:color w:val="auto"/>
                <w:highlight w:val="none"/>
              </w:rPr>
            </w:pPr>
            <w:r>
              <w:rPr>
                <w:rFonts w:hint="eastAsia"/>
                <w:color w:val="auto"/>
                <w:highlight w:val="none"/>
              </w:rPr>
              <w:t>中标服务费</w:t>
            </w:r>
          </w:p>
        </w:tc>
        <w:tc>
          <w:tcPr>
            <w:tcW w:w="5466" w:type="dxa"/>
            <w:vAlign w:val="center"/>
          </w:tcPr>
          <w:p w14:paraId="4825058D">
            <w:pPr>
              <w:pStyle w:val="29"/>
              <w:rPr>
                <w:rFonts w:hint="eastAsia"/>
                <w:b/>
                <w:color w:val="auto"/>
                <w:highlight w:val="none"/>
              </w:rPr>
            </w:pPr>
            <w:r>
              <w:rPr>
                <w:rFonts w:hint="eastAsia"/>
                <w:color w:val="auto"/>
                <w:highlight w:val="none"/>
              </w:rPr>
              <w:t>（1）金额：</w:t>
            </w:r>
          </w:p>
          <w:p w14:paraId="4F52C6D1">
            <w:pPr>
              <w:pStyle w:val="29"/>
              <w:rPr>
                <w:rFonts w:hint="eastAsia"/>
                <w:b/>
                <w:color w:val="auto"/>
                <w:highlight w:val="none"/>
              </w:rPr>
            </w:pPr>
            <w:r>
              <w:rPr>
                <w:rFonts w:hint="eastAsia"/>
                <w:color w:val="auto"/>
                <w:highlight w:val="none"/>
              </w:rPr>
              <w:sym w:font="Wingdings 2" w:char="0052"/>
            </w:r>
            <w:r>
              <w:rPr>
                <w:rFonts w:hint="eastAsia"/>
                <w:color w:val="auto"/>
                <w:highlight w:val="none"/>
              </w:rPr>
              <w:t>免收</w:t>
            </w:r>
          </w:p>
        </w:tc>
      </w:tr>
      <w:tr w14:paraId="6573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72DA117">
            <w:pPr>
              <w:pStyle w:val="30"/>
              <w:rPr>
                <w:rFonts w:hint="eastAsia"/>
                <w:color w:val="auto"/>
                <w:highlight w:val="none"/>
              </w:rPr>
            </w:pPr>
            <w:r>
              <w:rPr>
                <w:rFonts w:hint="eastAsia"/>
                <w:color w:val="auto"/>
                <w:highlight w:val="none"/>
              </w:rPr>
              <w:t>34.3</w:t>
            </w:r>
          </w:p>
        </w:tc>
        <w:tc>
          <w:tcPr>
            <w:tcW w:w="2025" w:type="dxa"/>
            <w:vAlign w:val="center"/>
          </w:tcPr>
          <w:p w14:paraId="1C89C9B9">
            <w:pPr>
              <w:pStyle w:val="29"/>
              <w:rPr>
                <w:rFonts w:hint="eastAsia"/>
                <w:b/>
                <w:color w:val="auto"/>
                <w:highlight w:val="none"/>
              </w:rPr>
            </w:pPr>
            <w:r>
              <w:rPr>
                <w:rFonts w:hint="eastAsia"/>
                <w:color w:val="auto"/>
                <w:highlight w:val="none"/>
              </w:rPr>
              <w:t>异议函递交方式、接收部门、联系电话和通讯地址</w:t>
            </w:r>
          </w:p>
        </w:tc>
        <w:tc>
          <w:tcPr>
            <w:tcW w:w="5466" w:type="dxa"/>
            <w:vAlign w:val="center"/>
          </w:tcPr>
          <w:p w14:paraId="6D0C73EE">
            <w:pPr>
              <w:pStyle w:val="29"/>
              <w:rPr>
                <w:rFonts w:hint="eastAsia"/>
                <w:b/>
                <w:color w:val="auto"/>
                <w:highlight w:val="none"/>
              </w:rPr>
            </w:pPr>
            <w:r>
              <w:rPr>
                <w:rFonts w:hint="eastAsia"/>
                <w:color w:val="auto"/>
                <w:highlight w:val="none"/>
              </w:rPr>
              <w:t>递交方式：书面形式</w:t>
            </w:r>
          </w:p>
          <w:p w14:paraId="11C8545F">
            <w:pPr>
              <w:spacing w:line="360" w:lineRule="auto"/>
              <w:rPr>
                <w:rFonts w:hint="eastAsia" w:ascii="宋体" w:hAnsi="宋体" w:eastAsia="宋体" w:cs="宋体"/>
                <w:color w:val="auto"/>
                <w:kern w:val="0"/>
                <w:sz w:val="24"/>
                <w:szCs w:val="18"/>
                <w:highlight w:val="none"/>
              </w:rPr>
            </w:pPr>
            <w:r>
              <w:rPr>
                <w:rFonts w:hint="eastAsia" w:ascii="宋体" w:hAnsi="宋体" w:eastAsia="宋体" w:cs="宋体"/>
                <w:bCs/>
                <w:color w:val="auto"/>
                <w:kern w:val="0"/>
                <w:sz w:val="24"/>
                <w:szCs w:val="28"/>
                <w:highlight w:val="none"/>
              </w:rPr>
              <w:t>接收部门：</w:t>
            </w:r>
            <w:r>
              <w:rPr>
                <w:rFonts w:hint="eastAsia" w:ascii="宋体" w:hAnsi="宋体" w:eastAsia="宋体" w:cs="宋体"/>
                <w:color w:val="auto"/>
                <w:sz w:val="24"/>
                <w:highlight w:val="none"/>
                <w:u w:val="single"/>
              </w:rPr>
              <w:t>合肥滨湖时光产业投资集团有限公司公共事业部</w:t>
            </w:r>
          </w:p>
          <w:p w14:paraId="42AAF639">
            <w:pPr>
              <w:spacing w:line="360" w:lineRule="auto"/>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联系人：贾工</w:t>
            </w:r>
            <w:r>
              <w:rPr>
                <w:rFonts w:hint="eastAsia" w:ascii="宋体" w:hAnsi="宋体" w:eastAsia="宋体" w:cs="宋体"/>
                <w:color w:val="auto"/>
                <w:sz w:val="24"/>
                <w:szCs w:val="18"/>
                <w:highlight w:val="none"/>
              </w:rPr>
              <w:br w:type="textWrapping"/>
            </w:r>
            <w:r>
              <w:rPr>
                <w:rFonts w:hint="eastAsia" w:ascii="宋体" w:hAnsi="宋体" w:eastAsia="宋体" w:cs="宋体"/>
                <w:color w:val="auto"/>
                <w:sz w:val="24"/>
                <w:szCs w:val="18"/>
                <w:highlight w:val="none"/>
              </w:rPr>
              <w:t>电话： 0551-63357563</w:t>
            </w:r>
          </w:p>
          <w:p w14:paraId="7A6A9219">
            <w:pPr>
              <w:spacing w:line="360" w:lineRule="auto"/>
              <w:rPr>
                <w:rFonts w:hint="eastAsia" w:ascii="宋体" w:hAnsi="宋体" w:eastAsia="宋体" w:cs="宋体"/>
                <w:color w:val="auto"/>
                <w:kern w:val="0"/>
                <w:sz w:val="24"/>
                <w:szCs w:val="18"/>
                <w:highlight w:val="none"/>
              </w:rPr>
            </w:pPr>
            <w:r>
              <w:rPr>
                <w:rFonts w:hint="eastAsia" w:ascii="宋体" w:hAnsi="宋体" w:eastAsia="宋体" w:cs="宋体"/>
                <w:color w:val="auto"/>
                <w:sz w:val="24"/>
                <w:highlight w:val="none"/>
              </w:rPr>
              <w:t>通讯地址：</w:t>
            </w:r>
            <w:r>
              <w:rPr>
                <w:rFonts w:hint="eastAsia" w:ascii="宋体" w:hAnsi="宋体" w:eastAsia="宋体" w:cs="宋体"/>
                <w:color w:val="auto"/>
                <w:sz w:val="24"/>
                <w:szCs w:val="18"/>
                <w:highlight w:val="none"/>
              </w:rPr>
              <w:t>合肥市包河区花园大道与吉林路交口以南滨湖卓越城 A2栋404室</w:t>
            </w:r>
          </w:p>
        </w:tc>
      </w:tr>
      <w:tr w14:paraId="17D0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54B8F49">
            <w:pPr>
              <w:pStyle w:val="30"/>
              <w:rPr>
                <w:rFonts w:hint="eastAsia"/>
                <w:color w:val="auto"/>
                <w:highlight w:val="none"/>
              </w:rPr>
            </w:pPr>
            <w:r>
              <w:rPr>
                <w:rFonts w:hint="eastAsia"/>
                <w:color w:val="auto"/>
                <w:highlight w:val="none"/>
              </w:rPr>
              <w:t>35</w:t>
            </w:r>
          </w:p>
        </w:tc>
        <w:tc>
          <w:tcPr>
            <w:tcW w:w="2025" w:type="dxa"/>
            <w:vAlign w:val="center"/>
          </w:tcPr>
          <w:p w14:paraId="5EC4B6D7">
            <w:pPr>
              <w:pStyle w:val="29"/>
              <w:rPr>
                <w:rFonts w:hint="eastAsia"/>
                <w:b/>
                <w:color w:val="auto"/>
                <w:highlight w:val="none"/>
              </w:rPr>
            </w:pPr>
            <w:r>
              <w:rPr>
                <w:rFonts w:hint="eastAsia"/>
                <w:color w:val="auto"/>
                <w:highlight w:val="none"/>
              </w:rPr>
              <w:t>其他内容</w:t>
            </w:r>
          </w:p>
        </w:tc>
        <w:tc>
          <w:tcPr>
            <w:tcW w:w="5466" w:type="dxa"/>
            <w:vAlign w:val="center"/>
          </w:tcPr>
          <w:p w14:paraId="3BA72F58">
            <w:pPr>
              <w:pStyle w:val="29"/>
              <w:rPr>
                <w:rFonts w:hint="eastAsia"/>
                <w:color w:val="auto"/>
                <w:highlight w:val="none"/>
              </w:rPr>
            </w:pPr>
          </w:p>
        </w:tc>
      </w:tr>
      <w:tr w14:paraId="5B40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27D98CC2">
            <w:pPr>
              <w:pStyle w:val="30"/>
              <w:rPr>
                <w:rFonts w:hint="eastAsia"/>
                <w:color w:val="auto"/>
                <w:highlight w:val="none"/>
              </w:rPr>
            </w:pPr>
            <w:r>
              <w:rPr>
                <w:rFonts w:hint="eastAsia"/>
                <w:color w:val="auto"/>
                <w:highlight w:val="none"/>
              </w:rPr>
              <w:t>35.2</w:t>
            </w:r>
          </w:p>
        </w:tc>
        <w:tc>
          <w:tcPr>
            <w:tcW w:w="2025" w:type="dxa"/>
            <w:vAlign w:val="center"/>
          </w:tcPr>
          <w:p w14:paraId="5FF9B9B4">
            <w:pPr>
              <w:pStyle w:val="29"/>
              <w:rPr>
                <w:rFonts w:hint="eastAsia"/>
                <w:b/>
                <w:snapToGrid w:val="0"/>
                <w:color w:val="auto"/>
                <w:highlight w:val="none"/>
              </w:rPr>
            </w:pPr>
            <w:r>
              <w:rPr>
                <w:rFonts w:hint="eastAsia"/>
                <w:color w:val="auto"/>
                <w:highlight w:val="none"/>
              </w:rPr>
              <w:t>中标候选人公示内容</w:t>
            </w:r>
          </w:p>
        </w:tc>
        <w:tc>
          <w:tcPr>
            <w:tcW w:w="5466" w:type="dxa"/>
            <w:vAlign w:val="center"/>
          </w:tcPr>
          <w:p w14:paraId="0A561652">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本项目中标候选人公示中将对中标候选人经磋商小组评审认可的以下内容进行公示：</w:t>
            </w:r>
          </w:p>
          <w:p w14:paraId="23A2F8CB">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（1）拟任项目负责人（如有）：项目负责人姓名；</w:t>
            </w:r>
          </w:p>
          <w:p w14:paraId="3E2F55A5">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（2）项目负责人业绩（如有）：项目名称；</w:t>
            </w:r>
          </w:p>
          <w:p w14:paraId="38F562E0">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（3）投标人业绩（如有）：项目名称；</w:t>
            </w:r>
          </w:p>
          <w:p w14:paraId="38DEED3D">
            <w:pPr>
              <w:widowControl/>
              <w:snapToGrid w:val="0"/>
              <w:spacing w:line="360" w:lineRule="auto"/>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color w:val="auto"/>
                <w:sz w:val="24"/>
                <w:szCs w:val="24"/>
                <w:highlight w:val="none"/>
              </w:rPr>
              <w:t>（4）银行保函或担保机构担保或保证保险形式的磋商保证金扫描件（如采用）。</w:t>
            </w:r>
          </w:p>
        </w:tc>
      </w:tr>
      <w:tr w14:paraId="3082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42CDE30C">
            <w:pPr>
              <w:pStyle w:val="30"/>
              <w:rPr>
                <w:rFonts w:hint="eastAsia"/>
                <w:color w:val="auto"/>
                <w:highlight w:val="none"/>
              </w:rPr>
            </w:pPr>
            <w:r>
              <w:rPr>
                <w:rFonts w:hint="eastAsia"/>
                <w:color w:val="auto"/>
                <w:highlight w:val="none"/>
              </w:rPr>
              <w:t>35.4</w:t>
            </w:r>
          </w:p>
        </w:tc>
        <w:tc>
          <w:tcPr>
            <w:tcW w:w="2025" w:type="dxa"/>
            <w:vAlign w:val="center"/>
          </w:tcPr>
          <w:p w14:paraId="6F8C0CC9">
            <w:pPr>
              <w:pStyle w:val="29"/>
              <w:rPr>
                <w:rFonts w:hint="eastAsia"/>
                <w:b/>
                <w:color w:val="auto"/>
                <w:highlight w:val="none"/>
              </w:rPr>
            </w:pPr>
            <w:r>
              <w:rPr>
                <w:rFonts w:hint="eastAsia"/>
                <w:color w:val="auto"/>
                <w:highlight w:val="none"/>
              </w:rPr>
              <w:t>社保证明材料</w:t>
            </w:r>
          </w:p>
          <w:p w14:paraId="6AD37B85">
            <w:pPr>
              <w:pStyle w:val="29"/>
              <w:rPr>
                <w:rFonts w:hint="eastAsia"/>
                <w:b/>
                <w:color w:val="auto"/>
                <w:highlight w:val="none"/>
              </w:rPr>
            </w:pPr>
            <w:r>
              <w:rPr>
                <w:rFonts w:hint="eastAsia"/>
                <w:color w:val="auto"/>
                <w:highlight w:val="none"/>
              </w:rPr>
              <w:t>（如有）</w:t>
            </w:r>
          </w:p>
        </w:tc>
        <w:tc>
          <w:tcPr>
            <w:tcW w:w="5466" w:type="dxa"/>
            <w:vAlign w:val="center"/>
          </w:tcPr>
          <w:p w14:paraId="4E368AF0">
            <w:pPr>
              <w:pStyle w:val="29"/>
              <w:rPr>
                <w:rFonts w:hint="eastAsia"/>
                <w:b/>
                <w:color w:val="auto"/>
                <w:highlight w:val="none"/>
              </w:rPr>
            </w:pPr>
            <w:r>
              <w:rPr>
                <w:rFonts w:hint="eastAsia"/>
                <w:color w:val="auto"/>
                <w:highlight w:val="none"/>
              </w:rPr>
              <w:t>本项目磋商文件中要求提供的社保证明材料为下述形式之一（响应文件中须提供扫描件）：</w:t>
            </w:r>
          </w:p>
          <w:p w14:paraId="1D7CE923">
            <w:pPr>
              <w:pStyle w:val="29"/>
              <w:rPr>
                <w:rFonts w:hint="eastAsia"/>
                <w:b/>
                <w:color w:val="auto"/>
                <w:highlight w:val="none"/>
              </w:rPr>
            </w:pPr>
            <w:r>
              <w:rPr>
                <w:rFonts w:hint="eastAsia"/>
                <w:color w:val="auto"/>
                <w:highlight w:val="none"/>
              </w:rPr>
              <w:t>（1）社保局官方网站查询的缴费记录截图；</w:t>
            </w:r>
          </w:p>
          <w:p w14:paraId="5C08B649">
            <w:pPr>
              <w:pStyle w:val="29"/>
              <w:rPr>
                <w:rFonts w:hint="eastAsia"/>
                <w:b/>
                <w:color w:val="auto"/>
                <w:highlight w:val="none"/>
              </w:rPr>
            </w:pPr>
            <w:r>
              <w:rPr>
                <w:rFonts w:hint="eastAsia"/>
                <w:color w:val="auto"/>
                <w:highlight w:val="none"/>
              </w:rPr>
              <w:t>（2）社保局的书面证明材料；</w:t>
            </w:r>
          </w:p>
          <w:p w14:paraId="5545EECD">
            <w:pPr>
              <w:pStyle w:val="29"/>
              <w:rPr>
                <w:rFonts w:hint="eastAsia"/>
                <w:b/>
                <w:color w:val="auto"/>
                <w:highlight w:val="none"/>
              </w:rPr>
            </w:pPr>
            <w:r>
              <w:rPr>
                <w:rFonts w:hint="eastAsia"/>
                <w:color w:val="auto"/>
                <w:highlight w:val="none"/>
              </w:rPr>
              <w:t>（3）经投标人委托的第三方人力资源服务机构或与投标人有直接隶属关系的机构可以代缴社保，但须提供有关证明材料并经磋商小组确认；</w:t>
            </w:r>
          </w:p>
          <w:p w14:paraId="76E717F8">
            <w:pPr>
              <w:pStyle w:val="29"/>
              <w:rPr>
                <w:rFonts w:hint="eastAsia"/>
                <w:b/>
                <w:color w:val="auto"/>
                <w:highlight w:val="none"/>
              </w:rPr>
            </w:pPr>
            <w:r>
              <w:rPr>
                <w:rFonts w:hint="eastAsia"/>
                <w:color w:val="auto"/>
                <w:highlight w:val="none"/>
              </w:rPr>
              <w:t>（4）参与磋商的机构，社保证明可以用以下任意一种：</w:t>
            </w:r>
          </w:p>
          <w:p w14:paraId="1A8F7BB5">
            <w:pPr>
              <w:pStyle w:val="29"/>
              <w:rPr>
                <w:rFonts w:hint="eastAsia"/>
                <w:b/>
                <w:color w:val="auto"/>
                <w:highlight w:val="none"/>
              </w:rPr>
            </w:pPr>
            <w:r>
              <w:rPr>
                <w:rFonts w:hint="eastAsia"/>
                <w:color w:val="auto"/>
                <w:highlight w:val="none"/>
              </w:rPr>
              <w:t>①加盖投标人公章的教师证（须为本单位人员）；</w:t>
            </w:r>
          </w:p>
          <w:p w14:paraId="0D8996EA">
            <w:pPr>
              <w:pStyle w:val="29"/>
              <w:rPr>
                <w:rFonts w:hint="eastAsia"/>
                <w:b/>
                <w:color w:val="auto"/>
                <w:highlight w:val="none"/>
              </w:rPr>
            </w:pPr>
            <w:r>
              <w:rPr>
                <w:rFonts w:hint="eastAsia"/>
                <w:color w:val="auto"/>
                <w:highlight w:val="none"/>
              </w:rPr>
              <w:t>②医保证明材料；</w:t>
            </w:r>
          </w:p>
          <w:p w14:paraId="726F3F69">
            <w:pPr>
              <w:pStyle w:val="29"/>
              <w:rPr>
                <w:rFonts w:hint="eastAsia"/>
                <w:b/>
                <w:color w:val="auto"/>
                <w:highlight w:val="none"/>
              </w:rPr>
            </w:pPr>
            <w:r>
              <w:rPr>
                <w:rFonts w:hint="eastAsia"/>
                <w:color w:val="auto"/>
                <w:highlight w:val="none"/>
              </w:rPr>
              <w:t>（5）其他经磋商小组认可的证明材料；</w:t>
            </w:r>
          </w:p>
          <w:p w14:paraId="30E08606">
            <w:pPr>
              <w:pStyle w:val="29"/>
              <w:rPr>
                <w:rFonts w:hint="eastAsia"/>
                <w:b/>
                <w:color w:val="auto"/>
                <w:highlight w:val="none"/>
              </w:rPr>
            </w:pPr>
            <w:r>
              <w:rPr>
                <w:rFonts w:hint="eastAsia"/>
                <w:color w:val="auto"/>
                <w:highlight w:val="none"/>
              </w:rPr>
              <w:t>（6）法定代表人参与项目的，无需提供社保证明材料，提供身份证明材料即可。</w:t>
            </w:r>
          </w:p>
        </w:tc>
      </w:tr>
      <w:tr w14:paraId="7F1B5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13486F95">
            <w:pPr>
              <w:pStyle w:val="30"/>
              <w:rPr>
                <w:rFonts w:hint="eastAsia"/>
                <w:color w:val="auto"/>
                <w:highlight w:val="none"/>
              </w:rPr>
            </w:pPr>
            <w:r>
              <w:rPr>
                <w:rFonts w:hint="eastAsia"/>
                <w:color w:val="auto"/>
                <w:highlight w:val="none"/>
              </w:rPr>
              <w:t>35.6</w:t>
            </w:r>
          </w:p>
        </w:tc>
        <w:tc>
          <w:tcPr>
            <w:tcW w:w="2025" w:type="dxa"/>
            <w:vAlign w:val="center"/>
          </w:tcPr>
          <w:p w14:paraId="5CED65B1">
            <w:pPr>
              <w:pStyle w:val="29"/>
              <w:rPr>
                <w:rFonts w:hint="eastAsia"/>
                <w:b/>
                <w:color w:val="auto"/>
                <w:highlight w:val="none"/>
              </w:rPr>
            </w:pPr>
            <w:r>
              <w:rPr>
                <w:rFonts w:hint="eastAsia"/>
                <w:color w:val="auto"/>
                <w:highlight w:val="none"/>
              </w:rPr>
              <w:t>重要提示</w:t>
            </w:r>
          </w:p>
        </w:tc>
        <w:tc>
          <w:tcPr>
            <w:tcW w:w="5466" w:type="dxa"/>
            <w:vAlign w:val="center"/>
          </w:tcPr>
          <w:p w14:paraId="1A632AD8">
            <w:pPr>
              <w:numPr>
                <w:ilvl w:val="0"/>
                <w:numId w:val="3"/>
              </w:numPr>
              <w:spacing w:line="360" w:lineRule="auto"/>
              <w:ind w:left="0" w:firstLine="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中标人应在规定期限内提交履约保证金（如有）并与招标人签订合同，若中标人未能在规定期限内提交履约保证金（如有）或签订合同，招标人有权取消中标人中标资格，并将相关违约行为报送监管部门，实施信用惩戒；</w:t>
            </w:r>
          </w:p>
          <w:p w14:paraId="696F576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②合同签订后，中标人存在规定时间内不组织人员进场、不履行服务义务等情况，招标人有权解除合同，并追究违约责任，同时将相关违约行为报送监管部门处理；</w:t>
            </w:r>
          </w:p>
          <w:p w14:paraId="6F7876A2">
            <w:pPr>
              <w:numPr>
                <w:ilvl w:val="0"/>
                <w:numId w:val="4"/>
              </w:numPr>
              <w:spacing w:line="360" w:lineRule="auto"/>
              <w:ind w:left="0" w:firstLine="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中标人中标后被监管部门查实存在违法行为，不满足中标条件的，招标人直接取消中标资格；</w:t>
            </w:r>
          </w:p>
          <w:p w14:paraId="7B6C26D9">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④中标人在中标项目发生投诉、信访举报案件、履约存在争议时，拒绝协助配合执法部门调查案件的，招标人可以取消其中标资格或解除合同，并追究其违约责任。</w:t>
            </w:r>
          </w:p>
        </w:tc>
      </w:tr>
      <w:tr w14:paraId="666F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5727C830">
            <w:pPr>
              <w:pStyle w:val="30"/>
              <w:rPr>
                <w:rFonts w:hint="eastAsia"/>
                <w:color w:val="auto"/>
                <w:highlight w:val="none"/>
              </w:rPr>
            </w:pPr>
            <w:r>
              <w:rPr>
                <w:rFonts w:hint="eastAsia"/>
                <w:color w:val="auto"/>
                <w:highlight w:val="none"/>
              </w:rPr>
              <w:t>35.7</w:t>
            </w:r>
          </w:p>
        </w:tc>
        <w:tc>
          <w:tcPr>
            <w:tcW w:w="2025" w:type="dxa"/>
            <w:vAlign w:val="center"/>
          </w:tcPr>
          <w:p w14:paraId="2C37B394">
            <w:pPr>
              <w:pStyle w:val="29"/>
              <w:rPr>
                <w:rFonts w:hint="eastAsia"/>
                <w:b/>
                <w:color w:val="auto"/>
                <w:highlight w:val="none"/>
              </w:rPr>
            </w:pPr>
            <w:r>
              <w:rPr>
                <w:rFonts w:hint="eastAsia"/>
                <w:color w:val="auto"/>
                <w:highlight w:val="none"/>
              </w:rPr>
              <w:t>解释权</w:t>
            </w:r>
          </w:p>
        </w:tc>
        <w:tc>
          <w:tcPr>
            <w:tcW w:w="5466" w:type="dxa"/>
            <w:vAlign w:val="center"/>
          </w:tcPr>
          <w:p w14:paraId="6FF0FBF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（1）构成本磋商文件的各个组成文件应互为解释，互为说明；</w:t>
            </w:r>
          </w:p>
          <w:p w14:paraId="0AFE6230">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5C0974DF">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71D57A0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（4）除磋商文件中有特别规定外，仅适用于磋商及响应文件提交阶段的规定，按磋商公告、投标人须知、评审方法和标准、响应文件格式的先后顺序解释；</w:t>
            </w:r>
          </w:p>
          <w:p w14:paraId="25B68741">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（5）按本款前述规定仍不能形成结论的，由招标人负责解释。</w:t>
            </w:r>
          </w:p>
        </w:tc>
      </w:tr>
      <w:tr w14:paraId="004E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60373629">
            <w:pPr>
              <w:pStyle w:val="30"/>
              <w:rPr>
                <w:rFonts w:hint="eastAsia"/>
                <w:color w:val="auto"/>
                <w:highlight w:val="none"/>
              </w:rPr>
            </w:pPr>
            <w:r>
              <w:rPr>
                <w:rFonts w:hint="eastAsia"/>
                <w:color w:val="auto"/>
                <w:highlight w:val="none"/>
              </w:rPr>
              <w:t>35.8</w:t>
            </w:r>
          </w:p>
        </w:tc>
        <w:tc>
          <w:tcPr>
            <w:tcW w:w="2025" w:type="dxa"/>
            <w:vAlign w:val="center"/>
          </w:tcPr>
          <w:p w14:paraId="4125B011">
            <w:pPr>
              <w:pStyle w:val="29"/>
              <w:rPr>
                <w:rFonts w:hint="eastAsia"/>
                <w:b/>
                <w:color w:val="auto"/>
                <w:highlight w:val="none"/>
              </w:rPr>
            </w:pPr>
            <w:r>
              <w:rPr>
                <w:rFonts w:hint="eastAsia"/>
                <w:color w:val="auto"/>
                <w:highlight w:val="none"/>
              </w:rPr>
              <w:t>特别提醒</w:t>
            </w:r>
          </w:p>
        </w:tc>
        <w:tc>
          <w:tcPr>
            <w:tcW w:w="5466" w:type="dxa"/>
            <w:vAlign w:val="center"/>
          </w:tcPr>
          <w:p w14:paraId="5DE0489A">
            <w:pPr>
              <w:spacing w:line="360" w:lineRule="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本项目响应文件可由投标人在磋商时间前送至招标人指定的接收地点，或在磋商时间前邮寄至招标人指定的接收地点。</w:t>
            </w:r>
          </w:p>
        </w:tc>
      </w:tr>
      <w:tr w14:paraId="6295A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4" w:type="dxa"/>
            <w:vAlign w:val="center"/>
          </w:tcPr>
          <w:p w14:paraId="5038FF96">
            <w:pPr>
              <w:pStyle w:val="30"/>
              <w:rPr>
                <w:rFonts w:hint="eastAsia"/>
                <w:color w:val="auto"/>
                <w:highlight w:val="none"/>
              </w:rPr>
            </w:pPr>
            <w:r>
              <w:rPr>
                <w:rFonts w:hint="eastAsia"/>
                <w:color w:val="auto"/>
                <w:highlight w:val="none"/>
              </w:rPr>
              <w:t>35.9</w:t>
            </w:r>
          </w:p>
        </w:tc>
        <w:tc>
          <w:tcPr>
            <w:tcW w:w="2025" w:type="dxa"/>
            <w:vAlign w:val="center"/>
          </w:tcPr>
          <w:p w14:paraId="35B1F563">
            <w:pPr>
              <w:pStyle w:val="29"/>
              <w:rPr>
                <w:rFonts w:hint="eastAsia"/>
                <w:b/>
                <w:color w:val="auto"/>
                <w:highlight w:val="none"/>
              </w:rPr>
            </w:pPr>
            <w:r>
              <w:rPr>
                <w:rFonts w:hint="eastAsia"/>
                <w:color w:val="auto"/>
                <w:highlight w:val="none"/>
              </w:rPr>
              <w:t>其他补充说明</w:t>
            </w:r>
          </w:p>
        </w:tc>
        <w:tc>
          <w:tcPr>
            <w:tcW w:w="5466" w:type="dxa"/>
            <w:vAlign w:val="center"/>
          </w:tcPr>
          <w:p w14:paraId="071F9B4E">
            <w:pPr>
              <w:pStyle w:val="29"/>
              <w:rPr>
                <w:rFonts w:hint="eastAsia"/>
                <w:b/>
                <w:color w:val="auto"/>
                <w:highlight w:val="none"/>
              </w:rPr>
            </w:pPr>
            <w:r>
              <w:rPr>
                <w:rFonts w:hint="eastAsia"/>
                <w:color w:val="auto"/>
                <w:highlight w:val="none"/>
              </w:rPr>
              <w:t xml:space="preserve">   无   </w:t>
            </w:r>
          </w:p>
        </w:tc>
      </w:tr>
    </w:tbl>
    <w:p w14:paraId="21FFBDFF">
      <w:pPr>
        <w:numPr>
          <w:ilvl w:val="0"/>
          <w:numId w:val="5"/>
        </w:num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r>
        <w:rPr>
          <w:rFonts w:hint="eastAsia" w:ascii="宋体" w:hAnsi="宋体" w:eastAsia="宋体" w:cs="宋体"/>
          <w:b/>
          <w:color w:val="auto"/>
          <w:sz w:val="24"/>
          <w:highlight w:val="none"/>
        </w:rPr>
        <w:t>投标人须知正文</w:t>
      </w:r>
    </w:p>
    <w:p w14:paraId="6B28B56D">
      <w:pPr>
        <w:pStyle w:val="8"/>
        <w:rPr>
          <w:rFonts w:hint="eastAsia" w:ascii="宋体" w:hAnsi="宋体" w:eastAsia="宋体" w:cs="宋体"/>
          <w:color w:val="auto"/>
          <w:highlight w:val="none"/>
        </w:rPr>
      </w:pPr>
    </w:p>
    <w:p w14:paraId="13C515FB">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1.适用范围</w:t>
      </w:r>
    </w:p>
    <w:p w14:paraId="0AE8E99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1.1本磋商文件仅适用于本次磋商所述的服务项目招标。</w:t>
      </w:r>
    </w:p>
    <w:p w14:paraId="2455400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2.定义</w:t>
      </w:r>
    </w:p>
    <w:p w14:paraId="7586635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2.1服务：系指除货物和工程以外的其他招标对象，包括咨询、调研、评估、规划、设计、监理、审计、保险、租赁、印刷、维修、物业管理等。</w:t>
      </w:r>
    </w:p>
    <w:p w14:paraId="3F9F260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2.2时限（年份、月份等）计算：系指从磋商之日向前追溯X年/月（“X”为“一”及以后整数）起算。</w:t>
      </w:r>
    </w:p>
    <w:p w14:paraId="5781BCD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业绩：业绩系指符合本磋商文件规定的与最终用户签订的合同或磋商文件要求的相关证明。投标人与其关联公司（如母公司、控股公司、分公司、子公司、同一法定代表人的公司等）之间签订的合同，均不予认可。</w:t>
      </w:r>
    </w:p>
    <w:p w14:paraId="2735909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除非本磋商文件中另有规定，否则业绩均为已服务完毕的业绩，业绩时间均以合同签订之日为追溯节点。</w:t>
      </w:r>
    </w:p>
    <w:p w14:paraId="4CF7E111">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3.招标人、招标代理机构及投标人</w:t>
      </w:r>
    </w:p>
    <w:p w14:paraId="5C82339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3.1招标人：是指依法开展招标活动的法人或者其他组织。本项目的招标人见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0A01658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3.2招标代理机构：是指从事招标代理业务的社会中介机构。本项目无招标代理机构。</w:t>
      </w:r>
    </w:p>
    <w:p w14:paraId="72A168D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3.3招标投标监督管理部门：各级人民政府指定的有关部门依法履行与招标投标活动有关的监督管理职责。本项目的招标投标监督管理部门见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3540477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3.4投标人：是指向招标人提供货物、工程或者服务的法人、非法人组织或者自然人。分支机构不得参加招标投标活动，但银行、保险、石油石化、电力、电信等特殊行业除外。本项目的投标人须满足以下条件：</w:t>
      </w:r>
    </w:p>
    <w:p w14:paraId="7E036D9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3.4.1在中华人民共和国境内注册，能够独立承担民事责任，有生产或供应能力的本国投标人。</w:t>
      </w:r>
    </w:p>
    <w:p w14:paraId="648FF1E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3.4.2具备《中华人民共和国招标投标法》关于投标人条件的规定。</w:t>
      </w:r>
    </w:p>
    <w:p w14:paraId="013FFFAB">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4.资金来源</w:t>
      </w:r>
    </w:p>
    <w:p w14:paraId="0F3FE0F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4.1本项目的招标人已获得足以支付本次磋商后所签订的合同项下的资金。</w:t>
      </w:r>
    </w:p>
    <w:p w14:paraId="20A562A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4.2项目预算金额或分项（或分标段）预算金额见磋商公告。</w:t>
      </w:r>
    </w:p>
    <w:p w14:paraId="03C5A11B">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5.磋商费用</w:t>
      </w:r>
    </w:p>
    <w:p w14:paraId="4FC24623">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不论磋商的结果如何，投标人应承担其所有与准备和参加磋商有关的费用。</w:t>
      </w:r>
    </w:p>
    <w:p w14:paraId="6B098D2F">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6.适用法律</w:t>
      </w:r>
    </w:p>
    <w:p w14:paraId="687A2BC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本项目招标人、投标人、磋商小组的相关行为均受《中华人民共和国招标投标法》、《中华人民共和国招标投标法实施条例》及本项目招标投标监督管理部门的有关规定约束，其权利受到上述法律法规的保护。</w:t>
      </w:r>
    </w:p>
    <w:p w14:paraId="31EE33C1">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7.磋商文件构成</w:t>
      </w:r>
    </w:p>
    <w:p w14:paraId="1A44516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7.1磋商文件包括下列内容：</w:t>
      </w:r>
    </w:p>
    <w:p w14:paraId="49F296AF">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磋商公告</w:t>
      </w:r>
    </w:p>
    <w:p w14:paraId="7A8B83FF">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5553D854">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招标需求</w:t>
      </w:r>
    </w:p>
    <w:p w14:paraId="0C9EF0C0">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评审方法和标准</w:t>
      </w:r>
    </w:p>
    <w:p w14:paraId="4886AE3F">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合同模板</w:t>
      </w:r>
    </w:p>
    <w:p w14:paraId="71D77F13">
      <w:pPr>
        <w:spacing w:line="360" w:lineRule="auto"/>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响应文件格式</w:t>
      </w:r>
    </w:p>
    <w:p w14:paraId="7332F41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7.2磋商文件中有不一致的，有澄清的部分以最终的澄清更正内容为准。</w:t>
      </w:r>
    </w:p>
    <w:p w14:paraId="04CAD75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7.3现场考察及相关事项见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74B32AD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7.4投标人应认真阅读磋商文件所有的事项、格式、条款和技术规范等。</w:t>
      </w:r>
    </w:p>
    <w:p w14:paraId="187F9A4E">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8.磋商文件的澄清与修改</w:t>
      </w:r>
    </w:p>
    <w:p w14:paraId="724F634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8.1投标人如对磋商文件内容有疑问，必须在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规定的截止时间前以电话咨询形式进行咨询。</w:t>
      </w:r>
    </w:p>
    <w:p w14:paraId="58E28CE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8.2招标人可主动或在解答投标人提出的问题时对磋商文件进行澄清或者修改。招标人将在</w:t>
      </w:r>
      <w:r>
        <w:rPr>
          <w:rFonts w:hint="eastAsia" w:ascii="宋体" w:hAnsi="宋体" w:eastAsia="宋体" w:cs="宋体"/>
          <w:color w:val="auto"/>
          <w:sz w:val="24"/>
          <w:szCs w:val="24"/>
          <w:highlight w:val="none"/>
        </w:rPr>
        <w:t>合肥滨湖时光产业投资集团有限公司</w:t>
      </w:r>
      <w:r>
        <w:rPr>
          <w:rFonts w:hint="eastAsia" w:ascii="宋体" w:hAnsi="宋体" w:eastAsia="宋体" w:cs="宋体"/>
          <w:color w:val="auto"/>
          <w:sz w:val="24"/>
          <w:highlight w:val="none"/>
        </w:rPr>
        <w:t>网站以发布公告的方式澄清或者修改磋商文件，澄清或修改的内容作为磋商文件的组成部分，与磋商文件具有同等效用，投标人应主动上网查询。招标人不承担投标人未及时关注相关信息引发的相关责任。</w:t>
      </w:r>
    </w:p>
    <w:p w14:paraId="3834341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8.3任何人或任何组织向投标人提供的任何书面或口头资料，未经招标人在网上发布或书面通知，均作无效处理，不得作为磋商文件的组成部分。</w:t>
      </w:r>
    </w:p>
    <w:p w14:paraId="45BF8371">
      <w:pPr>
        <w:spacing w:line="360" w:lineRule="auto"/>
        <w:ind w:firstLine="435"/>
        <w:rPr>
          <w:rFonts w:hint="eastAsia" w:ascii="宋体" w:hAnsi="宋体" w:eastAsia="宋体" w:cs="宋体"/>
          <w:iCs/>
          <w:color w:val="auto"/>
          <w:sz w:val="24"/>
          <w:highlight w:val="none"/>
        </w:rPr>
      </w:pPr>
      <w:r>
        <w:rPr>
          <w:rFonts w:hint="eastAsia" w:ascii="宋体" w:hAnsi="宋体" w:eastAsia="宋体" w:cs="宋体"/>
          <w:color w:val="auto"/>
          <w:sz w:val="24"/>
          <w:highlight w:val="none"/>
        </w:rPr>
        <w:t>8.4对于没有提出询问又参与了本项目磋商的投标人将被视为完全认同本磋商文件（含澄清或修改的内容）</w:t>
      </w:r>
      <w:r>
        <w:rPr>
          <w:rFonts w:hint="eastAsia" w:ascii="宋体" w:hAnsi="宋体" w:eastAsia="宋体" w:cs="宋体"/>
          <w:i/>
          <w:color w:val="auto"/>
          <w:sz w:val="24"/>
          <w:highlight w:val="none"/>
        </w:rPr>
        <w:t>。</w:t>
      </w:r>
    </w:p>
    <w:p w14:paraId="5F225027">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9.磋商范围及响应文件中标准和计量单位的使用</w:t>
      </w:r>
    </w:p>
    <w:p w14:paraId="4269DAA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9.1项目有划分标段的，投标人可参与其中某一个或多个标段的磋商，中标标段数详见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w:t>
      </w:r>
    </w:p>
    <w:p w14:paraId="71F64DD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9.2无论磋商文件中是否要求，投标人所投服务及伴随的货物和工程均应符合国家强制性标准。</w:t>
      </w:r>
    </w:p>
    <w:p w14:paraId="1115707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9.3投标人与招标代理机构之间与磋商有关的所有往来通知、函件和响应文件均用中文表述。投标人随响应文件提供的证明文件和资料可以为其它语言，但必须附中文译文。翻译的中文资料与外文资料如果出现差异时，以中文为准。</w:t>
      </w:r>
    </w:p>
    <w:p w14:paraId="7E88A87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9.4除磋商文件中有特殊要求外，响应文件中所使用的计量单位，应采用中华人民共和国法定计量单位。</w:t>
      </w:r>
    </w:p>
    <w:p w14:paraId="5BB50878">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10.响应文件构成</w:t>
      </w:r>
    </w:p>
    <w:p w14:paraId="4B12D902">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10.1投标人应完整地按磋商文件提供的响应文件格式及要求编写响应文件，具体内容详见第六章响应文件格式的相关内容。</w:t>
      </w:r>
    </w:p>
    <w:p w14:paraId="2D1BED68">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10.2上述文件应按照磋商文件规定的格式填写、签署和公章。</w:t>
      </w:r>
    </w:p>
    <w:p w14:paraId="236F73CB">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11.证明标的的合格性和符合磋商文件规定的技术文件</w:t>
      </w:r>
    </w:p>
    <w:p w14:paraId="05B9F16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11.1投标人应提交磋商文件要求的证明文件，证明其响应内容符合磋商文件规定。该证明文件是响应文件的一部分。</w:t>
      </w:r>
    </w:p>
    <w:p w14:paraId="496E371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11.2上款所述的证明文件，可以是文字资料、图纸和数据</w:t>
      </w:r>
      <w:bookmarkStart w:id="11" w:name="_Hlk11703583"/>
      <w:r>
        <w:rPr>
          <w:rFonts w:hint="eastAsia" w:ascii="宋体" w:hAnsi="宋体" w:eastAsia="宋体" w:cs="宋体"/>
          <w:color w:val="auto"/>
          <w:sz w:val="24"/>
          <w:highlight w:val="none"/>
        </w:rPr>
        <w:t>。</w:t>
      </w:r>
    </w:p>
    <w:bookmarkEnd w:id="11"/>
    <w:p w14:paraId="2445065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11.3本条所指证明文件不包括对磋商文件相关部分的文字、图标的复制。</w:t>
      </w:r>
    </w:p>
    <w:p w14:paraId="0710F0E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11.4为保证公平公正，除非另有规定或说明，投标人对同一项目磋商时，不得同时提供备选磋商方案。</w:t>
      </w:r>
    </w:p>
    <w:p w14:paraId="2FF78C37">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12.报价</w:t>
      </w:r>
    </w:p>
    <w:p w14:paraId="79B9793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12.1 报价详见第三章招标需求的第四条报价要求，按照第六章响应文件格式进行报价。</w:t>
      </w:r>
    </w:p>
    <w:p w14:paraId="5B6C0B0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13.磋商保证金</w:t>
      </w:r>
    </w:p>
    <w:p w14:paraId="5AEFB4A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13.1本项目不要求投标人递交磋商保证金。</w:t>
      </w:r>
    </w:p>
    <w:p w14:paraId="38F34656">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14.磋商有效期</w:t>
      </w:r>
    </w:p>
    <w:p w14:paraId="67DE23E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14.1磋商有效期为从响应文件提交截止之日算起的日历天数，磋商有效期详见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5013A2B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14.2在磋商有效期内，投标人的响应文件保持有效，投标人不得要求撤销或修改其响应文件。磋商有效期不满足要求的，其响应文件将被认定为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1C562BD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14.3为保证有充分时间签订合同，招标人可根据实际情况，在原磋商有效期截止之前，要求投标人延长磋商有效期。接受该要求的投标人将不会被要求和允许修正其响应文件。投标人可以拒绝延长磋商有效期的要求，且不承担任何责任。上述要求和答复都应以书面形式提交。</w:t>
      </w:r>
    </w:p>
    <w:p w14:paraId="30DD678C">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15.响应文件的制作</w:t>
      </w:r>
    </w:p>
    <w:p w14:paraId="38DA2A6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15.1本项目要求提供密封纸质版响应文件，响应文件的制作应满足以下规定：</w:t>
      </w:r>
    </w:p>
    <w:p w14:paraId="49A73E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（1）在第六章“响应文件格式”中要求加盖投标人签章处，投标人均应加盖投标人签章或公章。</w:t>
      </w:r>
    </w:p>
    <w:p w14:paraId="3C19B318">
      <w:pPr>
        <w:pStyle w:val="29"/>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bCs/>
          <w:color w:val="auto"/>
          <w:highlight w:val="none"/>
        </w:rPr>
      </w:pPr>
      <w:r>
        <w:rPr>
          <w:rFonts w:hint="eastAsia"/>
          <w:b/>
          <w:bCs/>
          <w:color w:val="auto"/>
          <w:highlight w:val="none"/>
        </w:rPr>
        <w:t>（2）响应文件制作完成后，投标人应对响应文件进行文件密封处理，形成密封的响应文件。纸质版投标文件（要求胶装成册）：正本1份；副本2份，密封提交。</w:t>
      </w:r>
    </w:p>
    <w:p w14:paraId="16DDBA50">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rPr>
      </w:pPr>
      <w:r>
        <w:rPr>
          <w:rFonts w:hint="eastAsia"/>
          <w:color w:val="auto"/>
          <w:highlight w:val="none"/>
        </w:rPr>
        <w:t>（3）电子版投标文件（仅作为存档使用，不作为否决条款，要求与纸质版投标文件一致）：U盘或光盘1份（加盖公章后完整版投标文件扫件）。</w:t>
      </w:r>
    </w:p>
    <w:p w14:paraId="30145883">
      <w:pPr>
        <w:pStyle w:val="29"/>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rPr>
      </w:pPr>
      <w:r>
        <w:rPr>
          <w:rFonts w:hint="eastAsia"/>
          <w:color w:val="auto"/>
          <w:highlight w:val="none"/>
        </w:rPr>
        <w:t>（4）以上文件均密封提交。</w:t>
      </w:r>
    </w:p>
    <w:p w14:paraId="4B948EE9">
      <w:pPr>
        <w:pStyle w:val="29"/>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bCs w:val="0"/>
          <w:color w:val="auto"/>
          <w:highlight w:val="none"/>
        </w:rPr>
      </w:pPr>
      <w:r>
        <w:rPr>
          <w:rFonts w:hint="eastAsia"/>
          <w:b/>
          <w:bCs w:val="0"/>
          <w:color w:val="auto"/>
          <w:highlight w:val="none"/>
        </w:rPr>
        <w:t>（5）重要提示：以上文件均须密封提交，密封档案袋封面格式由投标人自行拟定，但须至少反映出投标项目名称及标段、项目编号、投标人名称、投标时间，并加盖投标人公章。如未注明以上信息，则视为</w:t>
      </w:r>
      <w:r>
        <w:rPr>
          <w:rFonts w:hint="eastAsia"/>
          <w:b/>
          <w:bCs w:val="0"/>
          <w:color w:val="auto"/>
          <w:highlight w:val="none"/>
          <w:lang w:eastAsia="zh-CN"/>
        </w:rPr>
        <w:t>未</w:t>
      </w:r>
      <w:r>
        <w:rPr>
          <w:rFonts w:hint="eastAsia"/>
          <w:b/>
          <w:bCs w:val="0"/>
          <w:color w:val="auto"/>
          <w:highlight w:val="none"/>
        </w:rPr>
        <w:t>响应招标文件要求，将作废标处理，由此造成的所有责任由投标人自行承担。</w:t>
      </w:r>
    </w:p>
    <w:p w14:paraId="2037ED6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15.2因投标人自身原因而导致响应文件无法在磋商时间前送达磋商指定地点的，该响应文件视为无效响应文件，投标人自行承担由此导致的全部责任。（该响应文件是指密封纸质版响应文件）。</w:t>
      </w:r>
    </w:p>
    <w:p w14:paraId="1C9BE01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15.3磋商现场提交的其他材料要求详见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22EF9683">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16.响应文件提交截止时间</w:t>
      </w:r>
    </w:p>
    <w:p w14:paraId="5C6DEB1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16.1投标人应在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中规定的响应文件提交截止时间前，线下提交文件，送达磋商指定地点。</w:t>
      </w:r>
    </w:p>
    <w:p w14:paraId="7FE1BB5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17.响应文件的提交、修改与撤回</w:t>
      </w:r>
    </w:p>
    <w:p w14:paraId="11DC992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17.1投标人应当在第一章“磋商公告”规定的响应文件提交截止时间前，将密封纸质版文件，送达磋商指定地点。</w:t>
      </w:r>
    </w:p>
    <w:p w14:paraId="56EB342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17.2未按规定密封或响应文件提交截止时间后送达的响应文件，招标人应当拒收。</w:t>
      </w:r>
    </w:p>
    <w:p w14:paraId="015D907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17.3在响应文件提交截止时间之后，投标人不得对其响应文件做任何修改。但属于磋商小组在评审中发现的计算错误并进行核实的修改、按照磋商文件的变动情况和磋商小组的要求重新提交响应文件的，不在此列。</w:t>
      </w:r>
    </w:p>
    <w:p w14:paraId="7D7D06E3">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18.磋商小组</w:t>
      </w:r>
    </w:p>
    <w:p w14:paraId="407E3FD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18.1本项目将依法组建磋商小组，磋商小组成员由3人以上单数组成，磋商小组及其成员应当依照有关规定履行相关职责和义务。</w:t>
      </w:r>
    </w:p>
    <w:p w14:paraId="466490A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18.2磋商小组依法对响应文件进行评审，并根据磋商文件规定的程序、评定中标的标准等事项与实质性响应磋商文件要求的投标人进行磋商。</w:t>
      </w:r>
    </w:p>
    <w:p w14:paraId="1B0DECD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18.3磋商小组应当从质量和服务均能满足磋商文件实质性响应要求的投标人中，按照评审方法和标准推荐中标候选人，并编写磋商结论表。</w:t>
      </w:r>
    </w:p>
    <w:p w14:paraId="004411AF">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19.响应文件的评审与磋商</w:t>
      </w:r>
    </w:p>
    <w:p w14:paraId="4E6719A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19.1招标人将在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规定的时间和地点组织磋商。</w:t>
      </w:r>
    </w:p>
    <w:p w14:paraId="6450D70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19.2竞争性磋商活动采用综合评分法评审。</w:t>
      </w:r>
    </w:p>
    <w:p w14:paraId="0C56970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综合评分法，是指响应文件满足磋商文件全部实质性要求且按评审因素的量化指标评审得分最高的投标人为中标候选人的评审方法。</w:t>
      </w:r>
    </w:p>
    <w:p w14:paraId="70EC3C0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19.3磋商小组将按照磋商文件规定的评审方法和标准对投标人独立进行评审。评审程序如下：</w:t>
      </w:r>
    </w:p>
    <w:p w14:paraId="31C7047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19.3.1</w:t>
      </w:r>
      <w:r>
        <w:rPr>
          <w:rFonts w:hint="eastAsia" w:ascii="宋体" w:hAnsi="宋体" w:eastAsia="宋体" w:cs="宋体"/>
          <w:b/>
          <w:color w:val="auto"/>
          <w:sz w:val="24"/>
          <w:highlight w:val="none"/>
        </w:rPr>
        <w:t>初审</w:t>
      </w:r>
      <w:r>
        <w:rPr>
          <w:rFonts w:hint="eastAsia" w:ascii="宋体" w:hAnsi="宋体" w:eastAsia="宋体" w:cs="宋体"/>
          <w:color w:val="auto"/>
          <w:sz w:val="24"/>
          <w:highlight w:val="none"/>
        </w:rPr>
        <w:t>。磋商小组对投标人必须满足和实质性响应的内容进行评审，投标人未实质性响应磋商文件要求导致响应无效的，磋商小组将以询标的方式告知有关投标人。</w:t>
      </w:r>
    </w:p>
    <w:p w14:paraId="3B03779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19.3.2</w:t>
      </w:r>
      <w:r>
        <w:rPr>
          <w:rFonts w:hint="eastAsia" w:ascii="宋体" w:hAnsi="宋体" w:eastAsia="宋体" w:cs="宋体"/>
          <w:b/>
          <w:color w:val="auto"/>
          <w:sz w:val="24"/>
          <w:highlight w:val="none"/>
        </w:rPr>
        <w:t>磋商</w:t>
      </w:r>
      <w:r>
        <w:rPr>
          <w:rFonts w:hint="eastAsia" w:ascii="宋体" w:hAnsi="宋体" w:eastAsia="宋体" w:cs="宋体"/>
          <w:color w:val="auto"/>
          <w:sz w:val="24"/>
          <w:highlight w:val="none"/>
        </w:rPr>
        <w:t xml:space="preserve">。初审合格后，磋商小组将对响应文件进行磋商。 </w:t>
      </w:r>
    </w:p>
    <w:p w14:paraId="66DFF4A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19.3.3</w:t>
      </w:r>
      <w:r>
        <w:rPr>
          <w:rFonts w:hint="eastAsia" w:ascii="宋体" w:hAnsi="宋体" w:eastAsia="宋体" w:cs="宋体"/>
          <w:b/>
          <w:color w:val="auto"/>
          <w:sz w:val="24"/>
          <w:highlight w:val="none"/>
        </w:rPr>
        <w:t>综合评分</w:t>
      </w:r>
      <w:r>
        <w:rPr>
          <w:rFonts w:hint="eastAsia" w:ascii="宋体" w:hAnsi="宋体" w:eastAsia="宋体" w:cs="宋体"/>
          <w:color w:val="auto"/>
          <w:sz w:val="24"/>
          <w:highlight w:val="none"/>
        </w:rPr>
        <w:t>。磋商小组只对通过初审，实质上响应磋商文件要求的响应文件进行综合评分，由磋商小组采用综合评分法对投标人的响应文件和报价进行综合评分。</w:t>
      </w:r>
    </w:p>
    <w:p w14:paraId="60F5269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19.4相关说明</w:t>
      </w:r>
    </w:p>
    <w:p w14:paraId="37D7732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19.4.1磋商小组根据与投标人磋商情况可能实质性变动磋商文件的内容，包括招标需求中的技术、服务要求以及合同草案条款。磋商文件有实质性变动的，经招标人代表确认作为磋商文件的有效组成部分，磋商小组将以书面形式通知所有参加磋商的投标人。</w:t>
      </w:r>
    </w:p>
    <w:p w14:paraId="5F68C33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19.4.2磋商小组发现投标人的报价或者某些分项报价明显低于其他通过初审的投标人的报价，有可能影响产品质量和不能诚信履约的，应当要求其在合理的时间内提供书面说明，必要时提交相关证明材料；投标人不能证明其报价合理性的，其响应文件将被认定为</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14:paraId="51168D2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19.4.3无论何种原因，即使投标人磋商时携带了证书材料的原件，但响应文件中未提供与之内容完全一致的扫描件或影印件的，磋商小组可以视同其未提供。</w:t>
      </w:r>
    </w:p>
    <w:p w14:paraId="69318EB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19.4.4磋商小组决定响应文件的响应性及符合性只根据响应文件本身的内容，而不寻求其他外部证据。</w:t>
      </w:r>
    </w:p>
    <w:p w14:paraId="2D3C1CB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19.5投标人授权代表对磋商过程有疑义，以及认为招标人相关工作人员有需要回避的情形的，应当场提出询问或者回避申请，并说明理由。 </w:t>
      </w:r>
    </w:p>
    <w:p w14:paraId="7626F22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20.终止竞争性磋商</w:t>
      </w:r>
    </w:p>
    <w:p w14:paraId="4F2468D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20.1出现下列情况之一时，招标人有权宣布终止竞争性磋商，并将理由通知所有投标人：</w:t>
      </w:r>
    </w:p>
    <w:p w14:paraId="42D682B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（1）有效投标人数量不足，导致本次磋商缺乏竞争的；</w:t>
      </w:r>
    </w:p>
    <w:p w14:paraId="3A62011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（2）出现影响招标公正的违法、违规行为的；</w:t>
      </w:r>
    </w:p>
    <w:p w14:paraId="5CD1DD2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（3）因重大变故，招标任务取消的；</w:t>
      </w:r>
    </w:p>
    <w:p w14:paraId="7A1DE14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（4）法律法规规定的其他情形。</w:t>
      </w:r>
    </w:p>
    <w:p w14:paraId="675959C1">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21.响应文件的澄清、说明或更正</w:t>
      </w:r>
    </w:p>
    <w:p w14:paraId="69D53B05">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21.1磋商小组将对响应文件的有效性、完整性和响应程度进行审查，审查时可以要求投标人对响应文件中含义不明确、同类问题表述不一致或者有明显文字和计算错误的内容等作出必要的澄清、说明或者更正。投标人的澄清、说明或者更正不得超出响应文件的范围或者改变响应文件的实质性内容。对不同文字文本响应文件的解释发生异议的，以中文文本为准。</w:t>
      </w:r>
    </w:p>
    <w:p w14:paraId="34461CF6">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21.2磋商小组要求投标人澄清、说明或者更正响应文件应当以书面形式（询标）作出。投标人的澄清、说明或者更正应当由法定代表人或其授权代表签字或者加盖公章。</w:t>
      </w:r>
    </w:p>
    <w:p w14:paraId="0F177927">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22.最后报价</w:t>
      </w:r>
    </w:p>
    <w:p w14:paraId="60B7685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22.1磋商限定只进行一轮报价，响应文件中的报价即为最终报价，也是签订合同的依据。</w:t>
      </w:r>
    </w:p>
    <w:p w14:paraId="772A48B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23.中标候选人的推荐原则及标准</w:t>
      </w:r>
    </w:p>
    <w:p w14:paraId="2C34E07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23.1磋商小组依据本项目磋商文件所约定的评审方法和标准，按照有效投标人综合总得分由高到低依次推荐中标候选人，同时对拟推荐中标候选人进行信用查询（信用查询要求如下），并将信用查询结果作为推荐中标候选人的依据，如查询存在以下情形的，不得推荐为中标候选人：</w:t>
      </w:r>
    </w:p>
    <w:p w14:paraId="0392ECA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（1）被市场监督管理部门列入严重违法失信名单；</w:t>
      </w:r>
    </w:p>
    <w:p w14:paraId="368D6C7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（2）被人民法院列为失信被执行人；</w:t>
      </w:r>
    </w:p>
    <w:p w14:paraId="6A876BC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（3）被税务机关确定为重大税收违法失信主体。</w:t>
      </w:r>
    </w:p>
    <w:p w14:paraId="29EBF36A">
      <w:pPr>
        <w:spacing w:line="360" w:lineRule="auto"/>
        <w:ind w:firstLine="435"/>
        <w:rPr>
          <w:rFonts w:hint="eastAsia" w:ascii="宋体" w:hAnsi="宋体" w:eastAsia="宋体" w:cs="宋体"/>
          <w:color w:val="auto"/>
          <w:highlight w:val="none"/>
        </w:rPr>
      </w:pPr>
      <w:r>
        <w:rPr>
          <w:rFonts w:hint="eastAsia" w:ascii="宋体" w:hAnsi="宋体" w:eastAsia="宋体" w:cs="宋体"/>
          <w:color w:val="auto"/>
          <w:sz w:val="24"/>
          <w:highlight w:val="none"/>
        </w:rPr>
        <w:t>23.2综合总得分出现两家或两家以上相同者，按报价由低到高排序推荐中标候选人；综合总得分且最后报价均相同的，由磋商小组按照技术指标优劣顺序推荐中标候选人。</w:t>
      </w:r>
    </w:p>
    <w:p w14:paraId="5BE60538">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24.确定中标候选人和中标人</w:t>
      </w:r>
    </w:p>
    <w:p w14:paraId="22631BC6">
      <w:pPr>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24.1磋商小组根据综合评分的结果和投标人须知前附表中规定确定中标候选人，并标明排列顺序。排名第一的中标候选人经招标人或招标人授权的磋商小组确定为中标人后，由招标人在指定网站上予以公告。</w:t>
      </w:r>
    </w:p>
    <w:p w14:paraId="4F2D3A0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25.编写磋商结论表</w:t>
      </w:r>
    </w:p>
    <w:p w14:paraId="1517A96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25.1磋商结论表由磋商小组全体成员签字。对评审结论持有异议的磋商小组成员可以书面方式阐述其不同意见和理由。磋商小组成员拒绝在磋商结论表上签字且不陈述其不同意见和理由的，视为同意评审结论。</w:t>
      </w:r>
    </w:p>
    <w:p w14:paraId="47CAE19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26.保密要求</w:t>
      </w:r>
    </w:p>
    <w:p w14:paraId="4D3CF30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26.1评审将在严格保密的情况下进行。</w:t>
      </w:r>
    </w:p>
    <w:p w14:paraId="36456FC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26.2有关人员应当遵守评审工作纪律，不得泄露评审文件、评审情况和评审中获悉的国家秘密、商业秘密。</w:t>
      </w:r>
    </w:p>
    <w:p w14:paraId="20DECDC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27. 中标候选人和中标结果公示</w:t>
      </w:r>
    </w:p>
    <w:p w14:paraId="1E896858">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27.1为体现“公开、公平、公正”的原则，磋商结束后，</w:t>
      </w:r>
      <w:r>
        <w:rPr>
          <w:rFonts w:hint="eastAsia" w:ascii="宋体" w:hAnsi="宋体" w:eastAsia="宋体" w:cs="宋体"/>
          <w:color w:val="auto"/>
          <w:sz w:val="24"/>
          <w:szCs w:val="24"/>
          <w:highlight w:val="none"/>
        </w:rPr>
        <w:t>招标人将在</w:t>
      </w:r>
      <w:r>
        <w:rPr>
          <w:rFonts w:hint="eastAsia" w:ascii="宋体" w:hAnsi="宋体" w:eastAsia="宋体" w:cs="宋体"/>
          <w:color w:val="auto"/>
          <w:sz w:val="24"/>
          <w:szCs w:val="18"/>
          <w:highlight w:val="none"/>
        </w:rPr>
        <w:t>合肥滨湖时光产业投资集团有限公司网站: http://bhsggroup.cn/</w:t>
      </w:r>
      <w:r>
        <w:rPr>
          <w:rFonts w:hint="eastAsia" w:ascii="宋体" w:hAnsi="宋体" w:eastAsia="宋体" w:cs="宋体"/>
          <w:color w:val="auto"/>
          <w:sz w:val="24"/>
          <w:szCs w:val="24"/>
          <w:highlight w:val="none"/>
        </w:rPr>
        <w:t>上发布中标</w:t>
      </w:r>
      <w:r>
        <w:rPr>
          <w:rFonts w:hint="eastAsia" w:ascii="宋体" w:hAnsi="宋体" w:eastAsia="宋体" w:cs="宋体"/>
          <w:snapToGrid w:val="0"/>
          <w:color w:val="auto"/>
          <w:sz w:val="24"/>
          <w:szCs w:val="24"/>
          <w:highlight w:val="none"/>
        </w:rPr>
        <w:t>候选人</w:t>
      </w:r>
      <w:r>
        <w:rPr>
          <w:rFonts w:hint="eastAsia" w:ascii="宋体" w:hAnsi="宋体" w:eastAsia="宋体" w:cs="宋体"/>
          <w:color w:val="auto"/>
          <w:sz w:val="24"/>
          <w:szCs w:val="24"/>
          <w:highlight w:val="none"/>
        </w:rPr>
        <w:t>公示和中标结果公示。</w:t>
      </w:r>
    </w:p>
    <w:p w14:paraId="1874C70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27.2招标人在评审结束之日起3日内，依法公示中标候选人。招标人在确定中标人之日起3日内，依法公示中标结果。</w:t>
      </w:r>
    </w:p>
    <w:p w14:paraId="5303D67E">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28.中标通知书</w:t>
      </w:r>
    </w:p>
    <w:p w14:paraId="55488B2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28.1招标代理机构发布中标结果公示的同时以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w:t>
      </w:r>
    </w:p>
    <w:p w14:paraId="5B0EEF7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28.2中标通知书对招标人和中标人具有同等法律效力。中标通知书发出以后，招标人改变中标结果或者中标人放弃中标资格，应当承担相应的法律责任。</w:t>
      </w:r>
    </w:p>
    <w:p w14:paraId="6704BC8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28.3中标通知书是合同的组成部分。</w:t>
      </w:r>
    </w:p>
    <w:p w14:paraId="3BC2931D">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29.告知磋商结果</w:t>
      </w:r>
    </w:p>
    <w:p w14:paraId="32929F3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29.1在公告中标结果的同时，招标人同时以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规定的形式告知未中标人本人的评审得分和排序。</w:t>
      </w:r>
    </w:p>
    <w:p w14:paraId="3DF2FF7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29.2招标人对未中标的投标人不做未中标原因的解释。</w:t>
      </w:r>
    </w:p>
    <w:p w14:paraId="2E3F1CB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30.履约保证金</w:t>
      </w:r>
    </w:p>
    <w:p w14:paraId="463DAA4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30.1 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规定缴纳履约保证金（本项目不需要缴纳履约保证金）。</w:t>
      </w:r>
    </w:p>
    <w:p w14:paraId="061ED596">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31.中标服务费</w:t>
      </w:r>
    </w:p>
    <w:p w14:paraId="67F48EA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31.1本项目中标服务费的收取按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的规定执行。</w:t>
      </w:r>
    </w:p>
    <w:p w14:paraId="2C12124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32.签订合同</w:t>
      </w:r>
    </w:p>
    <w:p w14:paraId="4C543E0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32.1招标人与中标人应当自发出中标通知书之日起30日内签订合同。</w:t>
      </w:r>
    </w:p>
    <w:p w14:paraId="56DC85A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32.2磋商文件、中标人的响应文件及其澄清文件等，均为签订合同的依据。</w:t>
      </w:r>
    </w:p>
    <w:p w14:paraId="36B964F9">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33.廉洁自律规定</w:t>
      </w:r>
    </w:p>
    <w:p w14:paraId="01637DD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33.1招标人工作人员不得以不正当手段获取招标代理业务，不得投标人恶意串通。</w:t>
      </w:r>
    </w:p>
    <w:p w14:paraId="023E5735">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34.异议的提出与接收</w:t>
      </w:r>
    </w:p>
    <w:p w14:paraId="2CA43D5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34.1投标人认为磋商文件、采购过程和中标结果使自己的权益受到损害的，可以在知道或者应知其权益受到损害之日起七个工作日内，以书面形式向招标人提出异议。</w:t>
      </w:r>
    </w:p>
    <w:p w14:paraId="33D1BEB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34.2上述应知其权益受到损害之日，是指：</w:t>
      </w:r>
    </w:p>
    <w:p w14:paraId="108F803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（1）对磋商文件提出异议的，为磋商文件公告期限届满之日；</w:t>
      </w:r>
    </w:p>
    <w:p w14:paraId="6C36040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（2）对采购过程提出异议的，为各采购程序环节结束之日；</w:t>
      </w:r>
    </w:p>
    <w:p w14:paraId="6F46A3F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（3）对中标结果提出异议的，为中标结果公告期限届满之日。</w:t>
      </w:r>
    </w:p>
    <w:p w14:paraId="040E1A8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34.3异议投标人应在法定异议期内以书面形式提出异议，超出法定异议期提交的异议将被拒绝。针对同一招标程序环节的异议应一次性提出。</w:t>
      </w:r>
    </w:p>
    <w:p w14:paraId="2C1C32A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超出法定异议期的、重复提出的、分次提出的或内容、形式不符合规定的，异议投标人将依法承担不利后果。</w:t>
      </w:r>
    </w:p>
    <w:p w14:paraId="50D06F2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34.4招标人异议函接收部门、联系电话和通讯地址，见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67446136">
      <w:pPr>
        <w:spacing w:line="360" w:lineRule="auto"/>
        <w:ind w:firstLine="437"/>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35.需要补充的其他内容</w:t>
      </w:r>
    </w:p>
    <w:p w14:paraId="45524A1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00F1C075">
      <w:pPr>
        <w:widowControl/>
        <w:jc w:val="left"/>
        <w:rPr>
          <w:rFonts w:hint="eastAsia" w:ascii="宋体" w:hAnsi="宋体" w:eastAsia="宋体" w:cs="宋体"/>
          <w:b/>
          <w:color w:val="auto"/>
          <w:sz w:val="28"/>
          <w:highlight w:val="none"/>
        </w:rPr>
      </w:pPr>
      <w:r>
        <w:rPr>
          <w:rFonts w:hint="eastAsia" w:ascii="宋体" w:hAnsi="宋体" w:eastAsia="宋体" w:cs="宋体"/>
          <w:color w:val="auto"/>
          <w:sz w:val="24"/>
          <w:highlight w:val="none"/>
        </w:rPr>
        <w:br w:type="page"/>
      </w:r>
    </w:p>
    <w:p w14:paraId="55710964">
      <w:pPr>
        <w:spacing w:line="360" w:lineRule="auto"/>
        <w:jc w:val="center"/>
        <w:outlineLvl w:val="1"/>
        <w:rPr>
          <w:rFonts w:hint="eastAsia" w:ascii="宋体" w:hAnsi="宋体" w:eastAsia="宋体" w:cs="宋体"/>
          <w:b/>
          <w:color w:val="auto"/>
          <w:sz w:val="28"/>
          <w:highlight w:val="none"/>
        </w:rPr>
      </w:pPr>
      <w:bookmarkStart w:id="12" w:name="_Toc47026334"/>
      <w:r>
        <w:rPr>
          <w:rFonts w:hint="eastAsia" w:ascii="宋体" w:hAnsi="宋体" w:eastAsia="宋体" w:cs="宋体"/>
          <w:b/>
          <w:color w:val="auto"/>
          <w:sz w:val="28"/>
          <w:highlight w:val="none"/>
        </w:rPr>
        <w:t>第三章  招标需求</w:t>
      </w:r>
      <w:bookmarkEnd w:id="12"/>
    </w:p>
    <w:p w14:paraId="6C8226B4">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前注：</w:t>
      </w:r>
    </w:p>
    <w:p w14:paraId="5813C9D7">
      <w:pPr>
        <w:spacing w:line="360" w:lineRule="auto"/>
        <w:ind w:firstLine="437"/>
        <w:rPr>
          <w:rFonts w:hint="eastAsia" w:ascii="宋体" w:hAnsi="宋体" w:eastAsia="宋体" w:cs="宋体"/>
          <w:color w:val="auto"/>
          <w:sz w:val="24"/>
          <w:highlight w:val="none"/>
        </w:rPr>
      </w:pPr>
      <w:r>
        <w:rPr>
          <w:rFonts w:hint="eastAsia" w:ascii="宋体" w:hAnsi="宋体" w:eastAsia="宋体" w:cs="宋体"/>
          <w:color w:val="auto"/>
          <w:sz w:val="24"/>
          <w:highlight w:val="none"/>
        </w:rPr>
        <w:t>1、本说明中提出的技术方案仅为参考，如无明确限制，投标人可以进行优化，提供满足用户实际需要的更优（或者性能实质上不低于的）服务方案，且此方案须经磋商小组评审认可；</w:t>
      </w:r>
    </w:p>
    <w:p w14:paraId="394CEB80">
      <w:pPr>
        <w:spacing w:line="360" w:lineRule="auto"/>
        <w:ind w:firstLine="437"/>
        <w:rPr>
          <w:rFonts w:hint="eastAsia"/>
          <w:color w:val="auto"/>
          <w:highlight w:val="none"/>
          <w:lang w:eastAsia="zh-CN"/>
        </w:rPr>
      </w:pPr>
      <w:r>
        <w:rPr>
          <w:rFonts w:hint="eastAsia" w:ascii="宋体" w:hAnsi="宋体" w:eastAsia="宋体" w:cs="宋体"/>
          <w:color w:val="auto"/>
          <w:sz w:val="24"/>
          <w:highlight w:val="none"/>
        </w:rPr>
        <w:t>2、如投标人因未及时勘察现场而导致的报价缺项漏项废标、或中标后无法完工，投标人自行承担一切后果。</w:t>
      </w:r>
    </w:p>
    <w:p w14:paraId="75FEB18A">
      <w:pPr>
        <w:spacing w:line="360" w:lineRule="auto"/>
        <w:ind w:firstLine="437"/>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一、招标需求前附表</w:t>
      </w:r>
    </w:p>
    <w:tbl>
      <w:tblPr>
        <w:tblStyle w:val="23"/>
        <w:tblW w:w="8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033"/>
        <w:gridCol w:w="5488"/>
      </w:tblGrid>
      <w:tr w14:paraId="759F4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41" w:type="dxa"/>
            <w:vAlign w:val="center"/>
          </w:tcPr>
          <w:p w14:paraId="46EDF710">
            <w:pPr>
              <w:pStyle w:val="29"/>
              <w:rPr>
                <w:rFonts w:hint="eastAsia"/>
                <w:color w:val="auto"/>
                <w:highlight w:val="none"/>
              </w:rPr>
            </w:pPr>
            <w:r>
              <w:rPr>
                <w:rFonts w:hint="eastAsia"/>
                <w:color w:val="auto"/>
                <w:highlight w:val="none"/>
              </w:rPr>
              <w:t>序号</w:t>
            </w:r>
          </w:p>
        </w:tc>
        <w:tc>
          <w:tcPr>
            <w:tcW w:w="2033" w:type="dxa"/>
            <w:vAlign w:val="center"/>
          </w:tcPr>
          <w:p w14:paraId="322C0B70">
            <w:pPr>
              <w:pStyle w:val="29"/>
              <w:rPr>
                <w:rFonts w:hint="eastAsia"/>
                <w:color w:val="auto"/>
                <w:highlight w:val="none"/>
              </w:rPr>
            </w:pPr>
            <w:r>
              <w:rPr>
                <w:rFonts w:hint="eastAsia"/>
                <w:color w:val="auto"/>
                <w:highlight w:val="none"/>
              </w:rPr>
              <w:t>条款名称</w:t>
            </w:r>
          </w:p>
        </w:tc>
        <w:tc>
          <w:tcPr>
            <w:tcW w:w="5488" w:type="dxa"/>
            <w:vAlign w:val="center"/>
          </w:tcPr>
          <w:p w14:paraId="5EBF8D5F">
            <w:pPr>
              <w:pStyle w:val="29"/>
              <w:rPr>
                <w:rFonts w:hint="eastAsia"/>
                <w:color w:val="auto"/>
                <w:highlight w:val="none"/>
              </w:rPr>
            </w:pPr>
            <w:r>
              <w:rPr>
                <w:rFonts w:hint="eastAsia"/>
                <w:color w:val="auto"/>
                <w:highlight w:val="none"/>
              </w:rPr>
              <w:t>内容、说明与要求</w:t>
            </w:r>
          </w:p>
        </w:tc>
      </w:tr>
      <w:tr w14:paraId="48D4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41" w:type="dxa"/>
            <w:vAlign w:val="center"/>
          </w:tcPr>
          <w:p w14:paraId="7B46C647">
            <w:pPr>
              <w:pStyle w:val="30"/>
              <w:rPr>
                <w:rFonts w:hint="eastAsia"/>
                <w:color w:val="auto"/>
                <w:highlight w:val="none"/>
              </w:rPr>
            </w:pPr>
            <w:r>
              <w:rPr>
                <w:rFonts w:hint="eastAsia"/>
                <w:color w:val="auto"/>
                <w:highlight w:val="none"/>
              </w:rPr>
              <w:t>1</w:t>
            </w:r>
          </w:p>
        </w:tc>
        <w:tc>
          <w:tcPr>
            <w:tcW w:w="2033" w:type="dxa"/>
            <w:vAlign w:val="center"/>
          </w:tcPr>
          <w:p w14:paraId="653194B1">
            <w:pPr>
              <w:pStyle w:val="29"/>
              <w:rPr>
                <w:rFonts w:hint="eastAsia"/>
                <w:b/>
                <w:color w:val="auto"/>
                <w:highlight w:val="none"/>
              </w:rPr>
            </w:pPr>
            <w:r>
              <w:rPr>
                <w:rFonts w:hint="eastAsia"/>
                <w:color w:val="auto"/>
                <w:highlight w:val="none"/>
              </w:rPr>
              <w:t>付款方式</w:t>
            </w:r>
          </w:p>
        </w:tc>
        <w:tc>
          <w:tcPr>
            <w:tcW w:w="5488" w:type="dxa"/>
            <w:vAlign w:val="center"/>
          </w:tcPr>
          <w:p w14:paraId="1504D6AE">
            <w:pPr>
              <w:pStyle w:val="29"/>
              <w:rPr>
                <w:rFonts w:hint="eastAsia"/>
                <w:color w:val="auto"/>
                <w:highlight w:val="none"/>
              </w:rPr>
            </w:pPr>
            <w:r>
              <w:rPr>
                <w:rFonts w:hint="eastAsia"/>
                <w:color w:val="auto"/>
                <w:highlight w:val="none"/>
                <w:lang w:val="en-US" w:eastAsia="zh-CN"/>
              </w:rPr>
              <w:t>培训收入由招标人收取并负责监管，每期培训结束后按中标比例与乙方进行结算，经双方确认结算金额后一个月内，甲方一次性向乙方支付结算款项，并提供相应管理费的增值税发票。</w:t>
            </w:r>
          </w:p>
          <w:p w14:paraId="269F2E61">
            <w:pPr>
              <w:pStyle w:val="29"/>
              <w:rPr>
                <w:rFonts w:hint="eastAsia"/>
                <w:b/>
                <w:color w:val="auto"/>
                <w:highlight w:val="none"/>
              </w:rPr>
            </w:pPr>
            <w:r>
              <w:rPr>
                <w:rFonts w:hint="eastAsia"/>
                <w:color w:val="auto"/>
                <w:highlight w:val="none"/>
              </w:rPr>
              <w:t>注：投标人提交的响应文件中如有关于付款条件的表述与磋商文件规定负偏离的，响应无效。</w:t>
            </w:r>
          </w:p>
        </w:tc>
      </w:tr>
      <w:tr w14:paraId="402D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41" w:type="dxa"/>
            <w:vAlign w:val="center"/>
          </w:tcPr>
          <w:p w14:paraId="22CBA215">
            <w:pPr>
              <w:pStyle w:val="30"/>
              <w:rPr>
                <w:rFonts w:hint="eastAsia"/>
                <w:color w:val="auto"/>
                <w:highlight w:val="none"/>
              </w:rPr>
            </w:pPr>
            <w:r>
              <w:rPr>
                <w:rFonts w:hint="eastAsia"/>
                <w:color w:val="auto"/>
                <w:highlight w:val="none"/>
              </w:rPr>
              <w:t>2</w:t>
            </w:r>
          </w:p>
        </w:tc>
        <w:tc>
          <w:tcPr>
            <w:tcW w:w="2033" w:type="dxa"/>
            <w:vAlign w:val="center"/>
          </w:tcPr>
          <w:p w14:paraId="7915C29D">
            <w:pPr>
              <w:pStyle w:val="29"/>
              <w:rPr>
                <w:rFonts w:hint="eastAsia"/>
                <w:b/>
                <w:color w:val="auto"/>
                <w:highlight w:val="none"/>
              </w:rPr>
            </w:pPr>
            <w:r>
              <w:rPr>
                <w:rFonts w:hint="eastAsia"/>
                <w:color w:val="auto"/>
                <w:highlight w:val="none"/>
              </w:rPr>
              <w:t>服务地点</w:t>
            </w:r>
          </w:p>
        </w:tc>
        <w:tc>
          <w:tcPr>
            <w:tcW w:w="5488" w:type="dxa"/>
            <w:vAlign w:val="center"/>
          </w:tcPr>
          <w:p w14:paraId="52D7E9B6">
            <w:pPr>
              <w:pStyle w:val="29"/>
              <w:rPr>
                <w:rFonts w:hint="eastAsia"/>
                <w:b/>
                <w:color w:val="auto"/>
                <w:highlight w:val="none"/>
              </w:rPr>
            </w:pPr>
            <w:r>
              <w:rPr>
                <w:rFonts w:hint="eastAsia"/>
                <w:color w:val="auto"/>
                <w:highlight w:val="none"/>
                <w:lang w:val="en-US" w:eastAsia="zh-CN"/>
              </w:rPr>
              <w:t>合肥市包河区滨湖新区中山路180号合肥市师范附属小学及合肥市包河区滨湖新区林芝路378号合肥市师范附属小学南区。</w:t>
            </w:r>
          </w:p>
        </w:tc>
      </w:tr>
      <w:tr w14:paraId="3DE6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41" w:type="dxa"/>
            <w:vAlign w:val="center"/>
          </w:tcPr>
          <w:p w14:paraId="357F8CF9">
            <w:pPr>
              <w:pStyle w:val="30"/>
              <w:rPr>
                <w:rFonts w:hint="eastAsia"/>
                <w:color w:val="auto"/>
                <w:highlight w:val="none"/>
              </w:rPr>
            </w:pPr>
            <w:r>
              <w:rPr>
                <w:rFonts w:hint="eastAsia"/>
                <w:color w:val="auto"/>
                <w:highlight w:val="none"/>
              </w:rPr>
              <w:t>3</w:t>
            </w:r>
          </w:p>
        </w:tc>
        <w:tc>
          <w:tcPr>
            <w:tcW w:w="2033" w:type="dxa"/>
            <w:vAlign w:val="center"/>
          </w:tcPr>
          <w:p w14:paraId="794FF403">
            <w:pPr>
              <w:pStyle w:val="29"/>
              <w:rPr>
                <w:rFonts w:hint="eastAsia"/>
                <w:color w:val="auto"/>
                <w:highlight w:val="none"/>
              </w:rPr>
            </w:pPr>
            <w:r>
              <w:rPr>
                <w:rFonts w:hint="eastAsia"/>
                <w:color w:val="auto"/>
                <w:highlight w:val="none"/>
              </w:rPr>
              <w:t>服务期限</w:t>
            </w:r>
          </w:p>
        </w:tc>
        <w:tc>
          <w:tcPr>
            <w:tcW w:w="5488" w:type="dxa"/>
            <w:vAlign w:val="center"/>
          </w:tcPr>
          <w:p w14:paraId="0B5102D7">
            <w:pPr>
              <w:pStyle w:val="29"/>
              <w:rPr>
                <w:rFonts w:hint="eastAsia"/>
                <w:color w:val="auto"/>
                <w:highlight w:val="none"/>
              </w:rPr>
            </w:pPr>
            <w:r>
              <w:rPr>
                <w:rFonts w:hint="eastAsia"/>
                <w:color w:val="auto"/>
                <w:highlight w:val="none"/>
              </w:rPr>
              <w:t>合同签订后一年，服务期满，经招标人组织考核合格且入围最新的《包河区中小学体艺中心课程服务单位招募入围结果一览表》</w:t>
            </w:r>
            <w:r>
              <w:rPr>
                <w:rFonts w:hint="eastAsia"/>
                <w:color w:val="auto"/>
                <w:highlight w:val="none"/>
                <w:lang w:val="en-US" w:eastAsia="zh-CN"/>
              </w:rPr>
              <w:t>的，</w:t>
            </w:r>
            <w:r>
              <w:rPr>
                <w:rFonts w:hint="eastAsia"/>
                <w:color w:val="auto"/>
                <w:highlight w:val="none"/>
              </w:rPr>
              <w:t>可按原合同续签。</w:t>
            </w:r>
          </w:p>
        </w:tc>
      </w:tr>
    </w:tbl>
    <w:p w14:paraId="0E9265CA">
      <w:pPr>
        <w:spacing w:line="360" w:lineRule="auto"/>
        <w:ind w:firstLine="437"/>
        <w:rPr>
          <w:rFonts w:hint="eastAsia" w:ascii="宋体" w:hAnsi="宋体" w:eastAsia="宋体" w:cs="宋体"/>
          <w:b/>
          <w:color w:val="auto"/>
          <w:sz w:val="24"/>
          <w:szCs w:val="18"/>
          <w:highlight w:val="none"/>
        </w:rPr>
      </w:pPr>
      <w:bookmarkStart w:id="13" w:name="_Hlk16461016"/>
      <w:r>
        <w:rPr>
          <w:rFonts w:hint="eastAsia" w:ascii="宋体" w:hAnsi="宋体" w:eastAsia="宋体" w:cs="宋体"/>
          <w:b/>
          <w:color w:val="auto"/>
          <w:sz w:val="24"/>
          <w:szCs w:val="18"/>
          <w:highlight w:val="none"/>
        </w:rPr>
        <w:t>二、项目概况</w:t>
      </w:r>
    </w:p>
    <w:p w14:paraId="77F1947D">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为贯彻落实中共安徽省委《关于全面加强和改进新时代学校体育工作的若干措施》和《关于全面加强和改进新时代学校美育工作的若干措施》，加强包河区体艺教育优质发展，促进学生身心健康、全面发展，在包河区教育体育局的指导下，合肥滨湖时光体育发展有限公司（以下简称“公司”）拟与包河区部分公办中小学深入合作，开设“体艺特色发展中心”（以下简称“体艺中心”），为广大中小学生提供全面优质的体艺特色教育服务。</w:t>
      </w:r>
    </w:p>
    <w:p w14:paraId="09DA749A">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体艺中心坚持特色发展、普惠公益的原则，</w:t>
      </w:r>
      <w:bookmarkStart w:id="14" w:name="OLE_LINK10"/>
      <w:r>
        <w:rPr>
          <w:rFonts w:hint="eastAsia" w:ascii="宋体" w:hAnsi="宋体" w:eastAsia="宋体"/>
          <w:bCs/>
          <w:color w:val="auto"/>
          <w:sz w:val="24"/>
          <w:szCs w:val="18"/>
          <w:highlight w:val="none"/>
        </w:rPr>
        <w:t>在双休日、节假日、寒暑假期间为广大在校学生提供体育、文化艺术、科技类教育培训服务，丰富学生课余生活，充分发挥体艺育人功能。</w:t>
      </w:r>
    </w:p>
    <w:bookmarkEnd w:id="14"/>
    <w:p w14:paraId="1CB7EEB8">
      <w:pPr>
        <w:spacing w:line="360" w:lineRule="auto"/>
        <w:ind w:firstLine="437"/>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三、服务需求</w:t>
      </w:r>
    </w:p>
    <w:p w14:paraId="574DDA37">
      <w:pPr>
        <w:spacing w:line="360" w:lineRule="auto"/>
        <w:ind w:firstLine="437"/>
        <w:rPr>
          <w:rFonts w:hint="default"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rPr>
        <w:t>合肥市师范附属小学学校拟开设</w:t>
      </w:r>
      <w:r>
        <w:rPr>
          <w:rFonts w:hint="eastAsia" w:ascii="宋体" w:hAnsi="宋体" w:eastAsia="宋体" w:cs="宋体"/>
          <w:bCs/>
          <w:color w:val="auto"/>
          <w:sz w:val="24"/>
          <w:szCs w:val="18"/>
          <w:highlight w:val="none"/>
          <w:lang w:val="en-US" w:eastAsia="zh-CN"/>
        </w:rPr>
        <w:t>民乐、管乐、器乐、美工、编程、无人机、创客</w:t>
      </w:r>
      <w:r>
        <w:rPr>
          <w:rFonts w:hint="eastAsia" w:ascii="宋体" w:hAnsi="宋体" w:eastAsia="宋体" w:cs="宋体"/>
          <w:bCs/>
          <w:color w:val="auto"/>
          <w:sz w:val="24"/>
          <w:szCs w:val="18"/>
          <w:highlight w:val="none"/>
        </w:rPr>
        <w:t>课程，</w:t>
      </w:r>
      <w:r>
        <w:rPr>
          <w:rFonts w:hint="eastAsia" w:ascii="宋体" w:hAnsi="宋体" w:eastAsia="宋体" w:cs="宋体"/>
          <w:bCs/>
          <w:color w:val="auto"/>
          <w:sz w:val="24"/>
          <w:szCs w:val="18"/>
          <w:highlight w:val="none"/>
          <w:lang w:val="en-US" w:eastAsia="zh-CN"/>
        </w:rPr>
        <w:t>每年拟设置三个学期，包括春季学期、暑假学期及秋季学期，部分课程需设置不同班次。</w:t>
      </w:r>
    </w:p>
    <w:p w14:paraId="2FC77EC1">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现针对</w:t>
      </w:r>
      <w:r>
        <w:rPr>
          <w:rFonts w:hint="eastAsia" w:ascii="宋体" w:hAnsi="宋体" w:eastAsia="宋体" w:cs="宋体"/>
          <w:bCs/>
          <w:color w:val="auto"/>
          <w:sz w:val="24"/>
          <w:szCs w:val="18"/>
          <w:highlight w:val="none"/>
          <w:lang w:val="en-US" w:eastAsia="zh-CN"/>
        </w:rPr>
        <w:t>以上课程服务单位</w:t>
      </w:r>
      <w:r>
        <w:rPr>
          <w:rFonts w:hint="eastAsia" w:ascii="宋体" w:hAnsi="宋体" w:eastAsia="宋体" w:cs="宋体"/>
          <w:bCs/>
          <w:color w:val="auto"/>
          <w:sz w:val="24"/>
          <w:szCs w:val="18"/>
          <w:highlight w:val="none"/>
        </w:rPr>
        <w:t>进行招标，负责学生培训、校队建设、安全保障等事宜，</w:t>
      </w:r>
      <w:r>
        <w:rPr>
          <w:rFonts w:hint="eastAsia" w:ascii="宋体" w:hAnsi="宋体" w:eastAsia="宋体" w:cs="宋体"/>
          <w:bCs/>
          <w:color w:val="auto"/>
          <w:sz w:val="24"/>
          <w:szCs w:val="18"/>
          <w:highlight w:val="none"/>
          <w:lang w:val="en-US" w:eastAsia="zh-CN"/>
        </w:rPr>
        <w:t>中标人需负责以下内容</w:t>
      </w:r>
      <w:r>
        <w:rPr>
          <w:rFonts w:hint="eastAsia" w:ascii="宋体" w:hAnsi="宋体" w:eastAsia="宋体" w:cs="宋体"/>
          <w:bCs/>
          <w:color w:val="auto"/>
          <w:sz w:val="24"/>
          <w:szCs w:val="18"/>
          <w:highlight w:val="none"/>
        </w:rPr>
        <w:t>：</w:t>
      </w:r>
    </w:p>
    <w:p w14:paraId="40D2FDA2">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1、根据学校开设的不同等级的班级，服务不同的学生群体，制定具有差异性的授课方案，如基础班，公益普惠性班级，适合无基础或基础较为薄弱的一二年级学生，以增强学生身体素质、培养兴趣爱好为主要目标；提高班，特色班级，适合基础较好的三到六年级学生，带领组织学生参加赛事、考级，以获得荣誉、拓展学生未来发展方向为主要目标。</w:t>
      </w:r>
    </w:p>
    <w:p w14:paraId="7958FA1A">
      <w:pPr>
        <w:spacing w:line="360" w:lineRule="auto"/>
        <w:ind w:firstLine="437"/>
        <w:rPr>
          <w:rFonts w:hint="default"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rPr>
        <w:t>2、保证师资力量充足，从教教师必须具有体育/文化艺术/科技类教师资格证或其它符合政策要求的入校教学资质要求，如教练员证、社会体育指导员证、裁判员证、社会艺术水平考级证书等，同时根据学校要求安排资质、能力、教学经验达标的教师带领不同的班级。</w:t>
      </w:r>
      <w:r>
        <w:rPr>
          <w:rFonts w:hint="eastAsia" w:ascii="宋体" w:hAnsi="宋体" w:eastAsia="宋体" w:cs="宋体"/>
          <w:bCs/>
          <w:color w:val="auto"/>
          <w:sz w:val="24"/>
          <w:szCs w:val="18"/>
          <w:highlight w:val="none"/>
          <w:lang w:val="en-US" w:eastAsia="zh-CN"/>
        </w:rPr>
        <w:t>培训期间，由</w:t>
      </w:r>
      <w:r>
        <w:rPr>
          <w:rFonts w:hint="eastAsia" w:ascii="宋体" w:hAnsi="宋体" w:eastAsia="宋体" w:cs="宋体"/>
          <w:bCs/>
          <w:color w:val="auto"/>
          <w:sz w:val="24"/>
          <w:szCs w:val="18"/>
          <w:highlight w:val="none"/>
        </w:rPr>
        <w:t>学校负责提供场地和部分设施设备，学校没有的</w:t>
      </w:r>
      <w:r>
        <w:rPr>
          <w:rFonts w:hint="eastAsia" w:ascii="宋体" w:hAnsi="宋体" w:eastAsia="宋体" w:cs="宋体"/>
          <w:bCs/>
          <w:color w:val="auto"/>
          <w:sz w:val="24"/>
          <w:szCs w:val="18"/>
          <w:highlight w:val="none"/>
          <w:lang w:eastAsia="zh-CN"/>
        </w:rPr>
        <w:t>，</w:t>
      </w:r>
      <w:r>
        <w:rPr>
          <w:rFonts w:hint="eastAsia" w:ascii="宋体" w:hAnsi="宋体" w:eastAsia="宋体" w:cs="宋体"/>
          <w:bCs/>
          <w:color w:val="auto"/>
          <w:sz w:val="24"/>
          <w:szCs w:val="18"/>
          <w:highlight w:val="none"/>
          <w:lang w:val="en-US" w:eastAsia="zh-CN"/>
        </w:rPr>
        <w:t>由中标人协调解决。</w:t>
      </w:r>
      <w:r>
        <w:rPr>
          <w:rFonts w:hint="eastAsia" w:ascii="宋体" w:hAnsi="宋体" w:eastAsia="宋体" w:cs="宋体"/>
          <w:bCs/>
          <w:color w:val="auto"/>
          <w:sz w:val="24"/>
          <w:szCs w:val="18"/>
          <w:highlight w:val="none"/>
        </w:rPr>
        <w:t>如果同一个课程报名人数太多、成立的班级太多，</w:t>
      </w:r>
      <w:r>
        <w:rPr>
          <w:rFonts w:hint="eastAsia" w:ascii="宋体" w:hAnsi="宋体" w:eastAsia="宋体" w:cs="宋体"/>
          <w:bCs/>
          <w:color w:val="auto"/>
          <w:sz w:val="24"/>
          <w:szCs w:val="18"/>
          <w:highlight w:val="none"/>
          <w:lang w:val="en-US" w:eastAsia="zh-CN"/>
        </w:rPr>
        <w:t>中标人需</w:t>
      </w:r>
      <w:r>
        <w:rPr>
          <w:rFonts w:hint="eastAsia" w:ascii="宋体" w:hAnsi="宋体" w:eastAsia="宋体" w:cs="宋体"/>
          <w:bCs/>
          <w:color w:val="auto"/>
          <w:sz w:val="24"/>
          <w:szCs w:val="18"/>
          <w:highlight w:val="none"/>
        </w:rPr>
        <w:t>提供一个额外的教务人员，负责点名签到维持秩序，不用参与授课。</w:t>
      </w:r>
      <w:r>
        <w:rPr>
          <w:rFonts w:hint="eastAsia" w:ascii="宋体" w:hAnsi="宋体" w:eastAsia="宋体" w:cs="宋体"/>
          <w:bCs/>
          <w:color w:val="auto"/>
          <w:sz w:val="24"/>
          <w:szCs w:val="18"/>
          <w:highlight w:val="none"/>
          <w:lang w:val="en-US" w:eastAsia="zh-CN"/>
        </w:rPr>
        <w:t>由中标人负责支付所有老师及教务人员薪资，如中标人拖欠薪资，由此造成的劳动/劳务纠纷均由中标人解决并承担支付责任，包含但不限于薪资、赔偿、诉讼费及可能产生的一切费用。如给招标人带来不良影响或损失的，中标人须承担全部责任并赔偿招标人损失。</w:t>
      </w:r>
    </w:p>
    <w:p w14:paraId="657FB7DF">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3、参与校队人才的选拔，积极协助学校校队建设。根据学校需求维持目前的校队培训方案，可尝试组建培养新的主力校队，制定具有特色的培养计划，并运用到课程和日常管理中。积极组织带领学生参与体育、艺术、科技类赛事和考级，为学校争取荣誉</w:t>
      </w:r>
      <w:r>
        <w:rPr>
          <w:rFonts w:hint="eastAsia" w:ascii="宋体" w:hAnsi="宋体" w:eastAsia="宋体" w:cs="宋体"/>
          <w:bCs/>
          <w:color w:val="auto"/>
          <w:sz w:val="24"/>
          <w:szCs w:val="18"/>
          <w:highlight w:val="none"/>
          <w:lang w:eastAsia="zh-CN"/>
        </w:rPr>
        <w:t>，</w:t>
      </w:r>
      <w:r>
        <w:rPr>
          <w:rFonts w:hint="eastAsia" w:ascii="宋体" w:hAnsi="宋体" w:eastAsia="宋体" w:cs="宋体"/>
          <w:bCs/>
          <w:color w:val="auto"/>
          <w:sz w:val="24"/>
          <w:szCs w:val="18"/>
          <w:highlight w:val="none"/>
          <w:lang w:val="en-US" w:eastAsia="zh-CN"/>
        </w:rPr>
        <w:t>期间可能需要配备的裁判、教练等专业人员均由中标人负责提供并承担相应费用，均包含在合同价中，招标人不再另行支付</w:t>
      </w:r>
      <w:r>
        <w:rPr>
          <w:rFonts w:hint="eastAsia" w:ascii="宋体" w:hAnsi="宋体" w:eastAsia="宋体" w:cs="宋体"/>
          <w:bCs/>
          <w:color w:val="auto"/>
          <w:sz w:val="24"/>
          <w:szCs w:val="18"/>
          <w:highlight w:val="none"/>
        </w:rPr>
        <w:t>。</w:t>
      </w:r>
    </w:p>
    <w:p w14:paraId="6FBDCCBC">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4、</w:t>
      </w:r>
      <w:r>
        <w:rPr>
          <w:rFonts w:hint="eastAsia" w:ascii="宋体" w:hAnsi="宋体" w:eastAsia="宋体" w:cs="宋体"/>
          <w:bCs/>
          <w:color w:val="auto"/>
          <w:sz w:val="24"/>
          <w:szCs w:val="18"/>
          <w:highlight w:val="none"/>
          <w:lang w:val="en-US" w:eastAsia="zh-CN"/>
        </w:rPr>
        <w:t>由中标人负责</w:t>
      </w:r>
      <w:r>
        <w:rPr>
          <w:rFonts w:hint="eastAsia" w:ascii="宋体" w:hAnsi="宋体" w:eastAsia="宋体" w:cs="宋体"/>
          <w:bCs/>
          <w:color w:val="auto"/>
          <w:sz w:val="24"/>
          <w:szCs w:val="18"/>
          <w:highlight w:val="none"/>
        </w:rPr>
        <w:t>服务过程中的安全</w:t>
      </w:r>
      <w:r>
        <w:rPr>
          <w:rFonts w:hint="eastAsia" w:ascii="宋体" w:hAnsi="宋体" w:eastAsia="宋体" w:cs="宋体"/>
          <w:bCs/>
          <w:color w:val="auto"/>
          <w:sz w:val="24"/>
          <w:szCs w:val="18"/>
          <w:highlight w:val="none"/>
          <w:lang w:val="en-US" w:eastAsia="zh-CN"/>
        </w:rPr>
        <w:t>管理</w:t>
      </w:r>
      <w:r>
        <w:rPr>
          <w:rFonts w:hint="eastAsia" w:ascii="宋体" w:hAnsi="宋体" w:eastAsia="宋体" w:cs="宋体"/>
          <w:bCs/>
          <w:color w:val="auto"/>
          <w:sz w:val="24"/>
          <w:szCs w:val="18"/>
          <w:highlight w:val="none"/>
        </w:rPr>
        <w:t>工作，做好从教师的防火、防灾、防伤害培训，保证班级学生的人身安全。教师在授课开始前应知悉学生的身体状况，防止培训过度或防护不足造成的身体和心理损伤。中标人应对培训学生购买学生意外险。</w:t>
      </w:r>
    </w:p>
    <w:p w14:paraId="5F64499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18"/>
          <w:highlight w:val="none"/>
        </w:rPr>
        <w:t>5、中标人在服务期限内，应牢固树立问题意识、安全意识、风险意识、责任意识、廉洁意识，全面加强防范和控制，不得收受家长学生的赠礼、物品和现金。防止出现意识形态领域问题和重大安全事故。如出现相关问题，招标人有权解除合同并进行追责。</w:t>
      </w:r>
    </w:p>
    <w:p w14:paraId="16E3F33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中标人应当向招标人、学生及家长明示机构名称、教师的收费项目、收费标准、退费办法、上课时间和服务承诺等内容，公开透明开展培训活动，中标人、中标人的教师人员不得在公示的项目和标准外向学生收取其他费用。</w:t>
      </w:r>
    </w:p>
    <w:p w14:paraId="1029A1D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中标人的教师人员、管理人员应当符合《校外培训机构从业人员管理办法(试行)》对从业人员的有关要求，品行端正，具备良好的思想品德和职业道德，核查无违法犯罪记录。具有正常开展教育活动的身体条件，无传染性疾病。</w:t>
      </w:r>
    </w:p>
    <w:p w14:paraId="283259A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中标人的培训课程及材料需符合《中小学生校外培训材料管理办法(试行)》有关要求，弘扬社会主义核心价值观，培训课程管理规范，培训内容健康向上，教育教学方法得当，遵循教育规律，符合学生成长规律，有利于学生德智体美劳全面发展。</w:t>
      </w:r>
    </w:p>
    <w:p w14:paraId="7CFF069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9、在履约过程中，招标人有义务共</w:t>
      </w:r>
      <w:r>
        <w:rPr>
          <w:rFonts w:ascii="宋体" w:hAnsi="宋体" w:eastAsia="宋体" w:cs="宋体"/>
          <w:color w:val="auto"/>
          <w:sz w:val="24"/>
          <w:szCs w:val="24"/>
          <w:highlight w:val="none"/>
        </w:rPr>
        <w:t>同加强</w:t>
      </w:r>
      <w:r>
        <w:rPr>
          <w:rFonts w:hint="eastAsia" w:ascii="宋体" w:hAnsi="宋体" w:eastAsia="宋体" w:cs="宋体"/>
          <w:color w:val="auto"/>
          <w:sz w:val="24"/>
          <w:szCs w:val="24"/>
          <w:highlight w:val="none"/>
        </w:rPr>
        <w:t>监督管理，根据学生满意度评价和人才培养结果</w:t>
      </w:r>
      <w:r>
        <w:rPr>
          <w:rFonts w:ascii="宋体" w:hAnsi="宋体" w:eastAsia="宋体" w:cs="宋体"/>
          <w:color w:val="auto"/>
          <w:sz w:val="24"/>
          <w:szCs w:val="24"/>
          <w:highlight w:val="none"/>
        </w:rPr>
        <w:t>进行</w:t>
      </w:r>
      <w:r>
        <w:rPr>
          <w:rFonts w:hint="eastAsia" w:ascii="宋体" w:hAnsi="宋体" w:eastAsia="宋体" w:cs="宋体"/>
          <w:color w:val="auto"/>
          <w:sz w:val="24"/>
          <w:szCs w:val="24"/>
          <w:highlight w:val="none"/>
        </w:rPr>
        <w:t>动态调整，保障教学质量。</w:t>
      </w:r>
    </w:p>
    <w:p w14:paraId="5E615983">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10、中标人除负责课程培训外，还需参与学校的赛事活动、考级活动等体艺人才梯队建设工作，如学校有需要，需提供专业的裁判员、考级专家、评审专家等，协助学校完成相关工作，</w:t>
      </w:r>
      <w:r>
        <w:rPr>
          <w:rFonts w:hint="eastAsia" w:ascii="宋体" w:hAnsi="宋体" w:eastAsia="宋体" w:cs="宋体"/>
          <w:bCs/>
          <w:color w:val="auto"/>
          <w:sz w:val="24"/>
          <w:szCs w:val="18"/>
          <w:highlight w:val="none"/>
          <w:lang w:val="en-US" w:eastAsia="zh-CN"/>
        </w:rPr>
        <w:t>期间可能产生的费用均由中标人承担，均包含在合同价中，招标人不再另行支付</w:t>
      </w:r>
      <w:r>
        <w:rPr>
          <w:rFonts w:hint="eastAsia" w:ascii="宋体" w:hAnsi="宋体" w:eastAsia="宋体" w:cs="宋体"/>
          <w:color w:val="auto"/>
          <w:sz w:val="24"/>
          <w:szCs w:val="24"/>
          <w:highlight w:val="none"/>
          <w:lang w:val="en-US" w:eastAsia="zh-CN"/>
        </w:rPr>
        <w:t>。中标人应按照学校要求，临时增加部分赛前集训班、考级集训班，学校组织家长报名，报名费仍由招标人收取，按招标文件约定与中标人分成。</w:t>
      </w:r>
    </w:p>
    <w:p w14:paraId="620F8DB2">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11、由中标人负责提供培训期间的医疗保障服务，并承担相应费用。</w:t>
      </w:r>
    </w:p>
    <w:p w14:paraId="3EEA1A0E">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12、招标人和校方在每期课程培训服务结束后，对投标人课程培训服务进行考核打分，如考核不合格将解除合同，停止后续合作。如考核合格将继续履行合同期内合作，招标人并有权要求提升改进教学方式。</w:t>
      </w:r>
    </w:p>
    <w:p w14:paraId="5F2544C4">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13、中标人服务期间，由中标人负责向报名客户开具发票，如中标人拒绝开具的，招标人有权拒绝支付分成款项，由此造成一切纠纷、损失由中标人自行承担，与招标人无关。</w:t>
      </w:r>
    </w:p>
    <w:p w14:paraId="2CE34889">
      <w:pPr>
        <w:spacing w:line="360" w:lineRule="auto"/>
        <w:ind w:firstLine="482" w:firstLineChars="200"/>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四、报价要求</w:t>
      </w:r>
    </w:p>
    <w:p w14:paraId="5B4C2CEC">
      <w:pPr>
        <w:spacing w:line="360" w:lineRule="auto"/>
        <w:ind w:firstLine="480" w:firstLineChars="200"/>
        <w:rPr>
          <w:rFonts w:hint="default" w:ascii="宋体" w:hAnsi="宋体" w:eastAsia="宋体" w:cs="宋体"/>
          <w:color w:val="auto"/>
          <w:sz w:val="24"/>
          <w:szCs w:val="24"/>
          <w:highlight w:val="none"/>
          <w:lang w:val="en-US" w:eastAsia="zh-CN"/>
        </w:rPr>
      </w:pPr>
      <w:bookmarkStart w:id="15" w:name="OLE_LINK1"/>
      <w:r>
        <w:rPr>
          <w:rFonts w:hint="eastAsia" w:ascii="宋体" w:hAnsi="宋体" w:eastAsia="宋体" w:cs="宋体"/>
          <w:color w:val="auto"/>
          <w:sz w:val="24"/>
          <w:szCs w:val="24"/>
          <w:highlight w:val="none"/>
          <w:lang w:val="en-US" w:eastAsia="zh-CN"/>
        </w:rPr>
        <w:t>1、本项目采用费率报价，投标人应报出投标人的分成比例，仅计取小数点后两位，例如报价78.999%，按78.99%计，不再“四舍五入”，且投标费率不得超过相应标段的最高限价，否则，报价无效。</w:t>
      </w:r>
      <w:r>
        <w:rPr>
          <w:rFonts w:hint="eastAsia" w:ascii="宋体" w:hAnsi="宋体" w:eastAsia="宋体" w:cs="宋体"/>
          <w:b/>
          <w:bCs/>
          <w:color w:val="auto"/>
          <w:sz w:val="24"/>
          <w:szCs w:val="24"/>
          <w:highlight w:val="none"/>
          <w:lang w:val="en-US" w:eastAsia="zh-CN"/>
        </w:rPr>
        <w:t>其中，第1标段分成比例限价90%，第2标段分成比例限价90%，第3标段分成比例限价80%，第4标段分成比例限价60%，第5标段分成比例限价90%，第6标段分成比例限价90%，第7标段分成比例限价90%。</w:t>
      </w:r>
      <w:r>
        <w:rPr>
          <w:rFonts w:hint="eastAsia" w:ascii="宋体" w:hAnsi="宋体" w:eastAsia="宋体" w:cs="宋体"/>
          <w:color w:val="auto"/>
          <w:sz w:val="24"/>
          <w:szCs w:val="24"/>
          <w:highlight w:val="none"/>
          <w:lang w:val="en-US" w:eastAsia="zh-CN"/>
        </w:rPr>
        <w:t>中标后，中标费率作为招标人与中标人结算依据，结算金额=</w:t>
      </w:r>
      <w:bookmarkEnd w:id="15"/>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中标人按权责发生制已实现的收入</w:t>
      </w:r>
      <w:r>
        <w:rPr>
          <w:rFonts w:hint="eastAsia" w:ascii="宋体" w:hAnsi="宋体" w:eastAsia="宋体" w:cs="宋体"/>
          <w:color w:val="auto"/>
          <w:sz w:val="24"/>
          <w:szCs w:val="24"/>
          <w:highlight w:val="none"/>
          <w:lang w:val="en-US" w:eastAsia="zh-CN"/>
        </w:rPr>
        <w:t>&lt;</w:t>
      </w:r>
      <w:r>
        <w:rPr>
          <w:rFonts w:hint="eastAsia" w:ascii="宋体" w:hAnsi="宋体" w:eastAsia="宋体" w:cs="宋体"/>
          <w:color w:val="auto"/>
          <w:sz w:val="24"/>
          <w:szCs w:val="24"/>
          <w:highlight w:val="none"/>
        </w:rPr>
        <w:t>不包含预付中尚未发生的金额，每期中途退课的学生费用从营业额中实时扣除</w:t>
      </w:r>
      <w:r>
        <w:rPr>
          <w:rFonts w:hint="eastAsia" w:ascii="宋体" w:hAnsi="宋体" w:eastAsia="宋体" w:cs="宋体"/>
          <w:color w:val="auto"/>
          <w:sz w:val="24"/>
          <w:szCs w:val="24"/>
          <w:highlight w:val="none"/>
          <w:lang w:val="en-US" w:eastAsia="zh-CN"/>
        </w:rPr>
        <w:t>&gt;）*中标费率,支付方式按招标文件执行。例如，某中标单位中标费率为75.78%，某期课程按权责发生制已实现的收入为100万元，则该期课程结束后，招标人应支付中标人的费用=100万元*75.78%=75.78万元。</w:t>
      </w:r>
    </w:p>
    <w:p w14:paraId="5DF33468">
      <w:pPr>
        <w:spacing w:before="34" w:line="360" w:lineRule="auto"/>
        <w:ind w:left="4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2、支付方式</w:t>
      </w:r>
    </w:p>
    <w:p w14:paraId="3C4EB8D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培训收入由招标人收取并负责监管，每期培训结束后按中标比例与乙方进行结算，经双方确认结算金额后一个月内，甲方一次性向乙方支付结算款项，并提供相应管理费的增值税发票。</w:t>
      </w:r>
    </w:p>
    <w:bookmarkEnd w:id="13"/>
    <w:p w14:paraId="6BEB4E9C">
      <w:pPr>
        <w:spacing w:line="360" w:lineRule="auto"/>
        <w:ind w:firstLine="437"/>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五、其他要求</w:t>
      </w:r>
    </w:p>
    <w:p w14:paraId="2528CCE6">
      <w:pPr>
        <w:spacing w:line="360" w:lineRule="auto"/>
        <w:ind w:firstLine="43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内部空间改造：中标人若需对学校场地进行配合培训及赛事服务需求的内部空间改造，并须在改造期（10个工作日）内一次性完成。中标人在中标后7日内提供书面内部空间改造方案，经招标人及校方审核同意之后中标人方可实施，其中改造产生的所有费用由中标人承担，后期场馆内维修费用由中标人自理。</w:t>
      </w:r>
      <w:r>
        <w:rPr>
          <w:rFonts w:hint="eastAsia" w:ascii="宋体" w:hAnsi="宋体" w:eastAsia="宋体" w:cs="宋体"/>
          <w:color w:val="auto"/>
          <w:sz w:val="24"/>
          <w:szCs w:val="24"/>
          <w:highlight w:val="none"/>
          <w:lang w:eastAsia="zh-CN"/>
        </w:rPr>
        <w:t>中标人不得擅自改变场馆内所有建筑及构筑物的外立面、结构。</w:t>
      </w:r>
    </w:p>
    <w:p w14:paraId="6A26CD80">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2、中标人在运营时间内需负责</w:t>
      </w:r>
      <w:bookmarkStart w:id="16" w:name="OLE_LINK2"/>
      <w:r>
        <w:rPr>
          <w:rFonts w:hint="eastAsia" w:ascii="宋体" w:hAnsi="宋体" w:eastAsia="宋体" w:cs="宋体"/>
          <w:color w:val="auto"/>
          <w:sz w:val="24"/>
          <w:szCs w:val="24"/>
          <w:highlight w:val="none"/>
          <w:lang w:val="en-US" w:eastAsia="zh-CN"/>
        </w:rPr>
        <w:t>中标标段对应</w:t>
      </w:r>
      <w:r>
        <w:rPr>
          <w:rFonts w:hint="eastAsia" w:ascii="宋体" w:hAnsi="宋体" w:eastAsia="宋体" w:cs="宋体"/>
          <w:color w:val="auto"/>
          <w:sz w:val="24"/>
          <w:szCs w:val="24"/>
          <w:highlight w:val="none"/>
          <w:lang w:eastAsia="zh-CN"/>
        </w:rPr>
        <w:t>课程培训场地内</w:t>
      </w:r>
      <w:bookmarkEnd w:id="16"/>
      <w:r>
        <w:rPr>
          <w:rFonts w:hint="eastAsia" w:ascii="宋体" w:hAnsi="宋体" w:eastAsia="宋体" w:cs="宋体"/>
          <w:color w:val="auto"/>
          <w:sz w:val="24"/>
          <w:szCs w:val="24"/>
          <w:highlight w:val="none"/>
          <w:lang w:eastAsia="zh-CN"/>
        </w:rPr>
        <w:t>所有的安全管理：</w:t>
      </w:r>
    </w:p>
    <w:p w14:paraId="0ABA8029">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（1）中标人应对提供详细的</w:t>
      </w:r>
      <w:r>
        <w:rPr>
          <w:rFonts w:hint="eastAsia" w:ascii="宋体" w:hAnsi="宋体" w:eastAsia="宋体" w:cs="宋体"/>
          <w:b w:val="0"/>
          <w:bCs w:val="0"/>
          <w:color w:val="auto"/>
          <w:sz w:val="24"/>
          <w:szCs w:val="24"/>
          <w:highlight w:val="none"/>
          <w:lang w:eastAsia="zh-CN"/>
        </w:rPr>
        <w:t>安全保障方案（内容包括：流量管控、应急处置、医疗援助等安全管理)，且安全保障方案需流程明确且具备可操作性。如因服务期间管理不当造成人员伤亡的，中标人承担全部责任。</w:t>
      </w:r>
    </w:p>
    <w:p w14:paraId="6BE3E356">
      <w:pPr>
        <w:pStyle w:val="58"/>
        <w:widowControl w:val="0"/>
        <w:tabs>
          <w:tab w:val="left" w:pos="689"/>
        </w:tabs>
        <w:adjustRightInd/>
        <w:spacing w:line="360" w:lineRule="auto"/>
        <w:ind w:left="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eastAsia="zh-CN"/>
        </w:rPr>
        <w:t>（2）中标人在服务期限内，应牢固树立问题意识、忧患意识、风险意识、责任意识，签订安全承诺书，全面加强防范和控制，防止出现意识形态领域问题和重大安全事故。</w:t>
      </w:r>
      <w:r>
        <w:rPr>
          <w:rFonts w:hint="eastAsia" w:ascii="宋体" w:hAnsi="宋体" w:eastAsia="宋体" w:cs="宋体"/>
          <w:b w:val="0"/>
          <w:bCs w:val="0"/>
          <w:color w:val="auto"/>
          <w:sz w:val="24"/>
          <w:szCs w:val="24"/>
          <w:highlight w:val="none"/>
          <w:lang w:eastAsia="zh-CN"/>
        </w:rPr>
        <w:t>如出现相关问题，招标人有权解除合同并进行追责，所产生的一切损失由中标人承担。</w:t>
      </w:r>
    </w:p>
    <w:p w14:paraId="46AC48D5">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3、中标人在服务时间内需负责</w:t>
      </w:r>
      <w:r>
        <w:rPr>
          <w:rFonts w:hint="eastAsia" w:ascii="宋体" w:hAnsi="宋体" w:eastAsia="宋体" w:cs="宋体"/>
          <w:color w:val="auto"/>
          <w:sz w:val="24"/>
          <w:szCs w:val="24"/>
          <w:highlight w:val="none"/>
          <w:lang w:val="en-US" w:eastAsia="zh-CN"/>
        </w:rPr>
        <w:t>中标标段对应</w:t>
      </w:r>
      <w:r>
        <w:rPr>
          <w:rFonts w:hint="eastAsia" w:ascii="宋体" w:hAnsi="宋体" w:eastAsia="宋体" w:cs="宋体"/>
          <w:color w:val="auto"/>
          <w:sz w:val="24"/>
          <w:szCs w:val="24"/>
          <w:highlight w:val="none"/>
          <w:lang w:eastAsia="zh-CN"/>
        </w:rPr>
        <w:t>课程培训场地内赛事活动组织及执行：</w:t>
      </w:r>
    </w:p>
    <w:p w14:paraId="72BD73B7">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（1）中标人在服务期内，必须派专项项目负责人或团队驻场。</w:t>
      </w:r>
    </w:p>
    <w:p w14:paraId="7ACD0661">
      <w:pPr>
        <w:pStyle w:val="58"/>
        <w:widowControl w:val="0"/>
        <w:tabs>
          <w:tab w:val="left" w:pos="689"/>
        </w:tabs>
        <w:adjustRightIn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（2）中标人服务期间需悬挂服务项目营业执照、经营从业人员资格证等相关证件；若因证照不全导致的相关责任和损失由中标人承担。</w:t>
      </w:r>
    </w:p>
    <w:p w14:paraId="43E567E9">
      <w:pPr>
        <w:spacing w:line="360" w:lineRule="auto"/>
        <w:ind w:firstLine="480" w:firstLineChars="200"/>
        <w:rPr>
          <w:rFonts w:hint="eastAsia" w:ascii="宋体" w:hAnsi="宋体" w:eastAsia="宋体"/>
          <w:b w:val="0"/>
          <w:bCs w:val="0"/>
          <w:color w:val="auto"/>
          <w:sz w:val="24"/>
          <w:szCs w:val="18"/>
          <w:highlight w:val="none"/>
        </w:rPr>
      </w:pPr>
      <w:r>
        <w:rPr>
          <w:rFonts w:hint="eastAsia" w:ascii="宋体" w:hAnsi="宋体" w:eastAsia="宋体" w:cs="宋体"/>
          <w:color w:val="auto"/>
          <w:sz w:val="24"/>
          <w:szCs w:val="24"/>
          <w:highlight w:val="none"/>
        </w:rPr>
        <w:t>（3）</w:t>
      </w:r>
      <w:r>
        <w:rPr>
          <w:rFonts w:hint="eastAsia" w:ascii="宋体" w:hAnsi="宋体" w:eastAsia="宋体"/>
          <w:bCs/>
          <w:color w:val="auto"/>
          <w:sz w:val="24"/>
          <w:szCs w:val="18"/>
          <w:highlight w:val="none"/>
        </w:rPr>
        <w:t>课程的收费标准遵循公益普惠原则，根据参与学生人数、服务内容、服务时间等核定，并接受我司和学校的指导建议；学校和公司根据学校师资、场地、特色发展等因素选取课程；家长根据需求自愿选择。</w:t>
      </w:r>
      <w:r>
        <w:rPr>
          <w:rFonts w:hint="eastAsia" w:ascii="宋体" w:hAnsi="宋体" w:eastAsia="宋体" w:cs="宋体"/>
          <w:color w:val="auto"/>
          <w:sz w:val="24"/>
          <w:szCs w:val="24"/>
          <w:highlight w:val="none"/>
        </w:rPr>
        <w:t>不得擅自提价，如中标人存在擅自提价或违规收费情况，</w:t>
      </w:r>
      <w:r>
        <w:rPr>
          <w:rFonts w:hint="eastAsia" w:ascii="宋体" w:hAnsi="宋体" w:eastAsia="宋体" w:cs="宋体"/>
          <w:b w:val="0"/>
          <w:bCs w:val="0"/>
          <w:color w:val="auto"/>
          <w:sz w:val="24"/>
          <w:szCs w:val="24"/>
          <w:highlight w:val="none"/>
        </w:rPr>
        <w:t>招标人将采取相应措施责令中标人停业整顿及违约金2万元/次（招标人从投标人分成中直接扣除），中标人承担由此所产生的一切（包括但不限于物价及相关部门的违约金等）责任和后果，且招标人有权单方解除合同。</w:t>
      </w:r>
    </w:p>
    <w:p w14:paraId="4F1F997E">
      <w:pPr>
        <w:pStyle w:val="58"/>
        <w:widowControl w:val="0"/>
        <w:tabs>
          <w:tab w:val="left" w:pos="689"/>
        </w:tabs>
        <w:adjustRightIn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（4）中标人在服务期间必须有投诉处置能力，如遇投诉后须进一步解释说明并形成报告，若投诉情节严重，中标人须按招标人要求进行整改。</w:t>
      </w:r>
    </w:p>
    <w:p w14:paraId="611E53B0">
      <w:pPr>
        <w:pStyle w:val="58"/>
        <w:widowControl w:val="0"/>
        <w:tabs>
          <w:tab w:val="left" w:pos="689"/>
        </w:tabs>
        <w:adjustRightInd/>
        <w:snapToGrid/>
        <w:spacing w:line="360" w:lineRule="auto"/>
        <w:ind w:left="0" w:firstLine="482"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bCs/>
          <w:color w:val="auto"/>
          <w:sz w:val="24"/>
          <w:szCs w:val="24"/>
          <w:highlight w:val="none"/>
          <w:lang w:eastAsia="zh-CN"/>
        </w:rPr>
        <w:t>（5）本项目用途为课程培训服务。如中标人擅自改变转让用途，招标人有权单方解除合同，</w:t>
      </w:r>
      <w:r>
        <w:rPr>
          <w:rFonts w:hint="eastAsia" w:ascii="宋体" w:hAnsi="宋体" w:eastAsia="宋体" w:cs="宋体"/>
          <w:b w:val="0"/>
          <w:bCs w:val="0"/>
          <w:color w:val="auto"/>
          <w:sz w:val="24"/>
          <w:szCs w:val="24"/>
          <w:highlight w:val="none"/>
          <w:lang w:eastAsia="zh-CN"/>
        </w:rPr>
        <w:t>并处以违约金2万元/次（招标人从投标人分成中直接扣除）</w:t>
      </w:r>
    </w:p>
    <w:p w14:paraId="67DE8A2B">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（7）中标人在培训期内应负责维护场馆公共设施及环境，如造成公共设施损坏，由中标人进行维修或更换。</w:t>
      </w:r>
    </w:p>
    <w:p w14:paraId="1770AAB9">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4、中标人在服务期间必须有详细的</w:t>
      </w:r>
      <w:r>
        <w:rPr>
          <w:rFonts w:hint="eastAsia" w:ascii="宋体" w:hAnsi="宋体" w:eastAsia="宋体" w:cs="宋体"/>
          <w:b/>
          <w:bCs/>
          <w:color w:val="auto"/>
          <w:sz w:val="24"/>
          <w:szCs w:val="24"/>
          <w:highlight w:val="none"/>
          <w:lang w:eastAsia="zh-CN"/>
        </w:rPr>
        <w:t>人员配置方案（</w:t>
      </w:r>
      <w:r>
        <w:rPr>
          <w:rFonts w:hint="eastAsia" w:ascii="宋体" w:hAnsi="宋体" w:eastAsia="宋体" w:cs="宋体"/>
          <w:b/>
          <w:bCs/>
          <w:color w:val="auto"/>
          <w:sz w:val="24"/>
          <w:szCs w:val="24"/>
          <w:highlight w:val="none"/>
          <w:lang w:val="en-US" w:eastAsia="zh-CN"/>
        </w:rPr>
        <w:t>按照学校提供分班计划，</w:t>
      </w:r>
      <w:r>
        <w:rPr>
          <w:rFonts w:hint="eastAsia" w:ascii="宋体" w:hAnsi="宋体" w:eastAsia="宋体" w:cs="宋体"/>
          <w:b/>
          <w:bCs/>
          <w:color w:val="auto"/>
          <w:sz w:val="24"/>
          <w:szCs w:val="24"/>
          <w:highlight w:val="none"/>
          <w:lang w:eastAsia="zh-CN"/>
        </w:rPr>
        <w:t>每班配置一名</w:t>
      </w:r>
      <w:r>
        <w:rPr>
          <w:rFonts w:hint="eastAsia" w:ascii="宋体" w:hAnsi="宋体" w:eastAsia="宋体" w:cs="宋体"/>
          <w:b/>
          <w:bCs/>
          <w:color w:val="auto"/>
          <w:sz w:val="24"/>
          <w:szCs w:val="24"/>
          <w:highlight w:val="none"/>
          <w:lang w:val="en-US" w:eastAsia="zh-CN"/>
        </w:rPr>
        <w:t>及以上</w:t>
      </w:r>
      <w:r>
        <w:rPr>
          <w:rFonts w:hint="eastAsia" w:ascii="宋体" w:hAnsi="宋体" w:eastAsia="宋体" w:cs="宋体"/>
          <w:b/>
          <w:bCs/>
          <w:color w:val="auto"/>
          <w:sz w:val="24"/>
          <w:szCs w:val="24"/>
          <w:highlight w:val="none"/>
          <w:lang w:eastAsia="zh-CN"/>
        </w:rPr>
        <w:t>教师，</w:t>
      </w:r>
      <w:r>
        <w:rPr>
          <w:rFonts w:hint="eastAsia" w:ascii="宋体" w:hAnsi="宋体" w:eastAsia="宋体" w:cs="宋体"/>
          <w:b w:val="0"/>
          <w:bCs w:val="0"/>
          <w:color w:val="auto"/>
          <w:sz w:val="24"/>
          <w:szCs w:val="24"/>
          <w:highlight w:val="none"/>
          <w:lang w:val="en-US" w:eastAsia="zh-CN"/>
        </w:rPr>
        <w:t>且在课程开设期间不得无故更换培训教师，若有不可抗原因，需提前告知招标人并在取得同意后方可更换</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lang w:eastAsia="zh-CN"/>
        </w:rPr>
        <w:t>，包括驻场负责人、教练员等工作人员的岗位设置、岗位职责，以及对各类人员的培训计划等相关机制，招标人对中标人工作人员具有监督权。</w:t>
      </w:r>
    </w:p>
    <w:p w14:paraId="1793CD1D">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5、因中标人原因解除合同或合同期满终止时，中标人投入的改造、装潢及改造的不可移动的设施设备无偿归招标人所有和使用，并在合同终止后10个日历日内交予招标人，且不得提出任何补偿或赔偿要求。</w:t>
      </w:r>
    </w:p>
    <w:p w14:paraId="4E5CCBC2">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运营期内，中标人不得以任何理由要求减免中标价款（如因法律法规及市政调整除外）。如因法律法规及市政规定需要拆除或改造而导致合同解除的，中标价款按照实际运营时间计算，不足整月的按实际天数计算，多退少补，招标人不承担违约责任。</w:t>
      </w:r>
    </w:p>
    <w:p w14:paraId="0020E268">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7、因为天气、灾害、政策及要求等原因造成中标人无法经营的，招标人不承担违约责任。</w:t>
      </w:r>
    </w:p>
    <w:p w14:paraId="481D67DE">
      <w:pPr>
        <w:pStyle w:val="58"/>
        <w:widowControl w:val="0"/>
        <w:tabs>
          <w:tab w:val="left" w:pos="689"/>
        </w:tabs>
        <w:adjustRightInd/>
        <w:snapToGrid/>
        <w:spacing w:line="360" w:lineRule="auto"/>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服务期内，招标人有权在课程培训场地内开展研学、异业合作、广告招商等经营事项及举办各类活动等（所得收益全部归招标人所有，与中标人无关）。如中标人在场馆进行开展研学、异业合作、广告招商等，需经招标人及校方审核同意，并按中标分成比例进行营收分成。</w:t>
      </w:r>
    </w:p>
    <w:p w14:paraId="2CF68F03">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9、中标人在学校开展的培训课程，须在其办学内容、业务范围或经营许可范围内，不得超范围经营。须配齐配足课后服务队伍，建立健全管理制度，加强组织和管理，与我司签订合作协议，明确进校职责。</w:t>
      </w:r>
    </w:p>
    <w:p w14:paraId="3A86F0E9">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10、机构管理人员须具有相应的业务专长、师资力量和管理能力；机构聘任的专职、兼职从教人员必须爱国爱党、品性优秀、爱护学生，无犯罪及其他不良记录；必须取得相关专业技能资质（教师资格证书或相关专业技能等级证书等）。</w:t>
      </w:r>
    </w:p>
    <w:p w14:paraId="0258FE6B">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11、进校服务人员需服从学校各项管理制度要求，在校内应严格参照师德师范进行自律。严禁入校商业夹带和商业宣传，第三方机构及人员不得借机搞培训、招生宣传，不得诱导学生参与校外培训辅导、购买相关器材或其他课程服务产品。</w:t>
      </w:r>
    </w:p>
    <w:p w14:paraId="0218743E">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12、因上级政策原因需要提前终止合作，合同自行终止，双方互不补偿由此产生的损失。</w:t>
      </w:r>
    </w:p>
    <w:p w14:paraId="2E4AA3DD">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13、由于不可抗力导致合同不能履行的，</w:t>
      </w:r>
      <w:bookmarkStart w:id="17" w:name="OLE_LINK11"/>
      <w:r>
        <w:rPr>
          <w:rFonts w:hint="eastAsia" w:ascii="宋体" w:hAnsi="宋体" w:eastAsia="宋体"/>
          <w:bCs/>
          <w:color w:val="auto"/>
          <w:sz w:val="24"/>
          <w:szCs w:val="18"/>
          <w:highlight w:val="none"/>
        </w:rPr>
        <w:t>甲乙双方互不承担违约责任</w:t>
      </w:r>
      <w:bookmarkEnd w:id="17"/>
      <w:r>
        <w:rPr>
          <w:rFonts w:hint="eastAsia" w:ascii="宋体" w:hAnsi="宋体" w:eastAsia="宋体"/>
          <w:bCs/>
          <w:color w:val="auto"/>
          <w:sz w:val="24"/>
          <w:szCs w:val="18"/>
          <w:highlight w:val="none"/>
        </w:rPr>
        <w:t>，受不可抗力影响的一方应及时书面通知对方。</w:t>
      </w:r>
    </w:p>
    <w:p w14:paraId="102DCBCE">
      <w:pPr>
        <w:spacing w:line="360" w:lineRule="auto"/>
        <w:ind w:firstLine="480" w:firstLineChars="200"/>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14、如因上级主管部门要求或其他政策性原因导致招标人不再负责包河区中小学体艺中心运营等相关事宜，合同自动失效。</w:t>
      </w:r>
    </w:p>
    <w:p w14:paraId="3489350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如中标人在履行合同期间内，因中标人原因退出《包河区中小学体艺中心课程服务单位招募》的，招标人有权解除合同，甲方不承担违约责任，乙方在解除合同前需将相关教学工作妥善进行交接，做好家长及学生解释工作。</w:t>
      </w:r>
      <w:r>
        <w:rPr>
          <w:rFonts w:hint="eastAsia" w:ascii="宋体" w:hAnsi="宋体" w:eastAsia="宋体" w:cs="宋体"/>
          <w:b/>
          <w:bCs/>
          <w:color w:val="auto"/>
          <w:sz w:val="24"/>
          <w:highlight w:val="none"/>
        </w:rPr>
        <w:br w:type="page"/>
      </w:r>
    </w:p>
    <w:p w14:paraId="15C7CACA">
      <w:pPr>
        <w:spacing w:line="360" w:lineRule="auto"/>
        <w:jc w:val="center"/>
        <w:outlineLvl w:val="1"/>
        <w:rPr>
          <w:rFonts w:hint="eastAsia" w:ascii="宋体" w:hAnsi="宋体" w:eastAsia="宋体" w:cs="宋体"/>
          <w:b/>
          <w:color w:val="auto"/>
          <w:sz w:val="28"/>
          <w:highlight w:val="none"/>
        </w:rPr>
      </w:pPr>
      <w:bookmarkStart w:id="18" w:name="_Toc47026335"/>
      <w:r>
        <w:rPr>
          <w:rFonts w:hint="eastAsia" w:ascii="宋体" w:hAnsi="宋体" w:eastAsia="宋体" w:cs="宋体"/>
          <w:b/>
          <w:color w:val="auto"/>
          <w:sz w:val="28"/>
          <w:highlight w:val="none"/>
        </w:rPr>
        <w:t>第四章  评审方法和标准</w:t>
      </w:r>
      <w:bookmarkEnd w:id="18"/>
    </w:p>
    <w:p w14:paraId="2CBB598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一、总则</w:t>
      </w:r>
    </w:p>
    <w:p w14:paraId="2A65BDE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本项目将按照磋商文件第二章 投标人须知的相关要求及本章的规定评审。</w:t>
      </w:r>
    </w:p>
    <w:p w14:paraId="1C33DD94">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二、评审方法</w:t>
      </w:r>
    </w:p>
    <w:p w14:paraId="0CC83E4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2.1初审</w:t>
      </w:r>
    </w:p>
    <w:p w14:paraId="7908DBA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磋商小组对投标人的响应文件进行初审，以确定其是否满足磋商文件的实质性要求。初审表如下：</w:t>
      </w:r>
    </w:p>
    <w:tbl>
      <w:tblPr>
        <w:tblStyle w:val="23"/>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653"/>
        <w:gridCol w:w="2260"/>
        <w:gridCol w:w="3867"/>
      </w:tblGrid>
      <w:tr w14:paraId="20C8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495" w:type="dxa"/>
            <w:gridSpan w:val="4"/>
            <w:tcBorders>
              <w:bottom w:val="single" w:color="auto" w:sz="4" w:space="0"/>
            </w:tcBorders>
            <w:vAlign w:val="center"/>
          </w:tcPr>
          <w:p w14:paraId="63DFEE5C">
            <w:pPr>
              <w:adjustRightInd w:val="0"/>
              <w:snapToGrid w:val="0"/>
              <w:spacing w:line="360" w:lineRule="auto"/>
              <w:ind w:right="-10" w:rightChars="0"/>
              <w:jc w:val="center"/>
              <w:rPr>
                <w:rFonts w:hint="eastAsia" w:ascii="宋体" w:hAnsi="宋体" w:eastAsia="宋体" w:cs="宋体"/>
                <w:color w:val="auto"/>
                <w:sz w:val="24"/>
                <w:highlight w:val="none"/>
              </w:rPr>
            </w:pPr>
            <w:r>
              <w:rPr>
                <w:rFonts w:hint="eastAsia" w:ascii="宋体" w:hAnsi="宋体" w:eastAsia="宋体" w:cs="宋体"/>
                <w:b/>
                <w:color w:val="auto"/>
                <w:sz w:val="24"/>
                <w:szCs w:val="22"/>
                <w:highlight w:val="none"/>
              </w:rPr>
              <w:t>初审表</w:t>
            </w:r>
          </w:p>
        </w:tc>
      </w:tr>
      <w:tr w14:paraId="7603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393E5CD6">
            <w:pPr>
              <w:adjustRightInd w:val="0"/>
              <w:snapToGrid w:val="0"/>
              <w:spacing w:line="360" w:lineRule="auto"/>
              <w:ind w:right="-1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653" w:type="dxa"/>
            <w:tcBorders>
              <w:bottom w:val="single" w:color="auto" w:sz="4" w:space="0"/>
            </w:tcBorders>
            <w:vAlign w:val="center"/>
          </w:tcPr>
          <w:p w14:paraId="287C606D">
            <w:pPr>
              <w:spacing w:after="50" w:line="360" w:lineRule="auto"/>
              <w:ind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评审指标</w:t>
            </w:r>
          </w:p>
        </w:tc>
        <w:tc>
          <w:tcPr>
            <w:tcW w:w="2260" w:type="dxa"/>
            <w:tcBorders>
              <w:bottom w:val="single" w:color="auto" w:sz="4" w:space="0"/>
            </w:tcBorders>
            <w:vAlign w:val="center"/>
          </w:tcPr>
          <w:p w14:paraId="468BF18A">
            <w:pPr>
              <w:spacing w:after="50" w:line="360" w:lineRule="auto"/>
              <w:ind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评审标准</w:t>
            </w:r>
          </w:p>
        </w:tc>
        <w:tc>
          <w:tcPr>
            <w:tcW w:w="3867" w:type="dxa"/>
            <w:tcBorders>
              <w:bottom w:val="single" w:color="auto" w:sz="4" w:space="0"/>
            </w:tcBorders>
            <w:vAlign w:val="center"/>
          </w:tcPr>
          <w:p w14:paraId="01BE20F7">
            <w:pPr>
              <w:spacing w:after="50" w:line="360" w:lineRule="auto"/>
              <w:ind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格式及材料要求</w:t>
            </w:r>
          </w:p>
        </w:tc>
      </w:tr>
      <w:tr w14:paraId="698D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15" w:type="dxa"/>
            <w:tcBorders>
              <w:bottom w:val="single" w:color="auto" w:sz="4" w:space="0"/>
            </w:tcBorders>
            <w:vAlign w:val="center"/>
          </w:tcPr>
          <w:p w14:paraId="785807E2">
            <w:pPr>
              <w:adjustRightInd w:val="0"/>
              <w:snapToGrid w:val="0"/>
              <w:spacing w:line="360" w:lineRule="auto"/>
              <w:ind w:right="-1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53" w:type="dxa"/>
            <w:tcBorders>
              <w:bottom w:val="single" w:color="auto" w:sz="4" w:space="0"/>
            </w:tcBorders>
            <w:vAlign w:val="center"/>
          </w:tcPr>
          <w:p w14:paraId="643363E8">
            <w:pPr>
              <w:spacing w:after="50" w:line="360" w:lineRule="auto"/>
              <w:ind w:right="-10" w:rightChars="0"/>
              <w:jc w:val="center"/>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rPr>
              <w:t>营业执照</w:t>
            </w:r>
          </w:p>
        </w:tc>
        <w:tc>
          <w:tcPr>
            <w:tcW w:w="2260" w:type="dxa"/>
            <w:tcBorders>
              <w:bottom w:val="single" w:color="auto" w:sz="4" w:space="0"/>
            </w:tcBorders>
            <w:vAlign w:val="center"/>
          </w:tcPr>
          <w:p w14:paraId="228CB065">
            <w:pPr>
              <w:spacing w:after="50" w:line="360" w:lineRule="auto"/>
              <w:ind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合法有效</w:t>
            </w:r>
          </w:p>
        </w:tc>
        <w:tc>
          <w:tcPr>
            <w:tcW w:w="3867" w:type="dxa"/>
            <w:vMerge w:val="restart"/>
            <w:vAlign w:val="center"/>
          </w:tcPr>
          <w:p w14:paraId="0A57E8DD">
            <w:pPr>
              <w:spacing w:line="360" w:lineRule="auto"/>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有效的投标人营业执照（或事业单位法人登记证书）和税务登记证的扫描件或影印件，应完整的体现出营业执照（或事业单位法人登记证书）和税务登记证的全部内容。已办理“三证合一”登记的，响应文件中提供营业执照（或事业单位法人登记证书）扫描件即可。</w:t>
            </w:r>
          </w:p>
        </w:tc>
      </w:tr>
      <w:tr w14:paraId="524C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647B6703">
            <w:pPr>
              <w:adjustRightInd w:val="0"/>
              <w:snapToGrid w:val="0"/>
              <w:spacing w:line="360" w:lineRule="auto"/>
              <w:ind w:right="-1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653" w:type="dxa"/>
            <w:tcBorders>
              <w:bottom w:val="single" w:color="auto" w:sz="4" w:space="0"/>
            </w:tcBorders>
            <w:vAlign w:val="center"/>
          </w:tcPr>
          <w:p w14:paraId="6D2BC052">
            <w:pPr>
              <w:spacing w:after="50" w:line="360" w:lineRule="auto"/>
              <w:ind w:right="-10" w:rightChars="0"/>
              <w:jc w:val="center"/>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rPr>
              <w:t>税务登记证</w:t>
            </w:r>
          </w:p>
        </w:tc>
        <w:tc>
          <w:tcPr>
            <w:tcW w:w="2260" w:type="dxa"/>
            <w:tcBorders>
              <w:bottom w:val="single" w:color="auto" w:sz="4" w:space="0"/>
            </w:tcBorders>
            <w:vAlign w:val="center"/>
          </w:tcPr>
          <w:p w14:paraId="427DE8A6">
            <w:pPr>
              <w:spacing w:after="50" w:line="360" w:lineRule="auto"/>
              <w:ind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合法有效</w:t>
            </w:r>
          </w:p>
        </w:tc>
        <w:tc>
          <w:tcPr>
            <w:tcW w:w="3867" w:type="dxa"/>
            <w:vMerge w:val="continue"/>
            <w:tcBorders>
              <w:bottom w:val="single" w:color="auto" w:sz="4" w:space="0"/>
            </w:tcBorders>
            <w:vAlign w:val="center"/>
          </w:tcPr>
          <w:p w14:paraId="735300A4">
            <w:pPr>
              <w:adjustRightInd w:val="0"/>
              <w:snapToGrid w:val="0"/>
              <w:spacing w:line="360" w:lineRule="auto"/>
              <w:ind w:right="-10" w:rightChars="0"/>
              <w:jc w:val="left"/>
              <w:rPr>
                <w:rFonts w:hint="eastAsia" w:ascii="宋体" w:hAnsi="宋体" w:eastAsia="宋体" w:cs="宋体"/>
                <w:color w:val="auto"/>
                <w:sz w:val="24"/>
                <w:highlight w:val="none"/>
              </w:rPr>
            </w:pPr>
          </w:p>
        </w:tc>
      </w:tr>
      <w:tr w14:paraId="6987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5FB14742">
            <w:pPr>
              <w:adjustRightInd w:val="0"/>
              <w:snapToGrid w:val="0"/>
              <w:spacing w:line="360" w:lineRule="auto"/>
              <w:ind w:right="-1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653" w:type="dxa"/>
            <w:tcBorders>
              <w:bottom w:val="single" w:color="auto" w:sz="4" w:space="0"/>
            </w:tcBorders>
            <w:vAlign w:val="center"/>
          </w:tcPr>
          <w:p w14:paraId="2F07AA03">
            <w:pPr>
              <w:spacing w:after="50" w:line="360" w:lineRule="auto"/>
              <w:ind w:right="-10" w:rightChars="0"/>
              <w:jc w:val="center"/>
              <w:rPr>
                <w:rFonts w:hint="eastAsia" w:ascii="宋体" w:hAnsi="宋体" w:eastAsia="宋体" w:cs="宋体"/>
                <w:color w:val="auto"/>
                <w:sz w:val="24"/>
                <w:szCs w:val="18"/>
                <w:highlight w:val="none"/>
              </w:rPr>
            </w:pPr>
            <w:r>
              <w:rPr>
                <w:rFonts w:hint="eastAsia" w:ascii="宋体" w:hAnsi="宋体" w:eastAsia="宋体" w:cs="宋体"/>
                <w:b/>
                <w:bCs/>
                <w:color w:val="auto"/>
                <w:sz w:val="24"/>
                <w:szCs w:val="28"/>
                <w:highlight w:val="none"/>
              </w:rPr>
              <w:t>无不良信用记录声明函</w:t>
            </w:r>
          </w:p>
        </w:tc>
        <w:tc>
          <w:tcPr>
            <w:tcW w:w="2260" w:type="dxa"/>
            <w:tcBorders>
              <w:bottom w:val="single" w:color="auto" w:sz="4" w:space="0"/>
            </w:tcBorders>
            <w:vAlign w:val="center"/>
          </w:tcPr>
          <w:p w14:paraId="5411F24E">
            <w:pPr>
              <w:spacing w:after="50" w:line="360" w:lineRule="auto"/>
              <w:ind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格式、填写要求符合磋商文件规定并加盖投标人公章</w:t>
            </w:r>
          </w:p>
        </w:tc>
        <w:tc>
          <w:tcPr>
            <w:tcW w:w="3867" w:type="dxa"/>
            <w:tcBorders>
              <w:bottom w:val="single" w:color="auto" w:sz="4" w:space="0"/>
            </w:tcBorders>
            <w:vAlign w:val="center"/>
          </w:tcPr>
          <w:p w14:paraId="4F898389">
            <w:pPr>
              <w:adjustRightInd w:val="0"/>
              <w:snapToGrid w:val="0"/>
              <w:spacing w:line="360" w:lineRule="auto"/>
              <w:ind w:right="-10" w:right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详见第六章响应文件格式三</w:t>
            </w:r>
          </w:p>
        </w:tc>
      </w:tr>
      <w:tr w14:paraId="65A2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207BC8CB">
            <w:pPr>
              <w:adjustRightInd w:val="0"/>
              <w:snapToGrid w:val="0"/>
              <w:spacing w:line="360" w:lineRule="auto"/>
              <w:ind w:right="-1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653" w:type="dxa"/>
            <w:tcBorders>
              <w:bottom w:val="single" w:color="auto" w:sz="4" w:space="0"/>
            </w:tcBorders>
            <w:vAlign w:val="center"/>
          </w:tcPr>
          <w:p w14:paraId="47D2E20C">
            <w:pPr>
              <w:spacing w:after="50" w:line="360" w:lineRule="auto"/>
              <w:ind w:right="-10" w:rightChars="0"/>
              <w:jc w:val="center"/>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rPr>
              <w:t>磋商响应函</w:t>
            </w:r>
          </w:p>
        </w:tc>
        <w:tc>
          <w:tcPr>
            <w:tcW w:w="2260" w:type="dxa"/>
            <w:tcBorders>
              <w:bottom w:val="single" w:color="auto" w:sz="4" w:space="0"/>
            </w:tcBorders>
            <w:vAlign w:val="center"/>
          </w:tcPr>
          <w:p w14:paraId="0036B916">
            <w:pPr>
              <w:spacing w:after="50" w:line="360" w:lineRule="auto"/>
              <w:ind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格式、填写要求符合磋商文件规定并加盖投标人公章</w:t>
            </w:r>
          </w:p>
        </w:tc>
        <w:tc>
          <w:tcPr>
            <w:tcW w:w="3867" w:type="dxa"/>
            <w:tcBorders>
              <w:bottom w:val="single" w:color="auto" w:sz="4" w:space="0"/>
            </w:tcBorders>
            <w:vAlign w:val="center"/>
          </w:tcPr>
          <w:p w14:paraId="4E67227C">
            <w:pPr>
              <w:adjustRightInd w:val="0"/>
              <w:snapToGrid w:val="0"/>
              <w:spacing w:line="360" w:lineRule="auto"/>
              <w:ind w:right="-10" w:right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详见第六章响应文件格式二</w:t>
            </w:r>
          </w:p>
        </w:tc>
      </w:tr>
      <w:tr w14:paraId="260E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321E1FB9">
            <w:pPr>
              <w:adjustRightInd w:val="0"/>
              <w:snapToGrid w:val="0"/>
              <w:spacing w:line="360" w:lineRule="auto"/>
              <w:ind w:right="-1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653" w:type="dxa"/>
            <w:tcBorders>
              <w:bottom w:val="single" w:color="auto" w:sz="4" w:space="0"/>
            </w:tcBorders>
            <w:vAlign w:val="center"/>
          </w:tcPr>
          <w:p w14:paraId="48B3B873">
            <w:pPr>
              <w:spacing w:after="50" w:line="360" w:lineRule="auto"/>
              <w:ind w:right="-10" w:rightChars="0"/>
              <w:jc w:val="center"/>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rPr>
              <w:t>磋商授权书</w:t>
            </w:r>
          </w:p>
        </w:tc>
        <w:tc>
          <w:tcPr>
            <w:tcW w:w="2260" w:type="dxa"/>
            <w:tcBorders>
              <w:bottom w:val="single" w:color="auto" w:sz="4" w:space="0"/>
            </w:tcBorders>
            <w:vAlign w:val="center"/>
          </w:tcPr>
          <w:p w14:paraId="31B7EF1E">
            <w:pPr>
              <w:spacing w:after="50" w:line="360" w:lineRule="auto"/>
              <w:ind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格式、填写要求符合磋商文件规定并加盖投标人公章</w:t>
            </w:r>
          </w:p>
        </w:tc>
        <w:tc>
          <w:tcPr>
            <w:tcW w:w="3867" w:type="dxa"/>
            <w:tcBorders>
              <w:bottom w:val="single" w:color="auto" w:sz="4" w:space="0"/>
            </w:tcBorders>
            <w:vAlign w:val="center"/>
          </w:tcPr>
          <w:p w14:paraId="785D157B">
            <w:pPr>
              <w:adjustRightInd w:val="0"/>
              <w:snapToGrid w:val="0"/>
              <w:spacing w:line="360" w:lineRule="auto"/>
              <w:ind w:right="-10" w:rightChars="0"/>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法定代表人参加磋商的无需此件，提供身份证明即可</w:t>
            </w:r>
            <w:r>
              <w:rPr>
                <w:rFonts w:hint="eastAsia" w:ascii="宋体" w:hAnsi="宋体" w:eastAsia="宋体" w:cs="宋体"/>
                <w:color w:val="auto"/>
                <w:sz w:val="24"/>
                <w:highlight w:val="none"/>
              </w:rPr>
              <w:t>。详见第六章响应文件格式四</w:t>
            </w:r>
          </w:p>
        </w:tc>
      </w:tr>
      <w:tr w14:paraId="50CA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039893D2">
            <w:pPr>
              <w:adjustRightInd w:val="0"/>
              <w:snapToGrid w:val="0"/>
              <w:spacing w:line="360" w:lineRule="auto"/>
              <w:ind w:right="-1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653" w:type="dxa"/>
            <w:vAlign w:val="center"/>
          </w:tcPr>
          <w:p w14:paraId="4F5A2F84">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rPr>
              <w:t>投标人资质</w:t>
            </w:r>
          </w:p>
          <w:p w14:paraId="296F24EB">
            <w:pPr>
              <w:spacing w:after="50" w:line="360" w:lineRule="auto"/>
              <w:ind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（可编辑）</w:t>
            </w:r>
          </w:p>
        </w:tc>
        <w:tc>
          <w:tcPr>
            <w:tcW w:w="2260" w:type="dxa"/>
            <w:vAlign w:val="center"/>
          </w:tcPr>
          <w:p w14:paraId="73DAEFF7">
            <w:pPr>
              <w:spacing w:after="50" w:line="360" w:lineRule="auto"/>
              <w:ind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符合投标人资格中的资质要求</w:t>
            </w:r>
          </w:p>
        </w:tc>
        <w:tc>
          <w:tcPr>
            <w:tcW w:w="3867" w:type="dxa"/>
            <w:vAlign w:val="center"/>
          </w:tcPr>
          <w:p w14:paraId="3134C733">
            <w:pPr>
              <w:adjustRightInd w:val="0"/>
              <w:snapToGrid w:val="0"/>
              <w:spacing w:line="360" w:lineRule="auto"/>
              <w:ind w:right="-10" w:right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w:t>
            </w:r>
            <w:r>
              <w:rPr>
                <w:rFonts w:hint="eastAsia" w:ascii="宋体" w:hAnsi="宋体" w:eastAsia="宋体" w:cs="宋体"/>
                <w:color w:val="auto"/>
                <w:sz w:val="24"/>
                <w:szCs w:val="28"/>
                <w:highlight w:val="none"/>
              </w:rPr>
              <w:t>符合投标人资格中要求的</w:t>
            </w:r>
            <w:r>
              <w:rPr>
                <w:rFonts w:hint="eastAsia" w:ascii="宋体" w:hAnsi="宋体" w:eastAsia="宋体" w:cs="宋体"/>
                <w:color w:val="auto"/>
                <w:sz w:val="24"/>
                <w:highlight w:val="none"/>
              </w:rPr>
              <w:t>资质证书扫描件（可编辑）</w:t>
            </w:r>
          </w:p>
        </w:tc>
      </w:tr>
      <w:tr w14:paraId="5852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0C90C45C">
            <w:pPr>
              <w:adjustRightInd w:val="0"/>
              <w:snapToGrid w:val="0"/>
              <w:spacing w:line="360" w:lineRule="auto"/>
              <w:ind w:right="-1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1653" w:type="dxa"/>
            <w:vAlign w:val="center"/>
          </w:tcPr>
          <w:p w14:paraId="22BC2DEA">
            <w:pPr>
              <w:spacing w:after="50" w:line="360" w:lineRule="auto"/>
              <w:ind w:right="-10"/>
              <w:jc w:val="center"/>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初审业绩</w:t>
            </w:r>
          </w:p>
          <w:p w14:paraId="5AB429CB">
            <w:pPr>
              <w:spacing w:after="50" w:line="360" w:lineRule="auto"/>
              <w:ind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（可编辑）</w:t>
            </w:r>
          </w:p>
        </w:tc>
        <w:tc>
          <w:tcPr>
            <w:tcW w:w="2260" w:type="dxa"/>
            <w:vAlign w:val="center"/>
          </w:tcPr>
          <w:p w14:paraId="214E6949">
            <w:pPr>
              <w:spacing w:after="50" w:line="360" w:lineRule="auto"/>
              <w:ind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符合投标人资格中的业绩要求</w:t>
            </w:r>
          </w:p>
        </w:tc>
        <w:tc>
          <w:tcPr>
            <w:tcW w:w="3867" w:type="dxa"/>
            <w:vAlign w:val="center"/>
          </w:tcPr>
          <w:p w14:paraId="5829D80E">
            <w:pPr>
              <w:adjustRightInd w:val="0"/>
              <w:snapToGrid w:val="0"/>
              <w:spacing w:line="360" w:lineRule="auto"/>
              <w:ind w:right="-1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提供符合</w:t>
            </w:r>
            <w:r>
              <w:rPr>
                <w:rFonts w:hint="eastAsia" w:ascii="宋体" w:hAnsi="宋体" w:eastAsia="宋体" w:cs="宋体"/>
                <w:color w:val="auto"/>
                <w:sz w:val="24"/>
                <w:szCs w:val="28"/>
                <w:highlight w:val="none"/>
              </w:rPr>
              <w:t>投标人资格中</w:t>
            </w:r>
            <w:r>
              <w:rPr>
                <w:rFonts w:hint="eastAsia" w:ascii="宋体" w:hAnsi="宋体" w:eastAsia="宋体" w:cs="宋体"/>
                <w:color w:val="auto"/>
                <w:sz w:val="24"/>
                <w:highlight w:val="none"/>
              </w:rPr>
              <w:t>业绩要求的合同扫描件（可编辑）</w:t>
            </w:r>
          </w:p>
        </w:tc>
      </w:tr>
      <w:tr w14:paraId="5AA1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23116F65">
            <w:pPr>
              <w:adjustRightInd w:val="0"/>
              <w:snapToGrid w:val="0"/>
              <w:spacing w:line="360" w:lineRule="auto"/>
              <w:ind w:right="-1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1653" w:type="dxa"/>
            <w:vAlign w:val="center"/>
          </w:tcPr>
          <w:p w14:paraId="6EEB3E98">
            <w:pPr>
              <w:spacing w:after="50" w:line="360" w:lineRule="auto"/>
              <w:ind w:right="-10" w:rightChars="0"/>
              <w:jc w:val="center"/>
              <w:rPr>
                <w:rFonts w:hint="eastAsia" w:ascii="宋体" w:hAnsi="宋体" w:eastAsia="宋体" w:cs="宋体"/>
                <w:color w:val="auto"/>
                <w:sz w:val="24"/>
                <w:szCs w:val="28"/>
                <w:highlight w:val="none"/>
              </w:rPr>
            </w:pPr>
            <w:r>
              <w:rPr>
                <w:rFonts w:hint="eastAsia" w:ascii="宋体" w:hAnsi="宋体" w:eastAsia="宋体" w:cs="宋体"/>
                <w:b/>
                <w:bCs/>
                <w:color w:val="auto"/>
                <w:sz w:val="24"/>
                <w:szCs w:val="28"/>
                <w:highlight w:val="none"/>
              </w:rPr>
              <w:t>磋商报价</w:t>
            </w:r>
          </w:p>
        </w:tc>
        <w:tc>
          <w:tcPr>
            <w:tcW w:w="2260" w:type="dxa"/>
            <w:vAlign w:val="center"/>
          </w:tcPr>
          <w:p w14:paraId="51CD434E">
            <w:pPr>
              <w:spacing w:after="50" w:line="360" w:lineRule="auto"/>
              <w:ind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符合磋商</w:t>
            </w:r>
            <w:r>
              <w:rPr>
                <w:rFonts w:hint="eastAsia" w:ascii="宋体" w:hAnsi="宋体" w:eastAsia="宋体" w:cs="宋体"/>
                <w:color w:val="auto"/>
                <w:sz w:val="24"/>
                <w:highlight w:val="none"/>
              </w:rPr>
              <w:t>文件投标人须知正文第12、22条要求</w:t>
            </w:r>
          </w:p>
        </w:tc>
        <w:tc>
          <w:tcPr>
            <w:tcW w:w="3867" w:type="dxa"/>
            <w:vAlign w:val="center"/>
          </w:tcPr>
          <w:p w14:paraId="4A9BEB5D">
            <w:pPr>
              <w:adjustRightInd w:val="0"/>
              <w:snapToGrid w:val="0"/>
              <w:spacing w:line="360" w:lineRule="auto"/>
              <w:ind w:right="-10" w:right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详见第六章响应文件格式一</w:t>
            </w:r>
          </w:p>
        </w:tc>
      </w:tr>
      <w:tr w14:paraId="5767A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7671D355">
            <w:pPr>
              <w:adjustRightInd w:val="0"/>
              <w:snapToGrid w:val="0"/>
              <w:spacing w:line="360" w:lineRule="auto"/>
              <w:ind w:right="-1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1653" w:type="dxa"/>
            <w:vAlign w:val="center"/>
          </w:tcPr>
          <w:p w14:paraId="07C5650F">
            <w:pPr>
              <w:spacing w:after="50" w:line="360" w:lineRule="auto"/>
              <w:ind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2260" w:type="dxa"/>
            <w:vAlign w:val="center"/>
          </w:tcPr>
          <w:p w14:paraId="3AC2A99F">
            <w:pPr>
              <w:spacing w:after="50" w:line="360" w:lineRule="auto"/>
              <w:ind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符合磋商文件招标需求中付款方式、服务期限、服务地点的要求（可编辑）</w:t>
            </w:r>
          </w:p>
        </w:tc>
        <w:tc>
          <w:tcPr>
            <w:tcW w:w="3867" w:type="dxa"/>
            <w:vAlign w:val="center"/>
          </w:tcPr>
          <w:p w14:paraId="58F202F1">
            <w:pPr>
              <w:adjustRightInd w:val="0"/>
              <w:snapToGrid w:val="0"/>
              <w:spacing w:line="360" w:lineRule="auto"/>
              <w:ind w:right="-10" w:right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详见第六章响应文件格式五</w:t>
            </w:r>
          </w:p>
        </w:tc>
      </w:tr>
      <w:tr w14:paraId="2975C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57ACCB9A">
            <w:pPr>
              <w:adjustRightInd w:val="0"/>
              <w:snapToGrid w:val="0"/>
              <w:spacing w:line="360" w:lineRule="auto"/>
              <w:ind w:right="-1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1653" w:type="dxa"/>
            <w:vAlign w:val="center"/>
          </w:tcPr>
          <w:p w14:paraId="1B0BCA62">
            <w:pPr>
              <w:spacing w:after="50" w:line="360" w:lineRule="auto"/>
              <w:ind w:right="-10" w:rightChars="0"/>
              <w:jc w:val="center"/>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文件获取情况</w:t>
            </w:r>
          </w:p>
        </w:tc>
        <w:tc>
          <w:tcPr>
            <w:tcW w:w="2260" w:type="dxa"/>
            <w:vAlign w:val="center"/>
          </w:tcPr>
          <w:p w14:paraId="25AD2CAF">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在磋商文件获取截 </w:t>
            </w:r>
          </w:p>
          <w:p w14:paraId="35C967EB">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止时间前完成磋商 </w:t>
            </w:r>
          </w:p>
          <w:p w14:paraId="090BA236">
            <w:pPr>
              <w:spacing w:after="50" w:line="360" w:lineRule="auto"/>
              <w:ind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文件获取</w:t>
            </w:r>
          </w:p>
        </w:tc>
        <w:tc>
          <w:tcPr>
            <w:tcW w:w="3867" w:type="dxa"/>
            <w:vAlign w:val="center"/>
          </w:tcPr>
          <w:p w14:paraId="772D8C8C">
            <w:pPr>
              <w:adjustRightInd w:val="0"/>
              <w:snapToGrid w:val="0"/>
              <w:spacing w:line="360" w:lineRule="auto"/>
              <w:ind w:right="-10" w:rightChars="0"/>
              <w:jc w:val="left"/>
              <w:rPr>
                <w:rFonts w:hint="eastAsia" w:ascii="宋体" w:hAnsi="宋体" w:eastAsia="宋体" w:cs="宋体"/>
                <w:color w:val="auto"/>
                <w:sz w:val="24"/>
                <w:highlight w:val="none"/>
              </w:rPr>
            </w:pPr>
          </w:p>
        </w:tc>
      </w:tr>
      <w:tr w14:paraId="49BE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5738A2B4">
            <w:pPr>
              <w:adjustRightInd w:val="0"/>
              <w:snapToGrid w:val="0"/>
              <w:spacing w:line="360" w:lineRule="auto"/>
              <w:ind w:right="-1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1653" w:type="dxa"/>
            <w:vAlign w:val="center"/>
          </w:tcPr>
          <w:p w14:paraId="32C6B433">
            <w:pPr>
              <w:spacing w:after="50" w:line="360" w:lineRule="auto"/>
              <w:ind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2260" w:type="dxa"/>
            <w:vAlign w:val="center"/>
          </w:tcPr>
          <w:p w14:paraId="0BFBD615">
            <w:pPr>
              <w:spacing w:after="50" w:line="360" w:lineRule="auto"/>
              <w:ind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符合法律、行政法规规定的其他条件或磋商文件列明的其他要求</w:t>
            </w:r>
          </w:p>
        </w:tc>
        <w:tc>
          <w:tcPr>
            <w:tcW w:w="3867" w:type="dxa"/>
            <w:vAlign w:val="center"/>
          </w:tcPr>
          <w:p w14:paraId="57509707">
            <w:pPr>
              <w:adjustRightInd w:val="0"/>
              <w:snapToGrid w:val="0"/>
              <w:spacing w:line="360" w:lineRule="auto"/>
              <w:ind w:right="-10" w:rightChars="0"/>
              <w:jc w:val="left"/>
              <w:rPr>
                <w:rFonts w:hint="eastAsia" w:ascii="宋体" w:hAnsi="宋体" w:eastAsia="宋体" w:cs="宋体"/>
                <w:color w:val="auto"/>
                <w:sz w:val="24"/>
                <w:highlight w:val="none"/>
              </w:rPr>
            </w:pPr>
          </w:p>
        </w:tc>
      </w:tr>
    </w:tbl>
    <w:p w14:paraId="3988B62F">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初审指标通过标准：</w:t>
      </w:r>
      <w:r>
        <w:rPr>
          <w:rFonts w:hint="eastAsia" w:ascii="宋体" w:hAnsi="宋体" w:eastAsia="宋体" w:cs="宋体"/>
          <w:color w:val="auto"/>
          <w:sz w:val="24"/>
          <w:highlight w:val="none"/>
        </w:rPr>
        <w:t>投标人必须通过初审表中的全部评审指标。</w:t>
      </w:r>
    </w:p>
    <w:p w14:paraId="4CC1F6ED">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2.2综合评分</w:t>
      </w:r>
    </w:p>
    <w:p w14:paraId="482AB15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2.2.1磋商小组按照下表对进入综合评分的所有投标人的响应文件进行综合评分。</w:t>
      </w:r>
    </w:p>
    <w:p w14:paraId="58533B1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2.2.2本项目综合评分满分为100分，其中：技术资信分值占总分值的权重为</w:t>
      </w:r>
      <w:r>
        <w:rPr>
          <w:rFonts w:hint="eastAsia" w:ascii="宋体" w:hAnsi="宋体" w:eastAsia="宋体" w:cs="宋体"/>
          <w:color w:val="auto"/>
          <w:sz w:val="24"/>
          <w:highlight w:val="none"/>
          <w:u w:val="single"/>
          <w:lang w:val="en-US" w:eastAsia="zh-CN"/>
        </w:rPr>
        <w:t>7</w:t>
      </w:r>
      <w:r>
        <w:rPr>
          <w:rFonts w:hint="eastAsia" w:ascii="宋体" w:hAnsi="宋体" w:eastAsia="宋体" w:cs="宋体"/>
          <w:color w:val="auto"/>
          <w:sz w:val="24"/>
          <w:highlight w:val="none"/>
          <w:u w:val="single"/>
        </w:rPr>
        <w:t>0</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0</w:t>
      </w:r>
      <w:r>
        <w:rPr>
          <w:rFonts w:hint="eastAsia" w:ascii="宋体" w:hAnsi="宋体" w:eastAsia="宋体" w:cs="宋体"/>
          <w:color w:val="auto"/>
          <w:sz w:val="24"/>
          <w:highlight w:val="none"/>
        </w:rPr>
        <w:t>%。具体评分细则如下：</w:t>
      </w:r>
    </w:p>
    <w:tbl>
      <w:tblPr>
        <w:tblStyle w:val="23"/>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714"/>
        <w:gridCol w:w="4421"/>
        <w:gridCol w:w="992"/>
      </w:tblGrid>
      <w:tr w14:paraId="44E8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14:paraId="3AFB17AC">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类别</w:t>
            </w:r>
          </w:p>
        </w:tc>
        <w:tc>
          <w:tcPr>
            <w:tcW w:w="1714" w:type="dxa"/>
            <w:tcBorders>
              <w:top w:val="single" w:color="auto" w:sz="4" w:space="0"/>
              <w:left w:val="single" w:color="auto" w:sz="4" w:space="0"/>
              <w:bottom w:val="single" w:color="auto" w:sz="4" w:space="0"/>
              <w:right w:val="single" w:color="auto" w:sz="4" w:space="0"/>
            </w:tcBorders>
            <w:vAlign w:val="center"/>
          </w:tcPr>
          <w:p w14:paraId="412E8064">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评分内容</w:t>
            </w:r>
          </w:p>
        </w:tc>
        <w:tc>
          <w:tcPr>
            <w:tcW w:w="4421" w:type="dxa"/>
            <w:tcBorders>
              <w:top w:val="single" w:color="auto" w:sz="4" w:space="0"/>
              <w:left w:val="single" w:color="auto" w:sz="4" w:space="0"/>
              <w:bottom w:val="single" w:color="auto" w:sz="4" w:space="0"/>
              <w:right w:val="single" w:color="auto" w:sz="4" w:space="0"/>
            </w:tcBorders>
            <w:vAlign w:val="center"/>
          </w:tcPr>
          <w:p w14:paraId="463D2053">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评分标准</w:t>
            </w:r>
          </w:p>
        </w:tc>
        <w:tc>
          <w:tcPr>
            <w:tcW w:w="992" w:type="dxa"/>
            <w:tcBorders>
              <w:top w:val="single" w:color="auto" w:sz="4" w:space="0"/>
              <w:left w:val="single" w:color="auto" w:sz="4" w:space="0"/>
              <w:bottom w:val="single" w:color="auto" w:sz="4" w:space="0"/>
              <w:right w:val="single" w:color="auto" w:sz="4" w:space="0"/>
            </w:tcBorders>
            <w:vAlign w:val="center"/>
          </w:tcPr>
          <w:p w14:paraId="741C5352">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分值范围</w:t>
            </w:r>
          </w:p>
        </w:tc>
      </w:tr>
      <w:tr w14:paraId="1B6F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restart"/>
            <w:tcBorders>
              <w:top w:val="single" w:color="auto" w:sz="4" w:space="0"/>
              <w:left w:val="single" w:color="auto" w:sz="4" w:space="0"/>
              <w:right w:val="single" w:color="auto" w:sz="4" w:space="0"/>
            </w:tcBorders>
            <w:vAlign w:val="center"/>
          </w:tcPr>
          <w:p w14:paraId="438159D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技术资信分</w:t>
            </w:r>
          </w:p>
          <w:p w14:paraId="05E36A8D">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70</w:t>
            </w:r>
            <w:r>
              <w:rPr>
                <w:rFonts w:hint="eastAsia" w:ascii="宋体" w:hAnsi="宋体" w:eastAsia="宋体" w:cs="宋体"/>
                <w:color w:val="auto"/>
                <w:sz w:val="24"/>
                <w:highlight w:val="none"/>
              </w:rPr>
              <w:t>分）</w:t>
            </w: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5765A6E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课程及</w:t>
            </w:r>
            <w:r>
              <w:rPr>
                <w:rFonts w:hint="eastAsia" w:ascii="宋体" w:hAnsi="宋体" w:eastAsia="宋体" w:cs="宋体"/>
                <w:color w:val="auto"/>
                <w:sz w:val="24"/>
                <w:highlight w:val="none"/>
                <w:lang w:val="en-US" w:eastAsia="zh-CN"/>
              </w:rPr>
              <w:t>活动</w:t>
            </w:r>
            <w:r>
              <w:rPr>
                <w:rFonts w:hint="eastAsia" w:ascii="宋体" w:hAnsi="宋体" w:eastAsia="宋体" w:cs="宋体"/>
                <w:color w:val="auto"/>
                <w:sz w:val="24"/>
                <w:highlight w:val="none"/>
              </w:rPr>
              <w:t>服务方案</w:t>
            </w:r>
          </w:p>
        </w:tc>
        <w:tc>
          <w:tcPr>
            <w:tcW w:w="4421" w:type="dxa"/>
            <w:tcBorders>
              <w:top w:val="single" w:color="auto" w:sz="4" w:space="0"/>
              <w:left w:val="single" w:color="auto" w:sz="4" w:space="0"/>
              <w:bottom w:val="single" w:color="auto" w:sz="4" w:space="0"/>
              <w:right w:val="single" w:color="auto" w:sz="4" w:space="0"/>
            </w:tcBorders>
            <w:shd w:val="clear" w:color="auto" w:fill="auto"/>
            <w:vAlign w:val="center"/>
          </w:tcPr>
          <w:p w14:paraId="76F88306">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投标人应按照本项目招标需求的要求提供</w:t>
            </w:r>
            <w:r>
              <w:rPr>
                <w:rFonts w:hint="eastAsia" w:ascii="宋体" w:hAnsi="宋体" w:eastAsia="宋体" w:cs="宋体"/>
                <w:b/>
                <w:bCs/>
                <w:color w:val="auto"/>
                <w:sz w:val="24"/>
                <w:szCs w:val="24"/>
                <w:highlight w:val="none"/>
              </w:rPr>
              <w:t>课程</w:t>
            </w:r>
            <w:r>
              <w:rPr>
                <w:rFonts w:hint="eastAsia" w:ascii="宋体" w:hAnsi="宋体" w:eastAsia="宋体" w:cs="宋体"/>
                <w:b/>
                <w:bCs/>
                <w:color w:val="auto"/>
                <w:sz w:val="24"/>
                <w:highlight w:val="none"/>
              </w:rPr>
              <w:t>及赛事服务方案</w:t>
            </w:r>
            <w:r>
              <w:rPr>
                <w:rFonts w:hint="eastAsia" w:ascii="宋体" w:hAnsi="宋体" w:eastAsia="宋体" w:cs="宋体"/>
                <w:color w:val="auto"/>
                <w:sz w:val="24"/>
                <w:szCs w:val="24"/>
                <w:highlight w:val="none"/>
              </w:rPr>
              <w:t>，包含但不限于课程内容体系、课程材料和设备设施需求详情、赛事</w:t>
            </w:r>
            <w:r>
              <w:rPr>
                <w:rFonts w:hint="eastAsia" w:ascii="宋体" w:hAnsi="宋体" w:eastAsia="宋体" w:cs="宋体"/>
                <w:color w:val="auto"/>
                <w:sz w:val="24"/>
                <w:szCs w:val="24"/>
                <w:highlight w:val="none"/>
                <w:lang w:val="en-US" w:eastAsia="zh-CN"/>
              </w:rPr>
              <w:t>考级活动</w:t>
            </w:r>
            <w:r>
              <w:rPr>
                <w:rFonts w:hint="eastAsia" w:ascii="宋体" w:hAnsi="宋体" w:eastAsia="宋体" w:cs="宋体"/>
                <w:color w:val="auto"/>
                <w:sz w:val="24"/>
                <w:szCs w:val="24"/>
                <w:highlight w:val="none"/>
              </w:rPr>
              <w:t>组织执行计划等。</w:t>
            </w:r>
          </w:p>
          <w:p w14:paraId="57B41771">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（1）方案贴近实际，内容详细、清晰、完善、合理，可操作性强的，得</w:t>
            </w:r>
            <w:r>
              <w:rPr>
                <w:rFonts w:hint="eastAsia" w:ascii="宋体" w:hAnsi="宋体" w:eastAsia="宋体" w:cs="宋体"/>
                <w:bCs/>
                <w:color w:val="auto"/>
                <w:sz w:val="24"/>
                <w:highlight w:val="none"/>
                <w:lang w:val="en-US" w:eastAsia="zh-CN"/>
              </w:rPr>
              <w:t>14</w:t>
            </w:r>
            <w:r>
              <w:rPr>
                <w:rFonts w:hint="eastAsia" w:ascii="宋体" w:hAnsi="宋体" w:eastAsia="宋体" w:cs="宋体"/>
                <w:bCs/>
                <w:color w:val="auto"/>
                <w:sz w:val="24"/>
                <w:highlight w:val="none"/>
              </w:rPr>
              <w:t>＜F≤</w:t>
            </w:r>
            <w:r>
              <w:rPr>
                <w:rFonts w:hint="eastAsia" w:ascii="宋体" w:hAnsi="宋体" w:eastAsia="宋体" w:cs="宋体"/>
                <w:bCs/>
                <w:color w:val="auto"/>
                <w:sz w:val="24"/>
                <w:highlight w:val="none"/>
                <w:lang w:val="en-US" w:eastAsia="zh-CN"/>
              </w:rPr>
              <w:t>20</w:t>
            </w:r>
            <w:r>
              <w:rPr>
                <w:rFonts w:hint="eastAsia" w:ascii="宋体" w:hAnsi="宋体" w:eastAsia="宋体" w:cs="宋体"/>
                <w:bCs/>
                <w:color w:val="auto"/>
                <w:sz w:val="24"/>
                <w:highlight w:val="none"/>
              </w:rPr>
              <w:t>分；</w:t>
            </w:r>
          </w:p>
          <w:p w14:paraId="20217382">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（2）方案内容基本完整，具有一定可行性的，得</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＜F≤</w:t>
            </w:r>
            <w:r>
              <w:rPr>
                <w:rFonts w:hint="eastAsia" w:ascii="宋体" w:hAnsi="宋体" w:eastAsia="宋体" w:cs="宋体"/>
                <w:bCs/>
                <w:color w:val="auto"/>
                <w:sz w:val="24"/>
                <w:highlight w:val="none"/>
                <w:lang w:val="en-US" w:eastAsia="zh-CN"/>
              </w:rPr>
              <w:t>14</w:t>
            </w:r>
            <w:r>
              <w:rPr>
                <w:rFonts w:hint="eastAsia" w:ascii="宋体" w:hAnsi="宋体" w:eastAsia="宋体" w:cs="宋体"/>
                <w:bCs/>
                <w:color w:val="auto"/>
                <w:sz w:val="24"/>
                <w:highlight w:val="none"/>
              </w:rPr>
              <w:t>分；</w:t>
            </w:r>
          </w:p>
          <w:p w14:paraId="0324E448">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（3）初步满足上述要求的，得1≤F≤</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分。</w:t>
            </w:r>
          </w:p>
          <w:p w14:paraId="3FF70ABA">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其他或未提供的不得分。</w:t>
            </w:r>
          </w:p>
          <w:p w14:paraId="3FA729C3">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注：F为本项得分。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C00F445">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0-</w:t>
            </w:r>
            <w:r>
              <w:rPr>
                <w:rFonts w:hint="eastAsia" w:ascii="宋体" w:hAnsi="宋体" w:eastAsia="宋体" w:cs="宋体"/>
                <w:b/>
                <w:bCs/>
                <w:color w:val="auto"/>
                <w:sz w:val="24"/>
                <w:highlight w:val="none"/>
                <w:lang w:val="en-US" w:eastAsia="zh-CN"/>
              </w:rPr>
              <w:t>20</w:t>
            </w:r>
            <w:r>
              <w:rPr>
                <w:rFonts w:hint="eastAsia" w:ascii="宋体" w:hAnsi="宋体" w:eastAsia="宋体" w:cs="宋体"/>
                <w:b/>
                <w:bCs/>
                <w:color w:val="auto"/>
                <w:sz w:val="24"/>
                <w:highlight w:val="none"/>
              </w:rPr>
              <w:t>分</w:t>
            </w:r>
          </w:p>
        </w:tc>
      </w:tr>
      <w:tr w14:paraId="4DDA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4106F525">
            <w:pPr>
              <w:spacing w:line="360" w:lineRule="auto"/>
              <w:jc w:val="center"/>
              <w:rPr>
                <w:rFonts w:hint="eastAsia" w:ascii="宋体" w:hAnsi="宋体" w:eastAsia="宋体" w:cs="宋体"/>
                <w:color w:val="auto"/>
                <w:sz w:val="24"/>
                <w:highlight w:val="none"/>
              </w:rP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623459C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师资配备方案</w:t>
            </w:r>
          </w:p>
        </w:tc>
        <w:tc>
          <w:tcPr>
            <w:tcW w:w="4421" w:type="dxa"/>
            <w:tcBorders>
              <w:top w:val="single" w:color="auto" w:sz="4" w:space="0"/>
              <w:left w:val="single" w:color="auto" w:sz="4" w:space="0"/>
              <w:bottom w:val="single" w:color="auto" w:sz="4" w:space="0"/>
              <w:right w:val="single" w:color="auto" w:sz="4" w:space="0"/>
            </w:tcBorders>
            <w:shd w:val="clear" w:color="auto" w:fill="auto"/>
            <w:vAlign w:val="center"/>
          </w:tcPr>
          <w:p w14:paraId="6A8E91BF">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投标人应按照本项目招标需求的要求提供</w:t>
            </w:r>
            <w:r>
              <w:rPr>
                <w:rFonts w:hint="eastAsia" w:ascii="宋体" w:hAnsi="宋体" w:eastAsia="宋体" w:cs="宋体"/>
                <w:b/>
                <w:bCs/>
                <w:color w:val="auto"/>
                <w:sz w:val="24"/>
                <w:szCs w:val="24"/>
                <w:highlight w:val="none"/>
              </w:rPr>
              <w:t>人员配置方案</w:t>
            </w:r>
            <w:r>
              <w:rPr>
                <w:rFonts w:hint="eastAsia" w:ascii="宋体" w:hAnsi="宋体" w:eastAsia="宋体" w:cs="宋体"/>
                <w:color w:val="auto"/>
                <w:sz w:val="24"/>
                <w:szCs w:val="24"/>
                <w:highlight w:val="none"/>
              </w:rPr>
              <w:t>（原则要求每班配置一名</w:t>
            </w:r>
            <w:r>
              <w:rPr>
                <w:rFonts w:hint="eastAsia" w:ascii="宋体" w:hAnsi="宋体" w:eastAsia="宋体" w:cs="宋体"/>
                <w:color w:val="auto"/>
                <w:sz w:val="24"/>
                <w:szCs w:val="24"/>
                <w:highlight w:val="none"/>
                <w:lang w:val="en-US" w:eastAsia="zh-CN"/>
              </w:rPr>
              <w:t>及以上</w:t>
            </w:r>
            <w:r>
              <w:rPr>
                <w:rFonts w:hint="eastAsia" w:ascii="宋体" w:hAnsi="宋体" w:eastAsia="宋体" w:cs="宋体"/>
                <w:color w:val="auto"/>
                <w:sz w:val="24"/>
                <w:szCs w:val="24"/>
                <w:highlight w:val="none"/>
              </w:rPr>
              <w:t>教师，打分结合教师配置人员的方案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师资水平</w:t>
            </w:r>
            <w:r>
              <w:rPr>
                <w:rFonts w:hint="eastAsia" w:ascii="宋体" w:hAnsi="宋体" w:eastAsia="宋体" w:cs="宋体"/>
                <w:color w:val="auto"/>
                <w:sz w:val="24"/>
                <w:szCs w:val="24"/>
                <w:highlight w:val="none"/>
              </w:rPr>
              <w:t>），包含但不限于对应科目从教老师数量、教师职称及资质、教师从业年限与荣誉、岗位职责、计划带班学生数量，以及对各类人员的培训计划、考核机制、奖罚机制等，由评标委员会进行综合评审：</w:t>
            </w:r>
          </w:p>
          <w:p w14:paraId="20CCA33A">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（1）方案详尽准确，科学合理的，得</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p w14:paraId="4D3FDA16">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（2）方案较详尽准确，较科学合理的，得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＜F≤</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分；</w:t>
            </w:r>
          </w:p>
          <w:p w14:paraId="0A96B5BA">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（3）方案详尽准确性一般，科学合理性一般的，得1≤F≤</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0C88240D">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其他或未提供的不得分。</w:t>
            </w:r>
          </w:p>
          <w:p w14:paraId="7906CBE3">
            <w:pPr>
              <w:spacing w:line="360" w:lineRule="auto"/>
              <w:jc w:val="left"/>
              <w:rPr>
                <w:rFonts w:hint="eastAsia" w:ascii="宋体" w:hAnsi="宋体" w:eastAsia="宋体" w:cs="宋体"/>
                <w:color w:val="auto"/>
                <w:sz w:val="24"/>
                <w:highlight w:val="none"/>
              </w:rPr>
            </w:pPr>
            <w:r>
              <w:rPr>
                <w:rFonts w:hint="eastAsia" w:ascii="宋体" w:hAnsi="宋体" w:eastAsia="宋体" w:cs="宋体"/>
                <w:b/>
                <w:bCs/>
                <w:color w:val="auto"/>
                <w:sz w:val="24"/>
                <w:szCs w:val="24"/>
                <w:highlight w:val="none"/>
              </w:rPr>
              <w:t>注：F为本项得分。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22BA555">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0-</w:t>
            </w:r>
            <w:r>
              <w:rPr>
                <w:rFonts w:hint="eastAsia" w:ascii="宋体" w:hAnsi="宋体" w:eastAsia="宋体" w:cs="宋体"/>
                <w:b/>
                <w:bCs/>
                <w:color w:val="auto"/>
                <w:sz w:val="24"/>
                <w:highlight w:val="none"/>
                <w:lang w:val="en-US" w:eastAsia="zh-CN"/>
              </w:rPr>
              <w:t>20</w:t>
            </w:r>
            <w:r>
              <w:rPr>
                <w:rFonts w:hint="eastAsia" w:ascii="宋体" w:hAnsi="宋体" w:eastAsia="宋体" w:cs="宋体"/>
                <w:b/>
                <w:bCs/>
                <w:color w:val="auto"/>
                <w:sz w:val="24"/>
                <w:highlight w:val="none"/>
              </w:rPr>
              <w:t>分</w:t>
            </w:r>
          </w:p>
        </w:tc>
      </w:tr>
      <w:tr w14:paraId="2754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228C825A">
            <w:pPr>
              <w:spacing w:line="360" w:lineRule="auto"/>
              <w:ind w:firstLine="435" w:firstLineChars="0"/>
              <w:jc w:val="center"/>
              <w:rPr>
                <w:rFonts w:hint="eastAsia" w:ascii="宋体" w:hAnsi="宋体" w:eastAsia="宋体" w:cs="宋体"/>
                <w:b/>
                <w:bCs/>
                <w:color w:val="auto"/>
                <w:sz w:val="24"/>
                <w:highlight w:val="none"/>
              </w:rP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5E80FE90">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安全保障方案</w:t>
            </w:r>
          </w:p>
        </w:tc>
        <w:tc>
          <w:tcPr>
            <w:tcW w:w="4421" w:type="dxa"/>
            <w:tcBorders>
              <w:top w:val="single" w:color="auto" w:sz="4" w:space="0"/>
              <w:left w:val="single" w:color="auto" w:sz="4" w:space="0"/>
              <w:bottom w:val="single" w:color="auto" w:sz="4" w:space="0"/>
              <w:right w:val="single" w:color="auto" w:sz="4" w:space="0"/>
            </w:tcBorders>
            <w:shd w:val="clear" w:color="auto" w:fill="auto"/>
            <w:vAlign w:val="center"/>
          </w:tcPr>
          <w:p w14:paraId="13C647F6">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投标人针对课后服务过程中可能出现的安全问题提供安全保障方案，包含但不限于</w:t>
            </w:r>
            <w:r>
              <w:rPr>
                <w:rFonts w:hint="eastAsia" w:ascii="宋体" w:hAnsi="宋体" w:eastAsia="宋体" w:cs="宋体"/>
                <w:b/>
                <w:bCs w:val="0"/>
                <w:color w:val="auto"/>
                <w:sz w:val="24"/>
                <w:highlight w:val="none"/>
              </w:rPr>
              <w:t>安全制度</w:t>
            </w:r>
            <w:r>
              <w:rPr>
                <w:rFonts w:hint="eastAsia" w:ascii="宋体" w:hAnsi="宋体" w:eastAsia="宋体" w:cs="宋体"/>
                <w:bCs/>
                <w:color w:val="auto"/>
                <w:sz w:val="24"/>
                <w:highlight w:val="none"/>
              </w:rPr>
              <w:t>（消防安全教育及培训制度、学生身体健康保障制度、学生安全疏散设施管理制度、参与承办赛事安全制度、设施设备保障制度等）、突发事件</w:t>
            </w:r>
            <w:r>
              <w:rPr>
                <w:rFonts w:hint="eastAsia" w:ascii="宋体" w:hAnsi="宋体" w:eastAsia="宋体" w:cs="宋体"/>
                <w:b/>
                <w:bCs w:val="0"/>
                <w:color w:val="auto"/>
                <w:sz w:val="24"/>
                <w:highlight w:val="none"/>
              </w:rPr>
              <w:t>应急方案</w:t>
            </w:r>
            <w:r>
              <w:rPr>
                <w:rFonts w:hint="eastAsia" w:ascii="宋体" w:hAnsi="宋体" w:eastAsia="宋体" w:cs="宋体"/>
                <w:bCs/>
                <w:color w:val="auto"/>
                <w:sz w:val="24"/>
                <w:highlight w:val="none"/>
              </w:rPr>
              <w:t>、保障措施、参保方案等，由评标委员会进行综合评审：</w:t>
            </w:r>
          </w:p>
          <w:p w14:paraId="591074A5">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（1）方案贴近实际，内容详细、清晰、完善、合理，可操作性强的，得</w:t>
            </w:r>
            <w:r>
              <w:rPr>
                <w:rFonts w:hint="eastAsia" w:ascii="宋体" w:hAnsi="宋体" w:eastAsia="宋体" w:cs="宋体"/>
                <w:bCs/>
                <w:color w:val="auto"/>
                <w:sz w:val="24"/>
                <w:highlight w:val="none"/>
                <w:lang w:val="en-US" w:eastAsia="zh-CN"/>
              </w:rPr>
              <w:t>14</w:t>
            </w:r>
            <w:r>
              <w:rPr>
                <w:rFonts w:hint="eastAsia" w:ascii="宋体" w:hAnsi="宋体" w:eastAsia="宋体" w:cs="宋体"/>
                <w:bCs/>
                <w:color w:val="auto"/>
                <w:sz w:val="24"/>
                <w:highlight w:val="none"/>
              </w:rPr>
              <w:t>＜F≤</w:t>
            </w:r>
            <w:r>
              <w:rPr>
                <w:rFonts w:hint="eastAsia" w:ascii="宋体" w:hAnsi="宋体" w:eastAsia="宋体" w:cs="宋体"/>
                <w:bCs/>
                <w:color w:val="auto"/>
                <w:sz w:val="24"/>
                <w:highlight w:val="none"/>
                <w:lang w:val="en-US" w:eastAsia="zh-CN"/>
              </w:rPr>
              <w:t>20</w:t>
            </w:r>
            <w:r>
              <w:rPr>
                <w:rFonts w:hint="eastAsia" w:ascii="宋体" w:hAnsi="宋体" w:eastAsia="宋体" w:cs="宋体"/>
                <w:bCs/>
                <w:color w:val="auto"/>
                <w:sz w:val="24"/>
                <w:highlight w:val="none"/>
              </w:rPr>
              <w:t>分；</w:t>
            </w:r>
          </w:p>
          <w:p w14:paraId="6BB47A60">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（2）方案内容基本完整，具有一定可行性的，得</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＜F≤</w:t>
            </w:r>
            <w:r>
              <w:rPr>
                <w:rFonts w:hint="eastAsia" w:ascii="宋体" w:hAnsi="宋体" w:eastAsia="宋体" w:cs="宋体"/>
                <w:bCs/>
                <w:color w:val="auto"/>
                <w:sz w:val="24"/>
                <w:highlight w:val="none"/>
                <w:lang w:val="en-US" w:eastAsia="zh-CN"/>
              </w:rPr>
              <w:t>14</w:t>
            </w:r>
            <w:r>
              <w:rPr>
                <w:rFonts w:hint="eastAsia" w:ascii="宋体" w:hAnsi="宋体" w:eastAsia="宋体" w:cs="宋体"/>
                <w:bCs/>
                <w:color w:val="auto"/>
                <w:sz w:val="24"/>
                <w:highlight w:val="none"/>
              </w:rPr>
              <w:t>分；</w:t>
            </w:r>
          </w:p>
          <w:p w14:paraId="02D97221">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（3）初步满足上述要求的，得1≤F≤</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rPr>
              <w:t>分。</w:t>
            </w:r>
          </w:p>
          <w:p w14:paraId="009F3800">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其他或未提供的不得分。</w:t>
            </w:r>
          </w:p>
          <w:p w14:paraId="37D33B71">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注：F为本项得分。</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3606D7DB">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0-</w:t>
            </w:r>
            <w:r>
              <w:rPr>
                <w:rFonts w:hint="eastAsia" w:ascii="宋体" w:hAnsi="宋体" w:eastAsia="宋体" w:cs="宋体"/>
                <w:b/>
                <w:bCs/>
                <w:color w:val="auto"/>
                <w:sz w:val="24"/>
                <w:highlight w:val="none"/>
                <w:lang w:val="en-US" w:eastAsia="zh-CN"/>
              </w:rPr>
              <w:t>20</w:t>
            </w:r>
            <w:r>
              <w:rPr>
                <w:rFonts w:hint="eastAsia" w:ascii="宋体" w:hAnsi="宋体" w:eastAsia="宋体" w:cs="宋体"/>
                <w:b/>
                <w:bCs/>
                <w:color w:val="auto"/>
                <w:sz w:val="24"/>
                <w:highlight w:val="none"/>
              </w:rPr>
              <w:t>分</w:t>
            </w:r>
          </w:p>
        </w:tc>
      </w:tr>
      <w:tr w14:paraId="6F55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3D2F6D4A">
            <w:pPr>
              <w:spacing w:line="360" w:lineRule="auto"/>
              <w:ind w:firstLine="435" w:firstLineChars="0"/>
              <w:jc w:val="center"/>
              <w:rPr>
                <w:rFonts w:hint="eastAsia" w:ascii="宋体" w:hAnsi="宋体" w:eastAsia="宋体" w:cs="宋体"/>
                <w:b/>
                <w:bCs/>
                <w:color w:val="auto"/>
                <w:sz w:val="24"/>
                <w:highlight w:val="none"/>
              </w:rPr>
            </w:pPr>
          </w:p>
        </w:tc>
        <w:tc>
          <w:tcPr>
            <w:tcW w:w="1714" w:type="dxa"/>
            <w:tcBorders>
              <w:top w:val="single" w:color="auto" w:sz="4" w:space="0"/>
              <w:left w:val="single" w:color="auto" w:sz="4" w:space="0"/>
              <w:bottom w:val="single" w:color="auto" w:sz="4" w:space="0"/>
              <w:right w:val="single" w:color="auto" w:sz="4" w:space="0"/>
            </w:tcBorders>
            <w:shd w:val="clear" w:color="auto" w:fill="auto"/>
            <w:vAlign w:val="center"/>
          </w:tcPr>
          <w:p w14:paraId="0ED31A9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p>
          <w:p w14:paraId="5EB7EFD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服务经验</w:t>
            </w:r>
          </w:p>
        </w:tc>
        <w:tc>
          <w:tcPr>
            <w:tcW w:w="4421" w:type="dxa"/>
            <w:tcBorders>
              <w:top w:val="single" w:color="auto" w:sz="4" w:space="0"/>
              <w:left w:val="single" w:color="auto" w:sz="4" w:space="0"/>
              <w:bottom w:val="single" w:color="auto" w:sz="4" w:space="0"/>
              <w:right w:val="single" w:color="auto" w:sz="4" w:space="0"/>
            </w:tcBorders>
            <w:shd w:val="clear" w:color="auto" w:fill="auto"/>
            <w:vAlign w:val="center"/>
          </w:tcPr>
          <w:p w14:paraId="00FCDCA3">
            <w:pPr>
              <w:spacing w:line="400" w:lineRule="atLeast"/>
              <w:ind w:right="-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自2019年1月1日以来（以合同签订时间为准），投标人或投标人分公司或投标人全资子公司或投标人控股子公司（持股比例高于50%）</w:t>
            </w:r>
            <w:r>
              <w:rPr>
                <w:rFonts w:hint="eastAsia" w:ascii="宋体" w:hAnsi="宋体" w:eastAsia="宋体" w:cs="宋体"/>
                <w:color w:val="auto"/>
                <w:sz w:val="24"/>
                <w:szCs w:val="24"/>
                <w:highlight w:val="none"/>
                <w:lang w:val="en-US" w:eastAsia="zh-CN"/>
              </w:rPr>
              <w:t>每具有一个</w:t>
            </w:r>
            <w:r>
              <w:rPr>
                <w:rFonts w:hint="eastAsia" w:ascii="宋体" w:hAnsi="宋体" w:eastAsia="宋体" w:cs="宋体"/>
                <w:b/>
                <w:bCs/>
                <w:color w:val="auto"/>
                <w:sz w:val="24"/>
                <w:szCs w:val="24"/>
                <w:highlight w:val="none"/>
              </w:rPr>
              <w:t>中小学</w:t>
            </w:r>
            <w:r>
              <w:rPr>
                <w:rFonts w:hint="eastAsia" w:ascii="宋体" w:hAnsi="宋体" w:eastAsia="宋体" w:cs="宋体"/>
                <w:b/>
                <w:bCs/>
                <w:color w:val="auto"/>
                <w:sz w:val="24"/>
                <w:szCs w:val="24"/>
                <w:highlight w:val="none"/>
                <w:lang w:val="en-US" w:eastAsia="zh-CN"/>
              </w:rPr>
              <w:t>课后服务合同或</w:t>
            </w:r>
            <w:r>
              <w:rPr>
                <w:rFonts w:hint="eastAsia" w:ascii="宋体" w:hAnsi="宋体" w:eastAsia="宋体" w:cs="宋体"/>
                <w:b/>
                <w:bCs/>
                <w:color w:val="auto"/>
                <w:sz w:val="24"/>
                <w:szCs w:val="24"/>
                <w:highlight w:val="none"/>
              </w:rPr>
              <w:t>中小学</w:t>
            </w:r>
            <w:r>
              <w:rPr>
                <w:rFonts w:hint="eastAsia" w:ascii="宋体" w:hAnsi="宋体" w:eastAsia="宋体" w:cs="宋体"/>
                <w:b/>
                <w:bCs/>
                <w:color w:val="auto"/>
                <w:sz w:val="24"/>
                <w:szCs w:val="24"/>
                <w:highlight w:val="none"/>
                <w:lang w:val="en-US" w:eastAsia="zh-CN"/>
              </w:rPr>
              <w:t>课后</w:t>
            </w:r>
            <w:r>
              <w:rPr>
                <w:rFonts w:hint="eastAsia" w:ascii="宋体" w:hAnsi="宋体" w:eastAsia="宋体" w:cs="宋体"/>
                <w:b/>
                <w:bCs/>
                <w:color w:val="auto"/>
                <w:sz w:val="24"/>
                <w:szCs w:val="24"/>
                <w:highlight w:val="none"/>
              </w:rPr>
              <w:t>赛事活动</w:t>
            </w:r>
            <w:r>
              <w:rPr>
                <w:rFonts w:hint="eastAsia" w:ascii="宋体" w:hAnsi="宋体" w:eastAsia="宋体" w:cs="宋体"/>
                <w:b/>
                <w:bCs/>
                <w:color w:val="auto"/>
                <w:sz w:val="24"/>
                <w:szCs w:val="24"/>
                <w:highlight w:val="none"/>
                <w:lang w:val="en-US" w:eastAsia="zh-CN"/>
              </w:rPr>
              <w:t>服务合同</w:t>
            </w:r>
            <w:r>
              <w:rPr>
                <w:rFonts w:hint="eastAsia" w:ascii="宋体" w:hAnsi="宋体" w:eastAsia="宋体" w:cs="宋体"/>
                <w:color w:val="auto"/>
                <w:sz w:val="24"/>
                <w:szCs w:val="24"/>
                <w:highlight w:val="none"/>
                <w:lang w:val="en-US" w:eastAsia="zh-CN"/>
              </w:rPr>
              <w:t>的，每提供1个，得5分。</w:t>
            </w:r>
          </w:p>
          <w:p w14:paraId="57A766D4">
            <w:pPr>
              <w:spacing w:line="400" w:lineRule="atLeast"/>
              <w:ind w:right="-1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p>
          <w:p w14:paraId="59A71267">
            <w:pPr>
              <w:spacing w:line="400" w:lineRule="atLeast"/>
              <w:ind w:right="-1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（1）本项满分</w:t>
            </w: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p>
          <w:p w14:paraId="502DC47F">
            <w:pPr>
              <w:spacing w:line="400" w:lineRule="atLeast"/>
              <w:ind w:right="-11"/>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投标文件中须提供中小学课后服务或</w:t>
            </w:r>
            <w:r>
              <w:rPr>
                <w:rFonts w:hint="eastAsia" w:ascii="宋体" w:hAnsi="宋体" w:eastAsia="宋体" w:cs="宋体"/>
                <w:b/>
                <w:bCs/>
                <w:color w:val="auto"/>
                <w:sz w:val="24"/>
                <w:szCs w:val="24"/>
                <w:highlight w:val="none"/>
              </w:rPr>
              <w:t>中小学</w:t>
            </w:r>
            <w:r>
              <w:rPr>
                <w:rFonts w:hint="eastAsia" w:ascii="宋体" w:hAnsi="宋体" w:eastAsia="宋体" w:cs="宋体"/>
                <w:b/>
                <w:bCs/>
                <w:color w:val="auto"/>
                <w:sz w:val="24"/>
                <w:szCs w:val="24"/>
                <w:highlight w:val="none"/>
                <w:lang w:val="en-US" w:eastAsia="zh-CN"/>
              </w:rPr>
              <w:t>课后</w:t>
            </w:r>
            <w:r>
              <w:rPr>
                <w:rFonts w:hint="eastAsia" w:ascii="宋体" w:hAnsi="宋体" w:eastAsia="宋体" w:cs="宋体"/>
                <w:b/>
                <w:bCs/>
                <w:color w:val="auto"/>
                <w:sz w:val="24"/>
                <w:szCs w:val="24"/>
                <w:highlight w:val="none"/>
              </w:rPr>
              <w:t>赛事活动</w:t>
            </w:r>
            <w:r>
              <w:rPr>
                <w:rFonts w:hint="eastAsia" w:ascii="宋体" w:hAnsi="宋体" w:eastAsia="宋体" w:cs="宋体"/>
                <w:b/>
                <w:bCs/>
                <w:color w:val="auto"/>
                <w:sz w:val="24"/>
                <w:szCs w:val="24"/>
                <w:highlight w:val="none"/>
                <w:lang w:val="en-US" w:eastAsia="zh-CN"/>
              </w:rPr>
              <w:t>服务合同复印件并加盖公章，如无法反映服务内容或合同签订时间等重要信息的，须提供合同甲方的证明文件原件</w:t>
            </w:r>
            <w:r>
              <w:rPr>
                <w:rFonts w:hint="eastAsia" w:ascii="宋体" w:hAnsi="宋体" w:eastAsia="宋体" w:cs="宋体"/>
                <w:b/>
                <w:bCs/>
                <w:color w:val="auto"/>
                <w:sz w:val="24"/>
                <w:szCs w:val="24"/>
                <w:highlight w:val="none"/>
              </w:rPr>
              <w:t>。</w:t>
            </w:r>
          </w:p>
          <w:p w14:paraId="68F95216">
            <w:pPr>
              <w:spacing w:line="400" w:lineRule="atLeast"/>
              <w:ind w:right="-11" w:right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若提供的业绩为投标人分公司业绩，投标文件还须提供分公司营业执照扫描件；若为投标人全资子公司或投标人控股子公司（持股比例高于50%）业绩的，还须提供投标人持有该公司股权的证明文件（国家企业信用信息公示系统网站截图（www.gsxt.gov.cn）或行政主管部门出具的证明材料）。</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1CB876C7">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0-10</w:t>
            </w:r>
            <w:r>
              <w:rPr>
                <w:rFonts w:hint="eastAsia" w:ascii="宋体" w:hAnsi="宋体" w:eastAsia="宋体" w:cs="宋体"/>
                <w:b/>
                <w:bCs/>
                <w:color w:val="auto"/>
                <w:sz w:val="24"/>
                <w:highlight w:val="none"/>
              </w:rPr>
              <w:t>分</w:t>
            </w:r>
          </w:p>
        </w:tc>
      </w:tr>
      <w:tr w14:paraId="1CC2B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tcBorders>
              <w:left w:val="single" w:color="auto" w:sz="4" w:space="0"/>
              <w:right w:val="single" w:color="auto" w:sz="4" w:space="0"/>
            </w:tcBorders>
            <w:vAlign w:val="center"/>
          </w:tcPr>
          <w:p w14:paraId="1A8AAA2C">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价格分</w:t>
            </w:r>
          </w:p>
          <w:p w14:paraId="4DD1F9C2">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30</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分）</w:t>
            </w:r>
          </w:p>
        </w:tc>
        <w:tc>
          <w:tcPr>
            <w:tcW w:w="7127" w:type="dxa"/>
            <w:gridSpan w:val="3"/>
            <w:tcBorders>
              <w:top w:val="single" w:color="auto" w:sz="4" w:space="0"/>
              <w:left w:val="single" w:color="auto" w:sz="4" w:space="0"/>
              <w:bottom w:val="single" w:color="auto" w:sz="4" w:space="0"/>
              <w:right w:val="single" w:color="auto" w:sz="4" w:space="0"/>
            </w:tcBorders>
            <w:vAlign w:val="center"/>
          </w:tcPr>
          <w:p w14:paraId="027D50E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价格分统一采用低价优先法（投标人分成比例报价越低，</w:t>
            </w:r>
            <w:r>
              <w:rPr>
                <w:rFonts w:hint="eastAsia" w:ascii="宋体" w:hAnsi="宋体" w:eastAsia="宋体" w:cs="宋体"/>
                <w:color w:val="auto"/>
                <w:sz w:val="24"/>
                <w:highlight w:val="none"/>
                <w:lang w:val="en-US" w:eastAsia="zh-CN"/>
              </w:rPr>
              <w:t>价格</w:t>
            </w:r>
            <w:r>
              <w:rPr>
                <w:rFonts w:hint="eastAsia" w:ascii="宋体" w:hAnsi="宋体" w:eastAsia="宋体" w:cs="宋体"/>
                <w:color w:val="auto"/>
                <w:sz w:val="24"/>
                <w:highlight w:val="none"/>
              </w:rPr>
              <w:t>分越高），按照营业额收入分成比例报价，即满足磋商文件要求且投标人分成比例最低的最后报价为评标基准价，其价格分为满分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分。其他投标人的价格分统一按照下列公式计算(计算结果保留两位小数)：</w:t>
            </w:r>
          </w:p>
          <w:p w14:paraId="0358F331">
            <w:pPr>
              <w:spacing w:line="360" w:lineRule="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报价得分＝（评标基准价/报价）×100%×</w:t>
            </w:r>
            <w:r>
              <w:rPr>
                <w:rFonts w:hint="eastAsia" w:ascii="宋体" w:hAnsi="宋体" w:eastAsia="宋体" w:cs="宋体"/>
                <w:color w:val="auto"/>
                <w:sz w:val="24"/>
                <w:highlight w:val="none"/>
                <w:lang w:val="en-US" w:eastAsia="zh-CN"/>
              </w:rPr>
              <w:t>30</w:t>
            </w:r>
          </w:p>
        </w:tc>
      </w:tr>
    </w:tbl>
    <w:p w14:paraId="3D80698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2.2.3分值汇总</w:t>
      </w:r>
    </w:p>
    <w:p w14:paraId="2D371BF7">
      <w:p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磋商小组各成员应当独立对每个有效响应的文件进行评价、打分，然后汇总每个投标人每项评分因素的得分（四舍五入保留至小数点后两位数），再取各位评委评分之平均值，四舍五入保留至小数点后两位数，得到该投标人的技术资信分。</w:t>
      </w:r>
    </w:p>
    <w:p w14:paraId="7DBEDAF3">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（2）将每个投标人的技术资信分加上根据上述标准计算出的价格分，即为该投标人的综合总得分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综合总得分最高的，作为第一中标候选人，综合总得分相同的，按价格分高的作为中标候选人,如价格分仍相同的，由磋商小组成员采用投票方式决定中标候选人。</w:t>
      </w:r>
    </w:p>
    <w:p w14:paraId="6CEA8F01">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7D7D15D1">
      <w:pPr>
        <w:spacing w:line="360" w:lineRule="auto"/>
        <w:jc w:val="center"/>
        <w:outlineLvl w:val="1"/>
        <w:rPr>
          <w:rFonts w:hint="eastAsia" w:ascii="宋体" w:hAnsi="宋体" w:eastAsia="宋体" w:cs="宋体"/>
          <w:b/>
          <w:color w:val="auto"/>
          <w:sz w:val="28"/>
          <w:highlight w:val="none"/>
        </w:rPr>
      </w:pPr>
      <w:bookmarkStart w:id="19" w:name="_Toc47026336"/>
      <w:r>
        <w:rPr>
          <w:rFonts w:hint="eastAsia" w:ascii="宋体" w:hAnsi="宋体" w:eastAsia="宋体" w:cs="宋体"/>
          <w:b/>
          <w:color w:val="auto"/>
          <w:sz w:val="28"/>
          <w:highlight w:val="none"/>
        </w:rPr>
        <w:t>第五章  合同模板</w:t>
      </w:r>
      <w:bookmarkEnd w:id="19"/>
    </w:p>
    <w:p w14:paraId="42BAE7E4">
      <w:pPr>
        <w:spacing w:line="480" w:lineRule="auto"/>
        <w:jc w:val="center"/>
        <w:rPr>
          <w:rFonts w:hint="eastAsia" w:ascii="宋体" w:hAnsi="宋体" w:eastAsia="宋体" w:cs="宋体"/>
          <w:b/>
          <w:color w:val="auto"/>
          <w:sz w:val="24"/>
          <w:highlight w:val="none"/>
        </w:rPr>
      </w:pPr>
    </w:p>
    <w:p w14:paraId="175EDE23">
      <w:pPr>
        <w:spacing w:line="480" w:lineRule="auto"/>
        <w:jc w:val="center"/>
        <w:rPr>
          <w:rFonts w:hint="eastAsia" w:ascii="宋体" w:hAnsi="宋体" w:eastAsia="宋体" w:cs="宋体"/>
          <w:b/>
          <w:color w:val="auto"/>
          <w:sz w:val="24"/>
          <w:highlight w:val="none"/>
        </w:rPr>
      </w:pPr>
    </w:p>
    <w:p w14:paraId="2D7CA30F">
      <w:pPr>
        <w:spacing w:line="480" w:lineRule="auto"/>
        <w:jc w:val="center"/>
        <w:rPr>
          <w:rFonts w:hint="eastAsia" w:ascii="宋体" w:hAnsi="宋体" w:eastAsia="宋体" w:cs="宋体"/>
          <w:b/>
          <w:color w:val="auto"/>
          <w:sz w:val="24"/>
          <w:highlight w:val="none"/>
        </w:rPr>
      </w:pPr>
    </w:p>
    <w:p w14:paraId="21882EB9">
      <w:pPr>
        <w:spacing w:line="48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合同参考范本</w:t>
      </w:r>
    </w:p>
    <w:p w14:paraId="0075327F">
      <w:pPr>
        <w:spacing w:line="48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（服务类）</w:t>
      </w:r>
    </w:p>
    <w:p w14:paraId="2B1EE9F6">
      <w:pPr>
        <w:spacing w:line="480" w:lineRule="auto"/>
        <w:jc w:val="center"/>
        <w:rPr>
          <w:rFonts w:hint="eastAsia" w:ascii="宋体" w:hAnsi="宋体" w:eastAsia="宋体" w:cs="宋体"/>
          <w:b/>
          <w:color w:val="auto"/>
          <w:sz w:val="24"/>
          <w:highlight w:val="none"/>
        </w:rPr>
      </w:pPr>
    </w:p>
    <w:p w14:paraId="5C024235">
      <w:pPr>
        <w:spacing w:line="480" w:lineRule="auto"/>
        <w:jc w:val="center"/>
        <w:rPr>
          <w:rFonts w:hint="eastAsia" w:ascii="宋体" w:hAnsi="宋体" w:eastAsia="宋体" w:cs="宋体"/>
          <w:b/>
          <w:color w:val="auto"/>
          <w:sz w:val="24"/>
          <w:highlight w:val="none"/>
        </w:rPr>
      </w:pPr>
    </w:p>
    <w:p w14:paraId="5DB2C74D">
      <w:pPr>
        <w:spacing w:line="480" w:lineRule="auto"/>
        <w:jc w:val="center"/>
        <w:rPr>
          <w:rFonts w:hint="eastAsia" w:ascii="宋体" w:hAnsi="宋体" w:eastAsia="宋体" w:cs="宋体"/>
          <w:b/>
          <w:color w:val="auto"/>
          <w:sz w:val="24"/>
          <w:highlight w:val="none"/>
        </w:rPr>
      </w:pPr>
    </w:p>
    <w:p w14:paraId="2E94C79D">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第一部分 合同书</w:t>
      </w:r>
    </w:p>
    <w:p w14:paraId="1CBAA86E">
      <w:pPr>
        <w:spacing w:line="480" w:lineRule="auto"/>
        <w:jc w:val="center"/>
        <w:rPr>
          <w:rFonts w:hint="eastAsia" w:ascii="宋体" w:hAnsi="宋体" w:eastAsia="宋体" w:cs="宋体"/>
          <w:b/>
          <w:color w:val="auto"/>
          <w:sz w:val="24"/>
          <w:highlight w:val="none"/>
        </w:rPr>
      </w:pPr>
    </w:p>
    <w:p w14:paraId="3FDC47FF">
      <w:pPr>
        <w:spacing w:line="480" w:lineRule="auto"/>
        <w:jc w:val="center"/>
        <w:rPr>
          <w:rFonts w:hint="eastAsia" w:ascii="宋体" w:hAnsi="宋体" w:eastAsia="宋体" w:cs="宋体"/>
          <w:b/>
          <w:color w:val="auto"/>
          <w:sz w:val="24"/>
          <w:highlight w:val="none"/>
        </w:rPr>
      </w:pPr>
    </w:p>
    <w:p w14:paraId="00C2D8C8">
      <w:pPr>
        <w:spacing w:line="480" w:lineRule="auto"/>
        <w:jc w:val="center"/>
        <w:rPr>
          <w:rFonts w:hint="eastAsia" w:ascii="宋体" w:hAnsi="宋体" w:eastAsia="宋体" w:cs="宋体"/>
          <w:b/>
          <w:color w:val="auto"/>
          <w:sz w:val="24"/>
          <w:highlight w:val="none"/>
        </w:rPr>
      </w:pPr>
    </w:p>
    <w:p w14:paraId="4E032DA6">
      <w:pPr>
        <w:spacing w:before="120" w:line="480" w:lineRule="auto"/>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lang w:eastAsia="zh-CN"/>
        </w:rPr>
        <w:t>包河区体艺中心合肥市师范附属小学课程服务单位（第二部分）招标（二次）</w:t>
      </w:r>
      <w:r>
        <w:rPr>
          <w:rFonts w:hint="eastAsia" w:ascii="宋体" w:hAnsi="宋体" w:eastAsia="宋体" w:cs="宋体"/>
          <w:i/>
          <w:iCs/>
          <w:color w:val="auto"/>
          <w:sz w:val="24"/>
          <w:highlight w:val="none"/>
        </w:rPr>
        <w:t>（分标段项目须填写完整的标段号及标段名称）</w:t>
      </w:r>
    </w:p>
    <w:p w14:paraId="6AFB0D99">
      <w:pPr>
        <w:spacing w:before="120" w:line="480" w:lineRule="auto"/>
        <w:ind w:left="960"/>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项目编号：</w:t>
      </w:r>
      <w:r>
        <w:rPr>
          <w:rFonts w:hint="eastAsia" w:ascii="宋体" w:hAnsi="宋体" w:eastAsia="宋体" w:cs="宋体"/>
          <w:b/>
          <w:bCs/>
          <w:color w:val="auto"/>
          <w:sz w:val="24"/>
          <w:szCs w:val="18"/>
          <w:highlight w:val="none"/>
          <w:u w:val="single"/>
        </w:rPr>
        <w:t>BHSG</w:t>
      </w:r>
      <w:r>
        <w:rPr>
          <w:rFonts w:hint="eastAsia" w:ascii="宋体" w:hAnsi="宋体" w:eastAsia="宋体" w:cs="宋体"/>
          <w:b/>
          <w:bCs/>
          <w:color w:val="auto"/>
          <w:sz w:val="24"/>
          <w:szCs w:val="18"/>
          <w:highlight w:val="none"/>
          <w:u w:val="single"/>
          <w:lang w:val="en-US" w:eastAsia="zh-CN"/>
        </w:rPr>
        <w:t>-ZTB-2025-04</w:t>
      </w:r>
    </w:p>
    <w:p w14:paraId="3C459926">
      <w:pPr>
        <w:spacing w:before="120" w:line="480" w:lineRule="auto"/>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甲方（招标人）：</w:t>
      </w:r>
      <w:r>
        <w:rPr>
          <w:rFonts w:hint="eastAsia" w:ascii="宋体" w:hAnsi="宋体" w:eastAsia="宋体" w:cs="宋体"/>
          <w:color w:val="auto"/>
          <w:sz w:val="24"/>
          <w:highlight w:val="none"/>
          <w:u w:val="single"/>
        </w:rPr>
        <w:t xml:space="preserve">                              </w:t>
      </w:r>
    </w:p>
    <w:p w14:paraId="5511164D">
      <w:pPr>
        <w:spacing w:before="120" w:line="480" w:lineRule="auto"/>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乙方（中标人）：</w:t>
      </w:r>
      <w:r>
        <w:rPr>
          <w:rFonts w:hint="eastAsia" w:ascii="宋体" w:hAnsi="宋体" w:eastAsia="宋体" w:cs="宋体"/>
          <w:color w:val="auto"/>
          <w:sz w:val="24"/>
          <w:highlight w:val="none"/>
          <w:u w:val="single"/>
        </w:rPr>
        <w:t xml:space="preserve">                              </w:t>
      </w:r>
    </w:p>
    <w:p w14:paraId="0B917D77">
      <w:pPr>
        <w:spacing w:before="120" w:line="480" w:lineRule="auto"/>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签订地：</w:t>
      </w:r>
      <w:r>
        <w:rPr>
          <w:rFonts w:hint="eastAsia" w:ascii="宋体" w:hAnsi="宋体" w:eastAsia="宋体" w:cs="宋体"/>
          <w:color w:val="auto"/>
          <w:sz w:val="24"/>
          <w:highlight w:val="none"/>
          <w:u w:val="single"/>
        </w:rPr>
        <w:t xml:space="preserve">                                     </w:t>
      </w:r>
    </w:p>
    <w:p w14:paraId="6786EA83">
      <w:pPr>
        <w:spacing w:before="120" w:line="480" w:lineRule="auto"/>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269516DF">
      <w:pPr>
        <w:autoSpaceDE w:val="0"/>
        <w:autoSpaceDN w:val="0"/>
        <w:adjustRightInd w:val="0"/>
        <w:spacing w:line="600" w:lineRule="exact"/>
        <w:ind w:firstLine="640"/>
        <w:jc w:val="center"/>
        <w:rPr>
          <w:rFonts w:hint="eastAsia" w:ascii="宋体" w:hAnsi="宋体" w:eastAsia="宋体" w:cs="宋体"/>
          <w:color w:val="auto"/>
          <w:sz w:val="24"/>
          <w:highlight w:val="none"/>
        </w:rPr>
        <w:sectPr>
          <w:footerReference r:id="rId5" w:type="default"/>
          <w:pgSz w:w="11907" w:h="16840"/>
          <w:pgMar w:top="1474" w:right="1814" w:bottom="1474" w:left="1814" w:header="851" w:footer="992" w:gutter="0"/>
          <w:cols w:space="720" w:num="1"/>
          <w:docGrid w:linePitch="462" w:charSpace="0"/>
        </w:sectPr>
      </w:pPr>
    </w:p>
    <w:p w14:paraId="3B62571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合肥滨湖时光体育发展有限公司</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以下简称：甲方</w:t>
      </w:r>
      <w:r>
        <w:rPr>
          <w:rFonts w:hint="eastAsia" w:ascii="宋体" w:hAnsi="宋体" w:eastAsia="宋体" w:cs="宋体"/>
          <w:color w:val="auto"/>
          <w:sz w:val="24"/>
          <w:highlight w:val="none"/>
        </w:rPr>
        <w:t>）组织的</w:t>
      </w:r>
      <w:r>
        <w:rPr>
          <w:rFonts w:hint="eastAsia" w:ascii="宋体" w:hAnsi="宋体" w:eastAsia="宋体" w:cs="宋体"/>
          <w:color w:val="auto"/>
          <w:sz w:val="24"/>
          <w:highlight w:val="none"/>
          <w:u w:val="single"/>
        </w:rPr>
        <w:t>竞争性磋商</w:t>
      </w:r>
      <w:r>
        <w:rPr>
          <w:rFonts w:hint="eastAsia" w:ascii="宋体" w:hAnsi="宋体" w:eastAsia="宋体" w:cs="宋体"/>
          <w:color w:val="auto"/>
          <w:sz w:val="24"/>
          <w:highlight w:val="none"/>
        </w:rPr>
        <w:t>方式招标活动，经</w:t>
      </w:r>
      <w:r>
        <w:rPr>
          <w:rFonts w:hint="eastAsia" w:ascii="宋体" w:hAnsi="宋体" w:eastAsia="宋体" w:cs="宋体"/>
          <w:color w:val="auto"/>
          <w:sz w:val="24"/>
          <w:highlight w:val="none"/>
          <w:u w:val="single"/>
        </w:rPr>
        <w:t>磋商小组</w:t>
      </w:r>
      <w:r>
        <w:rPr>
          <w:rFonts w:hint="eastAsia" w:ascii="宋体" w:hAnsi="宋体" w:eastAsia="宋体" w:cs="宋体"/>
          <w:color w:val="auto"/>
          <w:sz w:val="24"/>
          <w:highlight w:val="none"/>
        </w:rPr>
        <w:t>评定，</w:t>
      </w:r>
      <w:r>
        <w:rPr>
          <w:rFonts w:hint="eastAsia" w:ascii="宋体" w:hAnsi="宋体" w:eastAsia="宋体" w:cs="宋体"/>
          <w:i/>
          <w:iCs/>
          <w:color w:val="auto"/>
          <w:sz w:val="24"/>
          <w:highlight w:val="none"/>
          <w:u w:val="single"/>
        </w:rPr>
        <w:t>（中标人名称）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以下简称：乙方</w:t>
      </w:r>
      <w:r>
        <w:rPr>
          <w:rFonts w:hint="eastAsia" w:ascii="宋体" w:hAnsi="宋体" w:eastAsia="宋体" w:cs="宋体"/>
          <w:color w:val="auto"/>
          <w:sz w:val="24"/>
          <w:highlight w:val="none"/>
        </w:rPr>
        <w:t>）为本项目中标人，现按照磋商文件确定的事项签订本合同。</w:t>
      </w:r>
    </w:p>
    <w:p w14:paraId="4477387D">
      <w:pPr>
        <w:spacing w:line="360" w:lineRule="auto"/>
        <w:ind w:firstLine="435"/>
        <w:rPr>
          <w:rFonts w:hint="eastAsia" w:ascii="宋体" w:hAnsi="宋体" w:eastAsia="宋体" w:cs="宋体"/>
          <w:color w:val="auto"/>
          <w:sz w:val="24"/>
          <w:highlight w:val="none"/>
          <w:lang w:val="zh-CN"/>
        </w:rPr>
      </w:pPr>
      <w:bookmarkStart w:id="20" w:name="_Toc2232"/>
      <w:bookmarkStart w:id="21" w:name="_Toc24059"/>
      <w:bookmarkStart w:id="22" w:name="_Toc3029"/>
      <w:r>
        <w:rPr>
          <w:rFonts w:hint="eastAsia" w:ascii="宋体" w:hAnsi="宋体" w:eastAsia="宋体" w:cs="宋体"/>
          <w:color w:val="auto"/>
          <w:sz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24B170FF">
      <w:pPr>
        <w:spacing w:line="360" w:lineRule="auto"/>
        <w:ind w:firstLine="437"/>
        <w:outlineLvl w:val="3"/>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1.1 合同组成部分</w:t>
      </w:r>
      <w:bookmarkEnd w:id="20"/>
      <w:bookmarkEnd w:id="21"/>
      <w:bookmarkEnd w:id="22"/>
    </w:p>
    <w:p w14:paraId="6C14A0A0">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71ED37FA">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1.1.1本合同及其补充合同、变更协议；</w:t>
      </w:r>
    </w:p>
    <w:p w14:paraId="6A709898">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1.1.2中标通知书；</w:t>
      </w:r>
    </w:p>
    <w:p w14:paraId="235EFEE2">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1.1.3响应文件（含澄清或者说明文件）；</w:t>
      </w:r>
    </w:p>
    <w:p w14:paraId="5287608F">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1.1.4磋商文件（含澄清或者修改文件）；</w:t>
      </w:r>
    </w:p>
    <w:p w14:paraId="73330692">
      <w:pPr>
        <w:spacing w:line="360" w:lineRule="auto"/>
        <w:ind w:firstLine="435"/>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1.1.5其他相关采购文件。</w:t>
      </w:r>
    </w:p>
    <w:p w14:paraId="36C47500">
      <w:pPr>
        <w:spacing w:line="360" w:lineRule="auto"/>
        <w:ind w:firstLine="437"/>
        <w:outlineLvl w:val="3"/>
        <w:rPr>
          <w:rFonts w:hint="eastAsia" w:ascii="宋体" w:hAnsi="宋体" w:eastAsia="宋体" w:cs="宋体"/>
          <w:b/>
          <w:bCs/>
          <w:color w:val="auto"/>
          <w:sz w:val="24"/>
          <w:highlight w:val="none"/>
          <w:lang w:val="zh-CN"/>
        </w:rPr>
      </w:pPr>
      <w:bookmarkStart w:id="23" w:name="_Toc6311"/>
      <w:bookmarkStart w:id="24" w:name="_Toc18585"/>
      <w:bookmarkStart w:id="25" w:name="_Toc2918"/>
      <w:bookmarkStart w:id="26" w:name="_Toc6773"/>
      <w:bookmarkStart w:id="27" w:name="_Toc22185"/>
      <w:r>
        <w:rPr>
          <w:rFonts w:hint="eastAsia" w:ascii="宋体" w:hAnsi="宋体" w:eastAsia="宋体" w:cs="宋体"/>
          <w:b/>
          <w:bCs/>
          <w:color w:val="auto"/>
          <w:sz w:val="24"/>
          <w:highlight w:val="none"/>
          <w:lang w:val="zh-CN"/>
        </w:rPr>
        <w:t xml:space="preserve">1.2 </w:t>
      </w:r>
      <w:bookmarkEnd w:id="23"/>
      <w:bookmarkEnd w:id="24"/>
      <w:bookmarkEnd w:id="25"/>
      <w:bookmarkEnd w:id="26"/>
      <w:bookmarkEnd w:id="27"/>
      <w:r>
        <w:rPr>
          <w:rFonts w:hint="eastAsia" w:ascii="宋体" w:hAnsi="宋体" w:eastAsia="宋体" w:cs="宋体"/>
          <w:b/>
          <w:bCs/>
          <w:color w:val="auto"/>
          <w:sz w:val="24"/>
          <w:highlight w:val="none"/>
          <w:lang w:val="zh-CN"/>
        </w:rPr>
        <w:t>服务</w:t>
      </w:r>
    </w:p>
    <w:p w14:paraId="1674888D">
      <w:pPr>
        <w:spacing w:line="360" w:lineRule="auto"/>
        <w:ind w:firstLine="4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1.2.1服务名称：</w:t>
      </w:r>
      <w:r>
        <w:rPr>
          <w:rFonts w:hint="eastAsia" w:ascii="宋体" w:hAnsi="宋体" w:eastAsia="宋体" w:cs="宋体"/>
          <w:color w:val="auto"/>
          <w:sz w:val="24"/>
          <w:highlight w:val="none"/>
          <w:u w:val="single"/>
        </w:rPr>
        <w:t>包河区体艺中心合肥市师范附属小学课程服务单位（第二部分）招标（二次）</w:t>
      </w:r>
      <w:r>
        <w:rPr>
          <w:rFonts w:hint="eastAsia" w:ascii="宋体" w:hAnsi="宋体" w:eastAsia="宋体" w:cs="宋体"/>
          <w:color w:val="auto"/>
          <w:sz w:val="24"/>
          <w:highlight w:val="none"/>
        </w:rPr>
        <w:t>；</w:t>
      </w:r>
    </w:p>
    <w:p w14:paraId="2D9D475D">
      <w:pPr>
        <w:spacing w:line="360" w:lineRule="auto"/>
        <w:ind w:firstLine="4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1.2.2服务内容：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2F0B26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1.2.3服务质量：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63B5928">
      <w:pPr>
        <w:spacing w:line="360" w:lineRule="auto"/>
        <w:ind w:firstLine="437"/>
        <w:outlineLvl w:val="3"/>
        <w:rPr>
          <w:rFonts w:hint="eastAsia" w:ascii="宋体" w:hAnsi="宋体" w:eastAsia="宋体" w:cs="宋体"/>
          <w:b/>
          <w:bCs/>
          <w:color w:val="auto"/>
          <w:sz w:val="24"/>
          <w:highlight w:val="none"/>
          <w:lang w:val="zh-CN"/>
        </w:rPr>
      </w:pPr>
      <w:bookmarkStart w:id="28" w:name="_Toc21631"/>
      <w:bookmarkStart w:id="29" w:name="_Toc23292"/>
      <w:bookmarkStart w:id="30" w:name="_Toc21551"/>
      <w:r>
        <w:rPr>
          <w:rFonts w:hint="eastAsia" w:ascii="宋体" w:hAnsi="宋体" w:eastAsia="宋体" w:cs="宋体"/>
          <w:b/>
          <w:bCs/>
          <w:color w:val="auto"/>
          <w:sz w:val="24"/>
          <w:highlight w:val="none"/>
          <w:lang w:val="zh-CN"/>
        </w:rPr>
        <w:t>1.3 价款</w:t>
      </w:r>
      <w:bookmarkEnd w:id="28"/>
      <w:bookmarkEnd w:id="29"/>
      <w:bookmarkEnd w:id="30"/>
    </w:p>
    <w:p w14:paraId="3C16F14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p>
    <w:p w14:paraId="78F7A541">
      <w:pPr>
        <w:spacing w:line="360" w:lineRule="auto"/>
        <w:ind w:firstLine="4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58542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5BFC5E30">
            <w:pPr>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序号</w:t>
            </w:r>
          </w:p>
        </w:tc>
        <w:tc>
          <w:tcPr>
            <w:tcW w:w="4316" w:type="dxa"/>
            <w:vAlign w:val="center"/>
          </w:tcPr>
          <w:p w14:paraId="7B221270">
            <w:pPr>
              <w:pStyle w:val="33"/>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3237" w:type="dxa"/>
            <w:gridSpan w:val="2"/>
            <w:vAlign w:val="center"/>
          </w:tcPr>
          <w:p w14:paraId="5E1638D9">
            <w:pPr>
              <w:pStyle w:val="33"/>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14:paraId="4D3D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2A1C1D66">
            <w:pPr>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w:t>
            </w:r>
          </w:p>
        </w:tc>
        <w:tc>
          <w:tcPr>
            <w:tcW w:w="4316" w:type="dxa"/>
            <w:vAlign w:val="center"/>
          </w:tcPr>
          <w:p w14:paraId="3348CB98">
            <w:pPr>
              <w:pStyle w:val="33"/>
              <w:ind w:firstLine="200"/>
              <w:jc w:val="center"/>
              <w:rPr>
                <w:rFonts w:hint="eastAsia" w:ascii="宋体" w:hAnsi="宋体" w:eastAsia="宋体" w:cs="宋体"/>
                <w:color w:val="auto"/>
                <w:sz w:val="24"/>
                <w:szCs w:val="24"/>
                <w:highlight w:val="none"/>
              </w:rPr>
            </w:pPr>
          </w:p>
        </w:tc>
        <w:tc>
          <w:tcPr>
            <w:tcW w:w="3237" w:type="dxa"/>
            <w:gridSpan w:val="2"/>
            <w:vAlign w:val="center"/>
          </w:tcPr>
          <w:p w14:paraId="4D0C1295">
            <w:pPr>
              <w:pStyle w:val="33"/>
              <w:ind w:firstLine="200"/>
              <w:jc w:val="center"/>
              <w:rPr>
                <w:rFonts w:hint="eastAsia" w:ascii="宋体" w:hAnsi="宋体" w:eastAsia="宋体" w:cs="宋体"/>
                <w:color w:val="auto"/>
                <w:sz w:val="24"/>
                <w:szCs w:val="24"/>
                <w:highlight w:val="none"/>
              </w:rPr>
            </w:pPr>
          </w:p>
        </w:tc>
      </w:tr>
      <w:tr w14:paraId="40C4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580B4FF2">
            <w:pPr>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w:t>
            </w:r>
          </w:p>
        </w:tc>
        <w:tc>
          <w:tcPr>
            <w:tcW w:w="4316" w:type="dxa"/>
            <w:vAlign w:val="center"/>
          </w:tcPr>
          <w:p w14:paraId="5937387E">
            <w:pPr>
              <w:pStyle w:val="33"/>
              <w:ind w:firstLine="200"/>
              <w:jc w:val="center"/>
              <w:rPr>
                <w:rFonts w:hint="eastAsia" w:ascii="宋体" w:hAnsi="宋体" w:eastAsia="宋体" w:cs="宋体"/>
                <w:color w:val="auto"/>
                <w:sz w:val="24"/>
                <w:szCs w:val="24"/>
                <w:highlight w:val="none"/>
              </w:rPr>
            </w:pPr>
          </w:p>
        </w:tc>
        <w:tc>
          <w:tcPr>
            <w:tcW w:w="3237" w:type="dxa"/>
            <w:gridSpan w:val="2"/>
            <w:vAlign w:val="center"/>
          </w:tcPr>
          <w:p w14:paraId="26975603">
            <w:pPr>
              <w:pStyle w:val="33"/>
              <w:ind w:firstLine="200"/>
              <w:jc w:val="center"/>
              <w:rPr>
                <w:rFonts w:hint="eastAsia" w:ascii="宋体" w:hAnsi="宋体" w:eastAsia="宋体" w:cs="宋体"/>
                <w:color w:val="auto"/>
                <w:sz w:val="24"/>
                <w:szCs w:val="24"/>
                <w:highlight w:val="none"/>
              </w:rPr>
            </w:pPr>
          </w:p>
        </w:tc>
      </w:tr>
      <w:tr w14:paraId="7ABA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9F0086F">
            <w:pPr>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w:t>
            </w:r>
          </w:p>
        </w:tc>
        <w:tc>
          <w:tcPr>
            <w:tcW w:w="4316" w:type="dxa"/>
            <w:vAlign w:val="center"/>
          </w:tcPr>
          <w:p w14:paraId="37685A2C">
            <w:pPr>
              <w:pStyle w:val="33"/>
              <w:ind w:firstLine="200"/>
              <w:jc w:val="center"/>
              <w:rPr>
                <w:rFonts w:hint="eastAsia" w:ascii="宋体" w:hAnsi="宋体" w:eastAsia="宋体" w:cs="宋体"/>
                <w:color w:val="auto"/>
                <w:sz w:val="24"/>
                <w:szCs w:val="24"/>
                <w:highlight w:val="none"/>
              </w:rPr>
            </w:pPr>
          </w:p>
        </w:tc>
        <w:tc>
          <w:tcPr>
            <w:tcW w:w="3237" w:type="dxa"/>
            <w:gridSpan w:val="2"/>
            <w:vAlign w:val="center"/>
          </w:tcPr>
          <w:p w14:paraId="45E72C6E">
            <w:pPr>
              <w:pStyle w:val="33"/>
              <w:ind w:firstLine="200"/>
              <w:jc w:val="center"/>
              <w:rPr>
                <w:rFonts w:hint="eastAsia" w:ascii="宋体" w:hAnsi="宋体" w:eastAsia="宋体" w:cs="宋体"/>
                <w:color w:val="auto"/>
                <w:sz w:val="24"/>
                <w:szCs w:val="24"/>
                <w:highlight w:val="none"/>
              </w:rPr>
            </w:pPr>
          </w:p>
        </w:tc>
      </w:tr>
      <w:tr w14:paraId="47AE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58A5871B">
            <w:pPr>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w:t>
            </w:r>
          </w:p>
        </w:tc>
        <w:tc>
          <w:tcPr>
            <w:tcW w:w="4316" w:type="dxa"/>
            <w:vAlign w:val="center"/>
          </w:tcPr>
          <w:p w14:paraId="5F9BC372">
            <w:pPr>
              <w:pStyle w:val="33"/>
              <w:ind w:firstLine="200"/>
              <w:jc w:val="center"/>
              <w:rPr>
                <w:rFonts w:hint="eastAsia" w:ascii="宋体" w:hAnsi="宋体" w:eastAsia="宋体" w:cs="宋体"/>
                <w:color w:val="auto"/>
                <w:sz w:val="24"/>
                <w:szCs w:val="24"/>
                <w:highlight w:val="none"/>
              </w:rPr>
            </w:pPr>
          </w:p>
        </w:tc>
        <w:tc>
          <w:tcPr>
            <w:tcW w:w="3237" w:type="dxa"/>
            <w:gridSpan w:val="2"/>
            <w:vAlign w:val="center"/>
          </w:tcPr>
          <w:p w14:paraId="52F9D630">
            <w:pPr>
              <w:pStyle w:val="33"/>
              <w:ind w:firstLine="200"/>
              <w:jc w:val="center"/>
              <w:rPr>
                <w:rFonts w:hint="eastAsia" w:ascii="宋体" w:hAnsi="宋体" w:eastAsia="宋体" w:cs="宋体"/>
                <w:color w:val="auto"/>
                <w:sz w:val="24"/>
                <w:szCs w:val="24"/>
                <w:highlight w:val="none"/>
              </w:rPr>
            </w:pPr>
          </w:p>
        </w:tc>
      </w:tr>
      <w:tr w14:paraId="4175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0967BABA">
            <w:pPr>
              <w:pStyle w:val="33"/>
              <w:ind w:firstLine="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3237" w:type="dxa"/>
            <w:gridSpan w:val="2"/>
            <w:vAlign w:val="center"/>
          </w:tcPr>
          <w:p w14:paraId="200BB908">
            <w:pPr>
              <w:pStyle w:val="33"/>
              <w:ind w:firstLine="200"/>
              <w:jc w:val="center"/>
              <w:rPr>
                <w:rFonts w:hint="eastAsia" w:ascii="宋体" w:hAnsi="宋体" w:eastAsia="宋体" w:cs="宋体"/>
                <w:color w:val="auto"/>
                <w:sz w:val="24"/>
                <w:szCs w:val="24"/>
                <w:highlight w:val="none"/>
              </w:rPr>
            </w:pPr>
          </w:p>
        </w:tc>
      </w:tr>
    </w:tbl>
    <w:p w14:paraId="28D751CE">
      <w:pPr>
        <w:spacing w:line="360" w:lineRule="auto"/>
        <w:ind w:firstLine="437"/>
        <w:outlineLvl w:val="3"/>
        <w:rPr>
          <w:rFonts w:hint="eastAsia" w:ascii="宋体" w:hAnsi="宋体" w:eastAsia="宋体" w:cs="宋体"/>
          <w:b/>
          <w:bCs/>
          <w:color w:val="auto"/>
          <w:sz w:val="24"/>
          <w:highlight w:val="none"/>
          <w:lang w:val="zh-CN"/>
        </w:rPr>
      </w:pPr>
      <w:bookmarkStart w:id="31" w:name="_Toc10340"/>
      <w:bookmarkStart w:id="32" w:name="_Toc1814"/>
      <w:bookmarkStart w:id="33" w:name="_Toc22618"/>
      <w:bookmarkStart w:id="34" w:name="_Toc2846"/>
      <w:bookmarkStart w:id="35" w:name="_Toc19304"/>
      <w:bookmarkStart w:id="36" w:name="_Toc32071"/>
      <w:r>
        <w:rPr>
          <w:rFonts w:hint="eastAsia" w:ascii="宋体" w:hAnsi="宋体" w:eastAsia="宋体" w:cs="宋体"/>
          <w:b/>
          <w:bCs/>
          <w:color w:val="auto"/>
          <w:sz w:val="24"/>
          <w:highlight w:val="none"/>
          <w:lang w:val="zh-CN"/>
        </w:rPr>
        <w:t>1.4 付款方式和发票开具方式</w:t>
      </w:r>
      <w:bookmarkEnd w:id="31"/>
      <w:bookmarkEnd w:id="32"/>
      <w:bookmarkEnd w:id="33"/>
    </w:p>
    <w:p w14:paraId="47DECFBC">
      <w:pPr>
        <w:pStyle w:val="29"/>
        <w:ind w:firstLine="480" w:firstLineChars="200"/>
        <w:rPr>
          <w:rFonts w:hint="default" w:eastAsia="宋体"/>
          <w:color w:val="auto"/>
          <w:highlight w:val="none"/>
          <w:lang w:val="en-US" w:eastAsia="zh-CN"/>
        </w:rPr>
      </w:pPr>
      <w:r>
        <w:rPr>
          <w:rFonts w:hint="eastAsia" w:ascii="宋体" w:hAnsi="宋体" w:eastAsia="宋体" w:cs="宋体"/>
          <w:color w:val="auto"/>
          <w:sz w:val="24"/>
          <w:highlight w:val="none"/>
        </w:rPr>
        <w:t>1.4.1付款方式：</w:t>
      </w:r>
      <w:r>
        <w:rPr>
          <w:rFonts w:hint="eastAsia"/>
          <w:color w:val="auto"/>
          <w:highlight w:val="none"/>
          <w:u w:val="single"/>
          <w:lang w:val="en-US" w:eastAsia="zh-CN"/>
        </w:rPr>
        <w:t>培训收入由招标人收取并负责监管，每期培训结束后按中标比例与乙方进行结算，经双方确认结算金额后一个月内，甲方一次性向乙方支付结算款项，并提供相应管理费的增值税发票。</w:t>
      </w:r>
    </w:p>
    <w:p w14:paraId="46E4CAC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1.4.2发票开具方式：</w:t>
      </w:r>
      <w:r>
        <w:rPr>
          <w:rFonts w:hint="eastAsia" w:ascii="宋体" w:hAnsi="宋体" w:eastAsia="宋体" w:cs="宋体"/>
          <w:bCs/>
          <w:color w:val="auto"/>
          <w:kern w:val="0"/>
          <w:sz w:val="24"/>
          <w:szCs w:val="28"/>
          <w:highlight w:val="none"/>
          <w:u w:val="single"/>
          <w:lang w:val="en-US" w:eastAsia="zh-CN" w:bidi="ar-SA"/>
        </w:rPr>
        <w:t>甲方向乙方提供相应管理费的增值税发票。由中标人负责向报名客户开具发票，如中标人拒绝开具的，招标人有权拒绝支付分成款项，由此造成一切纠纷、损失由中标人自行承担，与招标人无关。</w:t>
      </w:r>
    </w:p>
    <w:p w14:paraId="4B93B376">
      <w:pPr>
        <w:spacing w:line="360" w:lineRule="auto"/>
        <w:ind w:firstLine="437"/>
        <w:outlineLvl w:val="3"/>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1.5 服务期限、地点和方式</w:t>
      </w:r>
      <w:bookmarkEnd w:id="34"/>
      <w:bookmarkEnd w:id="35"/>
      <w:bookmarkEnd w:id="36"/>
    </w:p>
    <w:p w14:paraId="27E56DD6">
      <w:pPr>
        <w:spacing w:line="360" w:lineRule="auto"/>
        <w:ind w:firstLine="4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1.5.1服务期限：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78D571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1.5.2服务地点：</w:t>
      </w:r>
      <w:r>
        <w:rPr>
          <w:rFonts w:hint="eastAsia" w:ascii="宋体" w:hAnsi="宋体" w:eastAsia="宋体" w:cs="宋体"/>
          <w:color w:val="auto"/>
          <w:sz w:val="24"/>
          <w:highlight w:val="none"/>
          <w:u w:val="single"/>
        </w:rPr>
        <w:t>合肥市包河区滨湖新区中山路180号合肥市师范附属小学及合肥市包河区滨湖新区林芝路378号合肥市师范附属小学南区。</w:t>
      </w:r>
      <w:r>
        <w:rPr>
          <w:rFonts w:hint="eastAsia" w:ascii="宋体" w:hAnsi="宋体" w:eastAsia="宋体" w:cs="宋体"/>
          <w:color w:val="auto"/>
          <w:sz w:val="24"/>
          <w:highlight w:val="none"/>
        </w:rPr>
        <w:t>；</w:t>
      </w:r>
    </w:p>
    <w:p w14:paraId="2105D94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1.5.3服务方式：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8156ABC">
      <w:pPr>
        <w:spacing w:line="360" w:lineRule="auto"/>
        <w:ind w:firstLine="437"/>
        <w:outlineLvl w:val="3"/>
        <w:rPr>
          <w:rFonts w:hint="eastAsia" w:ascii="宋体" w:hAnsi="宋体" w:eastAsia="宋体" w:cs="宋体"/>
          <w:b/>
          <w:bCs/>
          <w:color w:val="auto"/>
          <w:sz w:val="24"/>
          <w:highlight w:val="none"/>
          <w:lang w:val="zh-CN"/>
        </w:rPr>
      </w:pPr>
      <w:bookmarkStart w:id="37" w:name="_Toc27250"/>
      <w:bookmarkStart w:id="38" w:name="_Toc19554"/>
      <w:bookmarkStart w:id="39" w:name="_Toc21423"/>
      <w:r>
        <w:rPr>
          <w:rFonts w:hint="eastAsia" w:ascii="宋体" w:hAnsi="宋体" w:eastAsia="宋体" w:cs="宋体"/>
          <w:b/>
          <w:bCs/>
          <w:color w:val="auto"/>
          <w:sz w:val="24"/>
          <w:highlight w:val="none"/>
          <w:lang w:val="zh-CN"/>
        </w:rPr>
        <w:t>1.6 违约责任</w:t>
      </w:r>
      <w:bookmarkEnd w:id="37"/>
      <w:bookmarkEnd w:id="38"/>
      <w:bookmarkEnd w:id="39"/>
    </w:p>
    <w:p w14:paraId="4512BD3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%；迟延履行的违约金计算数额达到前述最高限额之日起，甲方有权在要求乙方支付违约金的同时，书面通知乙方解除本合同；</w:t>
      </w:r>
    </w:p>
    <w:p w14:paraId="76F98F1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%；迟延付款的违约金计算数额达到前述最高限额之日起，乙方有权在要求甲方支付违约金的同时，书面通知甲方解除本合同；</w:t>
      </w:r>
    </w:p>
    <w:p w14:paraId="2315447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62509C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3FD6B2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1F96AD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1.6.6如果出现招标投标监督管理部门在处理投诉事项期间，书面通知甲方暂停招标活动的情形，或者询问或异议事项可能影响中标结果的，导致甲方中止履行合同的情形，均不视为甲方违约。</w:t>
      </w:r>
    </w:p>
    <w:p w14:paraId="534F8542">
      <w:pPr>
        <w:spacing w:line="360" w:lineRule="auto"/>
        <w:ind w:firstLine="437"/>
        <w:outlineLvl w:val="3"/>
        <w:rPr>
          <w:rFonts w:hint="eastAsia" w:ascii="宋体" w:hAnsi="宋体" w:eastAsia="宋体" w:cs="宋体"/>
          <w:b/>
          <w:bCs/>
          <w:color w:val="auto"/>
          <w:sz w:val="24"/>
          <w:highlight w:val="none"/>
          <w:lang w:val="zh-CN"/>
        </w:rPr>
      </w:pPr>
      <w:bookmarkStart w:id="40" w:name="_Toc28375"/>
      <w:bookmarkStart w:id="41" w:name="_Toc15583"/>
      <w:bookmarkStart w:id="42" w:name="_Toc16021"/>
      <w:r>
        <w:rPr>
          <w:rFonts w:hint="eastAsia" w:ascii="宋体" w:hAnsi="宋体" w:eastAsia="宋体" w:cs="宋体"/>
          <w:b/>
          <w:bCs/>
          <w:color w:val="auto"/>
          <w:sz w:val="24"/>
          <w:highlight w:val="none"/>
          <w:lang w:val="zh-CN"/>
        </w:rPr>
        <w:t>1.7 合同争议的解决</w:t>
      </w:r>
      <w:bookmarkEnd w:id="40"/>
      <w:bookmarkEnd w:id="41"/>
      <w:bookmarkEnd w:id="42"/>
    </w:p>
    <w:p w14:paraId="33AF7F0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种方式解决：</w:t>
      </w:r>
    </w:p>
    <w:p w14:paraId="088946C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1.7.1将争议提交</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仲裁委员会依申请仲裁时其现行有效的仲裁规则裁决；</w:t>
      </w:r>
    </w:p>
    <w:p w14:paraId="31FCCCE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1.7.2向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人民法院起诉。</w:t>
      </w:r>
    </w:p>
    <w:p w14:paraId="7978D243">
      <w:pPr>
        <w:spacing w:line="360" w:lineRule="auto"/>
        <w:ind w:firstLine="437"/>
        <w:outlineLvl w:val="3"/>
        <w:rPr>
          <w:rFonts w:hint="eastAsia" w:ascii="宋体" w:hAnsi="宋体" w:eastAsia="宋体" w:cs="宋体"/>
          <w:b/>
          <w:bCs/>
          <w:color w:val="auto"/>
          <w:sz w:val="24"/>
          <w:highlight w:val="none"/>
          <w:lang w:val="zh-CN"/>
        </w:rPr>
      </w:pPr>
      <w:bookmarkStart w:id="43" w:name="_Toc11173"/>
      <w:bookmarkStart w:id="44" w:name="_Toc15322"/>
      <w:bookmarkStart w:id="45" w:name="_Toc7245"/>
      <w:r>
        <w:rPr>
          <w:rFonts w:hint="eastAsia" w:ascii="宋体" w:hAnsi="宋体" w:eastAsia="宋体" w:cs="宋体"/>
          <w:b/>
          <w:bCs/>
          <w:color w:val="auto"/>
          <w:sz w:val="24"/>
          <w:highlight w:val="none"/>
          <w:lang w:val="zh-CN"/>
        </w:rPr>
        <w:t>1.8 合同生效</w:t>
      </w:r>
      <w:bookmarkEnd w:id="43"/>
      <w:bookmarkEnd w:id="44"/>
      <w:bookmarkEnd w:id="45"/>
    </w:p>
    <w:p w14:paraId="69193C1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本合同自双方当事人公章时生效。</w:t>
      </w:r>
    </w:p>
    <w:p w14:paraId="554113F7">
      <w:pPr>
        <w:autoSpaceDE w:val="0"/>
        <w:autoSpaceDN w:val="0"/>
        <w:adjustRightInd w:val="0"/>
        <w:spacing w:line="560" w:lineRule="exact"/>
        <w:rPr>
          <w:rFonts w:hint="eastAsia" w:ascii="宋体" w:hAnsi="宋体" w:eastAsia="宋体" w:cs="宋体"/>
          <w:color w:val="auto"/>
          <w:sz w:val="24"/>
          <w:highlight w:val="none"/>
          <w:lang w:val="zh-CN"/>
        </w:rPr>
      </w:pPr>
    </w:p>
    <w:p w14:paraId="661C8DDD">
      <w:pPr>
        <w:autoSpaceDE w:val="0"/>
        <w:autoSpaceDN w:val="0"/>
        <w:adjustRightInd w:val="0"/>
        <w:spacing w:line="560" w:lineRule="exact"/>
        <w:rPr>
          <w:rFonts w:hint="eastAsia" w:ascii="宋体" w:hAnsi="宋体" w:eastAsia="宋体" w:cs="宋体"/>
          <w:color w:val="auto"/>
          <w:sz w:val="24"/>
          <w:highlight w:val="none"/>
          <w:lang w:val="zh-CN"/>
        </w:rPr>
      </w:pPr>
    </w:p>
    <w:p w14:paraId="707B3B50">
      <w:pPr>
        <w:autoSpaceDE w:val="0"/>
        <w:autoSpaceDN w:val="0"/>
        <w:adjustRightInd w:val="0"/>
        <w:spacing w:line="560" w:lineRule="exact"/>
        <w:rPr>
          <w:rFonts w:hint="eastAsia" w:ascii="宋体" w:hAnsi="宋体" w:eastAsia="宋体" w:cs="宋体"/>
          <w:color w:val="auto"/>
          <w:sz w:val="24"/>
          <w:highlight w:val="none"/>
          <w:lang w:val="zh-CN"/>
        </w:rPr>
      </w:pPr>
    </w:p>
    <w:p w14:paraId="429F58B5">
      <w:pPr>
        <w:autoSpaceDE w:val="0"/>
        <w:autoSpaceDN w:val="0"/>
        <w:adjustRightInd w:val="0"/>
        <w:spacing w:line="560" w:lineRule="exact"/>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甲    方：</w:t>
      </w:r>
      <w:r>
        <w:rPr>
          <w:rFonts w:hint="eastAsia" w:ascii="宋体" w:hAnsi="宋体" w:eastAsia="宋体" w:cs="宋体"/>
          <w:bCs/>
          <w:color w:val="auto"/>
          <w:sz w:val="24"/>
          <w:highlight w:val="none"/>
          <w:u w:val="single"/>
          <w:lang w:val="zh-CN"/>
        </w:rPr>
        <w:t xml:space="preserve">    （单位公章）     </w:t>
      </w:r>
      <w:r>
        <w:rPr>
          <w:rFonts w:hint="eastAsia" w:ascii="宋体" w:hAnsi="宋体" w:eastAsia="宋体" w:cs="宋体"/>
          <w:bCs/>
          <w:color w:val="auto"/>
          <w:sz w:val="24"/>
          <w:highlight w:val="none"/>
          <w:lang w:val="zh-CN"/>
        </w:rPr>
        <w:t xml:space="preserve">          乙方：</w:t>
      </w:r>
      <w:r>
        <w:rPr>
          <w:rFonts w:hint="eastAsia" w:ascii="宋体" w:hAnsi="宋体" w:eastAsia="宋体" w:cs="宋体"/>
          <w:bCs/>
          <w:color w:val="auto"/>
          <w:sz w:val="24"/>
          <w:highlight w:val="none"/>
          <w:u w:val="single"/>
          <w:lang w:val="zh-CN"/>
        </w:rPr>
        <w:t xml:space="preserve">    （单位公章）     </w:t>
      </w:r>
    </w:p>
    <w:p w14:paraId="761B0047">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                               法定代表人</w:t>
      </w:r>
    </w:p>
    <w:p w14:paraId="04E68C8C">
      <w:pPr>
        <w:autoSpaceDE w:val="0"/>
        <w:autoSpaceDN w:val="0"/>
        <w:adjustRightInd w:val="0"/>
        <w:spacing w:line="56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或授权代表（签字）：                      或授权代表（签字）：</w:t>
      </w:r>
    </w:p>
    <w:p w14:paraId="1BAA87F1">
      <w:pPr>
        <w:widowControl/>
        <w:spacing w:line="560" w:lineRule="exact"/>
        <w:jc w:val="left"/>
        <w:rPr>
          <w:rFonts w:hint="eastAsia" w:ascii="宋体" w:hAnsi="宋体" w:eastAsia="宋体" w:cs="宋体"/>
          <w:bCs/>
          <w:color w:val="auto"/>
          <w:sz w:val="24"/>
          <w:highlight w:val="none"/>
        </w:rPr>
      </w:pPr>
      <w:bookmarkStart w:id="46" w:name="_Toc331685783"/>
      <w:r>
        <w:rPr>
          <w:rFonts w:hint="eastAsia" w:ascii="宋体" w:hAnsi="宋体" w:eastAsia="宋体" w:cs="宋体"/>
          <w:bCs/>
          <w:color w:val="auto"/>
          <w:sz w:val="24"/>
          <w:highlight w:val="none"/>
        </w:rPr>
        <w:t>时间：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               时间：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w:t>
      </w:r>
    </w:p>
    <w:p w14:paraId="782DDB0D">
      <w:pPr>
        <w:widowControl/>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12396BE6">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第二部分 合同一般条款</w:t>
      </w:r>
      <w:bookmarkEnd w:id="46"/>
    </w:p>
    <w:p w14:paraId="3FED18DE">
      <w:pPr>
        <w:spacing w:line="360" w:lineRule="auto"/>
        <w:ind w:firstLine="437"/>
        <w:outlineLvl w:val="3"/>
        <w:rPr>
          <w:rFonts w:hint="eastAsia" w:ascii="宋体" w:hAnsi="宋体" w:eastAsia="宋体" w:cs="宋体"/>
          <w:b/>
          <w:bCs/>
          <w:color w:val="auto"/>
          <w:sz w:val="24"/>
          <w:highlight w:val="none"/>
          <w:lang w:val="zh-CN"/>
        </w:rPr>
      </w:pPr>
      <w:bookmarkStart w:id="47" w:name="_Toc279701240"/>
      <w:bookmarkStart w:id="48" w:name="_Ref467378499"/>
      <w:bookmarkStart w:id="49" w:name="_Toc16917"/>
      <w:bookmarkStart w:id="50" w:name="_Ref467379225"/>
      <w:bookmarkStart w:id="51" w:name="_Ref467378463"/>
      <w:bookmarkStart w:id="52" w:name="_Ref467379205"/>
      <w:bookmarkStart w:id="53" w:name="_Toc259093669"/>
      <w:bookmarkStart w:id="54" w:name="_Ref467379195"/>
      <w:bookmarkStart w:id="55" w:name="_Toc19614"/>
      <w:bookmarkStart w:id="56" w:name="_Ref467379094"/>
      <w:bookmarkStart w:id="57" w:name="_Ref467379214"/>
      <w:bookmarkStart w:id="58" w:name="_Toc487900349"/>
      <w:bookmarkStart w:id="59" w:name="_Ref467379109"/>
      <w:bookmarkStart w:id="60" w:name="_Ref467378404"/>
      <w:bookmarkStart w:id="61" w:name="_Ref467379101"/>
      <w:bookmarkStart w:id="62" w:name="_Toc28763"/>
      <w:r>
        <w:rPr>
          <w:rFonts w:hint="eastAsia" w:ascii="宋体" w:hAnsi="宋体" w:eastAsia="宋体" w:cs="宋体"/>
          <w:b/>
          <w:bCs/>
          <w:color w:val="auto"/>
          <w:sz w:val="24"/>
          <w:highlight w:val="none"/>
          <w:lang w:val="zh-CN"/>
        </w:rPr>
        <w:t>2.1 定义</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05DFCCF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75C73B8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2.1.1“合同”系指招标人和中标人签订的载明双方当事人所达成的协议，并包括所有的附件、附录和构成合同的其他文件。</w:t>
      </w:r>
    </w:p>
    <w:p w14:paraId="7742B5E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2.1.2“合同价”系指根据合同约定，中标人在完全履行合同义务后，招标人应支付给中标人的价格。</w:t>
      </w:r>
    </w:p>
    <w:p w14:paraId="55494A7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2.1.3“服务”系指中标人根据合同约定应向招标人履行的除货物和工程以外的其他招标对象，包括招标人自身需要的服务和向社会公众提供的公共服务。</w:t>
      </w:r>
    </w:p>
    <w:p w14:paraId="77B99DB3">
      <w:pPr>
        <w:spacing w:line="360" w:lineRule="auto"/>
        <w:ind w:firstLine="435"/>
        <w:rPr>
          <w:rFonts w:hint="eastAsia" w:ascii="宋体" w:hAnsi="宋体" w:eastAsia="宋体" w:cs="宋体"/>
          <w:color w:val="auto"/>
          <w:sz w:val="24"/>
          <w:highlight w:val="none"/>
        </w:rPr>
      </w:pPr>
      <w:bookmarkStart w:id="63" w:name="_Ref467378840"/>
      <w:r>
        <w:rPr>
          <w:rFonts w:hint="eastAsia" w:ascii="宋体" w:hAnsi="宋体" w:eastAsia="宋体" w:cs="宋体"/>
          <w:color w:val="auto"/>
          <w:sz w:val="24"/>
          <w:highlight w:val="none"/>
        </w:rPr>
        <w:t>2.1.4“甲方”系指与中标人签署合同的招标人</w:t>
      </w:r>
      <w:bookmarkEnd w:id="63"/>
      <w:r>
        <w:rPr>
          <w:rFonts w:hint="eastAsia" w:ascii="宋体" w:hAnsi="宋体" w:eastAsia="宋体" w:cs="宋体"/>
          <w:color w:val="auto"/>
          <w:sz w:val="24"/>
          <w:highlight w:val="none"/>
        </w:rPr>
        <w:t>；招标人委托招标代理机构代表其与乙方签订合同的，招标人的授权委托书作为合同附件。</w:t>
      </w:r>
    </w:p>
    <w:p w14:paraId="26E3D543">
      <w:pPr>
        <w:spacing w:line="360" w:lineRule="auto"/>
        <w:ind w:firstLine="435"/>
        <w:rPr>
          <w:rFonts w:hint="eastAsia" w:ascii="宋体" w:hAnsi="宋体" w:eastAsia="宋体" w:cs="宋体"/>
          <w:color w:val="auto"/>
          <w:sz w:val="24"/>
          <w:highlight w:val="none"/>
        </w:rPr>
      </w:pPr>
      <w:bookmarkStart w:id="64" w:name="_Ref467379400"/>
      <w:r>
        <w:rPr>
          <w:rFonts w:hint="eastAsia" w:ascii="宋体" w:hAnsi="宋体" w:eastAsia="宋体" w:cs="宋体"/>
          <w:color w:val="auto"/>
          <w:sz w:val="24"/>
          <w:highlight w:val="none"/>
        </w:rPr>
        <w:t>2.1.5“乙方”系指根据合同约定提供服务的中标人</w:t>
      </w:r>
      <w:bookmarkEnd w:id="64"/>
      <w:r>
        <w:rPr>
          <w:rFonts w:hint="eastAsia" w:ascii="宋体" w:hAnsi="宋体" w:eastAsia="宋体" w:cs="宋体"/>
          <w:color w:val="auto"/>
          <w:sz w:val="24"/>
          <w:highlight w:val="none"/>
        </w:rPr>
        <w:t>；两个以上的自然人、法人或者其他组织组成一个联合体，以一个投标人的身份共同参加招标代理的，联合体各方均应为乙方或者与乙方相同地位的合同当事人，并就合同约定的事项对甲方承担连带责任。</w:t>
      </w:r>
    </w:p>
    <w:p w14:paraId="0D794149">
      <w:pPr>
        <w:spacing w:line="360" w:lineRule="auto"/>
        <w:ind w:firstLine="435"/>
        <w:rPr>
          <w:rFonts w:hint="eastAsia" w:ascii="宋体" w:hAnsi="宋体" w:eastAsia="宋体" w:cs="宋体"/>
          <w:color w:val="auto"/>
          <w:sz w:val="24"/>
          <w:highlight w:val="none"/>
        </w:rPr>
      </w:pPr>
      <w:bookmarkStart w:id="65" w:name="_Ref467379436"/>
      <w:r>
        <w:rPr>
          <w:rFonts w:hint="eastAsia" w:ascii="宋体" w:hAnsi="宋体" w:eastAsia="宋体" w:cs="宋体"/>
          <w:color w:val="auto"/>
          <w:sz w:val="24"/>
          <w:highlight w:val="none"/>
        </w:rPr>
        <w:t>2.1.6“现场”系指合同约定提供服务的地点。</w:t>
      </w:r>
      <w:bookmarkEnd w:id="65"/>
    </w:p>
    <w:p w14:paraId="7FCA4E1B">
      <w:pPr>
        <w:spacing w:line="360" w:lineRule="auto"/>
        <w:ind w:firstLine="437"/>
        <w:outlineLvl w:val="3"/>
        <w:rPr>
          <w:rFonts w:hint="eastAsia" w:ascii="宋体" w:hAnsi="宋体" w:eastAsia="宋体" w:cs="宋体"/>
          <w:b/>
          <w:bCs/>
          <w:color w:val="auto"/>
          <w:sz w:val="24"/>
          <w:highlight w:val="none"/>
          <w:lang w:val="zh-CN"/>
        </w:rPr>
      </w:pPr>
      <w:bookmarkStart w:id="66" w:name="_Toc32504"/>
      <w:bookmarkStart w:id="67" w:name="_Toc487900350"/>
      <w:bookmarkStart w:id="68" w:name="_Toc259093670"/>
      <w:bookmarkStart w:id="69" w:name="_Toc279701241"/>
      <w:bookmarkStart w:id="70" w:name="_Toc27635"/>
      <w:bookmarkStart w:id="71" w:name="_Toc13336"/>
      <w:r>
        <w:rPr>
          <w:rFonts w:hint="eastAsia" w:ascii="宋体" w:hAnsi="宋体" w:eastAsia="宋体" w:cs="宋体"/>
          <w:b/>
          <w:bCs/>
          <w:color w:val="auto"/>
          <w:sz w:val="24"/>
          <w:highlight w:val="none"/>
          <w:lang w:val="zh-CN"/>
        </w:rPr>
        <w:t>2.2 技术规范</w:t>
      </w:r>
      <w:bookmarkEnd w:id="66"/>
      <w:bookmarkEnd w:id="67"/>
      <w:bookmarkEnd w:id="68"/>
      <w:bookmarkEnd w:id="69"/>
      <w:bookmarkEnd w:id="70"/>
      <w:bookmarkEnd w:id="71"/>
    </w:p>
    <w:p w14:paraId="0F2351A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9013B07">
      <w:pPr>
        <w:spacing w:line="360" w:lineRule="auto"/>
        <w:ind w:firstLine="437"/>
        <w:outlineLvl w:val="3"/>
        <w:rPr>
          <w:rFonts w:hint="eastAsia" w:ascii="宋体" w:hAnsi="宋体" w:eastAsia="宋体" w:cs="宋体"/>
          <w:b/>
          <w:bCs/>
          <w:color w:val="auto"/>
          <w:sz w:val="24"/>
          <w:highlight w:val="none"/>
          <w:lang w:val="zh-CN"/>
        </w:rPr>
      </w:pPr>
      <w:bookmarkStart w:id="72" w:name="_Toc259093671"/>
      <w:bookmarkStart w:id="73" w:name="_Toc487900351"/>
      <w:bookmarkStart w:id="74" w:name="_Toc31634"/>
      <w:bookmarkStart w:id="75" w:name="_Toc9829"/>
      <w:bookmarkStart w:id="76" w:name="_Toc279701242"/>
      <w:bookmarkStart w:id="77" w:name="_Toc27853"/>
      <w:r>
        <w:rPr>
          <w:rFonts w:hint="eastAsia" w:ascii="宋体" w:hAnsi="宋体" w:eastAsia="宋体" w:cs="宋体"/>
          <w:b/>
          <w:bCs/>
          <w:color w:val="auto"/>
          <w:sz w:val="24"/>
          <w:highlight w:val="none"/>
          <w:lang w:val="zh-CN"/>
        </w:rPr>
        <w:t>2.3 知识产权</w:t>
      </w:r>
      <w:bookmarkEnd w:id="72"/>
      <w:bookmarkEnd w:id="73"/>
      <w:bookmarkEnd w:id="74"/>
      <w:bookmarkEnd w:id="75"/>
      <w:bookmarkEnd w:id="76"/>
      <w:bookmarkEnd w:id="77"/>
    </w:p>
    <w:p w14:paraId="1F426BF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52339B5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2.3.2具有知识产权的计算机软件等货物的知识产权归属，详见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20DB71E9">
      <w:pPr>
        <w:spacing w:line="360" w:lineRule="auto"/>
        <w:ind w:firstLine="437"/>
        <w:outlineLvl w:val="3"/>
        <w:rPr>
          <w:rFonts w:hint="eastAsia" w:ascii="宋体" w:hAnsi="宋体" w:eastAsia="宋体" w:cs="宋体"/>
          <w:b/>
          <w:bCs/>
          <w:color w:val="auto"/>
          <w:sz w:val="24"/>
          <w:highlight w:val="none"/>
          <w:lang w:val="zh-CN"/>
        </w:rPr>
      </w:pPr>
      <w:bookmarkStart w:id="78" w:name="_Ref467378591"/>
      <w:bookmarkStart w:id="79" w:name="_Ref467379542"/>
      <w:bookmarkStart w:id="80" w:name="_Ref467378541"/>
      <w:bookmarkStart w:id="81" w:name="_Ref467379527"/>
      <w:bookmarkStart w:id="82" w:name="_Toc279701245"/>
      <w:bookmarkStart w:id="83" w:name="_Toc487900354"/>
      <w:bookmarkStart w:id="84" w:name="_Ref467379536"/>
      <w:bookmarkStart w:id="85" w:name="_Toc259093674"/>
      <w:bookmarkStart w:id="86" w:name="_Toc19074"/>
      <w:bookmarkStart w:id="87" w:name="_Toc26182"/>
      <w:bookmarkStart w:id="88" w:name="_Toc30272"/>
      <w:r>
        <w:rPr>
          <w:rFonts w:hint="eastAsia" w:ascii="宋体" w:hAnsi="宋体" w:eastAsia="宋体" w:cs="宋体"/>
          <w:b/>
          <w:bCs/>
          <w:color w:val="auto"/>
          <w:sz w:val="24"/>
          <w:highlight w:val="none"/>
          <w:lang w:val="zh-CN"/>
        </w:rPr>
        <w:t>2.</w:t>
      </w:r>
      <w:bookmarkEnd w:id="78"/>
      <w:bookmarkEnd w:id="79"/>
      <w:bookmarkEnd w:id="80"/>
      <w:bookmarkEnd w:id="81"/>
      <w:bookmarkEnd w:id="82"/>
      <w:bookmarkEnd w:id="83"/>
      <w:bookmarkEnd w:id="84"/>
      <w:bookmarkEnd w:id="85"/>
      <w:r>
        <w:rPr>
          <w:rFonts w:hint="eastAsia" w:ascii="宋体" w:hAnsi="宋体" w:eastAsia="宋体" w:cs="宋体"/>
          <w:b/>
          <w:bCs/>
          <w:color w:val="auto"/>
          <w:sz w:val="24"/>
          <w:highlight w:val="none"/>
          <w:lang w:val="zh-CN"/>
        </w:rPr>
        <w:t>4 履约检查和问题反馈</w:t>
      </w:r>
      <w:bookmarkEnd w:id="86"/>
      <w:bookmarkEnd w:id="87"/>
      <w:bookmarkEnd w:id="88"/>
    </w:p>
    <w:p w14:paraId="1DADC38D">
      <w:pPr>
        <w:spacing w:line="360" w:lineRule="auto"/>
        <w:ind w:firstLine="435"/>
        <w:rPr>
          <w:rFonts w:hint="eastAsia" w:ascii="宋体" w:hAnsi="宋体" w:eastAsia="宋体" w:cs="宋体"/>
          <w:color w:val="auto"/>
          <w:sz w:val="24"/>
          <w:highlight w:val="none"/>
        </w:rPr>
      </w:pPr>
      <w:bookmarkStart w:id="89" w:name="_Toc186431854"/>
      <w:bookmarkStart w:id="90" w:name="_Ref467379793"/>
      <w:bookmarkStart w:id="91" w:name="_Ref467379807"/>
      <w:bookmarkStart w:id="92" w:name="_Toc259093676"/>
      <w:bookmarkStart w:id="93" w:name="_Toc487900357"/>
      <w:bookmarkStart w:id="94" w:name="_Toc279701247"/>
      <w:r>
        <w:rPr>
          <w:rFonts w:hint="eastAsia" w:ascii="宋体" w:hAnsi="宋体" w:eastAsia="宋体" w:cs="宋体"/>
          <w:color w:val="auto"/>
          <w:sz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2E33ABC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2.4.2合同履行期间，甲方有权将履行过程中出现的问题反馈给乙方，双方当事人应以书面形式约定需要完善和改进的内容</w:t>
      </w:r>
      <w:bookmarkEnd w:id="89"/>
      <w:bookmarkStart w:id="95" w:name="_Toc186431855"/>
      <w:r>
        <w:rPr>
          <w:rFonts w:hint="eastAsia" w:ascii="宋体" w:hAnsi="宋体" w:eastAsia="宋体" w:cs="宋体"/>
          <w:color w:val="auto"/>
          <w:sz w:val="24"/>
          <w:highlight w:val="none"/>
        </w:rPr>
        <w:t>。</w:t>
      </w:r>
    </w:p>
    <w:bookmarkEnd w:id="95"/>
    <w:p w14:paraId="0F51A393">
      <w:pPr>
        <w:spacing w:line="360" w:lineRule="auto"/>
        <w:ind w:firstLine="437"/>
        <w:outlineLvl w:val="3"/>
        <w:rPr>
          <w:rFonts w:hint="eastAsia" w:ascii="宋体" w:hAnsi="宋体" w:eastAsia="宋体" w:cs="宋体"/>
          <w:b/>
          <w:bCs/>
          <w:color w:val="auto"/>
          <w:sz w:val="24"/>
          <w:highlight w:val="none"/>
          <w:lang w:val="zh-CN"/>
        </w:rPr>
      </w:pPr>
      <w:bookmarkStart w:id="96" w:name="_Toc19219"/>
      <w:bookmarkStart w:id="97" w:name="_Toc28451"/>
      <w:bookmarkStart w:id="98" w:name="_Toc7836"/>
      <w:r>
        <w:rPr>
          <w:rFonts w:hint="eastAsia" w:ascii="宋体" w:hAnsi="宋体" w:eastAsia="宋体" w:cs="宋体"/>
          <w:b/>
          <w:bCs/>
          <w:color w:val="auto"/>
          <w:sz w:val="24"/>
          <w:highlight w:val="none"/>
          <w:lang w:val="zh-CN"/>
        </w:rPr>
        <w:t>2.5 结算方式和付款条件</w:t>
      </w:r>
      <w:bookmarkEnd w:id="90"/>
      <w:bookmarkEnd w:id="91"/>
      <w:bookmarkEnd w:id="92"/>
      <w:bookmarkEnd w:id="93"/>
      <w:bookmarkEnd w:id="94"/>
      <w:bookmarkEnd w:id="96"/>
      <w:bookmarkEnd w:id="97"/>
      <w:bookmarkEnd w:id="98"/>
    </w:p>
    <w:p w14:paraId="49FCED4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0728BE4E">
      <w:pPr>
        <w:spacing w:line="360" w:lineRule="auto"/>
        <w:ind w:firstLine="437"/>
        <w:outlineLvl w:val="3"/>
        <w:rPr>
          <w:rFonts w:hint="eastAsia" w:ascii="宋体" w:hAnsi="宋体" w:eastAsia="宋体" w:cs="宋体"/>
          <w:b/>
          <w:bCs/>
          <w:color w:val="auto"/>
          <w:sz w:val="24"/>
          <w:highlight w:val="none"/>
          <w:lang w:val="zh-CN"/>
        </w:rPr>
      </w:pPr>
      <w:bookmarkStart w:id="99" w:name="_Ref467379852"/>
      <w:bookmarkStart w:id="100" w:name="_Toc259093677"/>
      <w:bookmarkStart w:id="101" w:name="_Toc487900358"/>
      <w:bookmarkStart w:id="102" w:name="_Ref467379863"/>
      <w:bookmarkStart w:id="103" w:name="_Toc279701248"/>
      <w:bookmarkStart w:id="104" w:name="_Ref467379923"/>
      <w:bookmarkStart w:id="105" w:name="_Toc774"/>
      <w:bookmarkStart w:id="106" w:name="_Toc3225"/>
      <w:bookmarkStart w:id="107" w:name="_Toc16110"/>
      <w:r>
        <w:rPr>
          <w:rFonts w:hint="eastAsia" w:ascii="宋体" w:hAnsi="宋体" w:eastAsia="宋体" w:cs="宋体"/>
          <w:b/>
          <w:bCs/>
          <w:color w:val="auto"/>
          <w:sz w:val="24"/>
          <w:highlight w:val="none"/>
          <w:lang w:val="zh-CN"/>
        </w:rPr>
        <w:t>2.6 技术资料</w:t>
      </w:r>
      <w:bookmarkEnd w:id="99"/>
      <w:bookmarkEnd w:id="100"/>
      <w:bookmarkEnd w:id="101"/>
      <w:bookmarkEnd w:id="102"/>
      <w:bookmarkEnd w:id="103"/>
      <w:bookmarkEnd w:id="104"/>
      <w:r>
        <w:rPr>
          <w:rFonts w:hint="eastAsia" w:ascii="宋体" w:hAnsi="宋体" w:eastAsia="宋体" w:cs="宋体"/>
          <w:b/>
          <w:bCs/>
          <w:color w:val="auto"/>
          <w:sz w:val="24"/>
          <w:highlight w:val="none"/>
          <w:lang w:val="zh-CN"/>
        </w:rPr>
        <w:t>和保密义务</w:t>
      </w:r>
      <w:bookmarkEnd w:id="105"/>
      <w:bookmarkEnd w:id="106"/>
      <w:bookmarkEnd w:id="107"/>
    </w:p>
    <w:p w14:paraId="4119583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2.6.1乙方有权依据合同约定和项目需要，向甲方了解有关情况，调阅有关资料等，甲方应予积极配合；</w:t>
      </w:r>
    </w:p>
    <w:p w14:paraId="0459A0A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2.6.2乙方有义务妥善保管和保护由甲方提供的前款信息和资料等；</w:t>
      </w:r>
    </w:p>
    <w:p w14:paraId="7D73FCE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5B92D03">
      <w:pPr>
        <w:spacing w:line="360" w:lineRule="auto"/>
        <w:ind w:firstLine="437"/>
        <w:outlineLvl w:val="3"/>
        <w:rPr>
          <w:rFonts w:hint="eastAsia" w:ascii="宋体" w:hAnsi="宋体" w:eastAsia="宋体" w:cs="宋体"/>
          <w:b/>
          <w:bCs/>
          <w:color w:val="auto"/>
          <w:sz w:val="24"/>
          <w:highlight w:val="none"/>
          <w:lang w:val="zh-CN"/>
        </w:rPr>
      </w:pPr>
      <w:bookmarkStart w:id="108" w:name="_Toc7860"/>
      <w:r>
        <w:rPr>
          <w:rFonts w:hint="eastAsia" w:ascii="宋体" w:hAnsi="宋体" w:eastAsia="宋体" w:cs="宋体"/>
          <w:b/>
          <w:bCs/>
          <w:color w:val="auto"/>
          <w:sz w:val="24"/>
          <w:highlight w:val="none"/>
          <w:lang w:val="zh-CN"/>
        </w:rPr>
        <w:t>2.7 质量保证</w:t>
      </w:r>
      <w:bookmarkEnd w:id="108"/>
    </w:p>
    <w:p w14:paraId="0C00ADE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2.7.1乙方应建立和完善履行合同的内部质量保证体系，并提供相关内部规章制度给甲方，以便甲方进行监督检查；</w:t>
      </w:r>
    </w:p>
    <w:p w14:paraId="111B1F6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2.7.2乙方应保证履行合同的人员数量和素质、软件和硬件设备的配置、场地、环境和设施等满足全面履行合同的要求，并应接受甲方的监督检查。</w:t>
      </w:r>
    </w:p>
    <w:p w14:paraId="58916326">
      <w:pPr>
        <w:spacing w:line="360" w:lineRule="auto"/>
        <w:ind w:firstLine="437"/>
        <w:outlineLvl w:val="3"/>
        <w:rPr>
          <w:rFonts w:hint="eastAsia" w:ascii="宋体" w:hAnsi="宋体" w:eastAsia="宋体" w:cs="宋体"/>
          <w:b/>
          <w:color w:val="auto"/>
          <w:sz w:val="24"/>
          <w:highlight w:val="none"/>
        </w:rPr>
      </w:pPr>
      <w:bookmarkStart w:id="109" w:name="_Toc22267"/>
      <w:r>
        <w:rPr>
          <w:rFonts w:hint="eastAsia" w:ascii="宋体" w:hAnsi="宋体" w:eastAsia="宋体" w:cs="宋体"/>
          <w:b/>
          <w:color w:val="auto"/>
          <w:sz w:val="24"/>
          <w:highlight w:val="none"/>
        </w:rPr>
        <w:t>2.8 延迟履行</w:t>
      </w:r>
      <w:bookmarkEnd w:id="109"/>
    </w:p>
    <w:p w14:paraId="5C959EB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72F7B51D">
      <w:pPr>
        <w:spacing w:line="360" w:lineRule="auto"/>
        <w:ind w:firstLine="437"/>
        <w:outlineLvl w:val="3"/>
        <w:rPr>
          <w:rFonts w:hint="eastAsia" w:ascii="宋体" w:hAnsi="宋体" w:eastAsia="宋体" w:cs="宋体"/>
          <w:b/>
          <w:bCs/>
          <w:color w:val="auto"/>
          <w:sz w:val="24"/>
          <w:highlight w:val="none"/>
          <w:lang w:val="zh-CN"/>
        </w:rPr>
      </w:pPr>
      <w:bookmarkStart w:id="110" w:name="_Toc7502"/>
      <w:bookmarkStart w:id="111" w:name="_Toc279701254"/>
      <w:bookmarkStart w:id="112" w:name="_Toc487900364"/>
      <w:bookmarkStart w:id="113" w:name="_Ref467378121"/>
      <w:bookmarkStart w:id="114" w:name="_Toc259093683"/>
      <w:r>
        <w:rPr>
          <w:rFonts w:hint="eastAsia" w:ascii="宋体" w:hAnsi="宋体" w:eastAsia="宋体" w:cs="宋体"/>
          <w:b/>
          <w:bCs/>
          <w:color w:val="auto"/>
          <w:sz w:val="24"/>
          <w:highlight w:val="none"/>
          <w:lang w:val="zh-CN"/>
        </w:rPr>
        <w:t>2.9 合同变更</w:t>
      </w:r>
      <w:bookmarkEnd w:id="110"/>
    </w:p>
    <w:p w14:paraId="23EC0E6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2.9.1双方当事人协商一致，可以签订书面补充合同的形式变更合同，但不得违背采购文件确定的事项；</w:t>
      </w:r>
    </w:p>
    <w:p w14:paraId="31F22CD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2.9.2合同继续履行将损害国家利益和社会公共利益的，双方当事人应当以书面形式变更合同。有过错的一方应当承担赔偿责任，双方当事人都有过错的，各自承担相应的责任。</w:t>
      </w:r>
      <w:bookmarkStart w:id="115" w:name="_Toc259093688"/>
      <w:bookmarkStart w:id="116" w:name="_Toc487900369"/>
      <w:bookmarkStart w:id="117" w:name="_Toc279701259"/>
    </w:p>
    <w:p w14:paraId="32AFD5C8">
      <w:pPr>
        <w:spacing w:line="360" w:lineRule="auto"/>
        <w:ind w:firstLine="437"/>
        <w:outlineLvl w:val="3"/>
        <w:rPr>
          <w:rFonts w:hint="eastAsia" w:ascii="宋体" w:hAnsi="宋体" w:eastAsia="宋体" w:cs="宋体"/>
          <w:b/>
          <w:bCs/>
          <w:color w:val="auto"/>
          <w:sz w:val="24"/>
          <w:highlight w:val="none"/>
          <w:lang w:val="zh-CN"/>
        </w:rPr>
      </w:pPr>
      <w:bookmarkStart w:id="118" w:name="_Toc10366"/>
      <w:bookmarkStart w:id="119" w:name="_Toc15237"/>
      <w:bookmarkStart w:id="120" w:name="_Toc22955"/>
      <w:r>
        <w:rPr>
          <w:rFonts w:hint="eastAsia" w:ascii="宋体" w:hAnsi="宋体" w:eastAsia="宋体" w:cs="宋体"/>
          <w:b/>
          <w:bCs/>
          <w:color w:val="auto"/>
          <w:sz w:val="24"/>
          <w:highlight w:val="none"/>
          <w:lang w:val="zh-CN"/>
        </w:rPr>
        <w:t>2.10 合同转让</w:t>
      </w:r>
      <w:bookmarkEnd w:id="115"/>
      <w:bookmarkEnd w:id="116"/>
      <w:bookmarkEnd w:id="117"/>
      <w:r>
        <w:rPr>
          <w:rFonts w:hint="eastAsia" w:ascii="宋体" w:hAnsi="宋体" w:eastAsia="宋体" w:cs="宋体"/>
          <w:b/>
          <w:bCs/>
          <w:color w:val="auto"/>
          <w:sz w:val="24"/>
          <w:highlight w:val="none"/>
          <w:lang w:val="zh-CN"/>
        </w:rPr>
        <w:t>和分包</w:t>
      </w:r>
      <w:bookmarkEnd w:id="118"/>
      <w:bookmarkEnd w:id="119"/>
      <w:bookmarkEnd w:id="120"/>
    </w:p>
    <w:p w14:paraId="1EA915A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投标人就分包项目向甲方承担连带责任。</w:t>
      </w:r>
    </w:p>
    <w:p w14:paraId="57B15447">
      <w:pPr>
        <w:spacing w:line="360" w:lineRule="auto"/>
        <w:ind w:firstLine="437"/>
        <w:outlineLvl w:val="3"/>
        <w:rPr>
          <w:rFonts w:hint="eastAsia" w:ascii="宋体" w:hAnsi="宋体" w:eastAsia="宋体" w:cs="宋体"/>
          <w:b/>
          <w:bCs/>
          <w:color w:val="auto"/>
          <w:sz w:val="24"/>
          <w:highlight w:val="none"/>
          <w:lang w:val="zh-CN"/>
        </w:rPr>
      </w:pPr>
      <w:bookmarkStart w:id="121" w:name="_Toc13566"/>
      <w:bookmarkStart w:id="122" w:name="_Toc14066"/>
      <w:bookmarkStart w:id="123" w:name="_Toc16508"/>
      <w:r>
        <w:rPr>
          <w:rFonts w:hint="eastAsia" w:ascii="宋体" w:hAnsi="宋体" w:eastAsia="宋体" w:cs="宋体"/>
          <w:b/>
          <w:bCs/>
          <w:color w:val="auto"/>
          <w:sz w:val="24"/>
          <w:highlight w:val="none"/>
          <w:lang w:val="zh-CN"/>
        </w:rPr>
        <w:t>2.11 不可抗力</w:t>
      </w:r>
      <w:bookmarkEnd w:id="121"/>
      <w:bookmarkEnd w:id="122"/>
      <w:bookmarkEnd w:id="123"/>
    </w:p>
    <w:p w14:paraId="48FB1E1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2.11.1如果任何一方遭遇法律规定的不可抗力，致使合同履行受阻时，履行合同的期限应予延长，延长的期限应相当于不可抗力所影响的时间；</w:t>
      </w:r>
    </w:p>
    <w:p w14:paraId="64BEC46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2.11.2因不可抗力致使不能实现合同目的的，当事人可以解除合同；</w:t>
      </w:r>
    </w:p>
    <w:p w14:paraId="05809D8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2.11.3因不可抗力致使合同有变更必要的，双方当事人应在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3227E0D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2.11.4受不可抗力影响的一方在不可抗力发生后，应在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3EE8822D">
      <w:pPr>
        <w:spacing w:line="360" w:lineRule="auto"/>
        <w:ind w:firstLine="437"/>
        <w:outlineLvl w:val="3"/>
        <w:rPr>
          <w:rFonts w:hint="eastAsia" w:ascii="宋体" w:hAnsi="宋体" w:eastAsia="宋体" w:cs="宋体"/>
          <w:b/>
          <w:bCs/>
          <w:color w:val="auto"/>
          <w:sz w:val="24"/>
          <w:highlight w:val="none"/>
          <w:lang w:val="zh-CN"/>
        </w:rPr>
      </w:pPr>
      <w:bookmarkStart w:id="124" w:name="_Toc487900365"/>
      <w:bookmarkStart w:id="125" w:name="_Toc259093684"/>
      <w:bookmarkStart w:id="126" w:name="_Toc279701255"/>
      <w:bookmarkStart w:id="127" w:name="_Toc689"/>
      <w:bookmarkStart w:id="128" w:name="_Toc30676"/>
      <w:bookmarkStart w:id="129" w:name="_Toc6969"/>
      <w:r>
        <w:rPr>
          <w:rFonts w:hint="eastAsia" w:ascii="宋体" w:hAnsi="宋体" w:eastAsia="宋体" w:cs="宋体"/>
          <w:b/>
          <w:bCs/>
          <w:color w:val="auto"/>
          <w:sz w:val="24"/>
          <w:highlight w:val="none"/>
          <w:lang w:val="zh-CN"/>
        </w:rPr>
        <w:t>2.12 税费</w:t>
      </w:r>
      <w:bookmarkEnd w:id="124"/>
      <w:bookmarkEnd w:id="125"/>
      <w:bookmarkEnd w:id="126"/>
      <w:bookmarkEnd w:id="127"/>
      <w:bookmarkEnd w:id="128"/>
      <w:bookmarkEnd w:id="129"/>
    </w:p>
    <w:p w14:paraId="78D6C06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与合同有关的一切税费，均按照中华人民共和国法律的相关规定缴纳。</w:t>
      </w:r>
    </w:p>
    <w:p w14:paraId="61A10BC2">
      <w:pPr>
        <w:spacing w:line="360" w:lineRule="auto"/>
        <w:ind w:firstLine="437"/>
        <w:outlineLvl w:val="3"/>
        <w:rPr>
          <w:rFonts w:hint="eastAsia" w:ascii="宋体" w:hAnsi="宋体" w:eastAsia="宋体" w:cs="宋体"/>
          <w:b/>
          <w:bCs/>
          <w:color w:val="auto"/>
          <w:sz w:val="24"/>
          <w:highlight w:val="none"/>
          <w:lang w:val="zh-CN"/>
        </w:rPr>
      </w:pPr>
      <w:bookmarkStart w:id="130" w:name="_Toc7102"/>
      <w:bookmarkStart w:id="131" w:name="_Toc259093687"/>
      <w:bookmarkStart w:id="132" w:name="_Toc16959"/>
      <w:bookmarkStart w:id="133" w:name="_Toc8298"/>
      <w:bookmarkStart w:id="134" w:name="_Toc487900368"/>
      <w:bookmarkStart w:id="135" w:name="_Toc279701258"/>
      <w:r>
        <w:rPr>
          <w:rFonts w:hint="eastAsia" w:ascii="宋体" w:hAnsi="宋体" w:eastAsia="宋体" w:cs="宋体"/>
          <w:b/>
          <w:bCs/>
          <w:color w:val="auto"/>
          <w:sz w:val="24"/>
          <w:highlight w:val="none"/>
          <w:lang w:val="zh-CN"/>
        </w:rPr>
        <w:t>2.13 乙方破产</w:t>
      </w:r>
      <w:bookmarkEnd w:id="130"/>
      <w:bookmarkEnd w:id="131"/>
      <w:bookmarkEnd w:id="132"/>
      <w:bookmarkEnd w:id="133"/>
      <w:bookmarkEnd w:id="134"/>
      <w:bookmarkEnd w:id="135"/>
    </w:p>
    <w:p w14:paraId="7A4CFC8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681765A">
      <w:pPr>
        <w:spacing w:line="360" w:lineRule="auto"/>
        <w:ind w:firstLine="437"/>
        <w:outlineLvl w:val="3"/>
        <w:rPr>
          <w:rFonts w:hint="eastAsia" w:ascii="宋体" w:hAnsi="宋体" w:eastAsia="宋体" w:cs="宋体"/>
          <w:b/>
          <w:color w:val="auto"/>
          <w:sz w:val="24"/>
          <w:highlight w:val="none"/>
        </w:rPr>
      </w:pPr>
      <w:bookmarkStart w:id="136" w:name="_Toc15387"/>
      <w:bookmarkStart w:id="137" w:name="_Toc6134"/>
      <w:bookmarkStart w:id="138" w:name="_Toc29333"/>
      <w:r>
        <w:rPr>
          <w:rFonts w:hint="eastAsia" w:ascii="宋体" w:hAnsi="宋体" w:eastAsia="宋体" w:cs="宋体"/>
          <w:b/>
          <w:bCs/>
          <w:color w:val="auto"/>
          <w:sz w:val="24"/>
          <w:highlight w:val="none"/>
          <w:lang w:val="zh-CN"/>
        </w:rPr>
        <w:t>2.14 合同中止、终止</w:t>
      </w:r>
      <w:bookmarkEnd w:id="136"/>
      <w:bookmarkEnd w:id="137"/>
      <w:bookmarkEnd w:id="138"/>
    </w:p>
    <w:p w14:paraId="5FA63F5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2.14.1双方当事人不得擅自中止或者终止合同；</w:t>
      </w:r>
    </w:p>
    <w:p w14:paraId="07D82AE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0AF26192">
      <w:pPr>
        <w:spacing w:line="360" w:lineRule="auto"/>
        <w:ind w:firstLine="437"/>
        <w:outlineLvl w:val="3"/>
        <w:rPr>
          <w:rFonts w:hint="eastAsia" w:ascii="宋体" w:hAnsi="宋体" w:eastAsia="宋体" w:cs="宋体"/>
          <w:b/>
          <w:bCs/>
          <w:color w:val="auto"/>
          <w:sz w:val="24"/>
          <w:highlight w:val="none"/>
          <w:lang w:val="zh-CN"/>
        </w:rPr>
      </w:pPr>
      <w:bookmarkStart w:id="139" w:name="_Toc14563"/>
      <w:bookmarkStart w:id="140" w:name="_Toc1125"/>
      <w:bookmarkStart w:id="141" w:name="_Toc6596"/>
      <w:r>
        <w:rPr>
          <w:rFonts w:hint="eastAsia" w:ascii="宋体" w:hAnsi="宋体" w:eastAsia="宋体" w:cs="宋体"/>
          <w:b/>
          <w:bCs/>
          <w:color w:val="auto"/>
          <w:sz w:val="24"/>
          <w:highlight w:val="none"/>
          <w:lang w:val="zh-CN"/>
        </w:rPr>
        <w:t>2.15 检验和验收</w:t>
      </w:r>
      <w:bookmarkEnd w:id="139"/>
      <w:bookmarkEnd w:id="140"/>
      <w:bookmarkEnd w:id="141"/>
    </w:p>
    <w:p w14:paraId="0F95D15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2.15.1乙方按照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的约定，定期提交服务报告，甲方按照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的约定进行定期验收；</w:t>
      </w:r>
    </w:p>
    <w:p w14:paraId="018DC6E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713ADB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2.15.3检验和验收标准、程序等具体内容以及前述验收书的效力详见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111"/>
    <w:bookmarkEnd w:id="112"/>
    <w:bookmarkEnd w:id="113"/>
    <w:bookmarkEnd w:id="114"/>
    <w:p w14:paraId="08FCD2C7">
      <w:pPr>
        <w:spacing w:line="360" w:lineRule="auto"/>
        <w:ind w:firstLine="437"/>
        <w:outlineLvl w:val="3"/>
        <w:rPr>
          <w:rFonts w:hint="eastAsia" w:ascii="宋体" w:hAnsi="宋体" w:eastAsia="宋体" w:cs="宋体"/>
          <w:b/>
          <w:bCs/>
          <w:color w:val="auto"/>
          <w:sz w:val="24"/>
          <w:highlight w:val="none"/>
        </w:rPr>
      </w:pPr>
      <w:bookmarkStart w:id="142" w:name="_Toc487900373"/>
      <w:bookmarkStart w:id="143" w:name="_Toc279701263"/>
      <w:bookmarkStart w:id="144" w:name="_Toc10330"/>
      <w:bookmarkStart w:id="145" w:name="_Toc259093692"/>
      <w:bookmarkStart w:id="146" w:name="_Toc12773"/>
      <w:bookmarkStart w:id="147" w:name="_Toc18567"/>
      <w:r>
        <w:rPr>
          <w:rFonts w:hint="eastAsia" w:ascii="宋体" w:hAnsi="宋体" w:eastAsia="宋体" w:cs="宋体"/>
          <w:b/>
          <w:bCs/>
          <w:color w:val="auto"/>
          <w:sz w:val="24"/>
          <w:highlight w:val="none"/>
        </w:rPr>
        <w:t xml:space="preserve">2.16 </w:t>
      </w:r>
      <w:r>
        <w:rPr>
          <w:rFonts w:hint="eastAsia" w:ascii="宋体" w:hAnsi="宋体" w:eastAsia="宋体" w:cs="宋体"/>
          <w:b/>
          <w:bCs/>
          <w:color w:val="auto"/>
          <w:sz w:val="24"/>
          <w:highlight w:val="none"/>
          <w:lang w:val="zh-CN"/>
        </w:rPr>
        <w:t>合同使用的文字和适用的法律</w:t>
      </w:r>
      <w:bookmarkEnd w:id="142"/>
      <w:bookmarkEnd w:id="143"/>
      <w:bookmarkEnd w:id="144"/>
      <w:bookmarkEnd w:id="145"/>
      <w:bookmarkEnd w:id="146"/>
      <w:bookmarkEnd w:id="147"/>
    </w:p>
    <w:p w14:paraId="662ED43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2.16.1合同使用汉语书就、变更和解释；</w:t>
      </w:r>
    </w:p>
    <w:p w14:paraId="2D8F229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2.16.2合同适用中华人民共和国法律。</w:t>
      </w:r>
    </w:p>
    <w:p w14:paraId="672F8719">
      <w:pPr>
        <w:spacing w:line="360" w:lineRule="auto"/>
        <w:ind w:firstLine="437"/>
        <w:outlineLvl w:val="3"/>
        <w:rPr>
          <w:rFonts w:hint="eastAsia" w:ascii="宋体" w:hAnsi="宋体" w:eastAsia="宋体" w:cs="宋体"/>
          <w:b/>
          <w:color w:val="auto"/>
          <w:sz w:val="24"/>
          <w:highlight w:val="none"/>
        </w:rPr>
      </w:pPr>
      <w:bookmarkStart w:id="148" w:name="_Toc3148"/>
      <w:bookmarkStart w:id="149" w:name="_Toc259093693"/>
      <w:bookmarkStart w:id="150" w:name="_Toc12004"/>
      <w:bookmarkStart w:id="151" w:name="_Toc279701264"/>
      <w:bookmarkStart w:id="152" w:name="_Toc16673"/>
      <w:bookmarkStart w:id="153" w:name="_Toc487900374"/>
      <w:r>
        <w:rPr>
          <w:rFonts w:hint="eastAsia" w:ascii="宋体" w:hAnsi="宋体" w:eastAsia="宋体" w:cs="宋体"/>
          <w:b/>
          <w:bCs/>
          <w:color w:val="auto"/>
          <w:sz w:val="24"/>
          <w:highlight w:val="none"/>
          <w:lang w:val="zh-CN"/>
        </w:rPr>
        <w:t>2.17 履约保证金</w:t>
      </w:r>
      <w:bookmarkEnd w:id="148"/>
      <w:bookmarkEnd w:id="149"/>
      <w:bookmarkEnd w:id="150"/>
      <w:bookmarkEnd w:id="151"/>
      <w:bookmarkEnd w:id="152"/>
    </w:p>
    <w:p w14:paraId="255EAE6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2.17.1磋商文件要求乙方提交履约保证金（如有）的，乙方应按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约定的方式，以支票、汇票、本票或者金融机构、担保机构出具的保函等非现金形式，提交不超过合同价10%的履约保证金；</w:t>
      </w:r>
    </w:p>
    <w:p w14:paraId="3C55D44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2.17.2履约保证金（如有）在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约定期间内不予退还或者应完全有效，前述约定期间届满之日起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个工作日内，甲方应将履约保证金退还乙方；</w:t>
      </w:r>
    </w:p>
    <w:p w14:paraId="43BE65D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53"/>
    <w:p w14:paraId="7A56AB98">
      <w:pPr>
        <w:spacing w:line="360" w:lineRule="auto"/>
        <w:ind w:firstLine="437"/>
        <w:outlineLvl w:val="3"/>
        <w:rPr>
          <w:rFonts w:hint="eastAsia" w:ascii="宋体" w:hAnsi="宋体" w:eastAsia="宋体" w:cs="宋体"/>
          <w:b/>
          <w:color w:val="auto"/>
          <w:sz w:val="24"/>
          <w:highlight w:val="none"/>
        </w:rPr>
      </w:pPr>
      <w:bookmarkStart w:id="154" w:name="_Toc14001"/>
      <w:bookmarkStart w:id="155" w:name="_Toc19890"/>
      <w:bookmarkStart w:id="156" w:name="_Toc6885"/>
      <w:r>
        <w:rPr>
          <w:rFonts w:hint="eastAsia" w:ascii="宋体" w:hAnsi="宋体" w:eastAsia="宋体" w:cs="宋体"/>
          <w:b/>
          <w:bCs/>
          <w:color w:val="auto"/>
          <w:sz w:val="24"/>
          <w:highlight w:val="none"/>
          <w:lang w:val="zh-CN"/>
        </w:rPr>
        <w:t>2.18 合同份数</w:t>
      </w:r>
      <w:bookmarkEnd w:id="154"/>
      <w:bookmarkEnd w:id="155"/>
      <w:bookmarkEnd w:id="156"/>
    </w:p>
    <w:p w14:paraId="6A01DE0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合同份数按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规定，每份均具有同等法律效力。</w:t>
      </w:r>
    </w:p>
    <w:p w14:paraId="64AF9D77">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color w:val="auto"/>
          <w:sz w:val="24"/>
          <w:highlight w:val="none"/>
        </w:rPr>
        <w:br w:type="page"/>
      </w:r>
      <w:bookmarkStart w:id="157" w:name="_Toc331685784"/>
      <w:r>
        <w:rPr>
          <w:rFonts w:hint="eastAsia" w:ascii="宋体" w:hAnsi="宋体" w:eastAsia="宋体" w:cs="宋体"/>
          <w:b/>
          <w:color w:val="auto"/>
          <w:sz w:val="24"/>
          <w:highlight w:val="none"/>
        </w:rPr>
        <w:t>第三部分 合同专用条款</w:t>
      </w:r>
      <w:bookmarkEnd w:id="157"/>
    </w:p>
    <w:p w14:paraId="4038BFC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3"/>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49A12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5C226EE4">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7568" w:type="dxa"/>
            <w:vAlign w:val="center"/>
          </w:tcPr>
          <w:p w14:paraId="3004F7BF">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约定内容</w:t>
            </w:r>
          </w:p>
        </w:tc>
      </w:tr>
      <w:tr w14:paraId="059EF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46A87A66">
            <w:pPr>
              <w:spacing w:line="560" w:lineRule="exact"/>
              <w:rPr>
                <w:rFonts w:hint="eastAsia" w:ascii="宋体" w:hAnsi="宋体" w:eastAsia="宋体" w:cs="宋体"/>
                <w:color w:val="auto"/>
                <w:sz w:val="24"/>
                <w:highlight w:val="none"/>
              </w:rPr>
            </w:pPr>
          </w:p>
        </w:tc>
        <w:tc>
          <w:tcPr>
            <w:tcW w:w="7568" w:type="dxa"/>
            <w:vAlign w:val="center"/>
          </w:tcPr>
          <w:p w14:paraId="486C8108">
            <w:pPr>
              <w:spacing w:line="560" w:lineRule="exact"/>
              <w:rPr>
                <w:rFonts w:hint="eastAsia" w:ascii="宋体" w:hAnsi="宋体" w:eastAsia="宋体" w:cs="宋体"/>
                <w:color w:val="auto"/>
                <w:sz w:val="24"/>
                <w:highlight w:val="none"/>
              </w:rPr>
            </w:pPr>
          </w:p>
        </w:tc>
      </w:tr>
      <w:tr w14:paraId="1CD02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DB367F6">
            <w:pPr>
              <w:spacing w:line="560" w:lineRule="exact"/>
              <w:rPr>
                <w:rFonts w:hint="eastAsia" w:ascii="宋体" w:hAnsi="宋体" w:eastAsia="宋体" w:cs="宋体"/>
                <w:color w:val="auto"/>
                <w:sz w:val="24"/>
                <w:highlight w:val="none"/>
              </w:rPr>
            </w:pPr>
          </w:p>
        </w:tc>
        <w:tc>
          <w:tcPr>
            <w:tcW w:w="7568" w:type="dxa"/>
            <w:vAlign w:val="center"/>
          </w:tcPr>
          <w:p w14:paraId="26A82CEC">
            <w:pPr>
              <w:spacing w:line="560" w:lineRule="exact"/>
              <w:rPr>
                <w:rFonts w:hint="eastAsia" w:ascii="宋体" w:hAnsi="宋体" w:eastAsia="宋体" w:cs="宋体"/>
                <w:color w:val="auto"/>
                <w:sz w:val="24"/>
                <w:highlight w:val="none"/>
              </w:rPr>
            </w:pPr>
          </w:p>
        </w:tc>
      </w:tr>
      <w:tr w14:paraId="6253D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8F8AFD9">
            <w:pPr>
              <w:spacing w:line="560" w:lineRule="exact"/>
              <w:rPr>
                <w:rFonts w:hint="eastAsia" w:ascii="宋体" w:hAnsi="宋体" w:eastAsia="宋体" w:cs="宋体"/>
                <w:color w:val="auto"/>
                <w:sz w:val="24"/>
                <w:highlight w:val="none"/>
              </w:rPr>
            </w:pPr>
          </w:p>
        </w:tc>
        <w:tc>
          <w:tcPr>
            <w:tcW w:w="7568" w:type="dxa"/>
            <w:vAlign w:val="center"/>
          </w:tcPr>
          <w:p w14:paraId="777F1BA1">
            <w:pPr>
              <w:spacing w:line="560" w:lineRule="exact"/>
              <w:rPr>
                <w:rFonts w:hint="eastAsia" w:ascii="宋体" w:hAnsi="宋体" w:eastAsia="宋体" w:cs="宋体"/>
                <w:color w:val="auto"/>
                <w:sz w:val="24"/>
                <w:highlight w:val="none"/>
              </w:rPr>
            </w:pPr>
          </w:p>
        </w:tc>
      </w:tr>
      <w:tr w14:paraId="5F1DA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64ACBA3">
            <w:pPr>
              <w:spacing w:line="560" w:lineRule="exact"/>
              <w:rPr>
                <w:rFonts w:hint="eastAsia" w:ascii="宋体" w:hAnsi="宋体" w:eastAsia="宋体" w:cs="宋体"/>
                <w:color w:val="auto"/>
                <w:sz w:val="24"/>
                <w:highlight w:val="none"/>
              </w:rPr>
            </w:pPr>
          </w:p>
        </w:tc>
        <w:tc>
          <w:tcPr>
            <w:tcW w:w="7568" w:type="dxa"/>
            <w:vAlign w:val="center"/>
          </w:tcPr>
          <w:p w14:paraId="3E730F45">
            <w:pPr>
              <w:spacing w:line="560" w:lineRule="exact"/>
              <w:rPr>
                <w:rFonts w:hint="eastAsia" w:ascii="宋体" w:hAnsi="宋体" w:eastAsia="宋体" w:cs="宋体"/>
                <w:color w:val="auto"/>
                <w:sz w:val="24"/>
                <w:highlight w:val="none"/>
              </w:rPr>
            </w:pPr>
          </w:p>
        </w:tc>
      </w:tr>
      <w:tr w14:paraId="2BB35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FE3846C">
            <w:pPr>
              <w:spacing w:line="560" w:lineRule="exact"/>
              <w:rPr>
                <w:rFonts w:hint="eastAsia" w:ascii="宋体" w:hAnsi="宋体" w:eastAsia="宋体" w:cs="宋体"/>
                <w:color w:val="auto"/>
                <w:sz w:val="24"/>
                <w:highlight w:val="none"/>
              </w:rPr>
            </w:pPr>
          </w:p>
        </w:tc>
        <w:tc>
          <w:tcPr>
            <w:tcW w:w="7568" w:type="dxa"/>
            <w:vAlign w:val="center"/>
          </w:tcPr>
          <w:p w14:paraId="265BD2D1">
            <w:pPr>
              <w:spacing w:line="560" w:lineRule="exact"/>
              <w:rPr>
                <w:rFonts w:hint="eastAsia" w:ascii="宋体" w:hAnsi="宋体" w:eastAsia="宋体" w:cs="宋体"/>
                <w:color w:val="auto"/>
                <w:sz w:val="24"/>
                <w:highlight w:val="none"/>
                <w:u w:val="single"/>
              </w:rPr>
            </w:pPr>
          </w:p>
        </w:tc>
      </w:tr>
      <w:tr w14:paraId="4DC61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AF0FD76">
            <w:pPr>
              <w:spacing w:line="560" w:lineRule="exact"/>
              <w:rPr>
                <w:rFonts w:hint="eastAsia" w:ascii="宋体" w:hAnsi="宋体" w:eastAsia="宋体" w:cs="宋体"/>
                <w:color w:val="auto"/>
                <w:sz w:val="24"/>
                <w:highlight w:val="none"/>
              </w:rPr>
            </w:pPr>
          </w:p>
        </w:tc>
        <w:tc>
          <w:tcPr>
            <w:tcW w:w="7568" w:type="dxa"/>
            <w:vAlign w:val="center"/>
          </w:tcPr>
          <w:p w14:paraId="2A38529D">
            <w:pPr>
              <w:spacing w:line="560" w:lineRule="exact"/>
              <w:rPr>
                <w:rFonts w:hint="eastAsia" w:ascii="宋体" w:hAnsi="宋体" w:eastAsia="宋体" w:cs="宋体"/>
                <w:color w:val="auto"/>
                <w:sz w:val="24"/>
                <w:highlight w:val="none"/>
              </w:rPr>
            </w:pPr>
          </w:p>
        </w:tc>
      </w:tr>
      <w:tr w14:paraId="188BD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2FDCC5D">
            <w:pPr>
              <w:spacing w:line="560" w:lineRule="exact"/>
              <w:rPr>
                <w:rFonts w:hint="eastAsia" w:ascii="宋体" w:hAnsi="宋体" w:eastAsia="宋体" w:cs="宋体"/>
                <w:color w:val="auto"/>
                <w:sz w:val="24"/>
                <w:highlight w:val="none"/>
              </w:rPr>
            </w:pPr>
          </w:p>
        </w:tc>
        <w:tc>
          <w:tcPr>
            <w:tcW w:w="7568" w:type="dxa"/>
            <w:vAlign w:val="center"/>
          </w:tcPr>
          <w:p w14:paraId="1D95D7FD">
            <w:pPr>
              <w:spacing w:line="560" w:lineRule="exact"/>
              <w:rPr>
                <w:rFonts w:hint="eastAsia" w:ascii="宋体" w:hAnsi="宋体" w:eastAsia="宋体" w:cs="宋体"/>
                <w:color w:val="auto"/>
                <w:sz w:val="24"/>
                <w:highlight w:val="none"/>
                <w:u w:val="single"/>
              </w:rPr>
            </w:pPr>
          </w:p>
        </w:tc>
      </w:tr>
      <w:tr w14:paraId="64BF0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75DAF66">
            <w:pPr>
              <w:spacing w:line="560" w:lineRule="exact"/>
              <w:rPr>
                <w:rFonts w:hint="eastAsia" w:ascii="宋体" w:hAnsi="宋体" w:eastAsia="宋体" w:cs="宋体"/>
                <w:color w:val="auto"/>
                <w:sz w:val="24"/>
                <w:highlight w:val="none"/>
              </w:rPr>
            </w:pPr>
          </w:p>
        </w:tc>
        <w:tc>
          <w:tcPr>
            <w:tcW w:w="7568" w:type="dxa"/>
            <w:vAlign w:val="center"/>
          </w:tcPr>
          <w:p w14:paraId="701EB2D2">
            <w:pPr>
              <w:spacing w:line="560" w:lineRule="exact"/>
              <w:rPr>
                <w:rFonts w:hint="eastAsia" w:ascii="宋体" w:hAnsi="宋体" w:eastAsia="宋体" w:cs="宋体"/>
                <w:color w:val="auto"/>
                <w:sz w:val="24"/>
                <w:highlight w:val="none"/>
              </w:rPr>
            </w:pPr>
          </w:p>
        </w:tc>
      </w:tr>
      <w:tr w14:paraId="0A39D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FCF793C">
            <w:pPr>
              <w:spacing w:line="560" w:lineRule="exact"/>
              <w:rPr>
                <w:rFonts w:hint="eastAsia" w:ascii="宋体" w:hAnsi="宋体" w:eastAsia="宋体" w:cs="宋体"/>
                <w:color w:val="auto"/>
                <w:sz w:val="24"/>
                <w:highlight w:val="none"/>
              </w:rPr>
            </w:pPr>
          </w:p>
        </w:tc>
        <w:tc>
          <w:tcPr>
            <w:tcW w:w="7568" w:type="dxa"/>
            <w:vAlign w:val="center"/>
          </w:tcPr>
          <w:p w14:paraId="256AB8A2">
            <w:pPr>
              <w:spacing w:line="560" w:lineRule="exact"/>
              <w:rPr>
                <w:rFonts w:hint="eastAsia" w:ascii="宋体" w:hAnsi="宋体" w:eastAsia="宋体" w:cs="宋体"/>
                <w:color w:val="auto"/>
                <w:sz w:val="24"/>
                <w:highlight w:val="none"/>
              </w:rPr>
            </w:pPr>
          </w:p>
        </w:tc>
      </w:tr>
      <w:tr w14:paraId="68FA55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8F01F0C">
            <w:pPr>
              <w:spacing w:line="560" w:lineRule="exact"/>
              <w:rPr>
                <w:rFonts w:hint="eastAsia" w:ascii="宋体" w:hAnsi="宋体" w:eastAsia="宋体" w:cs="宋体"/>
                <w:color w:val="auto"/>
                <w:sz w:val="24"/>
                <w:highlight w:val="none"/>
              </w:rPr>
            </w:pPr>
          </w:p>
        </w:tc>
        <w:tc>
          <w:tcPr>
            <w:tcW w:w="7568" w:type="dxa"/>
            <w:vAlign w:val="center"/>
          </w:tcPr>
          <w:p w14:paraId="5EE3ECA5">
            <w:pPr>
              <w:spacing w:line="560" w:lineRule="exact"/>
              <w:rPr>
                <w:rFonts w:hint="eastAsia" w:ascii="宋体" w:hAnsi="宋体" w:eastAsia="宋体" w:cs="宋体"/>
                <w:color w:val="auto"/>
                <w:sz w:val="24"/>
                <w:highlight w:val="none"/>
              </w:rPr>
            </w:pPr>
          </w:p>
        </w:tc>
      </w:tr>
      <w:tr w14:paraId="03FFE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6A553E3">
            <w:pPr>
              <w:spacing w:line="560" w:lineRule="exact"/>
              <w:rPr>
                <w:rFonts w:hint="eastAsia" w:ascii="宋体" w:hAnsi="宋体" w:eastAsia="宋体" w:cs="宋体"/>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6F900AEC">
            <w:pPr>
              <w:spacing w:line="560" w:lineRule="exact"/>
              <w:rPr>
                <w:rFonts w:hint="eastAsia" w:ascii="宋体" w:hAnsi="宋体" w:eastAsia="宋体" w:cs="宋体"/>
                <w:color w:val="auto"/>
                <w:sz w:val="24"/>
                <w:highlight w:val="none"/>
              </w:rPr>
            </w:pPr>
          </w:p>
        </w:tc>
      </w:tr>
      <w:tr w14:paraId="273087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BA652FF">
            <w:pPr>
              <w:spacing w:line="560" w:lineRule="exact"/>
              <w:rPr>
                <w:rFonts w:hint="eastAsia" w:ascii="宋体" w:hAnsi="宋体" w:eastAsia="宋体" w:cs="宋体"/>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06CAA535">
            <w:pPr>
              <w:spacing w:line="560" w:lineRule="exact"/>
              <w:rPr>
                <w:rFonts w:hint="eastAsia" w:ascii="宋体" w:hAnsi="宋体" w:eastAsia="宋体" w:cs="宋体"/>
                <w:color w:val="auto"/>
                <w:sz w:val="24"/>
                <w:highlight w:val="none"/>
              </w:rPr>
            </w:pPr>
          </w:p>
        </w:tc>
      </w:tr>
    </w:tbl>
    <w:p w14:paraId="6C5CE197">
      <w:pPr>
        <w:spacing w:before="240" w:beforeLines="100" w:after="120" w:afterLines="50"/>
        <w:outlineLvl w:val="3"/>
        <w:rPr>
          <w:rFonts w:hint="eastAsia" w:ascii="宋体" w:hAnsi="宋体" w:eastAsia="宋体" w:cs="Times New Roman"/>
          <w:b/>
          <w:bCs/>
          <w:color w:val="auto"/>
          <w:spacing w:val="-1"/>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Times New Roman"/>
          <w:b/>
          <w:bCs/>
          <w:color w:val="auto"/>
          <w:spacing w:val="-1"/>
          <w:sz w:val="28"/>
          <w:szCs w:val="28"/>
          <w:highlight w:val="none"/>
        </w:rPr>
        <w:t>合同附件1</w:t>
      </w:r>
    </w:p>
    <w:p w14:paraId="424750F2">
      <w:pPr>
        <w:adjustRightInd w:val="0"/>
        <w:snapToGrid w:val="0"/>
        <w:spacing w:before="240" w:beforeLines="100" w:after="120" w:afterLines="50" w:line="360" w:lineRule="auto"/>
        <w:jc w:val="center"/>
        <w:rPr>
          <w:rFonts w:hint="eastAsia" w:ascii="宋体" w:hAnsi="宋体" w:eastAsia="宋体" w:cs="黑体"/>
          <w:b/>
          <w:color w:val="auto"/>
          <w:spacing w:val="-1"/>
          <w:sz w:val="32"/>
          <w:szCs w:val="32"/>
          <w:highlight w:val="none"/>
          <w:lang w:eastAsia="zh-Hans"/>
        </w:rPr>
      </w:pPr>
      <w:r>
        <w:rPr>
          <w:rFonts w:hint="eastAsia" w:ascii="宋体" w:hAnsi="宋体" w:eastAsia="宋体" w:cs="黑体"/>
          <w:b/>
          <w:color w:val="auto"/>
          <w:spacing w:val="-1"/>
          <w:sz w:val="32"/>
          <w:szCs w:val="32"/>
          <w:highlight w:val="none"/>
          <w:lang w:eastAsia="zh-Hans"/>
        </w:rPr>
        <w:t>规范运营承诺书</w:t>
      </w:r>
    </w:p>
    <w:p w14:paraId="44F92DC1">
      <w:pPr>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为保证体艺课程坚持特色发展、普惠公益的原则，在双休日、节假日、寒暑假期间为广大在校学生提供体育、艺术、科技类教育培训服务，丰富学生课余生活，充分发挥体艺育人功能。本公司作为</w:t>
      </w:r>
      <w:r>
        <w:rPr>
          <w:rFonts w:hint="eastAsia" w:ascii="宋体" w:hAnsi="宋体" w:eastAsia="宋体" w:cs="宋体"/>
          <w:color w:val="auto"/>
          <w:sz w:val="24"/>
          <w:szCs w:val="18"/>
          <w:highlight w:val="none"/>
          <w:u w:val="single"/>
          <w:lang w:eastAsia="zh-CN"/>
        </w:rPr>
        <w:t>包河区体艺中心合肥市师范附属小学课程服务单位（第二部分）招标（二次）</w:t>
      </w:r>
      <w:r>
        <w:rPr>
          <w:rFonts w:hint="eastAsia" w:ascii="宋体" w:hAnsi="宋体" w:eastAsia="宋体" w:cs="宋体"/>
          <w:color w:val="auto"/>
          <w:sz w:val="24"/>
          <w:szCs w:val="18"/>
          <w:highlight w:val="none"/>
          <w:u w:val="single"/>
          <w:lang w:val="en-US" w:eastAsia="zh-CN"/>
        </w:rPr>
        <w:t>第XX标段</w:t>
      </w:r>
      <w:r>
        <w:rPr>
          <w:rFonts w:hint="eastAsia" w:ascii="Times New Roman" w:hAnsi="Times New Roman" w:eastAsia="宋体" w:cs="Times New Roman"/>
          <w:color w:val="auto"/>
          <w:sz w:val="24"/>
          <w:szCs w:val="24"/>
          <w:highlight w:val="none"/>
        </w:rPr>
        <w:t>的委托运营主体，郑重作出以下承诺：</w:t>
      </w:r>
    </w:p>
    <w:p w14:paraId="265D16C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1.严守社会主义核心价值观，维护国家荣誉，遵守社会公德，坚持以学生为核心，诚信经营，提供优质的体艺课程培训服务。</w:t>
      </w:r>
    </w:p>
    <w:p w14:paraId="5C3FF6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2.严格遵守宪法法律及其他相关管理规定，积极接受广大学生家长、学校主管部门的监督。</w:t>
      </w:r>
    </w:p>
    <w:p w14:paraId="1CDCE85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3.知晓学校规范运营的各项规定，积极协助学校组织的各项活动，完全遵守、服从学校的各项规定、要求。</w:t>
      </w:r>
    </w:p>
    <w:p w14:paraId="61CB504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通过场馆显示屏、宣传海报等渠道，宣传散布违背党和人民利益、不利于国家民族团结以及违反社会主义核心价值观的思想言论；不为破坏民族团结、煽动民族分裂，危害社会稳定、国家安全和祖国统一等非法行为及非法社会组织提供活动场所等条件。</w:t>
      </w:r>
    </w:p>
    <w:p w14:paraId="6E9A501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5.加强数据安全管理，严格遵守个人信息保护相关规定，不非法收集和滥用个人信息。不泄露、篡改、损毁已收集的个人信息，未经同意不向他人提供个人信息。</w:t>
      </w:r>
    </w:p>
    <w:p w14:paraId="30FF7D3D">
      <w:pPr>
        <w:wordWrap w:val="0"/>
        <w:spacing w:line="360" w:lineRule="auto"/>
        <w:jc w:val="right"/>
        <w:rPr>
          <w:rFonts w:ascii="Times New Roman" w:hAnsi="Times New Roman" w:eastAsia="宋体" w:cs="Times New Roman"/>
          <w:color w:val="auto"/>
          <w:sz w:val="24"/>
          <w:szCs w:val="24"/>
          <w:highlight w:val="none"/>
        </w:rPr>
      </w:pPr>
      <w:r>
        <w:rPr>
          <w:rFonts w:hint="eastAsia" w:ascii="宋体" w:hAnsi="宋体" w:eastAsia="宋体" w:cs="宋体"/>
          <w:color w:val="auto"/>
          <w:sz w:val="24"/>
          <w:szCs w:val="24"/>
          <w:highlight w:val="none"/>
        </w:rPr>
        <w:t xml:space="preserve">公司名称： </w:t>
      </w:r>
      <w:r>
        <w:rPr>
          <w:rFonts w:hint="eastAsia" w:ascii="Times New Roman" w:hAnsi="Times New Roman" w:eastAsia="宋体" w:cs="Times New Roman"/>
          <w:color w:val="auto"/>
          <w:sz w:val="24"/>
          <w:szCs w:val="24"/>
          <w:highlight w:val="none"/>
        </w:rPr>
        <w:t xml:space="preserve">          </w:t>
      </w:r>
    </w:p>
    <w:p w14:paraId="547462CD">
      <w:pPr>
        <w:wordWrap w:val="0"/>
        <w:jc w:val="right"/>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日</w:t>
      </w:r>
      <w:r>
        <w:rPr>
          <w:rFonts w:hint="eastAsia" w:ascii="Times New Roman" w:hAnsi="Times New Roman" w:eastAsia="宋体" w:cs="Times New Roman"/>
          <w:color w:val="auto"/>
          <w:sz w:val="24"/>
          <w:szCs w:val="24"/>
          <w:highlight w:val="none"/>
          <w:lang w:val="en-US" w:eastAsia="zh-CN"/>
        </w:rPr>
        <w:t xml:space="preserve">    </w:t>
      </w:r>
      <w:r>
        <w:rPr>
          <w:rFonts w:hint="eastAsia" w:ascii="Times New Roman" w:hAnsi="Times New Roman" w:eastAsia="宋体" w:cs="Times New Roman"/>
          <w:color w:val="auto"/>
          <w:sz w:val="24"/>
          <w:szCs w:val="24"/>
          <w:highlight w:val="none"/>
        </w:rPr>
        <w:t xml:space="preserve">期：           </w:t>
      </w:r>
    </w:p>
    <w:p w14:paraId="0FFF43EB">
      <w:pPr>
        <w:rPr>
          <w:rFonts w:ascii="Times New Roman" w:hAnsi="Times New Roman" w:eastAsia="宋体" w:cs="Times New Roman"/>
          <w:color w:val="auto"/>
          <w:sz w:val="24"/>
          <w:szCs w:val="24"/>
          <w:highlight w:val="none"/>
        </w:rPr>
      </w:pPr>
    </w:p>
    <w:p w14:paraId="4ECF6CBB">
      <w:pPr>
        <w:rPr>
          <w:rFonts w:ascii="Times New Roman" w:hAnsi="Times New Roman" w:eastAsia="宋体" w:cs="Times New Roman"/>
          <w:color w:val="auto"/>
          <w:highlight w:val="none"/>
        </w:rPr>
        <w:sectPr>
          <w:footerReference r:id="rId6" w:type="default"/>
          <w:pgSz w:w="11910" w:h="16840"/>
          <w:pgMar w:top="1580" w:right="1520" w:bottom="1080" w:left="1540" w:header="0" w:footer="894" w:gutter="0"/>
          <w:pgNumType w:start="20"/>
          <w:cols w:space="720" w:num="1"/>
          <w:docGrid w:linePitch="381" w:charSpace="0"/>
        </w:sectPr>
      </w:pPr>
    </w:p>
    <w:p w14:paraId="1939B33F">
      <w:pPr>
        <w:spacing w:before="240" w:beforeLines="100" w:after="120" w:afterLines="50"/>
        <w:outlineLvl w:val="3"/>
        <w:rPr>
          <w:rFonts w:hint="eastAsia" w:ascii="宋体" w:hAnsi="宋体" w:eastAsia="宋体" w:cs="Times New Roman"/>
          <w:b/>
          <w:bCs/>
          <w:color w:val="auto"/>
          <w:spacing w:val="-1"/>
          <w:sz w:val="28"/>
          <w:szCs w:val="28"/>
          <w:highlight w:val="none"/>
        </w:rPr>
      </w:pPr>
      <w:r>
        <w:rPr>
          <w:rFonts w:hint="eastAsia" w:ascii="宋体" w:hAnsi="宋体" w:eastAsia="宋体" w:cs="Times New Roman"/>
          <w:b/>
          <w:bCs/>
          <w:color w:val="auto"/>
          <w:spacing w:val="-1"/>
          <w:sz w:val="28"/>
          <w:szCs w:val="28"/>
          <w:highlight w:val="none"/>
        </w:rPr>
        <w:t>合同附件2</w:t>
      </w:r>
    </w:p>
    <w:p w14:paraId="559E4908">
      <w:pPr>
        <w:adjustRightInd w:val="0"/>
        <w:snapToGrid w:val="0"/>
        <w:spacing w:before="240" w:beforeLines="100" w:after="120" w:afterLines="50" w:line="360" w:lineRule="auto"/>
        <w:jc w:val="center"/>
        <w:rPr>
          <w:rFonts w:hint="eastAsia" w:ascii="宋体" w:hAnsi="宋体" w:eastAsia="宋体" w:cs="黑体"/>
          <w:b/>
          <w:color w:val="auto"/>
          <w:spacing w:val="-1"/>
          <w:sz w:val="32"/>
          <w:szCs w:val="32"/>
          <w:highlight w:val="none"/>
          <w:lang w:eastAsia="zh-Hans"/>
        </w:rPr>
      </w:pPr>
      <w:r>
        <w:rPr>
          <w:rFonts w:hint="eastAsia" w:ascii="宋体" w:hAnsi="宋体" w:eastAsia="宋体" w:cs="黑体"/>
          <w:b/>
          <w:color w:val="auto"/>
          <w:spacing w:val="-1"/>
          <w:sz w:val="32"/>
          <w:szCs w:val="32"/>
          <w:highlight w:val="none"/>
          <w:lang w:eastAsia="zh-Hans"/>
        </w:rPr>
        <w:t>安全运营责任承诺书</w:t>
      </w:r>
    </w:p>
    <w:p w14:paraId="3464AD3F">
      <w:pPr>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为强化安全经营意识，明确安全责任，防止重大事故发生，维护健康经营和发展，根据《中华人民共和国安全生产法》，本单位就安全经营责任作出如下承诺：</w:t>
      </w:r>
    </w:p>
    <w:p w14:paraId="15570E9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1.按照有关法律法规规定办理证照，合法经营。</w:t>
      </w:r>
    </w:p>
    <w:p w14:paraId="47D7CCB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2.坚持“安全第一、预防为主”的安全经营方针和“谁主管、谁负责；谁使用，谁负责”的原则，严格执行各项安全生产法规，建立安全经营秩序和运行机制，强化安全经营意识，加大安全管理力度。</w:t>
      </w:r>
    </w:p>
    <w:p w14:paraId="3CD546B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加强本单位的安全工作。以教育、检查、分析、除患等多种方式，全面落实《突发事件应急处理预案》和经营场所内的各项安全保障措施，从安全大局出发，督促和要求员工切实做好各项安全生产工作。定期开展突发事件灭火、救护、疏散演练，并在演练中不断增强危机处理能力。 </w:t>
      </w:r>
    </w:p>
    <w:p w14:paraId="5D07E50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强化消防安全管理。根据《中华人民共和国消防法》的相关法律、法规的规定，本单位承诺为所属区域消防安全责任人。严格履行消防安全责任，积极采取有效措施消除安全隐患，防止火灾发生，并对消防安全负全面责任。场所内严禁实施私搭乱接电线、堆放易燃、易爆物品和危险品等行为。严禁设备超负荷运行及带病作业；安装和修理用电设备、仪器时，由专业人员进行操作并认真检验。未经消防、电力部门允许，不实施使用大功率电器和私拉电力线路等存在消防隐患的行为，以防火灾。服从安全生产、消防主管部门及甲方的统一监督和管理，按规定定期对场馆进行例行安全检查，对消防设施、特种设备进行检修维护，保证疏散通道和安全出口畅通，积极配合完成各项安全、消防工作任务。</w:t>
      </w:r>
    </w:p>
    <w:p w14:paraId="12EB117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5.坚决实现“四无一杜绝”：无重大火灾、无安全事故、无重大人身伤害事故及无重大资产损害事故，杜绝恶性人为责任事故并有效控制意外突发事件。</w:t>
      </w:r>
    </w:p>
    <w:p w14:paraId="5F0AEC9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6.在经营过程中如发生安全责任事故，本单位自愿承担一切安全事故责任。</w:t>
      </w:r>
    </w:p>
    <w:p w14:paraId="4122F9DA">
      <w:pPr>
        <w:spacing w:line="360" w:lineRule="auto"/>
        <w:ind w:left="3570" w:leftChars="1700"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承诺单位（盖章）：</w:t>
      </w:r>
    </w:p>
    <w:p w14:paraId="75D80558">
      <w:pPr>
        <w:spacing w:line="360" w:lineRule="auto"/>
        <w:ind w:left="3570" w:leftChars="1700"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 xml:space="preserve">承诺单位法人或授权代表（签字）：         </w:t>
      </w:r>
    </w:p>
    <w:p w14:paraId="7B520969">
      <w:pPr>
        <w:spacing w:line="360" w:lineRule="auto"/>
        <w:ind w:left="3570" w:leftChars="1700"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签订日期：     年    月    日</w:t>
      </w:r>
    </w:p>
    <w:p w14:paraId="522D5457">
      <w:pPr>
        <w:spacing w:line="360" w:lineRule="auto"/>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br w:type="page"/>
      </w:r>
      <w:r>
        <w:rPr>
          <w:rFonts w:hint="eastAsia" w:ascii="宋体" w:hAnsi="宋体" w:eastAsia="宋体" w:cs="Times New Roman"/>
          <w:b/>
          <w:bCs/>
          <w:color w:val="auto"/>
          <w:spacing w:val="-1"/>
          <w:sz w:val="28"/>
          <w:szCs w:val="28"/>
          <w:highlight w:val="none"/>
        </w:rPr>
        <w:t>合同附件3</w:t>
      </w:r>
    </w:p>
    <w:p w14:paraId="30096187">
      <w:pPr>
        <w:adjustRightInd w:val="0"/>
        <w:snapToGrid w:val="0"/>
        <w:spacing w:before="240" w:beforeLines="100" w:after="120" w:afterLines="50" w:line="360" w:lineRule="auto"/>
        <w:jc w:val="center"/>
        <w:rPr>
          <w:rFonts w:hint="eastAsia" w:ascii="宋体" w:hAnsi="宋体" w:eastAsia="宋体" w:cs="黑体"/>
          <w:b/>
          <w:color w:val="auto"/>
          <w:spacing w:val="-1"/>
          <w:sz w:val="32"/>
          <w:szCs w:val="32"/>
          <w:highlight w:val="none"/>
          <w:lang w:eastAsia="zh-Hans"/>
        </w:rPr>
      </w:pPr>
      <w:r>
        <w:rPr>
          <w:rFonts w:hint="eastAsia" w:ascii="宋体" w:hAnsi="宋体" w:eastAsia="宋体" w:cs="黑体"/>
          <w:b/>
          <w:color w:val="auto"/>
          <w:spacing w:val="-1"/>
          <w:sz w:val="32"/>
          <w:szCs w:val="32"/>
          <w:highlight w:val="none"/>
          <w:lang w:eastAsia="zh-Hans"/>
        </w:rPr>
        <w:t>学期考核办法</w:t>
      </w:r>
    </w:p>
    <w:p w14:paraId="72EF3C4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为加强包河区体艺中心合肥市师范附属小学***课程项目质量管理，科学评价项目运营绩效，现制定合作项目绩效综合考评办法：</w:t>
      </w:r>
    </w:p>
    <w:p w14:paraId="5EE94205">
      <w:pPr>
        <w:spacing w:before="120" w:beforeLines="50" w:after="120" w:after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一、基础评价内容（优秀90分及以上；良好70-90分；不合格70分以下）</w:t>
      </w:r>
    </w:p>
    <w:p w14:paraId="359690F5">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w:t>
      </w:r>
      <w:bookmarkStart w:id="158" w:name="_Hlk161650366"/>
      <w:r>
        <w:rPr>
          <w:rFonts w:hint="eastAsia" w:ascii="宋体" w:hAnsi="宋体" w:eastAsia="宋体" w:cs="宋体"/>
          <w:b/>
          <w:bCs/>
          <w:color w:val="auto"/>
          <w:kern w:val="0"/>
          <w:sz w:val="24"/>
          <w:szCs w:val="24"/>
          <w:highlight w:val="none"/>
          <w:lang w:val="en-US" w:eastAsia="zh-CN"/>
        </w:rPr>
        <w:t>课程服务</w:t>
      </w:r>
      <w:r>
        <w:rPr>
          <w:rFonts w:hint="eastAsia" w:ascii="宋体" w:hAnsi="宋体" w:eastAsia="宋体" w:cs="宋体"/>
          <w:b/>
          <w:bCs/>
          <w:color w:val="auto"/>
          <w:kern w:val="0"/>
          <w:sz w:val="24"/>
          <w:szCs w:val="24"/>
          <w:highlight w:val="none"/>
        </w:rPr>
        <w:t>情况</w:t>
      </w:r>
      <w:bookmarkEnd w:id="158"/>
      <w:r>
        <w:rPr>
          <w:rFonts w:hint="eastAsia" w:ascii="宋体" w:hAnsi="宋体" w:eastAsia="宋体" w:cs="宋体"/>
          <w:b/>
          <w:bCs/>
          <w:color w:val="auto"/>
          <w:kern w:val="0"/>
          <w:sz w:val="24"/>
          <w:szCs w:val="24"/>
          <w:highlight w:val="none"/>
        </w:rPr>
        <w:t>（每项20分，总计20分）</w:t>
      </w:r>
    </w:p>
    <w:p w14:paraId="25FD9903">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家长</w:t>
      </w:r>
      <w:r>
        <w:rPr>
          <w:rFonts w:hint="eastAsia" w:ascii="宋体" w:hAnsi="宋体" w:eastAsia="宋体" w:cs="宋体"/>
          <w:b/>
          <w:bCs/>
          <w:color w:val="auto"/>
          <w:sz w:val="24"/>
          <w:szCs w:val="24"/>
          <w:highlight w:val="none"/>
        </w:rPr>
        <w:t>满意程度</w:t>
      </w:r>
    </w:p>
    <w:p w14:paraId="0CE3BE57">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（得分：</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w:t>
      </w:r>
    </w:p>
    <w:p w14:paraId="1809D69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rPr>
        <w:t>优秀：一学期</w:t>
      </w:r>
      <w:bookmarkStart w:id="159" w:name="OLE_LINK8"/>
      <w:r>
        <w:rPr>
          <w:rFonts w:hint="eastAsia" w:ascii="宋体" w:hAnsi="宋体" w:eastAsia="宋体" w:cs="宋体"/>
          <w:color w:val="auto"/>
          <w:sz w:val="24"/>
          <w:szCs w:val="24"/>
          <w:highlight w:val="none"/>
        </w:rPr>
        <w:t>/全年</w:t>
      </w:r>
      <w:bookmarkEnd w:id="159"/>
      <w:r>
        <w:rPr>
          <w:rFonts w:hint="eastAsia" w:ascii="宋体" w:hAnsi="宋体" w:eastAsia="宋体" w:cs="宋体"/>
          <w:color w:val="auto"/>
          <w:sz w:val="24"/>
          <w:szCs w:val="24"/>
          <w:highlight w:val="none"/>
        </w:rPr>
        <w:t>无学生、家长投诉现象；</w:t>
      </w:r>
    </w:p>
    <w:p w14:paraId="4C792CA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（2）良好：一学期/全年投诉量不高于10例；</w:t>
      </w:r>
    </w:p>
    <w:p w14:paraId="5FB3C4E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（3）不合格：一学期/全年投诉量大于10例。</w:t>
      </w:r>
    </w:p>
    <w:p w14:paraId="0E96E7BC">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（二）运营能力考核（每项10分，总计20分）</w:t>
      </w:r>
    </w:p>
    <w:p w14:paraId="4E44C1C8">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1.教师专业技能人才供给</w:t>
      </w:r>
    </w:p>
    <w:p w14:paraId="3ECAEF1F">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（得分：</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w:t>
      </w:r>
    </w:p>
    <w:p w14:paraId="0A444D7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（1）优秀：执教经验≥4年的教练占比不低于50%；</w:t>
      </w:r>
    </w:p>
    <w:p w14:paraId="795C492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（2）良好：执教经验≥2年的教练占比不低于50%；</w:t>
      </w:r>
    </w:p>
    <w:p w14:paraId="646E901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（3）不合格：执教经验≥2年的教练占比低于50%；</w:t>
      </w:r>
    </w:p>
    <w:p w14:paraId="0099B99E">
      <w:pPr>
        <w:spacing w:line="360" w:lineRule="auto"/>
        <w:ind w:firstLine="482" w:firstLineChars="200"/>
        <w:rPr>
          <w:rFonts w:hint="eastAsia" w:ascii="宋体" w:hAnsi="宋体" w:eastAsia="宋体" w:cs="宋体"/>
          <w:b/>
          <w:bCs/>
          <w:color w:val="auto"/>
          <w:sz w:val="24"/>
          <w:szCs w:val="24"/>
          <w:highlight w:val="none"/>
          <w:lang w:eastAsia="zh-Hans"/>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eastAsia="zh-Hans"/>
        </w:rPr>
        <w:t>规范化、标准化管理水平</w:t>
      </w:r>
    </w:p>
    <w:p w14:paraId="247282EB">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（得分：</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w:t>
      </w:r>
    </w:p>
    <w:p w14:paraId="581544C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（1）优秀：规范化、标准化管理水平高，相关管理规范、标准、体系制度齐全、有效、执行情况好；</w:t>
      </w:r>
    </w:p>
    <w:p w14:paraId="42FBFEE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（2）良好：规范化、标准化管理水平较高，相关管理规范、标准、体系制度较齐全、执行情况较好；</w:t>
      </w:r>
    </w:p>
    <w:p w14:paraId="586F21C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（3）不合格：规范化、标准化管理水平一般，相关管理规范、标准、体系制度不齐全、执行情况一般</w:t>
      </w:r>
    </w:p>
    <w:p w14:paraId="3A700080">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（三）安全管理考核（每项15分，总计30分）</w:t>
      </w:r>
    </w:p>
    <w:p w14:paraId="75CFF83A">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1.设施设备管理</w:t>
      </w:r>
    </w:p>
    <w:p w14:paraId="4672BF15">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（得分：</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w:t>
      </w:r>
    </w:p>
    <w:p w14:paraId="3B1965C4">
      <w:pPr>
        <w:spacing w:line="360" w:lineRule="auto"/>
        <w:ind w:firstLine="480" w:firstLineChars="200"/>
        <w:rPr>
          <w:rFonts w:hint="eastAsia" w:ascii="宋体" w:hAnsi="宋体" w:eastAsia="宋体" w:cs="宋体"/>
          <w:b/>
          <w:bCs/>
          <w:color w:val="auto"/>
          <w:sz w:val="24"/>
          <w:szCs w:val="24"/>
          <w:highlight w:val="none"/>
          <w:lang w:eastAsia="zh-Hans"/>
        </w:rPr>
      </w:pPr>
      <w:r>
        <w:rPr>
          <w:rFonts w:hint="eastAsia" w:ascii="宋体" w:hAnsi="宋体" w:eastAsia="宋体" w:cs="宋体"/>
          <w:color w:val="auto"/>
          <w:sz w:val="24"/>
          <w:szCs w:val="24"/>
          <w:highlight w:val="none"/>
        </w:rPr>
        <w:t>（1）优秀：维保工作良好进行，运营期间对与体艺经营有关的设施能及时修、更换，保障功能正常使用，维修更换有记录可追踪；</w:t>
      </w:r>
    </w:p>
    <w:p w14:paraId="5861E19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（2）良好：维保工作基本进行，运营期间对与体艺经营有关的设施能定期维修、更换，基本保障功能正常使用；</w:t>
      </w:r>
    </w:p>
    <w:p w14:paraId="3E17A84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（3）不合格：维保工作未有效进行，运营期间对与体艺经营有关的设施不能及时维修、更换，功能无法正常使用。</w:t>
      </w:r>
    </w:p>
    <w:p w14:paraId="77C670FF">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课程</w:t>
      </w:r>
      <w:r>
        <w:rPr>
          <w:rFonts w:hint="eastAsia" w:ascii="宋体" w:hAnsi="宋体" w:eastAsia="宋体" w:cs="宋体"/>
          <w:b/>
          <w:bCs/>
          <w:color w:val="auto"/>
          <w:sz w:val="24"/>
          <w:szCs w:val="24"/>
          <w:highlight w:val="none"/>
        </w:rPr>
        <w:t>风险控制</w:t>
      </w:r>
    </w:p>
    <w:p w14:paraId="12E9D9A8">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（得分：</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w:t>
      </w:r>
    </w:p>
    <w:p w14:paraId="304FAE9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（1）优秀：风险控制意识强，相关的责任保险齐全、提供意外险购买服务、活动风险控制管理办法齐全合理，应急预案完善并定期开展相关培训及演练；</w:t>
      </w:r>
    </w:p>
    <w:p w14:paraId="7BEA99C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（2）良好：风险控制意识较强，相关的责任保险较齐全、提供意外险购买服务、活动风险控制管理办法较齐全合理，应急预案较为完善并定期开展相关培训及演练；</w:t>
      </w:r>
    </w:p>
    <w:p w14:paraId="721AFC0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（3）不合格：风险控制意识一般，相关的责任保险不齐全、未提供意外险购买服务、活动风险控制管理办法一般，应急预案一般，未定期开展相关培训及演练；</w:t>
      </w:r>
    </w:p>
    <w:p w14:paraId="10428490">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（四）活动执行（每项10分，总计10分）</w:t>
      </w:r>
    </w:p>
    <w:p w14:paraId="7507247E">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1.服务保障</w:t>
      </w:r>
    </w:p>
    <w:p w14:paraId="2E0FEC16">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（得分：</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w:t>
      </w:r>
    </w:p>
    <w:p w14:paraId="33E0DAA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（1）优秀：积极承办学校的各类活动、公益课程及体艺赛事，并提供良好保障。</w:t>
      </w:r>
    </w:p>
    <w:p w14:paraId="5430867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（2）良好：基本执行学校的各类活动、公益课程及体艺赛事。</w:t>
      </w:r>
    </w:p>
    <w:p w14:paraId="64A3689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（3）不合格：未能承接学校组织的活动和公益课程，未满足学校的活动需求。</w:t>
      </w:r>
    </w:p>
    <w:p w14:paraId="6BF0F94B">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（五）合作履行情况（每项20分，总计20分）</w:t>
      </w:r>
    </w:p>
    <w:p w14:paraId="7AAB0F30">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1.统一管理遵守情况</w:t>
      </w:r>
    </w:p>
    <w:p w14:paraId="0F729D00">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（得分：</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w:t>
      </w:r>
    </w:p>
    <w:p w14:paraId="3AFDC68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（1）优秀：严格遵循合作原则，严格遵守学校日常运营管理规范；</w:t>
      </w:r>
    </w:p>
    <w:p w14:paraId="34B594A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（2）良好：基本遵循合作原则，较好遵守学校日常运营管理规范；</w:t>
      </w:r>
    </w:p>
    <w:p w14:paraId="3515080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（3）不合格：遵守学校日常运营管理规范一般的。</w:t>
      </w:r>
    </w:p>
    <w:p w14:paraId="02E13528">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二、一票否决制</w:t>
      </w:r>
    </w:p>
    <w:p w14:paraId="14C0FFBF">
      <w:pPr>
        <w:spacing w:line="360" w:lineRule="auto"/>
        <w:ind w:firstLine="482" w:firstLineChars="200"/>
        <w:rPr>
          <w:rFonts w:hint="eastAsia" w:ascii="宋体" w:hAnsi="宋体" w:eastAsia="宋体" w:cs="宋体"/>
          <w:b/>
          <w:bCs/>
          <w:color w:val="auto"/>
          <w:sz w:val="24"/>
          <w:szCs w:val="24"/>
          <w:highlight w:val="none"/>
        </w:rPr>
      </w:pPr>
      <w:bookmarkStart w:id="160" w:name="_Hlk161650453"/>
      <w:r>
        <w:rPr>
          <w:rFonts w:hint="eastAsia" w:ascii="宋体" w:hAnsi="宋体" w:eastAsia="宋体" w:cs="宋体"/>
          <w:b/>
          <w:bCs/>
          <w:color w:val="auto"/>
          <w:sz w:val="24"/>
          <w:szCs w:val="24"/>
          <w:highlight w:val="none"/>
        </w:rPr>
        <w:t>如运营单位发生一票否决行为，甲方有权随时调整运营方式或无责解除合同，且有权向乙方进行追责和追偿：</w:t>
      </w:r>
    </w:p>
    <w:bookmarkEnd w:id="160"/>
    <w:p w14:paraId="4B200F6A">
      <w:pPr>
        <w:spacing w:line="360" w:lineRule="auto"/>
        <w:ind w:firstLine="482" w:firstLineChars="200"/>
        <w:rPr>
          <w:rFonts w:hint="eastAsia" w:ascii="宋体" w:hAnsi="宋体" w:eastAsia="宋体" w:cs="宋体"/>
          <w:b/>
          <w:bCs/>
          <w:color w:val="auto"/>
          <w:sz w:val="24"/>
          <w:szCs w:val="24"/>
          <w:highlight w:val="none"/>
        </w:rPr>
      </w:pPr>
      <w:bookmarkStart w:id="161" w:name="_Hlk161650489"/>
      <w:r>
        <w:rPr>
          <w:rFonts w:hint="eastAsia" w:ascii="宋体" w:hAnsi="宋体" w:eastAsia="宋体" w:cs="宋体"/>
          <w:b/>
          <w:bCs/>
          <w:color w:val="auto"/>
          <w:sz w:val="24"/>
          <w:szCs w:val="24"/>
          <w:highlight w:val="none"/>
        </w:rPr>
        <w:t>1.出现以下情况，且经甲方提醒后10个工作日未完成整改的，触发一票否决：</w:t>
      </w:r>
    </w:p>
    <w:p w14:paraId="27FC3BD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（1）乙方擅自转让、分包或以其他未经甲方事先书面同意的方式处置合同运营权的；</w:t>
      </w:r>
    </w:p>
    <w:p w14:paraId="1291456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（2）乙方未按照甲方要求，将所有经营性收入和数据纳入甲方平台的，或违反协议所要求的预付款管理要求的；</w:t>
      </w:r>
    </w:p>
    <w:p w14:paraId="6A20827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（3）乙方未按照甲方要求或本合同约定对培训管理的财产进行维护的，或乙方擅自改变建筑物主体结构影响建筑物结构安全的；</w:t>
      </w:r>
    </w:p>
    <w:p w14:paraId="7C3B023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（4）乙方违反本合同关于培训时段、收费标准等免费或低收费开放约定，或其不当经营影响到学校的公益属性及公共体艺服务功能的；</w:t>
      </w:r>
    </w:p>
    <w:p w14:paraId="7ED043F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（5）乙方因非法经营、税务问题或其他原因受到行政处罚的。</w:t>
      </w:r>
    </w:p>
    <w:p w14:paraId="16CCCBE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（6）乙方擅自停课的；</w:t>
      </w:r>
    </w:p>
    <w:p w14:paraId="49B8118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（7）出现因乙方管理不当的意识形态领域安全风险问题的；</w:t>
      </w:r>
    </w:p>
    <w:p w14:paraId="3586088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（8）其他导致学校无法正常教学的情形。</w:t>
      </w:r>
    </w:p>
    <w:p w14:paraId="720195EE">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2.出现以下情况，直接触发一票否决：</w:t>
      </w:r>
    </w:p>
    <w:p w14:paraId="41E1AD7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（1）因乙方管理问题或应急处理措施不当等原因，出现重大安全事故、突发事件或其他人员伤亡事件的；</w:t>
      </w:r>
    </w:p>
    <w:p w14:paraId="09C89E8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（2）乙方教学期间出现重大变化、面临解散或者破产清算等情形等，无法继续运营的；</w:t>
      </w:r>
    </w:p>
    <w:p w14:paraId="2AAEC435">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（2）其他导致学校无法正常运营的情形。</w:t>
      </w:r>
    </w:p>
    <w:bookmarkEnd w:id="161"/>
    <w:p w14:paraId="0DA9F0DC">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三、评价实施</w:t>
      </w:r>
    </w:p>
    <w:p w14:paraId="4B89E5F6">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考核事宜由招标人和校方共同考核打分，考核取双方 “基础评价内容”中各项得分的平均值作为综合评分。具体考核办法可由招标人根据实际教学情况实时调整。</w:t>
      </w:r>
    </w:p>
    <w:p w14:paraId="0447F77F">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四、结果运用</w:t>
      </w:r>
    </w:p>
    <w:p w14:paraId="57EE708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综合评分为“不合格”的，即学期考核不合格，甲方有权终止合作，无偿解除协议，具体结论以甲方会议研究为准。综合评分为“良好”的，乙方需提交服务改进方案，并由考核单位审核通过，乙方在次学期经营中需严格履行。</w:t>
      </w:r>
    </w:p>
    <w:p w14:paraId="7160612E">
      <w:pPr>
        <w:spacing w:before="120" w:beforeLines="50" w:after="120" w:afterLines="50"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五、其他</w:t>
      </w:r>
    </w:p>
    <w:p w14:paraId="197D1601">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本考核办法与相关主管部门对甲方的考核办法不一致的，以主管部门的考核办法为准。</w:t>
      </w:r>
    </w:p>
    <w:p w14:paraId="7A2D9B15">
      <w:pPr>
        <w:rPr>
          <w:rFonts w:hint="eastAsia"/>
          <w:color w:val="auto"/>
          <w:highlight w:val="none"/>
        </w:rPr>
      </w:pPr>
    </w:p>
    <w:p w14:paraId="1CF82AFD">
      <w:pPr>
        <w:spacing w:line="360" w:lineRule="auto"/>
        <w:ind w:firstLine="420" w:firstLineChars="200"/>
        <w:rPr>
          <w:rFonts w:hint="eastAsia" w:ascii="宋体" w:hAnsi="宋体" w:eastAsia="宋体" w:cs="宋体"/>
          <w:b/>
          <w:bCs/>
          <w:color w:val="auto"/>
          <w:spacing w:val="-1"/>
          <w:sz w:val="28"/>
          <w:szCs w:val="28"/>
          <w:highlight w:val="none"/>
          <w:lang w:val="en-US" w:eastAsia="zh-CN"/>
        </w:rPr>
      </w:pPr>
      <w:r>
        <w:rPr>
          <w:rFonts w:hint="eastAsia"/>
          <w:color w:val="auto"/>
          <w:highlight w:val="none"/>
        </w:rPr>
        <w:br w:type="page"/>
      </w:r>
      <w:r>
        <w:rPr>
          <w:rFonts w:hint="eastAsia" w:ascii="宋体" w:hAnsi="宋体" w:eastAsia="宋体" w:cs="宋体"/>
          <w:b/>
          <w:bCs/>
          <w:color w:val="auto"/>
          <w:spacing w:val="-1"/>
          <w:sz w:val="28"/>
          <w:szCs w:val="28"/>
          <w:highlight w:val="none"/>
        </w:rPr>
        <w:t>合同附件</w:t>
      </w:r>
      <w:r>
        <w:rPr>
          <w:rFonts w:hint="eastAsia" w:ascii="宋体" w:hAnsi="宋体" w:eastAsia="宋体" w:cs="宋体"/>
          <w:b/>
          <w:bCs/>
          <w:color w:val="auto"/>
          <w:spacing w:val="-1"/>
          <w:sz w:val="28"/>
          <w:szCs w:val="28"/>
          <w:highlight w:val="none"/>
          <w:lang w:val="en-US" w:eastAsia="zh-CN"/>
        </w:rPr>
        <w:t>4</w:t>
      </w:r>
    </w:p>
    <w:p w14:paraId="7795E514">
      <w:pPr>
        <w:adjustRightInd w:val="0"/>
        <w:snapToGrid w:val="0"/>
        <w:spacing w:before="312" w:beforeLines="100" w:after="156" w:afterLines="50" w:line="360" w:lineRule="auto"/>
        <w:jc w:val="center"/>
        <w:rPr>
          <w:rFonts w:hint="eastAsia" w:ascii="宋体" w:hAnsi="宋体" w:eastAsia="宋体" w:cs="宋体"/>
          <w:b/>
          <w:color w:val="auto"/>
          <w:spacing w:val="-1"/>
          <w:sz w:val="32"/>
          <w:szCs w:val="32"/>
          <w:highlight w:val="none"/>
          <w:lang w:eastAsia="zh-Hans"/>
        </w:rPr>
      </w:pPr>
      <w:r>
        <w:rPr>
          <w:rFonts w:hint="eastAsia" w:ascii="宋体" w:hAnsi="宋体" w:eastAsia="宋体" w:cs="宋体"/>
          <w:b/>
          <w:color w:val="auto"/>
          <w:spacing w:val="-1"/>
          <w:sz w:val="32"/>
          <w:szCs w:val="32"/>
          <w:highlight w:val="none"/>
          <w:lang w:eastAsia="zh-Hans"/>
        </w:rPr>
        <w:t>廉政协议书</w:t>
      </w:r>
    </w:p>
    <w:p w14:paraId="4C8220C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                                                        </w:t>
      </w:r>
    </w:p>
    <w:p w14:paraId="3731787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                                                         </w:t>
      </w:r>
    </w:p>
    <w:p w14:paraId="7FE67FA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为认真贯彻廉洁、高效的工作原则，建立有效的反商业贿赂机制，加强党风廉政建设，防止经营活动中不正之风和腐败现象的发生，经双方协商同意，签订本协议。</w:t>
      </w:r>
    </w:p>
    <w:p w14:paraId="48BD475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第一条协议双方须严格遵守国家法律和廉政建设各项规定及协议。双方有相互监督、遵纪守法、履行协议的义务和权利。</w:t>
      </w:r>
    </w:p>
    <w:p w14:paraId="2066F50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甲方及有关工作人员不得利用职务便利以任何理由向乙方索要回扣、佣金、礼金礼券、礼卡及各种有价证券；不得向乙方报销应由甲方及个人支付的费用；不得参加可能对公正执行公务有影响的宴请、资助旅游和各种营业性娱乐活动；不得对乙方无理刁难或设卡。</w:t>
      </w:r>
    </w:p>
    <w:p w14:paraId="28D2E34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条乙方在经营活动中必须遵守法律法规和协议规定，不得为获取自身利益而向甲方及有关工作人员赠送现金、礼金礼券、礼卡及各种有价证券；不得与甲方及有关工作人员就协议的有关事宜进行任何不正当的私下交易；不得以洽谈业务、签订协议等为借口邀请甲方及有关工作人员参加宴请、旅游和其他营业性娱乐活动。</w:t>
      </w:r>
    </w:p>
    <w:p w14:paraId="3D65536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第四条乙方对甲方及有关工作人员的违法违纪行为和不正当要求，可及时据实向甲方纪检、监察部门投诉和举报。</w:t>
      </w:r>
    </w:p>
    <w:p w14:paraId="733CD2D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第五条对违反本协议者，根据其后果和违纪程度，可以做出以下处理：批评、诫勉；党纪政纪处分；追究法律责任；追究违约方经济责任；中止协议。</w:t>
      </w:r>
    </w:p>
    <w:p w14:paraId="7F71155C">
      <w:pPr>
        <w:spacing w:line="360" w:lineRule="auto"/>
        <w:ind w:firstLine="480" w:firstLineChars="200"/>
        <w:rPr>
          <w:rFonts w:hint="eastAsia" w:ascii="宋体" w:hAnsi="宋体" w:eastAsia="宋体" w:cs="宋体"/>
          <w:color w:val="auto"/>
          <w:sz w:val="24"/>
          <w:szCs w:val="24"/>
          <w:highlight w:val="none"/>
        </w:rPr>
      </w:pPr>
    </w:p>
    <w:p w14:paraId="304D5E7D">
      <w:pPr>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甲方(盖章)：</w:t>
      </w:r>
    </w:p>
    <w:p w14:paraId="232EA2D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Hans"/>
        </w:rPr>
        <w:t>乙方(盖章)：</w:t>
      </w:r>
    </w:p>
    <w:p w14:paraId="0BDC1068">
      <w:pPr>
        <w:widowControl/>
        <w:jc w:val="left"/>
        <w:rPr>
          <w:rFonts w:hint="eastAsia" w:ascii="宋体" w:hAnsi="宋体" w:eastAsia="宋体" w:cs="宋体"/>
          <w:color w:val="auto"/>
          <w:sz w:val="24"/>
          <w:highlight w:val="none"/>
        </w:rPr>
      </w:pPr>
    </w:p>
    <w:p w14:paraId="69FB02E6">
      <w:pPr>
        <w:pStyle w:val="2"/>
        <w:rPr>
          <w:rFonts w:hint="eastAsia"/>
          <w:color w:val="auto"/>
          <w:highlight w:val="none"/>
        </w:rPr>
      </w:pPr>
    </w:p>
    <w:p w14:paraId="2918B72E">
      <w:pPr>
        <w:pStyle w:val="2"/>
        <w:rPr>
          <w:rFonts w:hint="eastAsia"/>
          <w:color w:val="auto"/>
          <w:highlight w:val="none"/>
        </w:rPr>
      </w:pPr>
    </w:p>
    <w:p w14:paraId="146E0FD2">
      <w:pPr>
        <w:spacing w:line="360" w:lineRule="auto"/>
        <w:jc w:val="center"/>
        <w:outlineLvl w:val="1"/>
        <w:rPr>
          <w:rFonts w:hint="eastAsia" w:ascii="宋体" w:hAnsi="宋体" w:eastAsia="宋体" w:cs="宋体"/>
          <w:b/>
          <w:color w:val="auto"/>
          <w:sz w:val="28"/>
          <w:highlight w:val="none"/>
        </w:rPr>
      </w:pPr>
      <w:bookmarkStart w:id="162" w:name="_Toc47026337"/>
      <w:r>
        <w:rPr>
          <w:rFonts w:hint="eastAsia" w:ascii="宋体" w:hAnsi="宋体" w:eastAsia="宋体" w:cs="宋体"/>
          <w:b/>
          <w:color w:val="auto"/>
          <w:sz w:val="28"/>
          <w:highlight w:val="none"/>
        </w:rPr>
        <w:t>第六章  响应文件格式</w:t>
      </w:r>
      <w:bookmarkEnd w:id="162"/>
    </w:p>
    <w:p w14:paraId="52608ECC">
      <w:pPr>
        <w:spacing w:line="900" w:lineRule="exact"/>
        <w:jc w:val="center"/>
        <w:rPr>
          <w:rFonts w:hint="eastAsia" w:ascii="宋体" w:hAnsi="宋体" w:eastAsia="宋体" w:cs="宋体"/>
          <w:color w:val="auto"/>
          <w:sz w:val="24"/>
          <w:szCs w:val="18"/>
          <w:highlight w:val="none"/>
          <w:u w:val="single"/>
          <w:lang w:eastAsia="zh-CN"/>
        </w:rPr>
      </w:pPr>
      <w:r>
        <w:rPr>
          <w:rFonts w:hint="eastAsia" w:ascii="宋体" w:hAnsi="宋体" w:eastAsia="宋体" w:cs="宋体"/>
          <w:color w:val="auto"/>
          <w:sz w:val="24"/>
          <w:szCs w:val="18"/>
          <w:highlight w:val="none"/>
          <w:u w:val="single"/>
          <w:lang w:eastAsia="zh-CN"/>
        </w:rPr>
        <w:t>包河区体艺中心合肥市师范附属小学课程服务单位（第二部分）招标（二次）</w:t>
      </w:r>
    </w:p>
    <w:p w14:paraId="0481FD79">
      <w:pPr>
        <w:spacing w:line="900" w:lineRule="exact"/>
        <w:jc w:val="center"/>
        <w:rPr>
          <w:rFonts w:hint="eastAsia" w:ascii="宋体" w:hAnsi="宋体" w:eastAsia="宋体" w:cs="宋体"/>
          <w:b/>
          <w:color w:val="auto"/>
          <w:sz w:val="72"/>
          <w:highlight w:val="none"/>
          <w:lang w:eastAsia="zh-CN"/>
        </w:rPr>
      </w:pPr>
      <w:r>
        <w:rPr>
          <w:rFonts w:hint="eastAsia" w:ascii="宋体" w:hAnsi="宋体" w:eastAsia="宋体" w:cs="宋体"/>
          <w:color w:val="auto"/>
          <w:sz w:val="24"/>
          <w:szCs w:val="18"/>
          <w:highlight w:val="none"/>
          <w:u w:val="single"/>
          <w:lang w:val="en-US" w:eastAsia="zh-CN"/>
        </w:rPr>
        <w:t>第XX标段</w:t>
      </w:r>
    </w:p>
    <w:p w14:paraId="09E5D058">
      <w:pPr>
        <w:spacing w:line="900" w:lineRule="exact"/>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响</w:t>
      </w:r>
    </w:p>
    <w:p w14:paraId="50767B16">
      <w:pPr>
        <w:spacing w:line="900" w:lineRule="exact"/>
        <w:jc w:val="center"/>
        <w:rPr>
          <w:rFonts w:hint="eastAsia" w:ascii="宋体" w:hAnsi="宋体" w:eastAsia="宋体" w:cs="宋体"/>
          <w:b/>
          <w:color w:val="auto"/>
          <w:sz w:val="72"/>
          <w:highlight w:val="none"/>
        </w:rPr>
      </w:pPr>
    </w:p>
    <w:p w14:paraId="6C5CE0E4">
      <w:pPr>
        <w:spacing w:line="900" w:lineRule="exact"/>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应</w:t>
      </w:r>
    </w:p>
    <w:p w14:paraId="422C8C3B">
      <w:pPr>
        <w:spacing w:line="900" w:lineRule="exact"/>
        <w:jc w:val="center"/>
        <w:rPr>
          <w:rFonts w:hint="eastAsia" w:ascii="宋体" w:hAnsi="宋体" w:eastAsia="宋体" w:cs="宋体"/>
          <w:b/>
          <w:color w:val="auto"/>
          <w:sz w:val="72"/>
          <w:highlight w:val="none"/>
        </w:rPr>
      </w:pPr>
    </w:p>
    <w:p w14:paraId="420C8196">
      <w:pPr>
        <w:spacing w:line="900" w:lineRule="exact"/>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文</w:t>
      </w:r>
    </w:p>
    <w:p w14:paraId="74D41C46">
      <w:pPr>
        <w:spacing w:line="900" w:lineRule="exact"/>
        <w:jc w:val="center"/>
        <w:rPr>
          <w:rFonts w:hint="eastAsia" w:ascii="宋体" w:hAnsi="宋体" w:eastAsia="宋体" w:cs="宋体"/>
          <w:b/>
          <w:color w:val="auto"/>
          <w:sz w:val="72"/>
          <w:highlight w:val="none"/>
        </w:rPr>
      </w:pPr>
    </w:p>
    <w:p w14:paraId="084D9FE5">
      <w:pPr>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rPr>
        <w:t>件</w:t>
      </w:r>
    </w:p>
    <w:p w14:paraId="24FBCE6A">
      <w:pPr>
        <w:spacing w:after="156" w:afterLines="50"/>
        <w:jc w:val="center"/>
        <w:rPr>
          <w:rFonts w:hint="eastAsia" w:ascii="宋体" w:hAnsi="宋体" w:eastAsia="宋体" w:cs="宋体"/>
          <w:b/>
          <w:color w:val="auto"/>
          <w:sz w:val="72"/>
          <w:highlight w:val="none"/>
        </w:rPr>
      </w:pPr>
    </w:p>
    <w:p w14:paraId="5643CB4B">
      <w:pPr>
        <w:spacing w:after="156" w:afterLines="50" w:line="500" w:lineRule="exact"/>
        <w:jc w:val="center"/>
        <w:rPr>
          <w:rFonts w:hint="eastAsia" w:ascii="宋体" w:hAnsi="宋体" w:eastAsia="宋体" w:cs="宋体"/>
          <w:b/>
          <w:color w:val="auto"/>
          <w:sz w:val="28"/>
          <w:szCs w:val="28"/>
          <w:highlight w:val="none"/>
        </w:rPr>
      </w:pPr>
    </w:p>
    <w:p w14:paraId="01DAEC45">
      <w:pPr>
        <w:spacing w:after="156" w:afterLines="50" w:line="500" w:lineRule="exact"/>
        <w:jc w:val="center"/>
        <w:rPr>
          <w:rFonts w:hint="eastAsia" w:ascii="宋体" w:hAnsi="宋体" w:eastAsia="宋体" w:cs="宋体"/>
          <w:b/>
          <w:color w:val="auto"/>
          <w:sz w:val="72"/>
          <w:highlight w:val="none"/>
        </w:rPr>
      </w:pPr>
    </w:p>
    <w:p w14:paraId="46A6B562">
      <w:pPr>
        <w:spacing w:after="156" w:afterLines="50" w:line="500" w:lineRule="exact"/>
        <w:ind w:firstLine="2522" w:firstLineChars="785"/>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投标人：</w:t>
      </w:r>
      <w:r>
        <w:rPr>
          <w:rFonts w:hint="eastAsia" w:ascii="宋体" w:hAnsi="宋体" w:eastAsia="宋体" w:cs="宋体"/>
          <w:b/>
          <w:color w:val="auto"/>
          <w:sz w:val="32"/>
          <w:highlight w:val="none"/>
          <w:u w:val="single"/>
        </w:rPr>
        <w:t xml:space="preserve">               </w:t>
      </w:r>
    </w:p>
    <w:p w14:paraId="048951CA">
      <w:pPr>
        <w:spacing w:after="156" w:afterLines="50" w:line="500" w:lineRule="exact"/>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p>
    <w:p w14:paraId="23136D0E">
      <w:pPr>
        <w:widowControl/>
        <w:jc w:val="left"/>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3B4B6E2E">
      <w:pPr>
        <w:spacing w:line="360" w:lineRule="auto"/>
        <w:jc w:val="center"/>
        <w:outlineLvl w:val="2"/>
        <w:rPr>
          <w:rFonts w:hint="eastAsia" w:ascii="宋体" w:hAnsi="宋体" w:eastAsia="宋体" w:cs="宋体"/>
          <w:b/>
          <w:color w:val="auto"/>
          <w:sz w:val="24"/>
          <w:highlight w:val="none"/>
        </w:rPr>
      </w:pPr>
      <w:bookmarkStart w:id="163" w:name="_Toc461056631"/>
      <w:bookmarkStart w:id="164" w:name="_Toc461053086"/>
      <w:bookmarkStart w:id="165" w:name="_Toc520983587"/>
      <w:r>
        <w:rPr>
          <w:rFonts w:hint="eastAsia" w:ascii="宋体" w:hAnsi="宋体" w:eastAsia="宋体" w:cs="宋体"/>
          <w:b/>
          <w:color w:val="auto"/>
          <w:sz w:val="24"/>
          <w:highlight w:val="none"/>
        </w:rPr>
        <w:t>一</w:t>
      </w:r>
      <w:bookmarkEnd w:id="163"/>
      <w:bookmarkEnd w:id="164"/>
      <w:r>
        <w:rPr>
          <w:rFonts w:hint="eastAsia" w:ascii="宋体" w:hAnsi="宋体" w:eastAsia="宋体" w:cs="宋体"/>
          <w:b/>
          <w:color w:val="auto"/>
          <w:sz w:val="24"/>
          <w:highlight w:val="none"/>
        </w:rPr>
        <w:t>、报价表格式</w:t>
      </w:r>
      <w:bookmarkEnd w:id="165"/>
    </w:p>
    <w:p w14:paraId="57CEA81C">
      <w:pPr>
        <w:spacing w:before="156" w:beforeLines="50" w:after="156" w:afterLines="50" w:line="360" w:lineRule="auto"/>
        <w:jc w:val="left"/>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1-1 报价表</w:t>
      </w:r>
    </w:p>
    <w:p w14:paraId="2E142C5D">
      <w:pPr>
        <w:snapToGrid w:val="0"/>
        <w:spacing w:line="360" w:lineRule="auto"/>
        <w:jc w:val="left"/>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项目名称：</w:t>
      </w:r>
      <w:r>
        <w:rPr>
          <w:rFonts w:hint="eastAsia" w:ascii="宋体" w:hAnsi="宋体" w:eastAsia="宋体" w:cs="宋体"/>
          <w:b w:val="0"/>
          <w:bCs/>
          <w:color w:val="auto"/>
          <w:sz w:val="24"/>
          <w:szCs w:val="28"/>
          <w:highlight w:val="none"/>
          <w:u w:val="single"/>
        </w:rPr>
        <w:t>包河区体艺中心合肥市师范附属小学课程服务单位（第二部分）招标（二次）</w:t>
      </w:r>
      <w:r>
        <w:rPr>
          <w:rFonts w:hint="eastAsia" w:ascii="宋体" w:hAnsi="宋体" w:eastAsia="宋体" w:cs="宋体"/>
          <w:b/>
          <w:color w:val="auto"/>
          <w:sz w:val="24"/>
          <w:szCs w:val="28"/>
          <w:highlight w:val="none"/>
          <w:u w:val="single"/>
          <w:lang w:val="en-US" w:eastAsia="zh-CN"/>
        </w:rPr>
        <w:t>-第X标段</w:t>
      </w:r>
      <w:r>
        <w:rPr>
          <w:rFonts w:hint="eastAsia" w:ascii="宋体" w:hAnsi="宋体" w:eastAsia="宋体" w:cs="宋体"/>
          <w:b/>
          <w:color w:val="auto"/>
          <w:sz w:val="24"/>
          <w:szCs w:val="28"/>
          <w:highlight w:val="none"/>
          <w:u w:val="single"/>
        </w:rPr>
        <w:t xml:space="preserve">        </w:t>
      </w:r>
    </w:p>
    <w:p w14:paraId="56F6BEBB">
      <w:pPr>
        <w:snapToGrid w:val="0"/>
        <w:spacing w:after="156" w:afterLines="50" w:line="360" w:lineRule="auto"/>
        <w:jc w:val="left"/>
        <w:rPr>
          <w:rFonts w:hint="eastAsia" w:ascii="宋体" w:hAnsi="宋体" w:eastAsia="宋体" w:cs="宋体"/>
          <w:b/>
          <w:bCs/>
          <w:color w:val="auto"/>
          <w:sz w:val="24"/>
          <w:szCs w:val="28"/>
          <w:highlight w:val="none"/>
          <w:u w:val="single"/>
        </w:rPr>
      </w:pPr>
      <w:r>
        <w:rPr>
          <w:rFonts w:hint="eastAsia" w:ascii="宋体" w:hAnsi="宋体" w:eastAsia="宋体" w:cs="宋体"/>
          <w:b/>
          <w:color w:val="auto"/>
          <w:sz w:val="24"/>
          <w:szCs w:val="28"/>
          <w:highlight w:val="none"/>
        </w:rPr>
        <w:t>项目编号：</w:t>
      </w:r>
      <w:r>
        <w:rPr>
          <w:rFonts w:hint="eastAsia" w:ascii="宋体" w:hAnsi="宋体" w:eastAsia="宋体" w:cs="宋体"/>
          <w:b/>
          <w:color w:val="auto"/>
          <w:sz w:val="24"/>
          <w:szCs w:val="28"/>
          <w:highlight w:val="none"/>
          <w:u w:val="single"/>
        </w:rPr>
        <w:t xml:space="preserve">  </w:t>
      </w:r>
      <w:r>
        <w:rPr>
          <w:rFonts w:hint="eastAsia" w:ascii="宋体" w:hAnsi="宋体" w:eastAsia="宋体" w:cs="宋体"/>
          <w:b/>
          <w:bCs/>
          <w:color w:val="auto"/>
          <w:sz w:val="24"/>
          <w:szCs w:val="18"/>
          <w:highlight w:val="none"/>
          <w:u w:val="single"/>
        </w:rPr>
        <w:t>BHSG</w:t>
      </w:r>
      <w:r>
        <w:rPr>
          <w:rFonts w:hint="eastAsia" w:ascii="宋体" w:hAnsi="宋体" w:eastAsia="宋体" w:cs="宋体"/>
          <w:b/>
          <w:bCs/>
          <w:color w:val="auto"/>
          <w:sz w:val="24"/>
          <w:szCs w:val="18"/>
          <w:highlight w:val="none"/>
          <w:u w:val="single"/>
          <w:lang w:val="en-US" w:eastAsia="zh-CN"/>
        </w:rPr>
        <w:t>-ZTB-2025-04</w:t>
      </w:r>
      <w:r>
        <w:rPr>
          <w:rFonts w:hint="eastAsia" w:ascii="宋体" w:hAnsi="宋体" w:eastAsia="宋体" w:cs="宋体"/>
          <w:b/>
          <w:color w:val="auto"/>
          <w:sz w:val="24"/>
          <w:szCs w:val="28"/>
          <w:highlight w:val="none"/>
          <w:u w:val="single"/>
        </w:rPr>
        <w:t xml:space="preserve">     </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06D7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52FFE8B2">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投标人名称</w:t>
            </w:r>
          </w:p>
        </w:tc>
        <w:tc>
          <w:tcPr>
            <w:tcW w:w="6063" w:type="dxa"/>
            <w:tcBorders>
              <w:left w:val="single" w:color="auto" w:sz="4" w:space="0"/>
            </w:tcBorders>
          </w:tcPr>
          <w:p w14:paraId="3E8EC98F">
            <w:pPr>
              <w:spacing w:line="360" w:lineRule="auto"/>
              <w:rPr>
                <w:rFonts w:hint="eastAsia" w:ascii="宋体" w:hAnsi="宋体" w:eastAsia="宋体" w:cs="宋体"/>
                <w:b/>
                <w:color w:val="auto"/>
                <w:sz w:val="24"/>
                <w:highlight w:val="none"/>
              </w:rPr>
            </w:pPr>
          </w:p>
        </w:tc>
      </w:tr>
      <w:tr w14:paraId="1B294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0B81A061">
            <w:pPr>
              <w:spacing w:line="36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磋商范围</w:t>
            </w:r>
          </w:p>
        </w:tc>
        <w:tc>
          <w:tcPr>
            <w:tcW w:w="6063" w:type="dxa"/>
            <w:tcBorders>
              <w:left w:val="single" w:color="auto" w:sz="4" w:space="0"/>
            </w:tcBorders>
            <w:vAlign w:val="center"/>
          </w:tcPr>
          <w:p w14:paraId="06F25EBE">
            <w:pPr>
              <w:widowControl/>
              <w:spacing w:line="360" w:lineRule="exact"/>
              <w:rPr>
                <w:rFonts w:hint="default" w:ascii="宋体" w:hAnsi="宋体" w:eastAsia="宋体" w:cs="宋体"/>
                <w:b/>
                <w:color w:val="auto"/>
                <w:sz w:val="24"/>
                <w:highlight w:val="none"/>
                <w:lang w:val="en-US" w:eastAsia="zh-CN"/>
              </w:rPr>
            </w:pPr>
            <w:r>
              <w:rPr>
                <w:rFonts w:hint="eastAsia" w:ascii="宋体" w:hAnsi="宋体" w:eastAsia="宋体" w:cs="宋体"/>
                <w:color w:val="auto"/>
                <w:sz w:val="24"/>
                <w:szCs w:val="18"/>
                <w:highlight w:val="none"/>
                <w:u w:val="single"/>
                <w:lang w:eastAsia="zh-CN"/>
              </w:rPr>
              <w:t>包河区体艺中心合肥市师范附属小学课程服务单位（第二部分）招标（二次）</w:t>
            </w:r>
            <w:r>
              <w:rPr>
                <w:rFonts w:hint="eastAsia" w:ascii="宋体" w:hAnsi="宋体" w:eastAsia="宋体" w:cs="宋体"/>
                <w:b/>
                <w:color w:val="auto"/>
                <w:sz w:val="24"/>
                <w:szCs w:val="28"/>
                <w:highlight w:val="none"/>
                <w:u w:val="single"/>
                <w:lang w:val="en-US" w:eastAsia="zh-CN"/>
              </w:rPr>
              <w:t>-第X标段</w:t>
            </w:r>
          </w:p>
        </w:tc>
      </w:tr>
      <w:tr w14:paraId="4B95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19889E9C">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报价</w:t>
            </w:r>
          </w:p>
          <w:p w14:paraId="293978A7">
            <w:pPr>
              <w:spacing w:line="360" w:lineRule="auto"/>
              <w:jc w:val="center"/>
              <w:rPr>
                <w:rFonts w:hint="eastAsia" w:ascii="宋体" w:hAnsi="宋体" w:eastAsia="宋体" w:cs="宋体"/>
                <w:b/>
                <w:color w:val="auto"/>
                <w:sz w:val="24"/>
                <w:highlight w:val="none"/>
              </w:rPr>
            </w:pPr>
          </w:p>
        </w:tc>
        <w:tc>
          <w:tcPr>
            <w:tcW w:w="6063" w:type="dxa"/>
            <w:vAlign w:val="center"/>
          </w:tcPr>
          <w:p w14:paraId="1CD65811">
            <w:pPr>
              <w:snapToGrid w:val="0"/>
              <w:spacing w:line="360" w:lineRule="auto"/>
              <w:rPr>
                <w:rFonts w:hint="eastAsia" w:ascii="宋体" w:hAnsi="宋体" w:eastAsia="宋体" w:cs="宋体"/>
                <w:color w:val="auto"/>
                <w:sz w:val="24"/>
                <w:szCs w:val="28"/>
                <w:highlight w:val="none"/>
              </w:rPr>
            </w:pPr>
          </w:p>
          <w:p w14:paraId="78923582">
            <w:pPr>
              <w:snapToGrid w:val="0"/>
              <w:spacing w:line="360" w:lineRule="auto"/>
              <w:rPr>
                <w:rFonts w:hint="eastAsia" w:ascii="宋体" w:hAnsi="宋体" w:eastAsia="宋体" w:cs="宋体"/>
                <w:bCs/>
                <w:color w:val="auto"/>
                <w:sz w:val="24"/>
                <w:highlight w:val="none"/>
                <w:u w:val="single"/>
              </w:rPr>
            </w:pPr>
            <w:bookmarkStart w:id="166" w:name="OLE_LINK3"/>
            <w:r>
              <w:rPr>
                <w:rFonts w:hint="eastAsia" w:ascii="宋体" w:hAnsi="宋体" w:eastAsia="宋体" w:cs="宋体"/>
                <w:bCs/>
                <w:color w:val="auto"/>
                <w:sz w:val="24"/>
                <w:highlight w:val="none"/>
              </w:rPr>
              <w:t>投标人分成比例</w:t>
            </w:r>
            <w:bookmarkEnd w:id="166"/>
            <w:r>
              <w:rPr>
                <w:rFonts w:hint="eastAsia" w:ascii="宋体" w:hAnsi="宋体" w:eastAsia="宋体" w:cs="宋体"/>
                <w:bCs/>
                <w:color w:val="auto"/>
                <w:sz w:val="24"/>
                <w:highlight w:val="none"/>
                <w:u w:val="single"/>
              </w:rPr>
              <w:t xml:space="preserve">           %（保留两位小数）</w:t>
            </w:r>
          </w:p>
          <w:p w14:paraId="62370887">
            <w:pPr>
              <w:snapToGrid w:val="0"/>
              <w:spacing w:line="360" w:lineRule="auto"/>
              <w:rPr>
                <w:rFonts w:hint="eastAsia" w:ascii="宋体" w:hAnsi="宋体" w:eastAsia="宋体" w:cs="宋体"/>
                <w:b/>
                <w:color w:val="auto"/>
                <w:sz w:val="24"/>
                <w:highlight w:val="none"/>
              </w:rPr>
            </w:pPr>
          </w:p>
        </w:tc>
      </w:tr>
      <w:tr w14:paraId="441F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vAlign w:val="center"/>
          </w:tcPr>
          <w:p w14:paraId="411CB80E">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备注说明</w:t>
            </w:r>
          </w:p>
        </w:tc>
        <w:tc>
          <w:tcPr>
            <w:tcW w:w="6063" w:type="dxa"/>
          </w:tcPr>
          <w:p w14:paraId="05CDD2DF">
            <w:pPr>
              <w:spacing w:line="360" w:lineRule="auto"/>
              <w:rPr>
                <w:rFonts w:hint="eastAsia" w:ascii="宋体" w:hAnsi="宋体" w:eastAsia="宋体" w:cs="宋体"/>
                <w:b/>
                <w:color w:val="auto"/>
                <w:sz w:val="24"/>
                <w:highlight w:val="none"/>
              </w:rPr>
            </w:pPr>
          </w:p>
        </w:tc>
      </w:tr>
    </w:tbl>
    <w:p w14:paraId="0434B25F">
      <w:pPr>
        <w:spacing w:line="440" w:lineRule="exact"/>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投标人公章：             </w:t>
      </w:r>
    </w:p>
    <w:p w14:paraId="74AB8FB8">
      <w:pPr>
        <w:spacing w:line="440" w:lineRule="exact"/>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74B5824C">
      <w:pPr>
        <w:adjustRightInd w:val="0"/>
        <w:snapToGrid w:val="0"/>
        <w:spacing w:line="360" w:lineRule="auto"/>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注：</w:t>
      </w:r>
    </w:p>
    <w:p w14:paraId="72549292">
      <w:pPr>
        <w:adjustRightInd w:val="0"/>
        <w:snapToGrid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szCs w:val="28"/>
          <w:highlight w:val="none"/>
        </w:rPr>
        <w:t>1.本表内容根据磋商文件要求包括了课程培训服务及现场落地、安装及设施设备耗损、调试、培训、技术服务（包括技术资料、图纸的提供）质保期内的售后服务保障等所有费用。</w:t>
      </w:r>
    </w:p>
    <w:p w14:paraId="3187D9B6">
      <w:pPr>
        <w:adjustRightInd w:val="0"/>
        <w:snapToGrid w:val="0"/>
        <w:spacing w:line="360" w:lineRule="auto"/>
        <w:ind w:firstLine="482" w:firstLineChars="200"/>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2.特殊事项在备注中注明。</w:t>
      </w:r>
    </w:p>
    <w:p w14:paraId="0A669C8F">
      <w:pPr>
        <w:adjustRightInd w:val="0"/>
        <w:snapToGrid w:val="0"/>
        <w:spacing w:line="360" w:lineRule="auto"/>
        <w:ind w:firstLine="482" w:firstLineChars="200"/>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3.投标人应根据其响应文件中报价表的内容填写唱标信息，唱标信息不作为评审的依据。唱标信息与报价表不一致的，以报价表为准。报价表报价仅需</w:t>
      </w:r>
      <w:r>
        <w:rPr>
          <w:rFonts w:hint="eastAsia" w:ascii="宋体" w:hAnsi="宋体" w:eastAsia="宋体" w:cs="宋体"/>
          <w:b/>
          <w:bCs/>
          <w:color w:val="auto"/>
          <w:sz w:val="24"/>
          <w:szCs w:val="28"/>
          <w:highlight w:val="none"/>
          <w:lang w:val="en-US" w:eastAsia="zh-CN"/>
        </w:rPr>
        <w:t>报出</w:t>
      </w:r>
      <w:r>
        <w:rPr>
          <w:rFonts w:hint="eastAsia" w:ascii="宋体" w:hAnsi="宋体" w:eastAsia="宋体" w:cs="宋体"/>
          <w:b/>
          <w:bCs/>
          <w:color w:val="auto"/>
          <w:sz w:val="24"/>
          <w:szCs w:val="28"/>
          <w:highlight w:val="none"/>
        </w:rPr>
        <w:t>投标人分成比例。</w:t>
      </w:r>
    </w:p>
    <w:p w14:paraId="54A3C526">
      <w:pPr>
        <w:spacing w:line="360" w:lineRule="auto"/>
        <w:jc w:val="center"/>
        <w:outlineLvl w:val="2"/>
        <w:rPr>
          <w:rFonts w:hint="eastAsia" w:ascii="宋体" w:hAnsi="宋体" w:eastAsia="宋体" w:cs="宋体"/>
          <w:b/>
          <w:color w:val="auto"/>
          <w:sz w:val="24"/>
          <w:highlight w:val="none"/>
        </w:rPr>
      </w:pPr>
      <w:bookmarkStart w:id="167" w:name="_Toc520983591"/>
    </w:p>
    <w:p w14:paraId="6B20CC7B">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二、磋商响应函</w:t>
      </w:r>
      <w:bookmarkEnd w:id="167"/>
    </w:p>
    <w:p w14:paraId="43D0CD33">
      <w:pPr>
        <w:pStyle w:val="14"/>
        <w:spacing w:line="360" w:lineRule="auto"/>
        <w:rPr>
          <w:rFonts w:hint="eastAsia" w:ascii="宋体" w:hAnsi="宋体" w:cs="宋体"/>
          <w:color w:val="auto"/>
          <w:sz w:val="24"/>
          <w:highlight w:val="none"/>
        </w:rPr>
      </w:pPr>
      <w:r>
        <w:rPr>
          <w:rFonts w:hint="eastAsia" w:ascii="宋体" w:hAnsi="宋体" w:cs="宋体"/>
          <w:color w:val="auto"/>
          <w:sz w:val="24"/>
          <w:highlight w:val="none"/>
        </w:rPr>
        <w:t>致：合肥滨湖时光体育发展有限公司</w:t>
      </w:r>
    </w:p>
    <w:p w14:paraId="621DCB06">
      <w:pPr>
        <w:spacing w:line="360" w:lineRule="auto"/>
        <w:ind w:firstLine="480" w:firstLineChars="200"/>
        <w:rPr>
          <w:rFonts w:hint="eastAsia" w:ascii="宋体" w:hAnsi="宋体" w:eastAsia="宋体" w:cs="宋体"/>
          <w:dstrike/>
          <w:color w:val="auto"/>
          <w:sz w:val="24"/>
          <w:highlight w:val="none"/>
        </w:rPr>
      </w:pPr>
      <w:r>
        <w:rPr>
          <w:rFonts w:hint="eastAsia" w:ascii="宋体" w:hAnsi="宋体" w:eastAsia="宋体" w:cs="宋体"/>
          <w:color w:val="auto"/>
          <w:sz w:val="24"/>
          <w:highlight w:val="none"/>
        </w:rPr>
        <w:t>根据贵方的竞争性磋商公告，我方兹宣布同意如下：</w:t>
      </w:r>
    </w:p>
    <w:p w14:paraId="1A1DDD6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1.如我公司中标，我公司承诺愿意按磋商文件规定缴纳履约保证金。按本次磋商文件规定及报价承诺提供服务。</w:t>
      </w:r>
    </w:p>
    <w:p w14:paraId="5BFD4A2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2.我方根据本次磋商文件的规定，严格履行合同的责任和义务,并保证于买方要求的日期内完成服务，并通过买方验收。</w:t>
      </w:r>
    </w:p>
    <w:p w14:paraId="7037E30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3.我方承诺报价低于同类货物和服务的市场平均价格。</w:t>
      </w:r>
    </w:p>
    <w:p w14:paraId="10BEED3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14:paraId="04B817F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5.我方同意从投标人须知规定的磋商日期起遵循本磋商文件，并在投标人须知规定的磋商有效期之前均具有约束力。</w:t>
      </w:r>
    </w:p>
    <w:p w14:paraId="223E51D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6.我方同意按贵方要求在磋商规定时间内向贵方提供与其磋商有关的任何证据或补充资料，否则，我方的响应文件可被贵方拒绝。</w:t>
      </w:r>
    </w:p>
    <w:p w14:paraId="269D5DB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7.我方完全理解贵方不一定接受最低报价的磋商。</w:t>
      </w:r>
    </w:p>
    <w:p w14:paraId="354E70F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8.我方同意磋商文件规定的付款方式、服务期限。</w:t>
      </w:r>
    </w:p>
    <w:p w14:paraId="7689F87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9.我方对响应文件中所提供资料、文件、证书及证件的真实性和有效性负责。</w:t>
      </w:r>
    </w:p>
    <w:p w14:paraId="5C9FB39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.我方同意磋商文件规定的付款方式及结算方式。</w:t>
      </w:r>
    </w:p>
    <w:p w14:paraId="537C8BB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在你方和我方进行合同磋商之前，我方将按照响应文件中填报人员及磋商文件提出的最低要求填报派驻本标段的其他管理和技术培训人员及主要机械设备，经你方审批后作为派驻本标段的项目管理机构主要人员和主要体育培训设备且不进行更换。我方承诺除非磋商文件另有约定，我方派驻本标段的项目负责人及项目管理机构主要人员均为我单位在职人员（不含外聘人员、返聘人员、临时聘用人员）。如我方拟派驻的人员和设备不满足合同附件要求，你方有权取消我方中标资格。</w:t>
      </w:r>
    </w:p>
    <w:p w14:paraId="6E8DD96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.与本磋商有关的通讯地址：</w:t>
      </w:r>
      <w:r>
        <w:rPr>
          <w:rFonts w:hint="eastAsia" w:ascii="宋体" w:hAnsi="宋体" w:eastAsia="宋体" w:cs="宋体"/>
          <w:color w:val="auto"/>
          <w:sz w:val="24"/>
          <w:highlight w:val="none"/>
          <w:u w:val="single"/>
        </w:rPr>
        <w:t xml:space="preserve">                          </w:t>
      </w:r>
    </w:p>
    <w:p w14:paraId="67CFC97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投标人公章：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0CAB950">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 xml:space="preserve">日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期：</w:t>
      </w:r>
      <w:r>
        <w:rPr>
          <w:rFonts w:hint="eastAsia" w:ascii="宋体" w:hAnsi="宋体" w:eastAsia="宋体" w:cs="宋体"/>
          <w:color w:val="auto"/>
          <w:sz w:val="24"/>
          <w:highlight w:val="none"/>
          <w:u w:val="single"/>
        </w:rPr>
        <w:t xml:space="preserve">                   </w:t>
      </w:r>
    </w:p>
    <w:p w14:paraId="5050BFD0">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三、无不良信用记录声明函</w:t>
      </w:r>
    </w:p>
    <w:p w14:paraId="3365E4E1">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1.本单位郑重声明，我单位无以下不良信用记录情形：</w:t>
      </w:r>
    </w:p>
    <w:p w14:paraId="670A6221">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（1）被责令停产停业，暂扣或者吊销许可证，暂扣或者吊销执照； </w:t>
      </w:r>
    </w:p>
    <w:p w14:paraId="14637664">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（2）进入清算程序，或被宣告破产，或其他丧失履约能力的情形； </w:t>
      </w:r>
    </w:p>
    <w:p w14:paraId="46C18B1B">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（3）在最近三年内（自投标截止之日向前追溯 3 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不受三年期限限制； </w:t>
      </w:r>
    </w:p>
    <w:p w14:paraId="0A026E2B">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（4）被市场监督管理部门列入严重违法失信名单； </w:t>
      </w:r>
    </w:p>
    <w:p w14:paraId="1A49158E">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（5）被人民法院列为失信被执行人； </w:t>
      </w:r>
    </w:p>
    <w:p w14:paraId="00CCA954">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（6）被税务机关确定为重大税收违法失信主体； </w:t>
      </w:r>
    </w:p>
    <w:p w14:paraId="4688AC98">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（7）在近三年内投标人或其法定代表人（单位负责人）有行贿犯罪行为的；</w:t>
      </w:r>
    </w:p>
    <w:p w14:paraId="04521C17">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8）投标人被设区的市级及以上建设行政主管部门/房屋建筑和市政基础设施工程招标投标活动的监督部门因安全生产责任事故限制本次招标项目工程所在地或公共资源交易平台所在地承接新的工程项目且在限制期内。（如不采用，删除）</w:t>
      </w:r>
    </w:p>
    <w:p w14:paraId="5D0C4744">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24"/>
          <w:highlight w:val="none"/>
        </w:rPr>
        <w:t>2.本单位郑重声明，</w:t>
      </w:r>
      <w:r>
        <w:rPr>
          <w:rFonts w:hint="eastAsia" w:ascii="宋体" w:hAnsi="宋体" w:eastAsia="宋体" w:cs="宋体"/>
          <w:color w:val="auto"/>
          <w:sz w:val="24"/>
          <w:szCs w:val="18"/>
          <w:highlight w:val="none"/>
        </w:rPr>
        <w:t xml:space="preserve">未被合肥市及其所辖县（市）、区（开发区）公共资源交易监督管理部门记不良行为记录的；或被记不良行为记录（以公布日期为准），但同时符合下列情形的： </w:t>
      </w:r>
    </w:p>
    <w:p w14:paraId="3B16DC49">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（1）开标日前（含当日）6个月内记分累计未满10分的； </w:t>
      </w:r>
    </w:p>
    <w:p w14:paraId="770DBB87">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（2）开标日前（含当日）12个月内记分累计未满15分的； </w:t>
      </w:r>
    </w:p>
    <w:p w14:paraId="64E0102B">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 xml:space="preserve">（3）开标日前（含当日）18个月内记分累计未满20分的； </w:t>
      </w:r>
    </w:p>
    <w:p w14:paraId="02D931A5">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18"/>
          <w:highlight w:val="none"/>
        </w:rPr>
        <w:t>（4）开标日前（含当日）24个月内记分累计未满25分的。</w:t>
      </w:r>
    </w:p>
    <w:p w14:paraId="61522942">
      <w:pPr>
        <w:spacing w:line="440" w:lineRule="exact"/>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2805AA2A">
      <w:pPr>
        <w:spacing w:line="440" w:lineRule="exact"/>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投标人公章：</w:t>
      </w:r>
      <w:r>
        <w:rPr>
          <w:rFonts w:hint="eastAsia" w:ascii="宋体" w:hAnsi="宋体" w:eastAsia="宋体" w:cs="宋体"/>
          <w:color w:val="auto"/>
          <w:sz w:val="24"/>
          <w:szCs w:val="24"/>
          <w:highlight w:val="none"/>
          <w:u w:val="single"/>
        </w:rPr>
        <w:t xml:space="preserve">             </w:t>
      </w:r>
    </w:p>
    <w:p w14:paraId="7C5DC7EC">
      <w:pPr>
        <w:spacing w:line="440" w:lineRule="exact"/>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05676224">
      <w:pPr>
        <w:spacing w:line="360" w:lineRule="auto"/>
        <w:jc w:val="center"/>
        <w:outlineLvl w:val="2"/>
        <w:rPr>
          <w:rFonts w:hint="eastAsia" w:ascii="宋体" w:hAnsi="宋体" w:eastAsia="宋体" w:cs="宋体"/>
          <w:b/>
          <w:color w:val="auto"/>
          <w:sz w:val="24"/>
          <w:highlight w:val="none"/>
        </w:rPr>
      </w:pPr>
      <w:bookmarkStart w:id="168" w:name="_Toc516969106"/>
      <w:bookmarkStart w:id="169" w:name="_Toc204594911"/>
      <w:bookmarkStart w:id="170" w:name="_Toc121626298"/>
      <w:bookmarkStart w:id="171" w:name="_Toc520983594"/>
    </w:p>
    <w:p w14:paraId="6A2CB27A">
      <w:pPr>
        <w:spacing w:line="360" w:lineRule="auto"/>
        <w:jc w:val="center"/>
        <w:outlineLvl w:val="2"/>
        <w:rPr>
          <w:rFonts w:hint="eastAsia" w:ascii="宋体" w:hAnsi="宋体" w:eastAsia="宋体" w:cs="宋体"/>
          <w:b/>
          <w:color w:val="auto"/>
          <w:sz w:val="24"/>
          <w:highlight w:val="none"/>
        </w:rPr>
      </w:pPr>
    </w:p>
    <w:p w14:paraId="4FC7E363">
      <w:pPr>
        <w:spacing w:line="360" w:lineRule="auto"/>
        <w:jc w:val="center"/>
        <w:outlineLvl w:val="2"/>
        <w:rPr>
          <w:rFonts w:hint="eastAsia" w:ascii="宋体" w:hAnsi="宋体" w:eastAsia="宋体" w:cs="宋体"/>
          <w:b/>
          <w:color w:val="auto"/>
          <w:sz w:val="24"/>
          <w:highlight w:val="none"/>
        </w:rPr>
      </w:pPr>
    </w:p>
    <w:p w14:paraId="426B2A7A">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四、授权书</w:t>
      </w:r>
      <w:bookmarkEnd w:id="168"/>
      <w:bookmarkEnd w:id="169"/>
      <w:bookmarkEnd w:id="170"/>
      <w:bookmarkEnd w:id="171"/>
    </w:p>
    <w:p w14:paraId="2449582C">
      <w:pPr>
        <w:spacing w:line="360" w:lineRule="auto"/>
        <w:jc w:val="center"/>
        <w:rPr>
          <w:rFonts w:hint="eastAsia" w:ascii="宋体" w:hAnsi="宋体" w:eastAsia="宋体" w:cs="宋体"/>
          <w:b/>
          <w:color w:val="auto"/>
          <w:sz w:val="24"/>
          <w:highlight w:val="none"/>
        </w:rPr>
      </w:pPr>
    </w:p>
    <w:p w14:paraId="2CC85F43">
      <w:pPr>
        <w:pStyle w:val="13"/>
        <w:snapToGrid w:val="0"/>
        <w:spacing w:line="360" w:lineRule="auto"/>
        <w:ind w:firstLine="480" w:firstLineChars="200"/>
        <w:jc w:val="left"/>
        <w:rPr>
          <w:rFonts w:hint="eastAsia" w:hAnsi="宋体" w:cs="宋体"/>
          <w:color w:val="auto"/>
          <w:sz w:val="24"/>
          <w:szCs w:val="28"/>
          <w:highlight w:val="none"/>
        </w:rPr>
      </w:pPr>
      <w:r>
        <w:rPr>
          <w:rFonts w:hint="eastAsia" w:hAnsi="宋体" w:cs="宋体"/>
          <w:color w:val="auto"/>
          <w:sz w:val="24"/>
          <w:szCs w:val="28"/>
          <w:highlight w:val="none"/>
        </w:rPr>
        <w:t>本授权书声明：</w:t>
      </w:r>
      <w:r>
        <w:rPr>
          <w:rFonts w:hint="eastAsia" w:hAnsi="宋体" w:cs="宋体"/>
          <w:color w:val="auto"/>
          <w:sz w:val="24"/>
          <w:szCs w:val="28"/>
          <w:highlight w:val="none"/>
          <w:u w:val="single"/>
        </w:rPr>
        <w:t xml:space="preserve">           </w:t>
      </w:r>
      <w:r>
        <w:rPr>
          <w:rFonts w:hint="eastAsia" w:hAnsi="宋体" w:cs="宋体"/>
          <w:color w:val="auto"/>
          <w:sz w:val="24"/>
          <w:szCs w:val="28"/>
          <w:highlight w:val="none"/>
        </w:rPr>
        <w:t>（投标人名称）授权</w:t>
      </w:r>
      <w:r>
        <w:rPr>
          <w:rFonts w:hint="eastAsia" w:hAnsi="宋体" w:cs="宋体"/>
          <w:color w:val="auto"/>
          <w:sz w:val="24"/>
          <w:szCs w:val="28"/>
          <w:highlight w:val="none"/>
          <w:u w:val="single"/>
        </w:rPr>
        <w:t xml:space="preserve">       </w:t>
      </w:r>
      <w:r>
        <w:rPr>
          <w:rFonts w:hint="eastAsia" w:hAnsi="宋体" w:cs="宋体"/>
          <w:color w:val="auto"/>
          <w:sz w:val="24"/>
          <w:szCs w:val="28"/>
          <w:highlight w:val="none"/>
        </w:rPr>
        <w:t>（投标人授权代表姓名）代表我方参加本项目</w:t>
      </w:r>
      <w:r>
        <w:rPr>
          <w:rFonts w:hint="eastAsia" w:hAnsi="宋体" w:cs="宋体"/>
          <w:bCs/>
          <w:color w:val="auto"/>
          <w:sz w:val="24"/>
          <w:szCs w:val="28"/>
          <w:highlight w:val="none"/>
        </w:rPr>
        <w:t>招标活动</w:t>
      </w:r>
      <w:r>
        <w:rPr>
          <w:rFonts w:hint="eastAsia" w:hAnsi="宋体" w:cs="宋体"/>
          <w:color w:val="auto"/>
          <w:sz w:val="24"/>
          <w:szCs w:val="28"/>
          <w:highlight w:val="none"/>
        </w:rPr>
        <w:t>，全权代表我方处理磋商过程的一切事宜，包括但不限于：提交响应文件、参与磋商、签约等。投标人授权代表在招标活动过程中所签署的一切文件和处理与之有关的一切事务，本公司均予以认可并对此承担责任。投标人授权代表无转委托权。特此授权。</w:t>
      </w:r>
    </w:p>
    <w:p w14:paraId="1DFB4790">
      <w:pPr>
        <w:pStyle w:val="13"/>
        <w:snapToGrid w:val="0"/>
        <w:spacing w:line="360" w:lineRule="auto"/>
        <w:ind w:firstLine="480" w:firstLineChars="200"/>
        <w:jc w:val="left"/>
        <w:rPr>
          <w:rFonts w:hint="eastAsia" w:hAnsi="宋体" w:cs="宋体"/>
          <w:color w:val="auto"/>
          <w:sz w:val="24"/>
          <w:szCs w:val="28"/>
          <w:highlight w:val="none"/>
        </w:rPr>
      </w:pPr>
      <w:r>
        <w:rPr>
          <w:rFonts w:hint="eastAsia" w:hAnsi="宋体" w:cs="宋体"/>
          <w:color w:val="auto"/>
          <w:sz w:val="24"/>
          <w:szCs w:val="28"/>
          <w:highlight w:val="none"/>
        </w:rPr>
        <w:t>本授权书自出具之日起生效。</w:t>
      </w:r>
    </w:p>
    <w:p w14:paraId="4BF517F5">
      <w:pPr>
        <w:pStyle w:val="13"/>
        <w:snapToGrid w:val="0"/>
        <w:spacing w:line="360" w:lineRule="auto"/>
        <w:ind w:firstLine="480" w:firstLineChars="200"/>
        <w:jc w:val="left"/>
        <w:rPr>
          <w:rFonts w:hint="eastAsia" w:hAnsi="宋体" w:cs="宋体"/>
          <w:color w:val="auto"/>
          <w:sz w:val="24"/>
          <w:highlight w:val="none"/>
        </w:rPr>
      </w:pPr>
      <w:r>
        <w:rPr>
          <w:rFonts w:hint="eastAsia" w:hAnsi="宋体" w:cs="宋体"/>
          <w:color w:val="auto"/>
          <w:sz w:val="24"/>
          <w:szCs w:val="28"/>
          <w:highlight w:val="none"/>
        </w:rPr>
        <w:t>授权代表</w:t>
      </w:r>
      <w:r>
        <w:rPr>
          <w:rFonts w:hint="eastAsia" w:hAnsi="宋体" w:cs="宋体"/>
          <w:color w:val="auto"/>
          <w:sz w:val="24"/>
          <w:highlight w:val="none"/>
        </w:rPr>
        <w:t>身份证明扫描件或影印件：</w:t>
      </w:r>
    </w:p>
    <w:p w14:paraId="14A4F822">
      <w:pPr>
        <w:pStyle w:val="13"/>
        <w:snapToGrid w:val="0"/>
        <w:spacing w:line="360" w:lineRule="auto"/>
        <w:ind w:firstLine="480" w:firstLineChars="200"/>
        <w:jc w:val="left"/>
        <w:rPr>
          <w:rFonts w:hint="eastAsia" w:hAnsi="宋体" w:cs="宋体"/>
          <w:color w:val="auto"/>
          <w:sz w:val="24"/>
          <w:highlight w:val="none"/>
        </w:rPr>
      </w:pPr>
    </w:p>
    <w:p w14:paraId="17CFF9EF">
      <w:pPr>
        <w:pStyle w:val="13"/>
        <w:snapToGrid w:val="0"/>
        <w:spacing w:line="360" w:lineRule="auto"/>
        <w:ind w:firstLine="480" w:firstLineChars="200"/>
        <w:jc w:val="left"/>
        <w:rPr>
          <w:rFonts w:hint="eastAsia" w:hAnsi="宋体" w:cs="宋体"/>
          <w:color w:val="auto"/>
          <w:sz w:val="24"/>
          <w:highlight w:val="none"/>
        </w:rPr>
      </w:pPr>
    </w:p>
    <w:p w14:paraId="20B4078A">
      <w:pPr>
        <w:pStyle w:val="13"/>
        <w:snapToGrid w:val="0"/>
        <w:spacing w:line="360" w:lineRule="auto"/>
        <w:ind w:firstLine="480" w:firstLineChars="200"/>
        <w:jc w:val="left"/>
        <w:rPr>
          <w:rFonts w:hint="eastAsia" w:hAnsi="宋体" w:cs="宋体"/>
          <w:color w:val="auto"/>
          <w:sz w:val="24"/>
          <w:highlight w:val="none"/>
        </w:rPr>
      </w:pPr>
    </w:p>
    <w:p w14:paraId="3591F813">
      <w:pPr>
        <w:pStyle w:val="13"/>
        <w:snapToGrid w:val="0"/>
        <w:spacing w:line="360" w:lineRule="auto"/>
        <w:ind w:firstLine="480" w:firstLineChars="200"/>
        <w:jc w:val="left"/>
        <w:rPr>
          <w:rFonts w:hint="eastAsia" w:hAnsi="宋体" w:cs="宋体"/>
          <w:color w:val="auto"/>
          <w:sz w:val="24"/>
          <w:highlight w:val="none"/>
        </w:rPr>
      </w:pPr>
    </w:p>
    <w:p w14:paraId="3BE6BA8F">
      <w:pPr>
        <w:pStyle w:val="13"/>
        <w:snapToGrid w:val="0"/>
        <w:spacing w:line="360" w:lineRule="auto"/>
        <w:ind w:firstLine="480" w:firstLineChars="200"/>
        <w:jc w:val="left"/>
        <w:rPr>
          <w:rFonts w:hint="eastAsia" w:hAnsi="宋体" w:cs="宋体"/>
          <w:color w:val="auto"/>
          <w:sz w:val="24"/>
          <w:szCs w:val="28"/>
          <w:highlight w:val="none"/>
          <w:u w:val="single"/>
        </w:rPr>
      </w:pPr>
      <w:r>
        <w:rPr>
          <w:rFonts w:hint="eastAsia" w:hAnsi="宋体" w:cs="宋体"/>
          <w:color w:val="auto"/>
          <w:sz w:val="24"/>
          <w:szCs w:val="28"/>
          <w:highlight w:val="none"/>
        </w:rPr>
        <w:t>授权代表联系方式：</w:t>
      </w:r>
      <w:r>
        <w:rPr>
          <w:rFonts w:hint="eastAsia" w:hAnsi="宋体" w:cs="宋体"/>
          <w:color w:val="auto"/>
          <w:sz w:val="24"/>
          <w:szCs w:val="28"/>
          <w:highlight w:val="none"/>
          <w:u w:val="single"/>
        </w:rPr>
        <w:t xml:space="preserve">          （请填写手机号码）</w:t>
      </w:r>
    </w:p>
    <w:p w14:paraId="1D8FC8A2">
      <w:pPr>
        <w:pStyle w:val="13"/>
        <w:snapToGrid w:val="0"/>
        <w:spacing w:line="360" w:lineRule="auto"/>
        <w:ind w:firstLine="480" w:firstLineChars="200"/>
        <w:jc w:val="left"/>
        <w:rPr>
          <w:rFonts w:hint="eastAsia" w:hAnsi="宋体" w:cs="宋体"/>
          <w:color w:val="auto"/>
          <w:sz w:val="24"/>
          <w:szCs w:val="28"/>
          <w:highlight w:val="none"/>
        </w:rPr>
      </w:pPr>
    </w:p>
    <w:p w14:paraId="3010A9AC">
      <w:pPr>
        <w:spacing w:line="360" w:lineRule="auto"/>
        <w:ind w:firstLine="480" w:firstLineChars="200"/>
        <w:rPr>
          <w:rFonts w:hint="eastAsia" w:ascii="宋体" w:hAnsi="宋体" w:eastAsia="宋体" w:cs="宋体"/>
          <w:color w:val="auto"/>
          <w:sz w:val="24"/>
          <w:szCs w:val="28"/>
          <w:highlight w:val="none"/>
        </w:rPr>
      </w:pPr>
      <w:bookmarkStart w:id="172" w:name="_GoBack"/>
      <w:bookmarkEnd w:id="172"/>
      <w:r>
        <w:rPr>
          <w:rFonts w:hint="eastAsia" w:ascii="宋体" w:hAnsi="宋体" w:eastAsia="宋体" w:cs="宋体"/>
          <w:color w:val="auto"/>
          <w:sz w:val="24"/>
          <w:szCs w:val="28"/>
          <w:highlight w:val="none"/>
        </w:rPr>
        <w:t>特此声明。</w:t>
      </w:r>
    </w:p>
    <w:p w14:paraId="0A49F584">
      <w:pPr>
        <w:spacing w:line="360" w:lineRule="auto"/>
        <w:rPr>
          <w:rFonts w:hint="eastAsia" w:ascii="宋体" w:hAnsi="宋体" w:eastAsia="宋体" w:cs="宋体"/>
          <w:color w:val="auto"/>
          <w:sz w:val="24"/>
          <w:szCs w:val="28"/>
          <w:highlight w:val="none"/>
        </w:rPr>
      </w:pPr>
    </w:p>
    <w:p w14:paraId="525C8E1C">
      <w:pPr>
        <w:spacing w:line="360" w:lineRule="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投标人公章：</w:t>
      </w:r>
      <w:r>
        <w:rPr>
          <w:rFonts w:hint="eastAsia" w:ascii="宋体" w:hAnsi="宋体" w:eastAsia="宋体" w:cs="宋体"/>
          <w:bCs/>
          <w:color w:val="auto"/>
          <w:sz w:val="24"/>
          <w:szCs w:val="28"/>
          <w:highlight w:val="none"/>
          <w:u w:val="single"/>
        </w:rPr>
        <w:t xml:space="preserve">                    </w:t>
      </w:r>
    </w:p>
    <w:p w14:paraId="43C4BB1D">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      期：</w:t>
      </w:r>
      <w:r>
        <w:rPr>
          <w:rFonts w:hint="eastAsia" w:ascii="宋体" w:hAnsi="宋体" w:eastAsia="宋体" w:cs="宋体"/>
          <w:color w:val="auto"/>
          <w:sz w:val="24"/>
          <w:szCs w:val="28"/>
          <w:highlight w:val="none"/>
          <w:u w:val="single"/>
        </w:rPr>
        <w:t xml:space="preserve">                    </w:t>
      </w:r>
    </w:p>
    <w:p w14:paraId="6D4B136F">
      <w:pPr>
        <w:spacing w:line="360" w:lineRule="auto"/>
        <w:rPr>
          <w:rFonts w:hint="eastAsia" w:ascii="宋体" w:hAnsi="宋体" w:eastAsia="宋体" w:cs="宋体"/>
          <w:color w:val="auto"/>
          <w:sz w:val="24"/>
          <w:szCs w:val="28"/>
          <w:highlight w:val="none"/>
        </w:rPr>
      </w:pPr>
    </w:p>
    <w:p w14:paraId="74358999">
      <w:pPr>
        <w:spacing w:line="360" w:lineRule="auto"/>
        <w:rPr>
          <w:rFonts w:hint="eastAsia" w:ascii="宋体" w:hAnsi="宋体" w:eastAsia="宋体" w:cs="宋体"/>
          <w:color w:val="auto"/>
          <w:sz w:val="24"/>
          <w:szCs w:val="28"/>
          <w:highlight w:val="none"/>
        </w:rPr>
      </w:pPr>
    </w:p>
    <w:p w14:paraId="44ECB196">
      <w:pPr>
        <w:pStyle w:val="13"/>
        <w:snapToGrid w:val="0"/>
        <w:spacing w:line="360" w:lineRule="auto"/>
        <w:jc w:val="left"/>
        <w:rPr>
          <w:rFonts w:hint="eastAsia" w:hAnsi="宋体" w:cs="宋体"/>
          <w:color w:val="auto"/>
          <w:sz w:val="24"/>
          <w:szCs w:val="28"/>
          <w:highlight w:val="none"/>
        </w:rPr>
      </w:pPr>
      <w:r>
        <w:rPr>
          <w:rFonts w:hint="eastAsia" w:hAnsi="宋体" w:cs="宋体"/>
          <w:color w:val="auto"/>
          <w:sz w:val="24"/>
          <w:szCs w:val="28"/>
          <w:highlight w:val="none"/>
        </w:rPr>
        <w:t>注：</w:t>
      </w:r>
    </w:p>
    <w:p w14:paraId="47659CD6">
      <w:pPr>
        <w:pStyle w:val="13"/>
        <w:snapToGrid w:val="0"/>
        <w:spacing w:line="360" w:lineRule="auto"/>
        <w:jc w:val="left"/>
        <w:rPr>
          <w:rFonts w:hint="eastAsia" w:hAnsi="宋体" w:cs="宋体"/>
          <w:color w:val="auto"/>
          <w:sz w:val="24"/>
          <w:szCs w:val="28"/>
          <w:highlight w:val="none"/>
        </w:rPr>
      </w:pPr>
      <w:r>
        <w:rPr>
          <w:rFonts w:hint="eastAsia" w:hAnsi="宋体" w:cs="宋体"/>
          <w:color w:val="auto"/>
          <w:sz w:val="24"/>
          <w:szCs w:val="28"/>
          <w:highlight w:val="none"/>
        </w:rPr>
        <w:t>1.本项目只允许有唯一的投标人授权代表，提供身份证明扫描件或影印件；</w:t>
      </w:r>
    </w:p>
    <w:p w14:paraId="203E935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2.法定代表人参加磋商的无需提供授权书，仅提供身份证明扫描件或影印件。</w:t>
      </w:r>
    </w:p>
    <w:p w14:paraId="1BA6282D">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505FFE18">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五、商务响应表</w:t>
      </w:r>
    </w:p>
    <w:p w14:paraId="0DA3BDF5">
      <w:pPr>
        <w:spacing w:line="360" w:lineRule="auto"/>
        <w:ind w:firstLine="435"/>
        <w:rPr>
          <w:rFonts w:hint="eastAsia" w:ascii="宋体" w:hAnsi="宋体" w:eastAsia="宋体" w:cs="宋体"/>
          <w:b/>
          <w:color w:val="auto"/>
          <w:sz w:val="24"/>
          <w:highlight w:val="none"/>
        </w:rPr>
      </w:pP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7AE54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5DBB0E4F">
            <w:pPr>
              <w:pStyle w:val="13"/>
              <w:jc w:val="center"/>
              <w:rPr>
                <w:rFonts w:hint="eastAsia" w:hAnsi="宋体" w:cs="宋体"/>
                <w:b/>
                <w:color w:val="auto"/>
                <w:sz w:val="24"/>
                <w:highlight w:val="none"/>
              </w:rPr>
            </w:pPr>
            <w:r>
              <w:rPr>
                <w:rFonts w:hint="eastAsia" w:hAnsi="宋体" w:cs="宋体"/>
                <w:b/>
                <w:color w:val="auto"/>
                <w:sz w:val="24"/>
                <w:highlight w:val="none"/>
              </w:rPr>
              <w:t>序号</w:t>
            </w:r>
          </w:p>
        </w:tc>
        <w:tc>
          <w:tcPr>
            <w:tcW w:w="1916" w:type="dxa"/>
            <w:vAlign w:val="center"/>
          </w:tcPr>
          <w:p w14:paraId="6C20D047">
            <w:pPr>
              <w:pStyle w:val="13"/>
              <w:jc w:val="center"/>
              <w:rPr>
                <w:rFonts w:hint="eastAsia" w:hAnsi="宋体" w:cs="宋体"/>
                <w:b/>
                <w:color w:val="auto"/>
                <w:sz w:val="24"/>
                <w:highlight w:val="none"/>
              </w:rPr>
            </w:pPr>
            <w:r>
              <w:rPr>
                <w:rFonts w:hint="eastAsia" w:hAnsi="宋体" w:cs="宋体"/>
                <w:b/>
                <w:bCs/>
                <w:color w:val="auto"/>
                <w:sz w:val="24"/>
                <w:szCs w:val="24"/>
                <w:highlight w:val="none"/>
              </w:rPr>
              <w:t>商务条款</w:t>
            </w:r>
          </w:p>
        </w:tc>
        <w:tc>
          <w:tcPr>
            <w:tcW w:w="2497" w:type="dxa"/>
            <w:vAlign w:val="center"/>
          </w:tcPr>
          <w:p w14:paraId="41E31CFE">
            <w:pPr>
              <w:pStyle w:val="13"/>
              <w:jc w:val="center"/>
              <w:rPr>
                <w:rFonts w:hint="eastAsia" w:hAnsi="宋体" w:cs="宋体"/>
                <w:b/>
                <w:color w:val="auto"/>
                <w:sz w:val="24"/>
                <w:highlight w:val="none"/>
              </w:rPr>
            </w:pPr>
            <w:r>
              <w:rPr>
                <w:rFonts w:hint="eastAsia" w:hAnsi="宋体" w:cs="宋体"/>
                <w:b/>
                <w:color w:val="auto"/>
                <w:sz w:val="24"/>
                <w:highlight w:val="none"/>
              </w:rPr>
              <w:t>磋商文件要求</w:t>
            </w:r>
          </w:p>
        </w:tc>
        <w:tc>
          <w:tcPr>
            <w:tcW w:w="2575" w:type="dxa"/>
            <w:vAlign w:val="center"/>
          </w:tcPr>
          <w:p w14:paraId="40DC1703">
            <w:pPr>
              <w:pStyle w:val="13"/>
              <w:jc w:val="center"/>
              <w:rPr>
                <w:rFonts w:hint="eastAsia" w:hAnsi="宋体" w:cs="宋体"/>
                <w:b/>
                <w:color w:val="auto"/>
                <w:sz w:val="24"/>
                <w:highlight w:val="none"/>
              </w:rPr>
            </w:pPr>
            <w:r>
              <w:rPr>
                <w:rFonts w:hint="eastAsia" w:hAnsi="宋体" w:cs="宋体"/>
                <w:b/>
                <w:color w:val="auto"/>
                <w:sz w:val="24"/>
                <w:highlight w:val="none"/>
              </w:rPr>
              <w:t>投标人承诺</w:t>
            </w:r>
          </w:p>
        </w:tc>
        <w:tc>
          <w:tcPr>
            <w:tcW w:w="810" w:type="dxa"/>
            <w:vAlign w:val="center"/>
          </w:tcPr>
          <w:p w14:paraId="566BA6A7">
            <w:pPr>
              <w:pStyle w:val="13"/>
              <w:jc w:val="center"/>
              <w:rPr>
                <w:rFonts w:hint="eastAsia" w:hAnsi="宋体" w:cs="宋体"/>
                <w:b/>
                <w:color w:val="auto"/>
                <w:sz w:val="24"/>
                <w:highlight w:val="none"/>
              </w:rPr>
            </w:pPr>
            <w:r>
              <w:rPr>
                <w:rFonts w:hint="eastAsia" w:hAnsi="宋体" w:cs="宋体"/>
                <w:b/>
                <w:color w:val="auto"/>
                <w:sz w:val="24"/>
                <w:highlight w:val="none"/>
              </w:rPr>
              <w:t>偏离说明</w:t>
            </w:r>
          </w:p>
        </w:tc>
      </w:tr>
      <w:tr w14:paraId="1F19B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93B149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916" w:type="dxa"/>
            <w:vAlign w:val="center"/>
          </w:tcPr>
          <w:p w14:paraId="7A921FC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2497" w:type="dxa"/>
            <w:vAlign w:val="center"/>
          </w:tcPr>
          <w:p w14:paraId="52DADCBB">
            <w:pPr>
              <w:jc w:val="center"/>
              <w:rPr>
                <w:rFonts w:hint="eastAsia" w:ascii="宋体" w:hAnsi="宋体" w:eastAsia="宋体" w:cs="宋体"/>
                <w:color w:val="auto"/>
                <w:sz w:val="24"/>
                <w:highlight w:val="none"/>
              </w:rPr>
            </w:pPr>
          </w:p>
        </w:tc>
        <w:tc>
          <w:tcPr>
            <w:tcW w:w="2575" w:type="dxa"/>
            <w:vAlign w:val="center"/>
          </w:tcPr>
          <w:p w14:paraId="3152C315">
            <w:pPr>
              <w:jc w:val="center"/>
              <w:rPr>
                <w:rFonts w:hint="eastAsia" w:ascii="宋体" w:hAnsi="宋体" w:eastAsia="宋体" w:cs="宋体"/>
                <w:color w:val="auto"/>
                <w:sz w:val="24"/>
                <w:highlight w:val="none"/>
              </w:rPr>
            </w:pPr>
          </w:p>
        </w:tc>
        <w:tc>
          <w:tcPr>
            <w:tcW w:w="810" w:type="dxa"/>
            <w:vAlign w:val="center"/>
          </w:tcPr>
          <w:p w14:paraId="4F12CB9A">
            <w:pPr>
              <w:jc w:val="center"/>
              <w:rPr>
                <w:rFonts w:hint="eastAsia" w:ascii="宋体" w:hAnsi="宋体" w:eastAsia="宋体" w:cs="宋体"/>
                <w:color w:val="auto"/>
                <w:sz w:val="24"/>
                <w:highlight w:val="none"/>
              </w:rPr>
            </w:pPr>
          </w:p>
        </w:tc>
      </w:tr>
      <w:tr w14:paraId="16C9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399B8EF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916" w:type="dxa"/>
            <w:vAlign w:val="center"/>
          </w:tcPr>
          <w:p w14:paraId="1FC7BE8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服务地点</w:t>
            </w:r>
          </w:p>
        </w:tc>
        <w:tc>
          <w:tcPr>
            <w:tcW w:w="2497" w:type="dxa"/>
            <w:vAlign w:val="center"/>
          </w:tcPr>
          <w:p w14:paraId="4CE5B229">
            <w:pPr>
              <w:jc w:val="center"/>
              <w:rPr>
                <w:rFonts w:hint="eastAsia" w:ascii="宋体" w:hAnsi="宋体" w:eastAsia="宋体" w:cs="宋体"/>
                <w:color w:val="auto"/>
                <w:sz w:val="24"/>
                <w:highlight w:val="none"/>
              </w:rPr>
            </w:pPr>
          </w:p>
        </w:tc>
        <w:tc>
          <w:tcPr>
            <w:tcW w:w="2575" w:type="dxa"/>
            <w:vAlign w:val="center"/>
          </w:tcPr>
          <w:p w14:paraId="22F0BCAB">
            <w:pPr>
              <w:jc w:val="center"/>
              <w:rPr>
                <w:rFonts w:hint="eastAsia" w:ascii="宋体" w:hAnsi="宋体" w:eastAsia="宋体" w:cs="宋体"/>
                <w:color w:val="auto"/>
                <w:sz w:val="24"/>
                <w:highlight w:val="none"/>
              </w:rPr>
            </w:pPr>
          </w:p>
        </w:tc>
        <w:tc>
          <w:tcPr>
            <w:tcW w:w="810" w:type="dxa"/>
            <w:vAlign w:val="center"/>
          </w:tcPr>
          <w:p w14:paraId="0882A392">
            <w:pPr>
              <w:jc w:val="center"/>
              <w:rPr>
                <w:rFonts w:hint="eastAsia" w:ascii="宋体" w:hAnsi="宋体" w:eastAsia="宋体" w:cs="宋体"/>
                <w:color w:val="auto"/>
                <w:sz w:val="24"/>
                <w:highlight w:val="none"/>
              </w:rPr>
            </w:pPr>
          </w:p>
        </w:tc>
      </w:tr>
      <w:tr w14:paraId="33A6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8F2BD3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916" w:type="dxa"/>
            <w:vAlign w:val="center"/>
          </w:tcPr>
          <w:p w14:paraId="73517C5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服务期限</w:t>
            </w:r>
          </w:p>
        </w:tc>
        <w:tc>
          <w:tcPr>
            <w:tcW w:w="2497" w:type="dxa"/>
            <w:vAlign w:val="center"/>
          </w:tcPr>
          <w:p w14:paraId="181BC02B">
            <w:pPr>
              <w:jc w:val="center"/>
              <w:rPr>
                <w:rFonts w:hint="eastAsia" w:ascii="宋体" w:hAnsi="宋体" w:eastAsia="宋体" w:cs="宋体"/>
                <w:color w:val="auto"/>
                <w:sz w:val="24"/>
                <w:highlight w:val="none"/>
              </w:rPr>
            </w:pPr>
          </w:p>
        </w:tc>
        <w:tc>
          <w:tcPr>
            <w:tcW w:w="2575" w:type="dxa"/>
            <w:vAlign w:val="center"/>
          </w:tcPr>
          <w:p w14:paraId="7BA7EBB0">
            <w:pPr>
              <w:pStyle w:val="32"/>
              <w:jc w:val="center"/>
              <w:rPr>
                <w:rFonts w:hint="eastAsia" w:ascii="宋体" w:hAnsi="宋体" w:cs="宋体"/>
                <w:color w:val="auto"/>
                <w:highlight w:val="none"/>
              </w:rPr>
            </w:pPr>
          </w:p>
        </w:tc>
        <w:tc>
          <w:tcPr>
            <w:tcW w:w="810" w:type="dxa"/>
            <w:vAlign w:val="center"/>
          </w:tcPr>
          <w:p w14:paraId="7409B65F">
            <w:pPr>
              <w:jc w:val="center"/>
              <w:rPr>
                <w:rFonts w:hint="eastAsia" w:ascii="宋体" w:hAnsi="宋体" w:eastAsia="宋体" w:cs="宋体"/>
                <w:color w:val="auto"/>
                <w:sz w:val="24"/>
                <w:highlight w:val="none"/>
              </w:rPr>
            </w:pPr>
          </w:p>
        </w:tc>
      </w:tr>
      <w:tr w14:paraId="271E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D4C8EC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916" w:type="dxa"/>
            <w:vAlign w:val="center"/>
          </w:tcPr>
          <w:p w14:paraId="4D0D233B">
            <w:pPr>
              <w:jc w:val="center"/>
              <w:rPr>
                <w:rFonts w:hint="eastAsia" w:ascii="宋体" w:hAnsi="宋体" w:eastAsia="宋体" w:cs="宋体"/>
                <w:color w:val="auto"/>
                <w:sz w:val="24"/>
                <w:highlight w:val="none"/>
              </w:rPr>
            </w:pPr>
          </w:p>
        </w:tc>
        <w:tc>
          <w:tcPr>
            <w:tcW w:w="2497" w:type="dxa"/>
            <w:vAlign w:val="center"/>
          </w:tcPr>
          <w:p w14:paraId="0C0D7337">
            <w:pPr>
              <w:jc w:val="center"/>
              <w:rPr>
                <w:rFonts w:hint="eastAsia" w:ascii="宋体" w:hAnsi="宋体" w:eastAsia="宋体" w:cs="宋体"/>
                <w:color w:val="auto"/>
                <w:sz w:val="24"/>
                <w:highlight w:val="none"/>
              </w:rPr>
            </w:pPr>
          </w:p>
        </w:tc>
        <w:tc>
          <w:tcPr>
            <w:tcW w:w="2575" w:type="dxa"/>
            <w:vAlign w:val="center"/>
          </w:tcPr>
          <w:p w14:paraId="7B09C437">
            <w:pPr>
              <w:jc w:val="center"/>
              <w:rPr>
                <w:rFonts w:hint="eastAsia" w:ascii="宋体" w:hAnsi="宋体" w:eastAsia="宋体" w:cs="宋体"/>
                <w:color w:val="auto"/>
                <w:sz w:val="24"/>
                <w:highlight w:val="none"/>
              </w:rPr>
            </w:pPr>
          </w:p>
        </w:tc>
        <w:tc>
          <w:tcPr>
            <w:tcW w:w="810" w:type="dxa"/>
            <w:vAlign w:val="center"/>
          </w:tcPr>
          <w:p w14:paraId="40B97DDF">
            <w:pPr>
              <w:jc w:val="center"/>
              <w:rPr>
                <w:rFonts w:hint="eastAsia" w:ascii="宋体" w:hAnsi="宋体" w:eastAsia="宋体" w:cs="宋体"/>
                <w:color w:val="auto"/>
                <w:sz w:val="24"/>
                <w:highlight w:val="none"/>
              </w:rPr>
            </w:pPr>
          </w:p>
        </w:tc>
      </w:tr>
    </w:tbl>
    <w:p w14:paraId="5FB84D97">
      <w:pPr>
        <w:pStyle w:val="14"/>
        <w:spacing w:line="360" w:lineRule="auto"/>
        <w:rPr>
          <w:rFonts w:hint="eastAsia" w:ascii="宋体" w:hAnsi="宋体" w:cs="宋体"/>
          <w:color w:val="auto"/>
          <w:sz w:val="24"/>
          <w:highlight w:val="none"/>
        </w:rPr>
      </w:pPr>
      <w:r>
        <w:rPr>
          <w:rFonts w:hint="eastAsia" w:ascii="宋体" w:hAnsi="宋体" w:cs="宋体"/>
          <w:color w:val="auto"/>
          <w:sz w:val="24"/>
          <w:highlight w:val="none"/>
        </w:rPr>
        <w:br w:type="page"/>
      </w:r>
    </w:p>
    <w:p w14:paraId="3C85780A">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六、人员配备</w:t>
      </w:r>
    </w:p>
    <w:p w14:paraId="675AFDD5">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p>
    <w:p w14:paraId="28C8CB4B">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3A2BB9D6">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七、服务方案</w:t>
      </w:r>
    </w:p>
    <w:p w14:paraId="3A852C6C">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p>
    <w:p w14:paraId="2205F15F">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color w:val="auto"/>
          <w:sz w:val="24"/>
          <w:highlight w:val="none"/>
        </w:rPr>
        <w:br w:type="page"/>
      </w:r>
    </w:p>
    <w:p w14:paraId="59097D96">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八、服务承诺</w:t>
      </w:r>
    </w:p>
    <w:p w14:paraId="5C23C68C">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p>
    <w:p w14:paraId="6384C7A4">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77EBD629">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九、磋商业绩承诺函</w:t>
      </w:r>
    </w:p>
    <w:p w14:paraId="2D83DF34">
      <w:pPr>
        <w:spacing w:line="360" w:lineRule="auto"/>
        <w:ind w:firstLine="435"/>
        <w:rPr>
          <w:rFonts w:hint="eastAsia" w:ascii="宋体" w:hAnsi="宋体" w:eastAsia="宋体" w:cs="宋体"/>
          <w:color w:val="auto"/>
          <w:sz w:val="24"/>
          <w:highlight w:val="none"/>
        </w:rPr>
      </w:pPr>
    </w:p>
    <w:p w14:paraId="37168E8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我单位同意中标候选人公示中公示以下业绩并承诺：响应文件中所提供的业绩均真实有效，若被发现存在任何虚假、隐瞒情况，我单位承担由此产生的一切后果。</w:t>
      </w:r>
    </w:p>
    <w:p w14:paraId="7767AE0E">
      <w:pPr>
        <w:spacing w:line="360" w:lineRule="auto"/>
        <w:ind w:firstLine="435"/>
        <w:rPr>
          <w:rFonts w:hint="eastAsia" w:ascii="宋体" w:hAnsi="宋体" w:eastAsia="宋体" w:cs="宋体"/>
          <w:color w:val="auto"/>
          <w:sz w:val="24"/>
          <w:highlight w:val="none"/>
        </w:rPr>
      </w:pPr>
    </w:p>
    <w:p w14:paraId="5F8D526F">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投标人公章：</w:t>
      </w:r>
      <w:r>
        <w:rPr>
          <w:rFonts w:hint="eastAsia" w:ascii="宋体" w:hAnsi="宋体" w:eastAsia="宋体" w:cs="宋体"/>
          <w:color w:val="auto"/>
          <w:sz w:val="24"/>
          <w:highlight w:val="none"/>
          <w:u w:val="single"/>
        </w:rPr>
        <w:t xml:space="preserve">              </w:t>
      </w:r>
    </w:p>
    <w:p w14:paraId="4BA05633">
      <w:pPr>
        <w:tabs>
          <w:tab w:val="left" w:pos="630"/>
        </w:tabs>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6117AF41">
      <w:pPr>
        <w:tabs>
          <w:tab w:val="left" w:pos="630"/>
        </w:tabs>
        <w:spacing w:line="360" w:lineRule="auto"/>
        <w:ind w:firstLine="3700" w:firstLineChars="1762"/>
        <w:rPr>
          <w:rFonts w:hint="eastAsia" w:ascii="宋体" w:hAnsi="宋体" w:eastAsia="宋体" w:cs="宋体"/>
          <w:color w:val="auto"/>
          <w:highlight w:val="none"/>
        </w:rPr>
      </w:pP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106"/>
        <w:gridCol w:w="2528"/>
        <w:gridCol w:w="948"/>
      </w:tblGrid>
      <w:tr w14:paraId="16A6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0" w:type="dxa"/>
            <w:vAlign w:val="center"/>
          </w:tcPr>
          <w:p w14:paraId="64AB2A7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106" w:type="dxa"/>
            <w:vAlign w:val="center"/>
          </w:tcPr>
          <w:p w14:paraId="158875D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2528" w:type="dxa"/>
            <w:vAlign w:val="center"/>
          </w:tcPr>
          <w:p w14:paraId="2F1C85F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服务范围</w:t>
            </w:r>
          </w:p>
        </w:tc>
        <w:tc>
          <w:tcPr>
            <w:tcW w:w="948" w:type="dxa"/>
            <w:vAlign w:val="center"/>
          </w:tcPr>
          <w:p w14:paraId="744BAFD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7B83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11D7727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106" w:type="dxa"/>
            <w:vAlign w:val="center"/>
          </w:tcPr>
          <w:p w14:paraId="114F4D73">
            <w:pPr>
              <w:spacing w:line="360" w:lineRule="auto"/>
              <w:rPr>
                <w:rFonts w:hint="eastAsia" w:ascii="宋体" w:hAnsi="宋体" w:eastAsia="宋体" w:cs="宋体"/>
                <w:color w:val="auto"/>
                <w:sz w:val="24"/>
                <w:szCs w:val="24"/>
                <w:highlight w:val="none"/>
              </w:rPr>
            </w:pPr>
          </w:p>
        </w:tc>
        <w:tc>
          <w:tcPr>
            <w:tcW w:w="2528" w:type="dxa"/>
            <w:vAlign w:val="center"/>
          </w:tcPr>
          <w:p w14:paraId="2A5ADED0">
            <w:pPr>
              <w:spacing w:line="360" w:lineRule="auto"/>
              <w:rPr>
                <w:rFonts w:hint="eastAsia" w:ascii="宋体" w:hAnsi="宋体" w:eastAsia="宋体" w:cs="宋体"/>
                <w:color w:val="auto"/>
                <w:sz w:val="24"/>
                <w:szCs w:val="24"/>
                <w:highlight w:val="none"/>
              </w:rPr>
            </w:pPr>
          </w:p>
        </w:tc>
        <w:tc>
          <w:tcPr>
            <w:tcW w:w="948" w:type="dxa"/>
            <w:vAlign w:val="center"/>
          </w:tcPr>
          <w:p w14:paraId="7B22A794">
            <w:pPr>
              <w:spacing w:line="360" w:lineRule="auto"/>
              <w:rPr>
                <w:rFonts w:hint="eastAsia" w:ascii="宋体" w:hAnsi="宋体" w:eastAsia="宋体" w:cs="宋体"/>
                <w:color w:val="auto"/>
                <w:sz w:val="24"/>
                <w:szCs w:val="24"/>
                <w:highlight w:val="none"/>
              </w:rPr>
            </w:pPr>
          </w:p>
        </w:tc>
      </w:tr>
      <w:tr w14:paraId="02C7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096A136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106" w:type="dxa"/>
            <w:vAlign w:val="center"/>
          </w:tcPr>
          <w:p w14:paraId="4576F237">
            <w:pPr>
              <w:spacing w:line="360" w:lineRule="auto"/>
              <w:rPr>
                <w:rFonts w:hint="eastAsia" w:ascii="宋体" w:hAnsi="宋体" w:eastAsia="宋体" w:cs="宋体"/>
                <w:color w:val="auto"/>
                <w:sz w:val="24"/>
                <w:szCs w:val="24"/>
                <w:highlight w:val="none"/>
              </w:rPr>
            </w:pPr>
          </w:p>
        </w:tc>
        <w:tc>
          <w:tcPr>
            <w:tcW w:w="2528" w:type="dxa"/>
            <w:vAlign w:val="center"/>
          </w:tcPr>
          <w:p w14:paraId="7F3710BA">
            <w:pPr>
              <w:spacing w:line="360" w:lineRule="auto"/>
              <w:rPr>
                <w:rFonts w:hint="eastAsia" w:ascii="宋体" w:hAnsi="宋体" w:eastAsia="宋体" w:cs="宋体"/>
                <w:color w:val="auto"/>
                <w:sz w:val="24"/>
                <w:szCs w:val="24"/>
                <w:highlight w:val="none"/>
              </w:rPr>
            </w:pPr>
          </w:p>
        </w:tc>
        <w:tc>
          <w:tcPr>
            <w:tcW w:w="948" w:type="dxa"/>
            <w:vAlign w:val="center"/>
          </w:tcPr>
          <w:p w14:paraId="7E89AD39">
            <w:pPr>
              <w:spacing w:line="360" w:lineRule="auto"/>
              <w:rPr>
                <w:rFonts w:hint="eastAsia" w:ascii="宋体" w:hAnsi="宋体" w:eastAsia="宋体" w:cs="宋体"/>
                <w:color w:val="auto"/>
                <w:sz w:val="24"/>
                <w:szCs w:val="24"/>
                <w:highlight w:val="none"/>
              </w:rPr>
            </w:pPr>
          </w:p>
        </w:tc>
      </w:tr>
      <w:tr w14:paraId="34AA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34178D0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106" w:type="dxa"/>
            <w:vAlign w:val="center"/>
          </w:tcPr>
          <w:p w14:paraId="0688FD57">
            <w:pPr>
              <w:spacing w:line="360" w:lineRule="auto"/>
              <w:rPr>
                <w:rFonts w:hint="eastAsia" w:ascii="宋体" w:hAnsi="宋体" w:eastAsia="宋体" w:cs="宋体"/>
                <w:color w:val="auto"/>
                <w:sz w:val="24"/>
                <w:szCs w:val="24"/>
                <w:highlight w:val="none"/>
              </w:rPr>
            </w:pPr>
          </w:p>
        </w:tc>
        <w:tc>
          <w:tcPr>
            <w:tcW w:w="2528" w:type="dxa"/>
            <w:vAlign w:val="center"/>
          </w:tcPr>
          <w:p w14:paraId="506BAFE5">
            <w:pPr>
              <w:spacing w:line="360" w:lineRule="auto"/>
              <w:rPr>
                <w:rFonts w:hint="eastAsia" w:ascii="宋体" w:hAnsi="宋体" w:eastAsia="宋体" w:cs="宋体"/>
                <w:color w:val="auto"/>
                <w:sz w:val="24"/>
                <w:szCs w:val="24"/>
                <w:highlight w:val="none"/>
              </w:rPr>
            </w:pPr>
          </w:p>
        </w:tc>
        <w:tc>
          <w:tcPr>
            <w:tcW w:w="948" w:type="dxa"/>
            <w:vAlign w:val="center"/>
          </w:tcPr>
          <w:p w14:paraId="4E47D45C">
            <w:pPr>
              <w:spacing w:line="360" w:lineRule="auto"/>
              <w:rPr>
                <w:rFonts w:hint="eastAsia" w:ascii="宋体" w:hAnsi="宋体" w:eastAsia="宋体" w:cs="宋体"/>
                <w:color w:val="auto"/>
                <w:sz w:val="24"/>
                <w:szCs w:val="24"/>
                <w:highlight w:val="none"/>
              </w:rPr>
            </w:pPr>
          </w:p>
        </w:tc>
      </w:tr>
      <w:tr w14:paraId="7B8A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1163EC9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106" w:type="dxa"/>
            <w:vAlign w:val="center"/>
          </w:tcPr>
          <w:p w14:paraId="41778E2E">
            <w:pPr>
              <w:spacing w:line="360" w:lineRule="auto"/>
              <w:rPr>
                <w:rFonts w:hint="eastAsia" w:ascii="宋体" w:hAnsi="宋体" w:eastAsia="宋体" w:cs="宋体"/>
                <w:color w:val="auto"/>
                <w:sz w:val="24"/>
                <w:szCs w:val="24"/>
                <w:highlight w:val="none"/>
              </w:rPr>
            </w:pPr>
          </w:p>
        </w:tc>
        <w:tc>
          <w:tcPr>
            <w:tcW w:w="2528" w:type="dxa"/>
            <w:vAlign w:val="center"/>
          </w:tcPr>
          <w:p w14:paraId="22965F31">
            <w:pPr>
              <w:spacing w:line="360" w:lineRule="auto"/>
              <w:rPr>
                <w:rFonts w:hint="eastAsia" w:ascii="宋体" w:hAnsi="宋体" w:eastAsia="宋体" w:cs="宋体"/>
                <w:color w:val="auto"/>
                <w:sz w:val="24"/>
                <w:szCs w:val="24"/>
                <w:highlight w:val="none"/>
              </w:rPr>
            </w:pPr>
          </w:p>
        </w:tc>
        <w:tc>
          <w:tcPr>
            <w:tcW w:w="948" w:type="dxa"/>
            <w:vAlign w:val="center"/>
          </w:tcPr>
          <w:p w14:paraId="7DCEA487">
            <w:pPr>
              <w:spacing w:line="360" w:lineRule="auto"/>
              <w:rPr>
                <w:rFonts w:hint="eastAsia" w:ascii="宋体" w:hAnsi="宋体" w:eastAsia="宋体" w:cs="宋体"/>
                <w:color w:val="auto"/>
                <w:sz w:val="24"/>
                <w:szCs w:val="24"/>
                <w:highlight w:val="none"/>
              </w:rPr>
            </w:pPr>
          </w:p>
        </w:tc>
      </w:tr>
      <w:tr w14:paraId="1C7B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15B6873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106" w:type="dxa"/>
            <w:vAlign w:val="center"/>
          </w:tcPr>
          <w:p w14:paraId="166E6728">
            <w:pPr>
              <w:spacing w:line="360" w:lineRule="auto"/>
              <w:rPr>
                <w:rFonts w:hint="eastAsia" w:ascii="宋体" w:hAnsi="宋体" w:eastAsia="宋体" w:cs="宋体"/>
                <w:color w:val="auto"/>
                <w:sz w:val="24"/>
                <w:szCs w:val="24"/>
                <w:highlight w:val="none"/>
              </w:rPr>
            </w:pPr>
          </w:p>
        </w:tc>
        <w:tc>
          <w:tcPr>
            <w:tcW w:w="2528" w:type="dxa"/>
            <w:vAlign w:val="center"/>
          </w:tcPr>
          <w:p w14:paraId="24782E05">
            <w:pPr>
              <w:spacing w:line="360" w:lineRule="auto"/>
              <w:rPr>
                <w:rFonts w:hint="eastAsia" w:ascii="宋体" w:hAnsi="宋体" w:eastAsia="宋体" w:cs="宋体"/>
                <w:color w:val="auto"/>
                <w:sz w:val="24"/>
                <w:szCs w:val="24"/>
                <w:highlight w:val="none"/>
              </w:rPr>
            </w:pPr>
          </w:p>
        </w:tc>
        <w:tc>
          <w:tcPr>
            <w:tcW w:w="948" w:type="dxa"/>
            <w:vAlign w:val="center"/>
          </w:tcPr>
          <w:p w14:paraId="318A2A0B">
            <w:pPr>
              <w:spacing w:line="360" w:lineRule="auto"/>
              <w:rPr>
                <w:rFonts w:hint="eastAsia" w:ascii="宋体" w:hAnsi="宋体" w:eastAsia="宋体" w:cs="宋体"/>
                <w:color w:val="auto"/>
                <w:sz w:val="24"/>
                <w:szCs w:val="24"/>
                <w:highlight w:val="none"/>
              </w:rPr>
            </w:pPr>
          </w:p>
        </w:tc>
      </w:tr>
      <w:tr w14:paraId="4AA7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50807AA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4106" w:type="dxa"/>
            <w:vAlign w:val="center"/>
          </w:tcPr>
          <w:p w14:paraId="6BEEC417">
            <w:pPr>
              <w:spacing w:line="360" w:lineRule="auto"/>
              <w:rPr>
                <w:rFonts w:hint="eastAsia" w:ascii="宋体" w:hAnsi="宋体" w:eastAsia="宋体" w:cs="宋体"/>
                <w:color w:val="auto"/>
                <w:sz w:val="24"/>
                <w:szCs w:val="24"/>
                <w:highlight w:val="none"/>
              </w:rPr>
            </w:pPr>
          </w:p>
        </w:tc>
        <w:tc>
          <w:tcPr>
            <w:tcW w:w="2528" w:type="dxa"/>
            <w:vAlign w:val="center"/>
          </w:tcPr>
          <w:p w14:paraId="41E59B9E">
            <w:pPr>
              <w:spacing w:line="360" w:lineRule="auto"/>
              <w:rPr>
                <w:rFonts w:hint="eastAsia" w:ascii="宋体" w:hAnsi="宋体" w:eastAsia="宋体" w:cs="宋体"/>
                <w:color w:val="auto"/>
                <w:sz w:val="24"/>
                <w:szCs w:val="24"/>
                <w:highlight w:val="none"/>
              </w:rPr>
            </w:pPr>
          </w:p>
        </w:tc>
        <w:tc>
          <w:tcPr>
            <w:tcW w:w="948" w:type="dxa"/>
            <w:vAlign w:val="center"/>
          </w:tcPr>
          <w:p w14:paraId="208FE094">
            <w:pPr>
              <w:spacing w:line="360" w:lineRule="auto"/>
              <w:rPr>
                <w:rFonts w:hint="eastAsia" w:ascii="宋体" w:hAnsi="宋体" w:eastAsia="宋体" w:cs="宋体"/>
                <w:color w:val="auto"/>
                <w:sz w:val="24"/>
                <w:szCs w:val="24"/>
                <w:highlight w:val="none"/>
              </w:rPr>
            </w:pPr>
          </w:p>
        </w:tc>
      </w:tr>
    </w:tbl>
    <w:p w14:paraId="1266E0AF">
      <w:pPr>
        <w:adjustRightInd w:val="0"/>
        <w:snapToGrid w:val="0"/>
        <w:spacing w:line="360" w:lineRule="auto"/>
        <w:rPr>
          <w:rFonts w:hint="eastAsia" w:ascii="宋体" w:hAnsi="宋体" w:eastAsia="宋体" w:cs="宋体"/>
          <w:b/>
          <w:bCs/>
          <w:color w:val="auto"/>
          <w:sz w:val="24"/>
          <w:szCs w:val="28"/>
          <w:highlight w:val="none"/>
        </w:rPr>
      </w:pPr>
    </w:p>
    <w:p w14:paraId="0FC64EC7">
      <w:pPr>
        <w:adjustRightInd w:val="0"/>
        <w:snapToGrid w:val="0"/>
        <w:spacing w:line="360" w:lineRule="auto"/>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备注：</w:t>
      </w:r>
    </w:p>
    <w:p w14:paraId="45C8DA6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1.表中所列业绩应为投标人满足磋商文件要求的业绩；</w:t>
      </w:r>
    </w:p>
    <w:p w14:paraId="4570289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2.中标候选人提供的以上业绩情况，如磋商文件《投标人须知前附表》有约定的，将按约定随中标候选人公示同时公告。</w:t>
      </w:r>
    </w:p>
    <w:p w14:paraId="70863D12">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8E1CE67">
      <w:pPr>
        <w:spacing w:line="360" w:lineRule="auto"/>
        <w:ind w:right="480" w:firstLine="4680" w:firstLineChars="1950"/>
        <w:rPr>
          <w:rFonts w:hint="eastAsia" w:ascii="宋体" w:hAnsi="宋体" w:eastAsia="宋体" w:cs="宋体"/>
          <w:color w:val="auto"/>
          <w:sz w:val="24"/>
          <w:highlight w:val="none"/>
        </w:rPr>
      </w:pPr>
    </w:p>
    <w:p w14:paraId="39B830CA">
      <w:pPr>
        <w:spacing w:line="360" w:lineRule="auto"/>
        <w:ind w:right="480" w:firstLine="5460" w:firstLineChars="1950"/>
        <w:rPr>
          <w:rFonts w:hint="eastAsia" w:ascii="宋体" w:hAnsi="宋体" w:eastAsia="宋体" w:cs="宋体"/>
          <w:color w:val="auto"/>
          <w:sz w:val="28"/>
          <w:highlight w:val="none"/>
        </w:rPr>
      </w:pPr>
    </w:p>
    <w:p w14:paraId="20EB9AF2">
      <w:pPr>
        <w:widowControl/>
        <w:jc w:val="left"/>
        <w:rPr>
          <w:rFonts w:hint="eastAsia" w:ascii="宋体" w:hAnsi="宋体" w:eastAsia="宋体" w:cs="宋体"/>
          <w:b/>
          <w:bCs/>
          <w:color w:val="auto"/>
          <w:sz w:val="24"/>
          <w:szCs w:val="24"/>
          <w:highlight w:val="none"/>
        </w:rPr>
        <w:sectPr>
          <w:headerReference r:id="rId7" w:type="default"/>
          <w:footerReference r:id="rId8" w:type="default"/>
          <w:pgSz w:w="11906" w:h="16838"/>
          <w:pgMar w:top="1440" w:right="1800" w:bottom="1440" w:left="1800" w:header="851" w:footer="992" w:gutter="0"/>
          <w:cols w:space="720" w:num="1"/>
          <w:docGrid w:type="lines" w:linePitch="312" w:charSpace="0"/>
        </w:sectPr>
      </w:pPr>
    </w:p>
    <w:p w14:paraId="66D58D68">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十、其他相关证明材料</w:t>
      </w:r>
    </w:p>
    <w:p w14:paraId="299EC71F">
      <w:pPr>
        <w:tabs>
          <w:tab w:val="left" w:pos="462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提供符合磋商邀请（磋商公告）、招标需求及评审方法和标准规定的相关证明文件。</w:t>
      </w:r>
    </w:p>
    <w:p w14:paraId="4B49A66F">
      <w:pPr>
        <w:spacing w:line="360" w:lineRule="auto"/>
        <w:ind w:firstLine="435"/>
        <w:rPr>
          <w:rFonts w:hint="eastAsia" w:ascii="宋体" w:hAnsi="宋体" w:eastAsia="宋体" w:cs="宋体"/>
          <w:color w:val="auto"/>
          <w:sz w:val="24"/>
          <w:highlight w:val="none"/>
        </w:rPr>
      </w:pPr>
    </w:p>
    <w:p w14:paraId="6382D6AD">
      <w:pPr>
        <w:spacing w:line="360" w:lineRule="auto"/>
        <w:ind w:firstLine="480" w:firstLineChars="200"/>
        <w:rPr>
          <w:rFonts w:hint="eastAsia" w:ascii="宋体" w:hAnsi="宋体" w:eastAsia="宋体" w:cs="宋体"/>
          <w:color w:val="auto"/>
          <w:sz w:val="24"/>
          <w:highlight w:val="none"/>
        </w:rPr>
      </w:pPr>
    </w:p>
    <w:p w14:paraId="2D728955">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特别提示：</w:t>
      </w:r>
    </w:p>
    <w:p w14:paraId="1E0B5D9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投标人在响应文件制作时可在此栏内上传磋商文件要求上传的证明资料，如营业执照、税务登记证、人员证书、资质证书、荣誉奖项等，应将上述证明材料制作成扫描件上传。</w:t>
      </w:r>
    </w:p>
    <w:p w14:paraId="35125049">
      <w:pPr>
        <w:spacing w:line="360" w:lineRule="auto"/>
        <w:jc w:val="center"/>
        <w:rPr>
          <w:rFonts w:hint="eastAsia" w:ascii="宋体" w:hAnsi="宋体" w:eastAsia="宋体" w:cs="宋体"/>
          <w:b/>
          <w:color w:val="auto"/>
          <w:sz w:val="24"/>
          <w:highlight w:val="none"/>
        </w:rPr>
      </w:pPr>
    </w:p>
    <w:p w14:paraId="1A9EBF9D">
      <w:pPr>
        <w:spacing w:line="360" w:lineRule="auto"/>
        <w:rPr>
          <w:rFonts w:hint="eastAsia" w:ascii="宋体" w:hAnsi="宋体" w:eastAsia="宋体" w:cs="宋体"/>
          <w:bCs/>
          <w:color w:val="auto"/>
          <w:sz w:val="24"/>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auto"/>
    <w:pitch w:val="default"/>
    <w:sig w:usb0="00000000" w:usb1="00000000" w:usb2="00000000" w:usb3="00000000" w:csb0="00040001"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DotumChe">
    <w:altName w:val="Malgun Gothic"/>
    <w:panose1 w:val="00000000000000000000"/>
    <w:charset w:val="81"/>
    <w:family w:val="modern"/>
    <w:pitch w:val="default"/>
    <w:sig w:usb0="00000000" w:usb1="00000000" w:usb2="00000030" w:usb3="00000000" w:csb0="0008009F" w:csb1="00000000"/>
  </w:font>
  <w:font w:name="Wingdings 2">
    <w:panose1 w:val="05020102010507070707"/>
    <w:charset w:val="02"/>
    <w:family w:val="roman"/>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1A1E0">
    <w:pPr>
      <w:pStyle w:val="16"/>
      <w:jc w:val="center"/>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EC7638">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61EC7638">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3F7C">
    <w:pPr>
      <w:pStyle w:val="16"/>
      <w:jc w:val="center"/>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3DC361">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2E3DC361">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8F9C4">
    <w:pPr>
      <w:tabs>
        <w:tab w:val="center" w:pos="4153"/>
        <w:tab w:val="right" w:pos="8306"/>
      </w:tabs>
      <w:snapToGrid w:val="0"/>
      <w:rPr>
        <w:rFonts w:ascii="Calibri" w:hAnsi="Calibri"/>
        <w:sz w:val="18"/>
        <w:szCs w:val="18"/>
      </w:rPr>
    </w:pPr>
  </w:p>
  <w:p w14:paraId="2AF2C1C0">
    <w:pPr>
      <w:jc w:val="left"/>
      <w:rPr>
        <w:rFonts w:ascii="Calibri" w:hAnsi="Calibri"/>
        <w:kern w:val="0"/>
        <w:sz w:val="22"/>
        <w:szCs w:val="22"/>
        <w:lang w:eastAsia="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E3E14">
    <w:pPr>
      <w:pStyle w:val="16"/>
      <w:jc w:val="center"/>
      <w:rPr>
        <w:rFonts w:hint="eastAsia" w:ascii="宋体" w:hAnsi="宋体" w:eastAsia="宋体"/>
        <w:sz w:val="21"/>
        <w:szCs w:val="21"/>
      </w:rPr>
    </w:pPr>
    <w:r>
      <w:rPr>
        <w:rFonts w:hint="eastAsia"/>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A034F7">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V4aQ8sBAACc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FeGkPLAQAAnAMAAA4AAAAAAAAAAQAgAAAAHgEAAGRycy9lMm9E&#10;b2MueG1sUEsFBgAAAAAGAAYAWQEAAFsFAAAAAA==&#10;">
              <v:fill on="f" focussize="0,0"/>
              <v:stroke on="f"/>
              <v:imagedata o:title=""/>
              <o:lock v:ext="edit" aspectratio="f"/>
              <v:textbox inset="0mm,0mm,0mm,0mm" style="mso-fit-shape-to-text:t;">
                <w:txbxContent>
                  <w:p w14:paraId="02A034F7">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0D301">
    <w:pPr>
      <w:pStyle w:val="17"/>
      <w:jc w:val="both"/>
      <w:rPr>
        <w:rFonts w:hint="eastAsia"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39C1B">
    <w:pPr>
      <w:pStyle w:val="17"/>
      <w:jc w:val="both"/>
      <w:rPr>
        <w:rFonts w:hint="eastAsia"/>
      </w:rPr>
    </w:pPr>
    <w:r>
      <w:rPr>
        <w:rFonts w:hint="eastAsia" w:ascii="宋体" w:hAnsi="宋体" w:eastAsia="宋体"/>
      </w:rPr>
      <w:t>包河交易公司货物和服务范本</w:t>
    </w:r>
    <w:r>
      <w:rPr>
        <w:rFonts w:ascii="宋体" w:hAnsi="宋体" w:eastAsia="宋体"/>
      </w:rPr>
      <w:t>-竞争性</w:t>
    </w:r>
    <w:r>
      <w:rPr>
        <w:rFonts w:hint="eastAsia" w:ascii="宋体" w:hAnsi="宋体" w:eastAsia="宋体"/>
      </w:rPr>
      <w:t>磋商</w:t>
    </w:r>
    <w:r>
      <w:rPr>
        <w:rFonts w:ascii="宋体" w:hAnsi="宋体" w:eastAsia="宋体"/>
      </w:rPr>
      <w:t>文件（</w:t>
    </w:r>
    <w:r>
      <w:rPr>
        <w:rFonts w:hint="eastAsia" w:ascii="宋体" w:hAnsi="宋体" w:eastAsia="宋体"/>
      </w:rPr>
      <w:t>服务</w:t>
    </w:r>
    <w:r>
      <w:rPr>
        <w:rFonts w:ascii="宋体" w:hAnsi="宋体" w:eastAsia="宋体"/>
      </w:rPr>
      <w:t>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939D0"/>
    <w:multiLevelType w:val="singleLevel"/>
    <w:tmpl w:val="C6D939D0"/>
    <w:lvl w:ilvl="0" w:tentative="0">
      <w:start w:val="2"/>
      <w:numFmt w:val="chineseCounting"/>
      <w:suff w:val="nothing"/>
      <w:lvlText w:val="%1、"/>
      <w:lvlJc w:val="left"/>
      <w:rPr>
        <w:rFonts w:hint="eastAsia"/>
      </w:rPr>
    </w:lvl>
  </w:abstractNum>
  <w:abstractNum w:abstractNumId="1">
    <w:nsid w:val="E70769B1"/>
    <w:multiLevelType w:val="singleLevel"/>
    <w:tmpl w:val="E70769B1"/>
    <w:lvl w:ilvl="0" w:tentative="0">
      <w:start w:val="1"/>
      <w:numFmt w:val="bullet"/>
      <w:pStyle w:val="9"/>
      <w:lvlText w:val=""/>
      <w:lvlJc w:val="left"/>
      <w:pPr>
        <w:tabs>
          <w:tab w:val="left" w:pos="2040"/>
        </w:tabs>
        <w:ind w:left="2040" w:hanging="360"/>
      </w:pPr>
      <w:rPr>
        <w:rFonts w:hint="default" w:ascii="Wingdings" w:hAnsi="Wingdings"/>
      </w:rPr>
    </w:lvl>
  </w:abstractNum>
  <w:abstractNum w:abstractNumId="2">
    <w:nsid w:val="05D151E0"/>
    <w:multiLevelType w:val="multilevel"/>
    <w:tmpl w:val="05D151E0"/>
    <w:lvl w:ilvl="0" w:tentative="0">
      <w:start w:val="3"/>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F555C84"/>
    <w:multiLevelType w:val="multilevel"/>
    <w:tmpl w:val="3F555C84"/>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621A2861"/>
    <w:multiLevelType w:val="singleLevel"/>
    <w:tmpl w:val="621A2861"/>
    <w:lvl w:ilvl="0" w:tentative="0">
      <w:start w:val="2"/>
      <w:numFmt w:val="decimal"/>
      <w:suff w:val="nothing"/>
      <w:lvlText w:val="（%1）"/>
      <w:lvlJc w:val="left"/>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yNWVhYWQ4ZGY4YzE5NjE0YjY5MDU3NTgyMDhmOWQifQ=="/>
    <w:docVar w:name="KSO_WPS_MARK_KEY" w:val="d25e825c-24a9-418a-9f6b-1060ba31a447"/>
  </w:docVars>
  <w:rsids>
    <w:rsidRoot w:val="007478F7"/>
    <w:rsid w:val="0000197E"/>
    <w:rsid w:val="00012DA2"/>
    <w:rsid w:val="00017261"/>
    <w:rsid w:val="00017A49"/>
    <w:rsid w:val="0002619C"/>
    <w:rsid w:val="00034526"/>
    <w:rsid w:val="00040076"/>
    <w:rsid w:val="00052F7F"/>
    <w:rsid w:val="00082C3F"/>
    <w:rsid w:val="00083443"/>
    <w:rsid w:val="000851E9"/>
    <w:rsid w:val="0009045A"/>
    <w:rsid w:val="000E3D6E"/>
    <w:rsid w:val="0010229B"/>
    <w:rsid w:val="00132F6E"/>
    <w:rsid w:val="001430C7"/>
    <w:rsid w:val="00144D2E"/>
    <w:rsid w:val="00151647"/>
    <w:rsid w:val="00152D99"/>
    <w:rsid w:val="00176190"/>
    <w:rsid w:val="001B7333"/>
    <w:rsid w:val="001C2BE9"/>
    <w:rsid w:val="001C773F"/>
    <w:rsid w:val="001D1499"/>
    <w:rsid w:val="001D3F65"/>
    <w:rsid w:val="001E0211"/>
    <w:rsid w:val="001E1DE1"/>
    <w:rsid w:val="001E3758"/>
    <w:rsid w:val="001F2657"/>
    <w:rsid w:val="001F4E2A"/>
    <w:rsid w:val="00223762"/>
    <w:rsid w:val="0023318E"/>
    <w:rsid w:val="00255ACA"/>
    <w:rsid w:val="0025670F"/>
    <w:rsid w:val="002661C2"/>
    <w:rsid w:val="002743D8"/>
    <w:rsid w:val="002853F0"/>
    <w:rsid w:val="00287235"/>
    <w:rsid w:val="002947ED"/>
    <w:rsid w:val="002A5893"/>
    <w:rsid w:val="002C70D6"/>
    <w:rsid w:val="002F1E76"/>
    <w:rsid w:val="002F4567"/>
    <w:rsid w:val="00315B4D"/>
    <w:rsid w:val="003177BD"/>
    <w:rsid w:val="0032609E"/>
    <w:rsid w:val="00332C95"/>
    <w:rsid w:val="00335549"/>
    <w:rsid w:val="003436EB"/>
    <w:rsid w:val="00353735"/>
    <w:rsid w:val="0035415C"/>
    <w:rsid w:val="00354A28"/>
    <w:rsid w:val="003933D0"/>
    <w:rsid w:val="003958B5"/>
    <w:rsid w:val="003A7ABA"/>
    <w:rsid w:val="003B7832"/>
    <w:rsid w:val="003C4E32"/>
    <w:rsid w:val="003D4ECB"/>
    <w:rsid w:val="003D690F"/>
    <w:rsid w:val="003F0A55"/>
    <w:rsid w:val="003F3A02"/>
    <w:rsid w:val="0041449E"/>
    <w:rsid w:val="00422E3D"/>
    <w:rsid w:val="00424905"/>
    <w:rsid w:val="00435CBE"/>
    <w:rsid w:val="00457101"/>
    <w:rsid w:val="00482989"/>
    <w:rsid w:val="00486675"/>
    <w:rsid w:val="00497149"/>
    <w:rsid w:val="004A3C17"/>
    <w:rsid w:val="004B559B"/>
    <w:rsid w:val="004C3021"/>
    <w:rsid w:val="004D1813"/>
    <w:rsid w:val="00504FD9"/>
    <w:rsid w:val="00523CAF"/>
    <w:rsid w:val="0052673B"/>
    <w:rsid w:val="005327F1"/>
    <w:rsid w:val="0053646C"/>
    <w:rsid w:val="0054461B"/>
    <w:rsid w:val="00564DC6"/>
    <w:rsid w:val="00565841"/>
    <w:rsid w:val="00595F71"/>
    <w:rsid w:val="005B1406"/>
    <w:rsid w:val="005D6A4E"/>
    <w:rsid w:val="005F2FF9"/>
    <w:rsid w:val="00602AD4"/>
    <w:rsid w:val="00630326"/>
    <w:rsid w:val="00654777"/>
    <w:rsid w:val="0067562F"/>
    <w:rsid w:val="00677CD4"/>
    <w:rsid w:val="00686E44"/>
    <w:rsid w:val="006942A4"/>
    <w:rsid w:val="006A61A1"/>
    <w:rsid w:val="006A71C3"/>
    <w:rsid w:val="006B0994"/>
    <w:rsid w:val="006D478B"/>
    <w:rsid w:val="006E35CF"/>
    <w:rsid w:val="006E3B3C"/>
    <w:rsid w:val="006F46FC"/>
    <w:rsid w:val="006F64F1"/>
    <w:rsid w:val="00700F2C"/>
    <w:rsid w:val="007148C9"/>
    <w:rsid w:val="00726ADD"/>
    <w:rsid w:val="00731FCC"/>
    <w:rsid w:val="00732DD5"/>
    <w:rsid w:val="00744ED8"/>
    <w:rsid w:val="007478F7"/>
    <w:rsid w:val="00763ABA"/>
    <w:rsid w:val="00773A28"/>
    <w:rsid w:val="00787C41"/>
    <w:rsid w:val="007B16A6"/>
    <w:rsid w:val="007B382E"/>
    <w:rsid w:val="007F0B4C"/>
    <w:rsid w:val="008078BD"/>
    <w:rsid w:val="00810853"/>
    <w:rsid w:val="008118F8"/>
    <w:rsid w:val="00814F29"/>
    <w:rsid w:val="008328E0"/>
    <w:rsid w:val="008364C4"/>
    <w:rsid w:val="0084474C"/>
    <w:rsid w:val="00850A67"/>
    <w:rsid w:val="0086728E"/>
    <w:rsid w:val="00867936"/>
    <w:rsid w:val="008A2A4E"/>
    <w:rsid w:val="008B024B"/>
    <w:rsid w:val="008D44C9"/>
    <w:rsid w:val="008F089C"/>
    <w:rsid w:val="008F185B"/>
    <w:rsid w:val="00913014"/>
    <w:rsid w:val="009310D3"/>
    <w:rsid w:val="00932828"/>
    <w:rsid w:val="00945461"/>
    <w:rsid w:val="0095683F"/>
    <w:rsid w:val="00972764"/>
    <w:rsid w:val="00997D0C"/>
    <w:rsid w:val="009B1D89"/>
    <w:rsid w:val="009C70F5"/>
    <w:rsid w:val="009D6484"/>
    <w:rsid w:val="009E7029"/>
    <w:rsid w:val="00A04660"/>
    <w:rsid w:val="00A05EDD"/>
    <w:rsid w:val="00A1625E"/>
    <w:rsid w:val="00A30BC7"/>
    <w:rsid w:val="00A37DD4"/>
    <w:rsid w:val="00A42D90"/>
    <w:rsid w:val="00A65AFC"/>
    <w:rsid w:val="00A74ED0"/>
    <w:rsid w:val="00A77198"/>
    <w:rsid w:val="00A8581B"/>
    <w:rsid w:val="00A85E99"/>
    <w:rsid w:val="00AB2011"/>
    <w:rsid w:val="00AC192C"/>
    <w:rsid w:val="00B129AF"/>
    <w:rsid w:val="00B236B5"/>
    <w:rsid w:val="00B422B6"/>
    <w:rsid w:val="00B47FBF"/>
    <w:rsid w:val="00B57D4A"/>
    <w:rsid w:val="00B826ED"/>
    <w:rsid w:val="00BA1ADF"/>
    <w:rsid w:val="00BA2C37"/>
    <w:rsid w:val="00BB3634"/>
    <w:rsid w:val="00BC2D61"/>
    <w:rsid w:val="00BF578B"/>
    <w:rsid w:val="00C0433B"/>
    <w:rsid w:val="00C138C7"/>
    <w:rsid w:val="00C21AEE"/>
    <w:rsid w:val="00C37FCC"/>
    <w:rsid w:val="00C42C25"/>
    <w:rsid w:val="00C45F7C"/>
    <w:rsid w:val="00C51EBE"/>
    <w:rsid w:val="00C52C8B"/>
    <w:rsid w:val="00C703D7"/>
    <w:rsid w:val="00C76DA3"/>
    <w:rsid w:val="00C77C79"/>
    <w:rsid w:val="00C97CEC"/>
    <w:rsid w:val="00CB00E2"/>
    <w:rsid w:val="00CE0719"/>
    <w:rsid w:val="00D02275"/>
    <w:rsid w:val="00D10A49"/>
    <w:rsid w:val="00D11594"/>
    <w:rsid w:val="00D11EF6"/>
    <w:rsid w:val="00D268E9"/>
    <w:rsid w:val="00D36471"/>
    <w:rsid w:val="00D53149"/>
    <w:rsid w:val="00D54C5C"/>
    <w:rsid w:val="00D631AE"/>
    <w:rsid w:val="00D80436"/>
    <w:rsid w:val="00D87A8E"/>
    <w:rsid w:val="00D95A0B"/>
    <w:rsid w:val="00DB2E0B"/>
    <w:rsid w:val="00DB60B2"/>
    <w:rsid w:val="00DC1906"/>
    <w:rsid w:val="00DD0E8A"/>
    <w:rsid w:val="00DE1572"/>
    <w:rsid w:val="00DE2987"/>
    <w:rsid w:val="00E20B78"/>
    <w:rsid w:val="00E36058"/>
    <w:rsid w:val="00E42941"/>
    <w:rsid w:val="00E55F1D"/>
    <w:rsid w:val="00E56C38"/>
    <w:rsid w:val="00E60108"/>
    <w:rsid w:val="00E76433"/>
    <w:rsid w:val="00E84F66"/>
    <w:rsid w:val="00EA22C8"/>
    <w:rsid w:val="00EA6C9E"/>
    <w:rsid w:val="00EC137C"/>
    <w:rsid w:val="00ED40C7"/>
    <w:rsid w:val="00EF0BD6"/>
    <w:rsid w:val="00EF1C8B"/>
    <w:rsid w:val="00F04CCA"/>
    <w:rsid w:val="00F16D42"/>
    <w:rsid w:val="00F212FE"/>
    <w:rsid w:val="00F23A55"/>
    <w:rsid w:val="00F2460F"/>
    <w:rsid w:val="00F248B3"/>
    <w:rsid w:val="00F25E01"/>
    <w:rsid w:val="00F542C8"/>
    <w:rsid w:val="00F62024"/>
    <w:rsid w:val="00F83A76"/>
    <w:rsid w:val="00F87482"/>
    <w:rsid w:val="00F938B7"/>
    <w:rsid w:val="00FA1A5B"/>
    <w:rsid w:val="00FB0891"/>
    <w:rsid w:val="00FB4428"/>
    <w:rsid w:val="00FC751A"/>
    <w:rsid w:val="00FD0D1B"/>
    <w:rsid w:val="00FD10DA"/>
    <w:rsid w:val="00FD6EC5"/>
    <w:rsid w:val="00FF1EDC"/>
    <w:rsid w:val="03A21DCD"/>
    <w:rsid w:val="044F0626"/>
    <w:rsid w:val="04617628"/>
    <w:rsid w:val="05AF76AE"/>
    <w:rsid w:val="05E826A2"/>
    <w:rsid w:val="061340E1"/>
    <w:rsid w:val="075F0286"/>
    <w:rsid w:val="076F47CF"/>
    <w:rsid w:val="079C1EB4"/>
    <w:rsid w:val="07B17031"/>
    <w:rsid w:val="081B65F2"/>
    <w:rsid w:val="084A44DB"/>
    <w:rsid w:val="089358C8"/>
    <w:rsid w:val="089D4C97"/>
    <w:rsid w:val="099F54E4"/>
    <w:rsid w:val="0A11010C"/>
    <w:rsid w:val="0B481FD7"/>
    <w:rsid w:val="0BC8771C"/>
    <w:rsid w:val="0BFD4CDF"/>
    <w:rsid w:val="0D7E611E"/>
    <w:rsid w:val="0D9B29DE"/>
    <w:rsid w:val="0DCB704F"/>
    <w:rsid w:val="0DE84452"/>
    <w:rsid w:val="0DFC545B"/>
    <w:rsid w:val="0FEB1C2B"/>
    <w:rsid w:val="10503F7E"/>
    <w:rsid w:val="11123F44"/>
    <w:rsid w:val="11531187"/>
    <w:rsid w:val="128B51CD"/>
    <w:rsid w:val="12A168D1"/>
    <w:rsid w:val="12C55939"/>
    <w:rsid w:val="13927349"/>
    <w:rsid w:val="14294080"/>
    <w:rsid w:val="14FB0265"/>
    <w:rsid w:val="15391894"/>
    <w:rsid w:val="156C00D8"/>
    <w:rsid w:val="16753FFC"/>
    <w:rsid w:val="16F70B78"/>
    <w:rsid w:val="17950107"/>
    <w:rsid w:val="17C75880"/>
    <w:rsid w:val="17F9321A"/>
    <w:rsid w:val="18027B12"/>
    <w:rsid w:val="185B6A30"/>
    <w:rsid w:val="18BC5F36"/>
    <w:rsid w:val="194E46EF"/>
    <w:rsid w:val="1B480BE9"/>
    <w:rsid w:val="1CCF1A02"/>
    <w:rsid w:val="1CF81B63"/>
    <w:rsid w:val="1D4A1BE8"/>
    <w:rsid w:val="1DF13E8E"/>
    <w:rsid w:val="1E074A7C"/>
    <w:rsid w:val="1F78690B"/>
    <w:rsid w:val="21157F22"/>
    <w:rsid w:val="221A12F6"/>
    <w:rsid w:val="23CD5F1F"/>
    <w:rsid w:val="242A50A9"/>
    <w:rsid w:val="242A7DD9"/>
    <w:rsid w:val="2430513A"/>
    <w:rsid w:val="275E2CB1"/>
    <w:rsid w:val="27CD7F02"/>
    <w:rsid w:val="27D8263D"/>
    <w:rsid w:val="286F4EFB"/>
    <w:rsid w:val="29701C88"/>
    <w:rsid w:val="29BF22FB"/>
    <w:rsid w:val="2AB621E2"/>
    <w:rsid w:val="2ABC1FD1"/>
    <w:rsid w:val="2BAA3170"/>
    <w:rsid w:val="2BD41200"/>
    <w:rsid w:val="2CE12586"/>
    <w:rsid w:val="2CF10822"/>
    <w:rsid w:val="2E334A71"/>
    <w:rsid w:val="2F4800A8"/>
    <w:rsid w:val="2F860BD0"/>
    <w:rsid w:val="2FBE1E8B"/>
    <w:rsid w:val="2FCF7C19"/>
    <w:rsid w:val="307155E8"/>
    <w:rsid w:val="31024A42"/>
    <w:rsid w:val="32E7188B"/>
    <w:rsid w:val="333E3667"/>
    <w:rsid w:val="350500CE"/>
    <w:rsid w:val="353A176C"/>
    <w:rsid w:val="35F76104"/>
    <w:rsid w:val="37126B4F"/>
    <w:rsid w:val="37320B19"/>
    <w:rsid w:val="37335368"/>
    <w:rsid w:val="37A41B60"/>
    <w:rsid w:val="38452DB7"/>
    <w:rsid w:val="3B456579"/>
    <w:rsid w:val="3B7F30A4"/>
    <w:rsid w:val="3B9E1FFF"/>
    <w:rsid w:val="3BB0680E"/>
    <w:rsid w:val="3BDF7FE6"/>
    <w:rsid w:val="3D7C7B72"/>
    <w:rsid w:val="3E952C04"/>
    <w:rsid w:val="3F221A4C"/>
    <w:rsid w:val="3F47037C"/>
    <w:rsid w:val="3FDB2873"/>
    <w:rsid w:val="40E65943"/>
    <w:rsid w:val="41CD3FC7"/>
    <w:rsid w:val="42894808"/>
    <w:rsid w:val="43406C73"/>
    <w:rsid w:val="448D4620"/>
    <w:rsid w:val="44E126D9"/>
    <w:rsid w:val="44F71EFD"/>
    <w:rsid w:val="46D74157"/>
    <w:rsid w:val="47E421F2"/>
    <w:rsid w:val="47E726FC"/>
    <w:rsid w:val="48E6346D"/>
    <w:rsid w:val="49B92F5C"/>
    <w:rsid w:val="4AFA6A2A"/>
    <w:rsid w:val="4B58746D"/>
    <w:rsid w:val="4CDF7E46"/>
    <w:rsid w:val="4CEC2152"/>
    <w:rsid w:val="4D29302F"/>
    <w:rsid w:val="50713A8E"/>
    <w:rsid w:val="51BF0246"/>
    <w:rsid w:val="531243A6"/>
    <w:rsid w:val="55216931"/>
    <w:rsid w:val="59A10231"/>
    <w:rsid w:val="59AA27AA"/>
    <w:rsid w:val="59C1489E"/>
    <w:rsid w:val="5B7810F0"/>
    <w:rsid w:val="5BA313DA"/>
    <w:rsid w:val="5BF70FF6"/>
    <w:rsid w:val="5C5074E1"/>
    <w:rsid w:val="5D746FF5"/>
    <w:rsid w:val="5EA467FA"/>
    <w:rsid w:val="5EC61DC6"/>
    <w:rsid w:val="5F8623A3"/>
    <w:rsid w:val="5FF9313F"/>
    <w:rsid w:val="5FFA68C7"/>
    <w:rsid w:val="60443CE5"/>
    <w:rsid w:val="60CC2CA1"/>
    <w:rsid w:val="61152340"/>
    <w:rsid w:val="61565DA5"/>
    <w:rsid w:val="61652BB9"/>
    <w:rsid w:val="61932B55"/>
    <w:rsid w:val="61CF0031"/>
    <w:rsid w:val="623E6F65"/>
    <w:rsid w:val="628946EB"/>
    <w:rsid w:val="630841E4"/>
    <w:rsid w:val="6367429A"/>
    <w:rsid w:val="64632CB3"/>
    <w:rsid w:val="646E6FB9"/>
    <w:rsid w:val="65456507"/>
    <w:rsid w:val="657B158C"/>
    <w:rsid w:val="659C0D88"/>
    <w:rsid w:val="65DF22A7"/>
    <w:rsid w:val="66061B48"/>
    <w:rsid w:val="674D095E"/>
    <w:rsid w:val="67C72304"/>
    <w:rsid w:val="688C69E9"/>
    <w:rsid w:val="690B56C7"/>
    <w:rsid w:val="693B7D5A"/>
    <w:rsid w:val="69B55181"/>
    <w:rsid w:val="69E95A08"/>
    <w:rsid w:val="6A4102A6"/>
    <w:rsid w:val="6C737520"/>
    <w:rsid w:val="6CF851DD"/>
    <w:rsid w:val="6E602011"/>
    <w:rsid w:val="6FFA14D6"/>
    <w:rsid w:val="7035566D"/>
    <w:rsid w:val="710908F8"/>
    <w:rsid w:val="7109314A"/>
    <w:rsid w:val="710B6BAC"/>
    <w:rsid w:val="716E0B09"/>
    <w:rsid w:val="72E51C4A"/>
    <w:rsid w:val="74816591"/>
    <w:rsid w:val="752E460D"/>
    <w:rsid w:val="765C73A0"/>
    <w:rsid w:val="76941E85"/>
    <w:rsid w:val="778C3E77"/>
    <w:rsid w:val="78756A91"/>
    <w:rsid w:val="78C9511A"/>
    <w:rsid w:val="79507E49"/>
    <w:rsid w:val="79B0209F"/>
    <w:rsid w:val="7A8D6ED9"/>
    <w:rsid w:val="7C1B5475"/>
    <w:rsid w:val="7C40046A"/>
    <w:rsid w:val="7C514959"/>
    <w:rsid w:val="7D787B4E"/>
    <w:rsid w:val="7DD94854"/>
    <w:rsid w:val="7F473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46"/>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微软简标宋" w:hAnsi="@微软简标宋" w:eastAsia="@微软简标宋"/>
      <w:b/>
      <w:bCs/>
      <w:sz w:val="32"/>
      <w:szCs w:val="32"/>
    </w:rPr>
  </w:style>
  <w:style w:type="paragraph" w:styleId="2">
    <w:name w:val="heading 3"/>
    <w:basedOn w:val="1"/>
    <w:next w:val="1"/>
    <w:link w:val="47"/>
    <w:autoRedefine/>
    <w:unhideWhenUsed/>
    <w:qFormat/>
    <w:uiPriority w:val="9"/>
    <w:pPr>
      <w:keepNext/>
      <w:keepLines/>
      <w:spacing w:line="360" w:lineRule="auto"/>
      <w:outlineLvl w:val="2"/>
    </w:pPr>
    <w:rPr>
      <w:rFonts w:ascii="宋体" w:hAnsi="宋体" w:eastAsia="宋体" w:cs="宋体"/>
      <w:b/>
      <w:bCs/>
      <w:color w:val="C00000"/>
      <w:sz w:val="24"/>
      <w:szCs w:val="24"/>
    </w:rPr>
  </w:style>
  <w:style w:type="paragraph" w:styleId="5">
    <w:name w:val="heading 4"/>
    <w:basedOn w:val="1"/>
    <w:next w:val="1"/>
    <w:link w:val="52"/>
    <w:autoRedefine/>
    <w:qFormat/>
    <w:uiPriority w:val="0"/>
    <w:pPr>
      <w:keepNext/>
      <w:keepLines/>
      <w:spacing w:before="280" w:after="290" w:line="376" w:lineRule="auto"/>
      <w:outlineLvl w:val="3"/>
    </w:pPr>
    <w:rPr>
      <w:b/>
      <w:bCs/>
      <w:sz w:val="28"/>
      <w:szCs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5"/>
    <w:autoRedefine/>
    <w:qFormat/>
    <w:uiPriority w:val="0"/>
    <w:pPr>
      <w:jc w:val="left"/>
    </w:pPr>
    <w:rPr>
      <w:rFonts w:ascii="Arial" w:hAnsi="Arial" w:eastAsia="黑体" w:cs="Arial"/>
    </w:rPr>
  </w:style>
  <w:style w:type="paragraph" w:styleId="8">
    <w:name w:val="Body Text"/>
    <w:basedOn w:val="1"/>
    <w:next w:val="9"/>
    <w:link w:val="53"/>
    <w:qFormat/>
    <w:uiPriority w:val="0"/>
    <w:pPr>
      <w:spacing w:after="120"/>
    </w:pPr>
    <w:rPr>
      <w:rFonts w:ascii="@微软简标宋" w:hAnsi="@微软简标宋" w:eastAsia="@微软简标宋" w:cs="@微软简标宋"/>
      <w:szCs w:val="24"/>
      <w:lang w:val="zh-CN"/>
    </w:rPr>
  </w:style>
  <w:style w:type="paragraph" w:styleId="9">
    <w:name w:val="List Bullet 5"/>
    <w:basedOn w:val="1"/>
    <w:semiHidden/>
    <w:unhideWhenUsed/>
    <w:qFormat/>
    <w:uiPriority w:val="99"/>
    <w:pPr>
      <w:numPr>
        <w:ilvl w:val="0"/>
        <w:numId w:val="1"/>
      </w:numPr>
    </w:pPr>
  </w:style>
  <w:style w:type="paragraph" w:styleId="10">
    <w:name w:val="Body Text Indent"/>
    <w:basedOn w:val="1"/>
    <w:next w:val="11"/>
    <w:autoRedefine/>
    <w:qFormat/>
    <w:uiPriority w:val="0"/>
    <w:pPr>
      <w:ind w:firstLine="560" w:firstLineChars="200"/>
    </w:pPr>
    <w:rPr>
      <w:rFonts w:ascii="宋体" w:hAnsi="宋体"/>
      <w:bCs/>
      <w:sz w:val="28"/>
      <w:szCs w:val="32"/>
    </w:rPr>
  </w:style>
  <w:style w:type="paragraph" w:styleId="11">
    <w:name w:val="envelope return"/>
    <w:basedOn w:val="1"/>
    <w:autoRedefine/>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Calibri" w:hAnsi="Calibri" w:eastAsia="宋体" w:cs="黑体"/>
      <w:kern w:val="0"/>
      <w:sz w:val="22"/>
      <w:szCs w:val="22"/>
    </w:rPr>
  </w:style>
  <w:style w:type="paragraph" w:styleId="13">
    <w:name w:val="Plain Text"/>
    <w:basedOn w:val="1"/>
    <w:link w:val="38"/>
    <w:autoRedefine/>
    <w:qFormat/>
    <w:uiPriority w:val="99"/>
    <w:rPr>
      <w:rFonts w:ascii="宋体" w:hAnsi="Courier New" w:eastAsia="宋体" w:cs="黑体"/>
      <w:szCs w:val="22"/>
    </w:rPr>
  </w:style>
  <w:style w:type="paragraph" w:styleId="14">
    <w:name w:val="Date"/>
    <w:basedOn w:val="1"/>
    <w:next w:val="1"/>
    <w:link w:val="42"/>
    <w:autoRedefine/>
    <w:qFormat/>
    <w:uiPriority w:val="0"/>
    <w:rPr>
      <w:rFonts w:ascii="Arial" w:hAnsi="Arial" w:eastAsia="宋体" w:cs="Arial"/>
      <w:b/>
      <w:sz w:val="28"/>
    </w:rPr>
  </w:style>
  <w:style w:type="paragraph" w:styleId="15">
    <w:name w:val="Balloon Text"/>
    <w:basedOn w:val="1"/>
    <w:link w:val="35"/>
    <w:autoRedefine/>
    <w:semiHidden/>
    <w:unhideWhenUsed/>
    <w:qFormat/>
    <w:uiPriority w:val="99"/>
    <w:rPr>
      <w:sz w:val="18"/>
      <w:szCs w:val="18"/>
    </w:rPr>
  </w:style>
  <w:style w:type="paragraph" w:styleId="16">
    <w:name w:val="footer"/>
    <w:basedOn w:val="1"/>
    <w:link w:val="37"/>
    <w:autoRedefine/>
    <w:unhideWhenUsed/>
    <w:qFormat/>
    <w:uiPriority w:val="99"/>
    <w:pPr>
      <w:tabs>
        <w:tab w:val="center" w:pos="4153"/>
        <w:tab w:val="right" w:pos="8306"/>
      </w:tabs>
      <w:snapToGrid w:val="0"/>
      <w:jc w:val="left"/>
    </w:pPr>
    <w:rPr>
      <w:sz w:val="18"/>
      <w:szCs w:val="18"/>
    </w:rPr>
  </w:style>
  <w:style w:type="paragraph" w:styleId="17">
    <w:name w:val="header"/>
    <w:basedOn w:val="1"/>
    <w:link w:val="3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Calibri" w:hAnsi="Calibri" w:eastAsia="宋体" w:cs="黑体"/>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Calibri" w:hAnsi="Calibri" w:eastAsia="宋体" w:cs="黑体"/>
      <w:kern w:val="0"/>
      <w:sz w:val="22"/>
      <w:szCs w:val="22"/>
    </w:rPr>
  </w:style>
  <w:style w:type="paragraph" w:styleId="20">
    <w:name w:val="index 1"/>
    <w:basedOn w:val="1"/>
    <w:next w:val="1"/>
    <w:autoRedefine/>
    <w:qFormat/>
    <w:uiPriority w:val="0"/>
    <w:pPr>
      <w:jc w:val="center"/>
    </w:pPr>
    <w:rPr>
      <w:rFonts w:ascii="Arial" w:hAnsi="Arial" w:eastAsia="Arial" w:cs="Arial"/>
      <w:b/>
      <w:bCs/>
      <w:sz w:val="28"/>
    </w:rPr>
  </w:style>
  <w:style w:type="paragraph" w:styleId="21">
    <w:name w:val="annotation subject"/>
    <w:basedOn w:val="7"/>
    <w:next w:val="7"/>
    <w:link w:val="54"/>
    <w:autoRedefine/>
    <w:semiHidden/>
    <w:unhideWhenUsed/>
    <w:qFormat/>
    <w:uiPriority w:val="99"/>
    <w:rPr>
      <w:rFonts w:ascii="@仿宋_GB2312" w:hAnsi="@仿宋_GB2312" w:eastAsia="@仿宋_GB2312" w:cs="@仿宋_GB2312"/>
      <w:b/>
      <w:bCs/>
    </w:rPr>
  </w:style>
  <w:style w:type="paragraph" w:styleId="22">
    <w:name w:val="Body Text First Indent 2"/>
    <w:basedOn w:val="10"/>
    <w:next w:val="1"/>
    <w:autoRedefine/>
    <w:qFormat/>
    <w:uiPriority w:val="0"/>
    <w:pPr>
      <w:ind w:left="420" w:firstLine="420"/>
    </w:pPr>
  </w:style>
  <w:style w:type="character" w:styleId="25">
    <w:name w:val="Strong"/>
    <w:autoRedefine/>
    <w:qFormat/>
    <w:uiPriority w:val="0"/>
    <w:rPr>
      <w:b/>
      <w:bCs/>
    </w:rPr>
  </w:style>
  <w:style w:type="character" w:styleId="26">
    <w:name w:val="Hyperlink"/>
    <w:autoRedefine/>
    <w:unhideWhenUsed/>
    <w:qFormat/>
    <w:uiPriority w:val="99"/>
    <w:rPr>
      <w:color w:val="0000FF"/>
      <w:u w:val="single"/>
    </w:rPr>
  </w:style>
  <w:style w:type="character" w:styleId="27">
    <w:name w:val="annotation reference"/>
    <w:autoRedefine/>
    <w:semiHidden/>
    <w:unhideWhenUsed/>
    <w:qFormat/>
    <w:uiPriority w:val="99"/>
    <w:rPr>
      <w:sz w:val="21"/>
      <w:szCs w:val="21"/>
    </w:rPr>
  </w:style>
  <w:style w:type="paragraph" w:customStyle="1" w:styleId="28">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29">
    <w:name w:val="xl31"/>
    <w:basedOn w:val="1"/>
    <w:autoRedefine/>
    <w:qFormat/>
    <w:uiPriority w:val="0"/>
    <w:pPr>
      <w:spacing w:line="360" w:lineRule="auto"/>
    </w:pPr>
    <w:rPr>
      <w:rFonts w:ascii="宋体" w:hAnsi="宋体" w:eastAsia="宋体" w:cs="宋体"/>
      <w:bCs/>
      <w:kern w:val="0"/>
      <w:sz w:val="24"/>
      <w:szCs w:val="28"/>
    </w:rPr>
  </w:style>
  <w:style w:type="paragraph" w:customStyle="1" w:styleId="30">
    <w:name w:val="D&amp;L"/>
    <w:basedOn w:val="17"/>
    <w:autoRedefine/>
    <w:qFormat/>
    <w:uiPriority w:val="0"/>
    <w:pPr>
      <w:pBdr>
        <w:bottom w:val="none" w:color="auto" w:sz="0" w:space="0"/>
      </w:pBdr>
      <w:tabs>
        <w:tab w:val="clear" w:pos="4153"/>
        <w:tab w:val="clear" w:pos="8306"/>
      </w:tabs>
      <w:snapToGrid/>
    </w:pPr>
    <w:rPr>
      <w:kern w:val="0"/>
      <w:sz w:val="24"/>
      <w:szCs w:val="20"/>
    </w:rPr>
  </w:style>
  <w:style w:type="paragraph" w:customStyle="1" w:styleId="31">
    <w:name w:val="列表段落1"/>
    <w:basedOn w:val="1"/>
    <w:autoRedefine/>
    <w:qFormat/>
    <w:uiPriority w:val="34"/>
    <w:pPr>
      <w:ind w:firstLine="420" w:firstLineChars="200"/>
    </w:pPr>
  </w:style>
  <w:style w:type="paragraph" w:customStyle="1" w:styleId="32">
    <w:name w:val="Char Char Char Char Char Char Char1 Char"/>
    <w:basedOn w:val="1"/>
    <w:autoRedefine/>
    <w:qFormat/>
    <w:uiPriority w:val="0"/>
    <w:rPr>
      <w:rFonts w:ascii="Arial" w:hAnsi="Arial" w:eastAsia="宋体" w:cs="Arial"/>
      <w:sz w:val="24"/>
    </w:rPr>
  </w:style>
  <w:style w:type="paragraph" w:customStyle="1" w:styleId="33">
    <w:name w:val="纯文本1"/>
    <w:basedOn w:val="1"/>
    <w:link w:val="43"/>
    <w:autoRedefine/>
    <w:qFormat/>
    <w:uiPriority w:val="0"/>
    <w:rPr>
      <w:rFonts w:ascii="Arial" w:hAnsi="Arial" w:eastAsia="Arial" w:cs="黑体"/>
    </w:rPr>
  </w:style>
  <w:style w:type="paragraph" w:customStyle="1" w:styleId="34">
    <w:name w:val="TOC 标题1"/>
    <w:basedOn w:val="3"/>
    <w:next w:val="1"/>
    <w:autoRedefine/>
    <w:semiHidden/>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character" w:customStyle="1" w:styleId="35">
    <w:name w:val="批注框文本 字符"/>
    <w:link w:val="15"/>
    <w:autoRedefine/>
    <w:semiHidden/>
    <w:qFormat/>
    <w:uiPriority w:val="99"/>
    <w:rPr>
      <w:rFonts w:ascii="@仿宋_GB2312" w:hAnsi="@仿宋_GB2312" w:eastAsia="@仿宋_GB2312" w:cs="@仿宋_GB2312"/>
      <w:sz w:val="18"/>
      <w:szCs w:val="18"/>
    </w:rPr>
  </w:style>
  <w:style w:type="character" w:customStyle="1" w:styleId="36">
    <w:name w:val="页眉 字符"/>
    <w:link w:val="17"/>
    <w:autoRedefine/>
    <w:qFormat/>
    <w:uiPriority w:val="0"/>
    <w:rPr>
      <w:rFonts w:ascii="@仿宋_GB2312" w:hAnsi="@仿宋_GB2312" w:eastAsia="@仿宋_GB2312" w:cs="@仿宋_GB2312"/>
      <w:sz w:val="18"/>
      <w:szCs w:val="18"/>
    </w:rPr>
  </w:style>
  <w:style w:type="character" w:customStyle="1" w:styleId="37">
    <w:name w:val="页脚 字符"/>
    <w:link w:val="16"/>
    <w:autoRedefine/>
    <w:qFormat/>
    <w:uiPriority w:val="99"/>
    <w:rPr>
      <w:rFonts w:ascii="@仿宋_GB2312" w:hAnsi="@仿宋_GB2312" w:eastAsia="@仿宋_GB2312" w:cs="@仿宋_GB2312"/>
      <w:sz w:val="18"/>
      <w:szCs w:val="18"/>
    </w:rPr>
  </w:style>
  <w:style w:type="character" w:customStyle="1" w:styleId="38">
    <w:name w:val="纯文本 字符"/>
    <w:link w:val="13"/>
    <w:autoRedefine/>
    <w:qFormat/>
    <w:uiPriority w:val="0"/>
    <w:rPr>
      <w:rFonts w:ascii="宋体" w:hAnsi="Courier New"/>
    </w:rPr>
  </w:style>
  <w:style w:type="character" w:customStyle="1" w:styleId="39">
    <w:name w:val="纯文本 字符1"/>
    <w:autoRedefine/>
    <w:semiHidden/>
    <w:qFormat/>
    <w:uiPriority w:val="99"/>
    <w:rPr>
      <w:rFonts w:ascii="宋体" w:hAnsi="Courier New" w:cs="Courier New"/>
      <w:szCs w:val="20"/>
    </w:rPr>
  </w:style>
  <w:style w:type="character" w:customStyle="1" w:styleId="40">
    <w:name w:val="未处理的提及1"/>
    <w:autoRedefine/>
    <w:semiHidden/>
    <w:unhideWhenUsed/>
    <w:qFormat/>
    <w:uiPriority w:val="99"/>
    <w:rPr>
      <w:color w:val="605E5C"/>
      <w:shd w:val="clear" w:color="auto" w:fill="E1DFDD"/>
    </w:rPr>
  </w:style>
  <w:style w:type="character" w:customStyle="1" w:styleId="41">
    <w:name w:val="日期 字符"/>
    <w:autoRedefine/>
    <w:semiHidden/>
    <w:qFormat/>
    <w:uiPriority w:val="99"/>
    <w:rPr>
      <w:rFonts w:ascii="@仿宋_GB2312" w:hAnsi="@仿宋_GB2312" w:eastAsia="@仿宋_GB2312" w:cs="@仿宋_GB2312"/>
      <w:szCs w:val="20"/>
    </w:rPr>
  </w:style>
  <w:style w:type="character" w:customStyle="1" w:styleId="42">
    <w:name w:val="日期 字符1"/>
    <w:link w:val="14"/>
    <w:autoRedefine/>
    <w:qFormat/>
    <w:uiPriority w:val="0"/>
    <w:rPr>
      <w:rFonts w:ascii="Arial" w:hAnsi="Arial" w:eastAsia="宋体" w:cs="Arial"/>
      <w:b/>
      <w:sz w:val="28"/>
      <w:szCs w:val="20"/>
    </w:rPr>
  </w:style>
  <w:style w:type="character" w:customStyle="1" w:styleId="43">
    <w:name w:val="纯文本 Char1"/>
    <w:link w:val="33"/>
    <w:autoRedefine/>
    <w:qFormat/>
    <w:locked/>
    <w:uiPriority w:val="0"/>
    <w:rPr>
      <w:rFonts w:ascii="Arial" w:hAnsi="Arial" w:eastAsia="Arial"/>
      <w:kern w:val="2"/>
      <w:sz w:val="21"/>
      <w:lang w:val="en-US" w:eastAsia="zh-CN" w:bidi="ar-SA"/>
    </w:rPr>
  </w:style>
  <w:style w:type="character" w:customStyle="1" w:styleId="44">
    <w:name w:val="批注文字 Char"/>
    <w:autoRedefine/>
    <w:semiHidden/>
    <w:qFormat/>
    <w:uiPriority w:val="99"/>
    <w:rPr>
      <w:rFonts w:ascii="@仿宋_GB2312" w:hAnsi="@仿宋_GB2312" w:eastAsia="@仿宋_GB2312" w:cs="@仿宋_GB2312"/>
      <w:szCs w:val="20"/>
    </w:rPr>
  </w:style>
  <w:style w:type="character" w:customStyle="1" w:styleId="45">
    <w:name w:val="批注文字 字符"/>
    <w:link w:val="7"/>
    <w:autoRedefine/>
    <w:qFormat/>
    <w:uiPriority w:val="0"/>
    <w:rPr>
      <w:rFonts w:ascii="Arial" w:hAnsi="Arial" w:eastAsia="黑体" w:cs="Arial"/>
      <w:szCs w:val="20"/>
    </w:rPr>
  </w:style>
  <w:style w:type="character" w:customStyle="1" w:styleId="46">
    <w:name w:val="标题 1 字符"/>
    <w:link w:val="3"/>
    <w:autoRedefine/>
    <w:qFormat/>
    <w:uiPriority w:val="9"/>
    <w:rPr>
      <w:rFonts w:ascii="@仿宋_GB2312" w:hAnsi="@仿宋_GB2312" w:eastAsia="@仿宋_GB2312" w:cs="@仿宋_GB2312"/>
      <w:b/>
      <w:bCs/>
      <w:kern w:val="44"/>
      <w:sz w:val="44"/>
      <w:szCs w:val="44"/>
    </w:rPr>
  </w:style>
  <w:style w:type="character" w:customStyle="1" w:styleId="47">
    <w:name w:val="标题 3 字符"/>
    <w:link w:val="2"/>
    <w:autoRedefine/>
    <w:qFormat/>
    <w:uiPriority w:val="9"/>
    <w:rPr>
      <w:rFonts w:ascii="宋体" w:hAnsi="宋体" w:cs="宋体"/>
      <w:b/>
      <w:bCs/>
      <w:color w:val="C00000"/>
      <w:kern w:val="2"/>
      <w:sz w:val="24"/>
      <w:szCs w:val="24"/>
    </w:rPr>
  </w:style>
  <w:style w:type="character" w:customStyle="1" w:styleId="48">
    <w:name w:val="fontstyle01"/>
    <w:autoRedefine/>
    <w:qFormat/>
    <w:uiPriority w:val="0"/>
    <w:rPr>
      <w:rFonts w:hint="eastAsia" w:ascii="宋体" w:hAnsi="宋体" w:eastAsia="宋体"/>
      <w:color w:val="000000"/>
      <w:sz w:val="22"/>
      <w:szCs w:val="22"/>
    </w:rPr>
  </w:style>
  <w:style w:type="character" w:customStyle="1" w:styleId="49">
    <w:name w:val="fontstyle21"/>
    <w:autoRedefine/>
    <w:qFormat/>
    <w:uiPriority w:val="0"/>
    <w:rPr>
      <w:rFonts w:hint="default" w:ascii="TimesNewRomanPSMT" w:hAnsi="TimesNewRomanPSMT"/>
      <w:color w:val="000000"/>
      <w:sz w:val="22"/>
      <w:szCs w:val="22"/>
    </w:rPr>
  </w:style>
  <w:style w:type="character" w:customStyle="1" w:styleId="5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1">
    <w:name w:val="标题 4 字符"/>
    <w:autoRedefine/>
    <w:semiHidden/>
    <w:qFormat/>
    <w:uiPriority w:val="9"/>
    <w:rPr>
      <w:rFonts w:ascii="Cambria" w:hAnsi="Cambria" w:eastAsia="宋体" w:cs="黑体"/>
      <w:b/>
      <w:bCs/>
      <w:sz w:val="28"/>
      <w:szCs w:val="28"/>
    </w:rPr>
  </w:style>
  <w:style w:type="character" w:customStyle="1" w:styleId="52">
    <w:name w:val="标题 4 字符1"/>
    <w:link w:val="5"/>
    <w:autoRedefine/>
    <w:qFormat/>
    <w:uiPriority w:val="0"/>
    <w:rPr>
      <w:rFonts w:ascii="@仿宋_GB2312" w:hAnsi="@仿宋_GB2312" w:eastAsia="@仿宋_GB2312" w:cs="@仿宋_GB2312"/>
      <w:b/>
      <w:bCs/>
      <w:sz w:val="28"/>
      <w:szCs w:val="28"/>
    </w:rPr>
  </w:style>
  <w:style w:type="character" w:customStyle="1" w:styleId="53">
    <w:name w:val="正文文本 字符"/>
    <w:link w:val="8"/>
    <w:autoRedefine/>
    <w:qFormat/>
    <w:uiPriority w:val="0"/>
    <w:rPr>
      <w:rFonts w:ascii="@微软简标宋" w:hAnsi="@微软简标宋" w:eastAsia="@微软简标宋" w:cs="@微软简标宋"/>
      <w:szCs w:val="24"/>
      <w:lang w:val="zh-CN" w:eastAsia="zh-CN"/>
    </w:rPr>
  </w:style>
  <w:style w:type="character" w:customStyle="1" w:styleId="54">
    <w:name w:val="批注主题 字符"/>
    <w:link w:val="21"/>
    <w:autoRedefine/>
    <w:semiHidden/>
    <w:qFormat/>
    <w:uiPriority w:val="99"/>
    <w:rPr>
      <w:rFonts w:ascii="@仿宋_GB2312" w:hAnsi="@仿宋_GB2312" w:eastAsia="@仿宋_GB2312" w:cs="@仿宋_GB2312"/>
      <w:b/>
      <w:bCs/>
      <w:kern w:val="2"/>
      <w:sz w:val="21"/>
      <w:szCs w:val="20"/>
    </w:rPr>
  </w:style>
  <w:style w:type="paragraph" w:customStyle="1" w:styleId="55">
    <w:name w:val="标题 2_0"/>
    <w:basedOn w:val="1"/>
    <w:next w:val="56"/>
    <w:autoRedefine/>
    <w:qFormat/>
    <w:uiPriority w:val="0"/>
    <w:pPr>
      <w:keepNext/>
      <w:keepLines/>
      <w:spacing w:before="260" w:after="260" w:line="500" w:lineRule="exact"/>
      <w:jc w:val="center"/>
      <w:outlineLvl w:val="1"/>
    </w:pPr>
    <w:rPr>
      <w:rFonts w:ascii="黑体" w:hAnsi="宋体" w:eastAsia="黑体"/>
      <w:b/>
      <w:smallCaps/>
      <w:snapToGrid w:val="0"/>
      <w:kern w:val="0"/>
      <w:sz w:val="36"/>
      <w:szCs w:val="24"/>
    </w:rPr>
  </w:style>
  <w:style w:type="paragraph" w:customStyle="1" w:styleId="56">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styleId="58">
    <w:name w:val="List Paragraph"/>
    <w:basedOn w:val="1"/>
    <w:qFormat/>
    <w:uiPriority w:val="1"/>
    <w:pPr>
      <w:widowControl/>
      <w:kinsoku w:val="0"/>
      <w:autoSpaceDE w:val="0"/>
      <w:autoSpaceDN w:val="0"/>
      <w:adjustRightInd w:val="0"/>
      <w:snapToGrid w:val="0"/>
      <w:ind w:left="247" w:firstLine="550"/>
      <w:jc w:val="left"/>
      <w:textAlignment w:val="baseline"/>
    </w:pPr>
    <w:rPr>
      <w:rFonts w:ascii="Arial" w:hAnsi="Arial" w:eastAsia="Arial" w:cs="Arial"/>
      <w:snapToGrid w:val="0"/>
      <w:color w:val="000000"/>
      <w:kern w:val="0"/>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59</Pages>
  <Words>27588</Words>
  <Characters>28770</Characters>
  <Lines>218</Lines>
  <Paragraphs>61</Paragraphs>
  <TotalTime>31</TotalTime>
  <ScaleCrop>false</ScaleCrop>
  <LinksUpToDate>false</LinksUpToDate>
  <CharactersWithSpaces>29988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2019-05-06T22:32:00Z</dcterms:created>
  <dc:creator>Anakin</dc:creator>
  <cp:lastModifiedBy>耿新雨</cp:lastModifiedBy>
  <cp:lastPrinted>2024-10-08T16:07:00Z</cp:lastPrinted>
  <dcterms:modified xsi:type="dcterms:W3CDTF">2025-01-24T07:01:06Z</dcterms:modified>
  <dc:title>竞争性磋商文件</dc:title>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5990CE72E552A4F109E39267349CFCB2_43</vt:lpwstr>
  </property>
  <property fmtid="{D5CDD505-2E9C-101B-9397-08002B2CF9AE}" pid="4" name="commondata">
    <vt:lpwstr>eyJoZGlkIjoiYmI2NDUwYjViNjdjMjE3YmI2NjllZGI2ZDQxNDQxMDMifQ==</vt:lpwstr>
  </property>
  <property fmtid="{D5CDD505-2E9C-101B-9397-08002B2CF9AE}" pid="5" name="KSOTemplateDocerSaveRecord">
    <vt:lpwstr>eyJoZGlkIjoiNTFlYTQxN2I4YWExYWM0MzgyOGM1YmViMTZhN2U2YWEiLCJ1c2VySWQiOiIyOTE2NTA1NDQifQ==</vt:lpwstr>
  </property>
</Properties>
</file>