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ink/ink1.xml" ContentType="application/inkml+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F3F41C">
      <w:pPr>
        <w:tabs>
          <w:tab w:val="left" w:pos="315"/>
          <w:tab w:val="left" w:pos="8820"/>
        </w:tabs>
        <w:spacing w:before="240" w:beforeLines="100" w:after="120" w:afterLines="50" w:line="500" w:lineRule="exact"/>
        <w:ind w:right="267" w:rightChars="127"/>
        <w:jc w:val="center"/>
        <w:rPr>
          <w:rFonts w:hint="eastAsia" w:ascii="宋体" w:hAnsi="宋体" w:eastAsia="宋体" w:cs="宋体"/>
          <w:b/>
          <w:bCs/>
          <w:color w:val="auto"/>
          <w:sz w:val="52"/>
          <w:szCs w:val="52"/>
          <w:highlight w:val="none"/>
        </w:rPr>
      </w:pPr>
    </w:p>
    <w:p w14:paraId="7CE8C4FD">
      <w:pPr>
        <w:tabs>
          <w:tab w:val="left" w:pos="315"/>
          <w:tab w:val="left" w:pos="8820"/>
        </w:tabs>
        <w:spacing w:before="240" w:beforeLines="100" w:after="120" w:afterLines="50" w:line="500" w:lineRule="exact"/>
        <w:ind w:right="267" w:rightChars="127"/>
        <w:jc w:val="center"/>
        <w:rPr>
          <w:rFonts w:hint="eastAsia" w:ascii="宋体" w:hAnsi="宋体" w:eastAsia="宋体" w:cs="宋体"/>
          <w:b/>
          <w:bCs/>
          <w:color w:val="auto"/>
          <w:sz w:val="52"/>
          <w:szCs w:val="52"/>
          <w:highlight w:val="none"/>
        </w:rPr>
      </w:pPr>
    </w:p>
    <w:p w14:paraId="08DA10A1">
      <w:pPr>
        <w:tabs>
          <w:tab w:val="left" w:pos="315"/>
          <w:tab w:val="left" w:pos="8820"/>
        </w:tabs>
        <w:spacing w:before="240" w:beforeLines="100" w:after="120" w:afterLines="50" w:line="500" w:lineRule="exact"/>
        <w:ind w:right="267" w:rightChars="127"/>
        <w:jc w:val="center"/>
        <w:rPr>
          <w:rFonts w:hint="eastAsia" w:ascii="宋体" w:hAnsi="宋体" w:eastAsia="宋体" w:cs="宋体"/>
          <w:b/>
          <w:bCs/>
          <w:color w:val="auto"/>
          <w:sz w:val="52"/>
          <w:szCs w:val="52"/>
          <w:highlight w:val="none"/>
        </w:rPr>
      </w:pPr>
      <w:bookmarkStart w:id="0" w:name="_Hlk9544796"/>
      <w:r>
        <w:rPr>
          <w:rFonts w:hint="eastAsia" w:ascii="宋体" w:hAnsi="宋体" w:eastAsia="宋体" w:cs="宋体"/>
          <w:b/>
          <w:bCs/>
          <w:color w:val="auto"/>
          <w:sz w:val="52"/>
          <w:szCs w:val="52"/>
          <w:highlight w:val="none"/>
        </w:rPr>
        <w:t>竞争性磋商文件</w:t>
      </w:r>
    </w:p>
    <w:p w14:paraId="30BCA790">
      <w:pPr>
        <w:tabs>
          <w:tab w:val="left" w:pos="315"/>
          <w:tab w:val="left" w:pos="8820"/>
        </w:tabs>
        <w:spacing w:before="240" w:beforeLines="100" w:after="120" w:afterLines="50" w:line="500" w:lineRule="exact"/>
        <w:ind w:right="267" w:rightChars="127"/>
        <w:jc w:val="center"/>
        <w:rPr>
          <w:rFonts w:hint="eastAsia" w:ascii="宋体" w:hAnsi="宋体" w:eastAsia="宋体" w:cs="宋体"/>
          <w:b/>
          <w:bCs/>
          <w:color w:val="auto"/>
          <w:sz w:val="52"/>
          <w:szCs w:val="52"/>
          <w:highlight w:val="none"/>
        </w:rPr>
      </w:pPr>
      <w:r>
        <w:rPr>
          <w:rFonts w:hint="eastAsia" w:ascii="宋体" w:hAnsi="宋体" w:eastAsia="宋体" w:cs="宋体"/>
          <w:b/>
          <w:bCs/>
          <w:color w:val="auto"/>
          <w:sz w:val="52"/>
          <w:szCs w:val="52"/>
          <w:highlight w:val="none"/>
        </w:rPr>
        <w:t>（服务类）</w:t>
      </w:r>
    </w:p>
    <w:bookmarkEnd w:id="0"/>
    <w:p w14:paraId="50750632">
      <w:pPr>
        <w:tabs>
          <w:tab w:val="left" w:pos="315"/>
          <w:tab w:val="left" w:pos="8820"/>
        </w:tabs>
        <w:spacing w:before="240" w:beforeLines="100" w:after="120" w:afterLines="50" w:line="500" w:lineRule="exact"/>
        <w:ind w:right="267" w:rightChars="127"/>
        <w:jc w:val="center"/>
        <w:rPr>
          <w:rFonts w:hint="eastAsia" w:ascii="宋体" w:hAnsi="宋体" w:eastAsia="宋体" w:cs="宋体"/>
          <w:bCs/>
          <w:color w:val="auto"/>
          <w:sz w:val="44"/>
          <w:szCs w:val="44"/>
          <w:highlight w:val="none"/>
        </w:rPr>
      </w:pPr>
      <w:bookmarkStart w:id="166" w:name="_GoBack"/>
      <w:bookmarkEnd w:id="166"/>
    </w:p>
    <w:p w14:paraId="347B7F8F">
      <w:pPr>
        <w:tabs>
          <w:tab w:val="left" w:pos="315"/>
          <w:tab w:val="left" w:pos="8820"/>
        </w:tabs>
        <w:spacing w:before="240" w:beforeLines="100" w:after="120" w:afterLines="50" w:line="500" w:lineRule="exact"/>
        <w:ind w:right="267" w:rightChars="127"/>
        <w:jc w:val="center"/>
        <w:rPr>
          <w:rFonts w:hint="eastAsia" w:ascii="宋体" w:hAnsi="宋体" w:eastAsia="宋体" w:cs="宋体"/>
          <w:b/>
          <w:bCs/>
          <w:color w:val="auto"/>
          <w:sz w:val="44"/>
          <w:szCs w:val="44"/>
          <w:highlight w:val="none"/>
        </w:rPr>
      </w:pPr>
    </w:p>
    <w:p w14:paraId="00D97129">
      <w:pPr>
        <w:tabs>
          <w:tab w:val="left" w:pos="315"/>
          <w:tab w:val="left" w:pos="8820"/>
        </w:tabs>
        <w:spacing w:before="240" w:beforeLines="100" w:after="120" w:afterLines="50" w:line="500" w:lineRule="exact"/>
        <w:ind w:right="267" w:rightChars="127"/>
        <w:jc w:val="center"/>
        <w:rPr>
          <w:rFonts w:hint="eastAsia" w:ascii="宋体" w:hAnsi="宋体" w:eastAsia="宋体" w:cs="宋体"/>
          <w:b/>
          <w:bCs/>
          <w:color w:val="auto"/>
          <w:sz w:val="44"/>
          <w:szCs w:val="44"/>
          <w:highlight w:val="none"/>
        </w:rPr>
      </w:pPr>
    </w:p>
    <w:p w14:paraId="30D6EE10">
      <w:pPr>
        <w:tabs>
          <w:tab w:val="left" w:pos="315"/>
          <w:tab w:val="left" w:pos="8820"/>
        </w:tabs>
        <w:spacing w:before="240" w:beforeLines="100" w:after="120" w:afterLines="50" w:line="500" w:lineRule="exact"/>
        <w:ind w:right="267" w:rightChars="127"/>
        <w:jc w:val="center"/>
        <w:rPr>
          <w:rFonts w:hint="eastAsia" w:ascii="宋体" w:hAnsi="宋体" w:eastAsia="宋体" w:cs="宋体"/>
          <w:b/>
          <w:bCs/>
          <w:color w:val="auto"/>
          <w:sz w:val="44"/>
          <w:szCs w:val="44"/>
          <w:highlight w:val="none"/>
        </w:rPr>
      </w:pPr>
    </w:p>
    <w:p w14:paraId="4077B02F">
      <w:pPr>
        <w:tabs>
          <w:tab w:val="left" w:pos="315"/>
          <w:tab w:val="left" w:pos="8820"/>
        </w:tabs>
        <w:spacing w:before="240" w:beforeLines="100" w:after="120" w:afterLines="50" w:line="500" w:lineRule="exact"/>
        <w:ind w:right="267" w:rightChars="127"/>
        <w:jc w:val="center"/>
        <w:rPr>
          <w:rFonts w:hint="eastAsia" w:ascii="宋体" w:hAnsi="宋体" w:eastAsia="宋体" w:cs="宋体"/>
          <w:b/>
          <w:bCs/>
          <w:color w:val="auto"/>
          <w:sz w:val="44"/>
          <w:szCs w:val="44"/>
          <w:highlight w:val="none"/>
        </w:rPr>
      </w:pPr>
    </w:p>
    <w:p w14:paraId="4AAECE48">
      <w:pPr>
        <w:tabs>
          <w:tab w:val="left" w:pos="315"/>
          <w:tab w:val="left" w:pos="8820"/>
        </w:tabs>
        <w:spacing w:before="240" w:beforeLines="100" w:after="120" w:afterLines="50" w:line="500" w:lineRule="exact"/>
        <w:ind w:right="267" w:rightChars="127"/>
        <w:jc w:val="center"/>
        <w:rPr>
          <w:rFonts w:hint="eastAsia" w:ascii="宋体" w:hAnsi="宋体" w:eastAsia="宋体" w:cs="宋体"/>
          <w:b/>
          <w:bCs/>
          <w:color w:val="auto"/>
          <w:sz w:val="44"/>
          <w:szCs w:val="44"/>
          <w:highlight w:val="none"/>
        </w:rPr>
      </w:pPr>
    </w:p>
    <w:p w14:paraId="2F2C822A">
      <w:pPr>
        <w:tabs>
          <w:tab w:val="left" w:pos="2410"/>
        </w:tabs>
        <w:autoSpaceDE w:val="0"/>
        <w:autoSpaceDN w:val="0"/>
        <w:adjustRightInd w:val="0"/>
        <w:snapToGrid w:val="0"/>
        <w:spacing w:line="360" w:lineRule="auto"/>
        <w:ind w:firstLine="361" w:firstLineChars="100"/>
        <w:rPr>
          <w:rFonts w:hint="eastAsia" w:ascii="宋体" w:hAnsi="宋体" w:eastAsia="宋体" w:cs="宋体"/>
          <w:b/>
          <w:color w:val="auto"/>
          <w:spacing w:val="20"/>
          <w:kern w:val="0"/>
          <w:sz w:val="32"/>
          <w:szCs w:val="32"/>
          <w:highlight w:val="none"/>
        </w:rPr>
      </w:pPr>
      <w:r>
        <w:rPr>
          <w:rFonts w:hint="eastAsia" w:ascii="宋体" w:hAnsi="宋体" w:eastAsia="宋体" w:cs="宋体"/>
          <w:b/>
          <w:color w:val="auto"/>
          <w:spacing w:val="20"/>
          <w:kern w:val="0"/>
          <w:sz w:val="32"/>
          <w:szCs w:val="32"/>
          <w:highlight w:val="none"/>
        </w:rPr>
        <w:t>项目名称：</w:t>
      </w:r>
      <w:r>
        <w:rPr>
          <w:rFonts w:hint="eastAsia" w:ascii="宋体" w:hAnsi="宋体" w:eastAsia="宋体" w:cs="宋体"/>
          <w:b/>
          <w:color w:val="auto"/>
          <w:spacing w:val="20"/>
          <w:kern w:val="0"/>
          <w:sz w:val="32"/>
          <w:szCs w:val="32"/>
          <w:highlight w:val="none"/>
          <w:u w:val="single"/>
        </w:rPr>
        <w:t>包河区公共阅读空间罍街悦书房文创采购</w:t>
      </w:r>
      <w:r>
        <w:rPr>
          <w:rFonts w:hint="eastAsia" w:ascii="宋体" w:hAnsi="宋体" w:eastAsia="宋体" w:cs="宋体"/>
          <w:b/>
          <w:color w:val="auto"/>
          <w:spacing w:val="20"/>
          <w:kern w:val="0"/>
          <w:sz w:val="32"/>
          <w:szCs w:val="32"/>
          <w:highlight w:val="none"/>
          <w:u w:val="single"/>
          <w:lang w:eastAsia="zh-CN"/>
        </w:rPr>
        <w:t>招标</w:t>
      </w:r>
    </w:p>
    <w:p w14:paraId="598A4F36">
      <w:pPr>
        <w:tabs>
          <w:tab w:val="left" w:pos="2410"/>
        </w:tabs>
        <w:autoSpaceDE w:val="0"/>
        <w:autoSpaceDN w:val="0"/>
        <w:adjustRightInd w:val="0"/>
        <w:snapToGrid w:val="0"/>
        <w:spacing w:line="360" w:lineRule="auto"/>
        <w:ind w:firstLine="361" w:firstLineChars="100"/>
        <w:rPr>
          <w:rFonts w:hint="eastAsia" w:ascii="宋体" w:hAnsi="宋体" w:eastAsia="宋体" w:cs="宋体"/>
          <w:b/>
          <w:color w:val="auto"/>
          <w:spacing w:val="20"/>
          <w:kern w:val="0"/>
          <w:sz w:val="32"/>
          <w:szCs w:val="32"/>
          <w:highlight w:val="none"/>
          <w:u w:val="single"/>
        </w:rPr>
      </w:pPr>
      <w:r>
        <w:rPr>
          <w:rFonts w:hint="eastAsia" w:ascii="宋体" w:hAnsi="宋体" w:eastAsia="宋体" w:cs="宋体"/>
          <w:b/>
          <w:color w:val="auto"/>
          <w:spacing w:val="20"/>
          <w:kern w:val="0"/>
          <w:sz w:val="32"/>
          <w:szCs w:val="32"/>
          <w:highlight w:val="none"/>
        </w:rPr>
        <w:t>招 标 人：</w:t>
      </w:r>
      <w:r>
        <w:rPr>
          <w:rFonts w:hint="eastAsia" w:ascii="宋体" w:hAnsi="宋体" w:eastAsia="宋体" w:cs="宋体"/>
          <w:b/>
          <w:color w:val="auto"/>
          <w:spacing w:val="20"/>
          <w:kern w:val="0"/>
          <w:sz w:val="32"/>
          <w:szCs w:val="32"/>
          <w:highlight w:val="none"/>
          <w:u w:val="single"/>
        </w:rPr>
        <w:t>合肥滨湖时光空间运营管理有限公司</w:t>
      </w:r>
    </w:p>
    <w:p w14:paraId="2ECF2D58">
      <w:pPr>
        <w:tabs>
          <w:tab w:val="left" w:pos="2410"/>
        </w:tabs>
        <w:autoSpaceDE w:val="0"/>
        <w:autoSpaceDN w:val="0"/>
        <w:adjustRightInd w:val="0"/>
        <w:snapToGrid w:val="0"/>
        <w:spacing w:line="360" w:lineRule="auto"/>
        <w:ind w:firstLine="361" w:firstLineChars="100"/>
        <w:jc w:val="left"/>
        <w:rPr>
          <w:rFonts w:hint="eastAsia" w:ascii="宋体" w:hAnsi="DotumChe" w:eastAsia="宋体" w:cs="宋体"/>
          <w:color w:val="auto"/>
          <w:spacing w:val="20"/>
          <w:kern w:val="0"/>
          <w:sz w:val="32"/>
          <w:szCs w:val="32"/>
          <w:highlight w:val="none"/>
        </w:rPr>
      </w:pPr>
      <w:r>
        <w:rPr>
          <w:rFonts w:hint="eastAsia" w:ascii="宋体" w:hAnsi="宋体" w:eastAsia="宋体" w:cs="宋体"/>
          <w:b/>
          <w:color w:val="auto"/>
          <w:spacing w:val="20"/>
          <w:kern w:val="0"/>
          <w:sz w:val="32"/>
          <w:szCs w:val="32"/>
          <w:highlight w:val="none"/>
        </w:rPr>
        <w:t>采购时间：</w:t>
      </w:r>
      <w:r>
        <w:rPr>
          <w:rFonts w:hint="eastAsia" w:ascii="宋体" w:hAnsi="宋体" w:eastAsia="宋体" w:cs="宋体"/>
          <w:b/>
          <w:color w:val="auto"/>
          <w:spacing w:val="20"/>
          <w:kern w:val="0"/>
          <w:sz w:val="32"/>
          <w:szCs w:val="32"/>
          <w:highlight w:val="none"/>
          <w:u w:val="single"/>
        </w:rPr>
        <w:t>202</w:t>
      </w:r>
      <w:r>
        <w:rPr>
          <w:rFonts w:hint="eastAsia" w:ascii="宋体" w:hAnsi="宋体" w:eastAsia="宋体" w:cs="宋体"/>
          <w:b/>
          <w:color w:val="auto"/>
          <w:spacing w:val="20"/>
          <w:kern w:val="0"/>
          <w:sz w:val="32"/>
          <w:szCs w:val="32"/>
          <w:highlight w:val="none"/>
          <w:u w:val="single"/>
          <w:lang w:val="en-US" w:eastAsia="zh-CN"/>
        </w:rPr>
        <w:t>5</w:t>
      </w:r>
      <w:r>
        <w:rPr>
          <w:rFonts w:hint="eastAsia" w:ascii="宋体" w:hAnsi="宋体" w:eastAsia="宋体" w:cs="宋体"/>
          <w:b/>
          <w:color w:val="auto"/>
          <w:spacing w:val="20"/>
          <w:kern w:val="0"/>
          <w:sz w:val="32"/>
          <w:szCs w:val="32"/>
          <w:highlight w:val="none"/>
          <w:u w:val="single"/>
        </w:rPr>
        <w:t>年</w:t>
      </w:r>
      <w:r>
        <w:rPr>
          <w:rFonts w:hint="eastAsia" w:ascii="宋体" w:hAnsi="宋体" w:eastAsia="宋体" w:cs="宋体"/>
          <w:b/>
          <w:color w:val="auto"/>
          <w:spacing w:val="20"/>
          <w:kern w:val="0"/>
          <w:sz w:val="32"/>
          <w:szCs w:val="32"/>
          <w:highlight w:val="none"/>
          <w:u w:val="single"/>
          <w:lang w:val="en-US" w:eastAsia="zh-CN"/>
        </w:rPr>
        <w:t>3</w:t>
      </w:r>
      <w:r>
        <w:rPr>
          <w:rFonts w:hint="eastAsia" w:ascii="宋体" w:hAnsi="宋体" w:eastAsia="宋体" w:cs="宋体"/>
          <w:b/>
          <w:color w:val="auto"/>
          <w:spacing w:val="20"/>
          <w:kern w:val="0"/>
          <w:sz w:val="32"/>
          <w:szCs w:val="32"/>
          <w:highlight w:val="none"/>
          <w:u w:val="single"/>
        </w:rPr>
        <w:t>月</w:t>
      </w:r>
    </w:p>
    <w:p w14:paraId="1BA8AA4E">
      <w:pPr>
        <w:tabs>
          <w:tab w:val="left" w:pos="2410"/>
        </w:tabs>
        <w:autoSpaceDE w:val="0"/>
        <w:autoSpaceDN w:val="0"/>
        <w:adjustRightInd w:val="0"/>
        <w:snapToGrid w:val="0"/>
        <w:spacing w:line="360" w:lineRule="auto"/>
        <w:ind w:firstLine="361" w:firstLineChars="100"/>
        <w:rPr>
          <w:rFonts w:hint="eastAsia" w:ascii="宋体" w:hAnsi="宋体" w:eastAsia="宋体" w:cs="宋体"/>
          <w:b/>
          <w:color w:val="auto"/>
          <w:spacing w:val="20"/>
          <w:kern w:val="0"/>
          <w:sz w:val="32"/>
          <w:szCs w:val="32"/>
          <w:highlight w:val="none"/>
        </w:rPr>
      </w:pPr>
    </w:p>
    <w:p w14:paraId="2A0DAF2C">
      <w:pPr>
        <w:tabs>
          <w:tab w:val="left" w:pos="315"/>
          <w:tab w:val="left" w:pos="8820"/>
        </w:tabs>
        <w:spacing w:before="240" w:beforeLines="100" w:after="120" w:afterLines="50" w:line="500" w:lineRule="exact"/>
        <w:ind w:right="267" w:rightChars="127"/>
        <w:jc w:val="center"/>
        <w:rPr>
          <w:rFonts w:hint="eastAsia" w:ascii="宋体" w:hAnsi="宋体" w:eastAsia="宋体" w:cs="宋体"/>
          <w:b/>
          <w:bCs/>
          <w:color w:val="auto"/>
          <w:sz w:val="44"/>
          <w:szCs w:val="44"/>
          <w:highlight w:val="none"/>
        </w:rPr>
      </w:pPr>
    </w:p>
    <w:p w14:paraId="6A05FBAE">
      <w:pPr>
        <w:tabs>
          <w:tab w:val="left" w:pos="2410"/>
        </w:tabs>
        <w:autoSpaceDE w:val="0"/>
        <w:autoSpaceDN w:val="0"/>
        <w:adjustRightInd w:val="0"/>
        <w:snapToGrid w:val="0"/>
        <w:spacing w:line="360" w:lineRule="auto"/>
        <w:jc w:val="center"/>
        <w:rPr>
          <w:rFonts w:hint="eastAsia" w:ascii="宋体" w:hAnsi="宋体" w:eastAsia="宋体" w:cs="宋体"/>
          <w:b/>
          <w:color w:val="auto"/>
          <w:sz w:val="36"/>
          <w:highlight w:val="none"/>
          <w:u w:val="single"/>
        </w:rPr>
      </w:pPr>
    </w:p>
    <w:p w14:paraId="0295341B">
      <w:pPr>
        <w:tabs>
          <w:tab w:val="left" w:pos="2410"/>
        </w:tabs>
        <w:autoSpaceDE w:val="0"/>
        <w:autoSpaceDN w:val="0"/>
        <w:adjustRightInd w:val="0"/>
        <w:snapToGrid w:val="0"/>
        <w:spacing w:line="360" w:lineRule="auto"/>
        <w:jc w:val="center"/>
        <w:rPr>
          <w:rFonts w:hint="eastAsia" w:ascii="宋体" w:hAnsi="宋体" w:eastAsia="宋体" w:cs="宋体"/>
          <w:b/>
          <w:color w:val="auto"/>
          <w:sz w:val="36"/>
          <w:highlight w:val="none"/>
        </w:rPr>
      </w:pPr>
      <w:r>
        <w:rPr>
          <w:rFonts w:hint="eastAsia" w:ascii="宋体" w:hAnsi="宋体" w:eastAsia="宋体" w:cs="宋体"/>
          <w:b/>
          <w:color w:val="auto"/>
          <w:sz w:val="36"/>
          <w:highlight w:val="none"/>
          <w:u w:val="single"/>
        </w:rPr>
        <w:t xml:space="preserve"> 202</w:t>
      </w:r>
      <w:r>
        <w:rPr>
          <w:rFonts w:hint="eastAsia" w:ascii="宋体" w:hAnsi="宋体" w:eastAsia="宋体" w:cs="宋体"/>
          <w:b/>
          <w:color w:val="auto"/>
          <w:sz w:val="36"/>
          <w:highlight w:val="none"/>
          <w:u w:val="single"/>
          <w:lang w:val="en-US" w:eastAsia="zh-CN"/>
        </w:rPr>
        <w:t>5</w:t>
      </w:r>
      <w:r>
        <w:rPr>
          <w:rFonts w:hint="eastAsia" w:ascii="宋体" w:hAnsi="宋体" w:eastAsia="宋体" w:cs="宋体"/>
          <w:b/>
          <w:color w:val="auto"/>
          <w:sz w:val="36"/>
          <w:highlight w:val="none"/>
          <w:u w:val="single"/>
        </w:rPr>
        <w:t xml:space="preserve"> </w:t>
      </w:r>
      <w:r>
        <w:rPr>
          <w:rFonts w:hint="eastAsia" w:ascii="宋体" w:hAnsi="宋体" w:eastAsia="宋体" w:cs="宋体"/>
          <w:b/>
          <w:color w:val="auto"/>
          <w:sz w:val="36"/>
          <w:highlight w:val="none"/>
        </w:rPr>
        <w:t>年</w:t>
      </w:r>
      <w:r>
        <w:rPr>
          <w:rFonts w:hint="eastAsia" w:ascii="宋体" w:hAnsi="宋体" w:eastAsia="宋体" w:cs="宋体"/>
          <w:b/>
          <w:color w:val="auto"/>
          <w:sz w:val="36"/>
          <w:highlight w:val="none"/>
          <w:u w:val="single"/>
        </w:rPr>
        <w:t xml:space="preserve"> </w:t>
      </w:r>
      <w:r>
        <w:rPr>
          <w:rFonts w:hint="eastAsia" w:ascii="宋体" w:hAnsi="宋体" w:eastAsia="宋体" w:cs="宋体"/>
          <w:b/>
          <w:color w:val="auto"/>
          <w:sz w:val="36"/>
          <w:highlight w:val="none"/>
          <w:u w:val="single"/>
          <w:lang w:val="en-US" w:eastAsia="zh-CN"/>
        </w:rPr>
        <w:t>3</w:t>
      </w:r>
      <w:r>
        <w:rPr>
          <w:rFonts w:hint="eastAsia" w:ascii="宋体" w:hAnsi="宋体" w:eastAsia="宋体" w:cs="宋体"/>
          <w:b/>
          <w:color w:val="auto"/>
          <w:sz w:val="36"/>
          <w:highlight w:val="none"/>
          <w:u w:val="single"/>
        </w:rPr>
        <w:t xml:space="preserve"> </w:t>
      </w:r>
      <w:r>
        <w:rPr>
          <w:rFonts w:hint="eastAsia" w:ascii="宋体" w:hAnsi="宋体" w:eastAsia="宋体" w:cs="宋体"/>
          <w:b/>
          <w:color w:val="auto"/>
          <w:sz w:val="36"/>
          <w:highlight w:val="none"/>
        </w:rPr>
        <w:t>月</w:t>
      </w:r>
      <w:r>
        <w:rPr>
          <w:rFonts w:hint="eastAsia" w:ascii="宋体" w:hAnsi="宋体" w:eastAsia="宋体" w:cs="宋体"/>
          <w:b/>
          <w:color w:val="auto"/>
          <w:sz w:val="36"/>
          <w:highlight w:val="none"/>
        </w:rPr>
        <w:br w:type="page"/>
      </w:r>
    </w:p>
    <w:p w14:paraId="30FCA6E2">
      <w:pPr>
        <w:tabs>
          <w:tab w:val="left" w:pos="2410"/>
        </w:tabs>
        <w:autoSpaceDE w:val="0"/>
        <w:autoSpaceDN w:val="0"/>
        <w:adjustRightInd w:val="0"/>
        <w:snapToGrid w:val="0"/>
        <w:spacing w:line="360" w:lineRule="auto"/>
        <w:jc w:val="center"/>
        <w:rPr>
          <w:rFonts w:hint="eastAsia" w:ascii="宋体" w:hAnsi="宋体" w:eastAsia="宋体" w:cs="宋体"/>
          <w:b/>
          <w:color w:val="auto"/>
          <w:sz w:val="28"/>
          <w:highlight w:val="none"/>
        </w:rPr>
      </w:pPr>
      <w:r>
        <w:rPr>
          <w:rFonts w:hint="eastAsia" w:ascii="宋体" w:hAnsi="宋体" w:eastAsia="宋体" w:cs="宋体"/>
          <w:b/>
          <w:color w:val="auto"/>
          <w:sz w:val="28"/>
          <w:highlight w:val="none"/>
        </w:rPr>
        <w:t>目  录</w:t>
      </w:r>
    </w:p>
    <w:p w14:paraId="679AF2FC">
      <w:pPr>
        <w:tabs>
          <w:tab w:val="left" w:pos="2410"/>
        </w:tabs>
        <w:autoSpaceDE w:val="0"/>
        <w:autoSpaceDN w:val="0"/>
        <w:adjustRightInd w:val="0"/>
        <w:snapToGrid w:val="0"/>
        <w:spacing w:line="360" w:lineRule="auto"/>
        <w:jc w:val="center"/>
        <w:rPr>
          <w:rFonts w:hint="eastAsia" w:ascii="宋体" w:hAnsi="宋体" w:eastAsia="宋体" w:cs="宋体"/>
          <w:b/>
          <w:color w:val="auto"/>
          <w:sz w:val="28"/>
          <w:highlight w:val="none"/>
        </w:rPr>
      </w:pPr>
    </w:p>
    <w:p w14:paraId="3E6897F2">
      <w:pPr>
        <w:pStyle w:val="19"/>
        <w:tabs>
          <w:tab w:val="right" w:leader="dot" w:pos="8269"/>
        </w:tabs>
        <w:rPr>
          <w:rFonts w:hint="eastAsia" w:ascii="宋体" w:hAnsi="宋体" w:cs="宋体"/>
          <w:color w:val="auto"/>
          <w:kern w:val="2"/>
          <w:sz w:val="21"/>
          <w:highlight w:val="none"/>
        </w:rPr>
      </w:pPr>
      <w:r>
        <w:rPr>
          <w:rFonts w:hint="eastAsia" w:ascii="宋体" w:hAnsi="宋体" w:cs="宋体"/>
          <w:b/>
          <w:color w:val="auto"/>
          <w:sz w:val="24"/>
          <w:szCs w:val="24"/>
          <w:highlight w:val="none"/>
        </w:rPr>
        <w:fldChar w:fldCharType="begin"/>
      </w:r>
      <w:r>
        <w:rPr>
          <w:rFonts w:hint="eastAsia" w:ascii="宋体" w:hAnsi="宋体" w:cs="宋体"/>
          <w:b/>
          <w:color w:val="auto"/>
          <w:sz w:val="24"/>
          <w:szCs w:val="24"/>
          <w:highlight w:val="none"/>
        </w:rPr>
        <w:instrText xml:space="preserve"> TOC \o "1-2" \h \z \u </w:instrText>
      </w:r>
      <w:r>
        <w:rPr>
          <w:rFonts w:hint="eastAsia" w:ascii="宋体" w:hAnsi="宋体" w:cs="宋体"/>
          <w:b/>
          <w:color w:val="auto"/>
          <w:sz w:val="24"/>
          <w:szCs w:val="24"/>
          <w:highlight w:val="none"/>
        </w:rPr>
        <w:fldChar w:fldCharType="separate"/>
      </w:r>
      <w:r>
        <w:rPr>
          <w:color w:val="auto"/>
          <w:highlight w:val="none"/>
        </w:rPr>
        <w:fldChar w:fldCharType="begin"/>
      </w:r>
      <w:r>
        <w:rPr>
          <w:color w:val="auto"/>
          <w:highlight w:val="none"/>
        </w:rPr>
        <w:instrText xml:space="preserve"> HYPERLINK \l "_Toc47026330" </w:instrText>
      </w:r>
      <w:r>
        <w:rPr>
          <w:color w:val="auto"/>
          <w:highlight w:val="none"/>
        </w:rPr>
        <w:fldChar w:fldCharType="separate"/>
      </w:r>
      <w:r>
        <w:rPr>
          <w:rStyle w:val="26"/>
          <w:rFonts w:hint="eastAsia" w:ascii="宋体" w:hAnsi="宋体" w:cs="宋体"/>
          <w:b/>
          <w:color w:val="auto"/>
          <w:highlight w:val="none"/>
        </w:rPr>
        <w:t>第一章  磋商公告</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_Toc47026330 \h </w:instrText>
      </w:r>
      <w:r>
        <w:rPr>
          <w:rFonts w:hint="eastAsia" w:ascii="宋体" w:hAnsi="宋体" w:cs="宋体"/>
          <w:color w:val="auto"/>
          <w:highlight w:val="none"/>
        </w:rPr>
        <w:fldChar w:fldCharType="separate"/>
      </w:r>
      <w:r>
        <w:rPr>
          <w:rFonts w:hint="eastAsia" w:ascii="宋体" w:hAnsi="宋体" w:cs="宋体"/>
          <w:color w:val="auto"/>
          <w:highlight w:val="none"/>
        </w:rPr>
        <w:t>3</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4D99F60E">
      <w:pPr>
        <w:pStyle w:val="19"/>
        <w:tabs>
          <w:tab w:val="right" w:leader="dot" w:pos="8269"/>
        </w:tabs>
        <w:rPr>
          <w:rFonts w:hint="eastAsia" w:ascii="宋体" w:hAnsi="宋体" w:cs="宋体"/>
          <w:color w:val="auto"/>
          <w:kern w:val="2"/>
          <w:sz w:val="21"/>
          <w:highlight w:val="none"/>
        </w:rPr>
      </w:pPr>
      <w:r>
        <w:rPr>
          <w:color w:val="auto"/>
          <w:highlight w:val="none"/>
        </w:rPr>
        <w:fldChar w:fldCharType="begin"/>
      </w:r>
      <w:r>
        <w:rPr>
          <w:color w:val="auto"/>
          <w:highlight w:val="none"/>
        </w:rPr>
        <w:instrText xml:space="preserve"> HYPERLINK \l "_Toc47026333" </w:instrText>
      </w:r>
      <w:r>
        <w:rPr>
          <w:color w:val="auto"/>
          <w:highlight w:val="none"/>
        </w:rPr>
        <w:fldChar w:fldCharType="separate"/>
      </w:r>
      <w:r>
        <w:rPr>
          <w:rStyle w:val="26"/>
          <w:rFonts w:hint="eastAsia" w:ascii="宋体" w:hAnsi="宋体" w:cs="宋体"/>
          <w:b/>
          <w:color w:val="auto"/>
          <w:highlight w:val="none"/>
        </w:rPr>
        <w:t>第二章  投标人须知</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_Toc47026333 \h </w:instrText>
      </w:r>
      <w:r>
        <w:rPr>
          <w:rFonts w:hint="eastAsia" w:ascii="宋体" w:hAnsi="宋体" w:cs="宋体"/>
          <w:color w:val="auto"/>
          <w:highlight w:val="none"/>
        </w:rPr>
        <w:fldChar w:fldCharType="separate"/>
      </w:r>
      <w:r>
        <w:rPr>
          <w:rFonts w:hint="eastAsia" w:ascii="宋体" w:hAnsi="宋体" w:cs="宋体"/>
          <w:color w:val="auto"/>
          <w:highlight w:val="none"/>
        </w:rPr>
        <w:t>7</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26815A71">
      <w:pPr>
        <w:pStyle w:val="19"/>
        <w:tabs>
          <w:tab w:val="right" w:leader="dot" w:pos="8269"/>
        </w:tabs>
        <w:rPr>
          <w:rFonts w:hint="eastAsia" w:ascii="宋体" w:hAnsi="宋体" w:cs="宋体"/>
          <w:color w:val="auto"/>
          <w:kern w:val="2"/>
          <w:sz w:val="21"/>
          <w:highlight w:val="none"/>
        </w:rPr>
      </w:pPr>
      <w:r>
        <w:rPr>
          <w:color w:val="auto"/>
          <w:highlight w:val="none"/>
        </w:rPr>
        <w:fldChar w:fldCharType="begin"/>
      </w:r>
      <w:r>
        <w:rPr>
          <w:color w:val="auto"/>
          <w:highlight w:val="none"/>
        </w:rPr>
        <w:instrText xml:space="preserve"> HYPERLINK \l "_Toc47026334" </w:instrText>
      </w:r>
      <w:r>
        <w:rPr>
          <w:color w:val="auto"/>
          <w:highlight w:val="none"/>
        </w:rPr>
        <w:fldChar w:fldCharType="separate"/>
      </w:r>
      <w:r>
        <w:rPr>
          <w:rStyle w:val="26"/>
          <w:rFonts w:hint="eastAsia" w:ascii="宋体" w:hAnsi="宋体" w:cs="宋体"/>
          <w:b/>
          <w:color w:val="auto"/>
          <w:highlight w:val="none"/>
        </w:rPr>
        <w:t>第三章  招标需求</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_Toc47026334 \h </w:instrText>
      </w:r>
      <w:r>
        <w:rPr>
          <w:rFonts w:hint="eastAsia" w:ascii="宋体" w:hAnsi="宋体" w:cs="宋体"/>
          <w:color w:val="auto"/>
          <w:highlight w:val="none"/>
        </w:rPr>
        <w:fldChar w:fldCharType="separate"/>
      </w:r>
      <w:r>
        <w:rPr>
          <w:rFonts w:hint="eastAsia" w:ascii="宋体" w:hAnsi="宋体" w:cs="宋体"/>
          <w:color w:val="auto"/>
          <w:highlight w:val="none"/>
        </w:rPr>
        <w:t>21</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4B777558">
      <w:pPr>
        <w:pStyle w:val="19"/>
        <w:tabs>
          <w:tab w:val="right" w:leader="dot" w:pos="8269"/>
        </w:tabs>
        <w:rPr>
          <w:rFonts w:hint="eastAsia" w:ascii="宋体" w:hAnsi="宋体" w:cs="宋体"/>
          <w:color w:val="auto"/>
          <w:kern w:val="2"/>
          <w:sz w:val="21"/>
          <w:highlight w:val="none"/>
        </w:rPr>
      </w:pPr>
      <w:r>
        <w:rPr>
          <w:color w:val="auto"/>
          <w:highlight w:val="none"/>
        </w:rPr>
        <w:fldChar w:fldCharType="begin"/>
      </w:r>
      <w:r>
        <w:rPr>
          <w:color w:val="auto"/>
          <w:highlight w:val="none"/>
        </w:rPr>
        <w:instrText xml:space="preserve"> HYPERLINK \l "_Toc47026335" </w:instrText>
      </w:r>
      <w:r>
        <w:rPr>
          <w:color w:val="auto"/>
          <w:highlight w:val="none"/>
        </w:rPr>
        <w:fldChar w:fldCharType="separate"/>
      </w:r>
      <w:r>
        <w:rPr>
          <w:rStyle w:val="26"/>
          <w:rFonts w:hint="eastAsia" w:ascii="宋体" w:hAnsi="宋体" w:cs="宋体"/>
          <w:b/>
          <w:color w:val="auto"/>
          <w:highlight w:val="none"/>
        </w:rPr>
        <w:t>第四章  评审方法和标准</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_Toc47026335 \h </w:instrText>
      </w:r>
      <w:r>
        <w:rPr>
          <w:rFonts w:hint="eastAsia" w:ascii="宋体" w:hAnsi="宋体" w:cs="宋体"/>
          <w:color w:val="auto"/>
          <w:highlight w:val="none"/>
        </w:rPr>
        <w:fldChar w:fldCharType="separate"/>
      </w:r>
      <w:r>
        <w:rPr>
          <w:rFonts w:hint="eastAsia" w:ascii="宋体" w:hAnsi="宋体" w:cs="宋体"/>
          <w:color w:val="auto"/>
          <w:highlight w:val="none"/>
        </w:rPr>
        <w:t>27</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40DD9812">
      <w:pPr>
        <w:pStyle w:val="19"/>
        <w:tabs>
          <w:tab w:val="right" w:leader="dot" w:pos="8269"/>
        </w:tabs>
        <w:rPr>
          <w:rFonts w:hint="eastAsia" w:ascii="宋体" w:hAnsi="宋体" w:cs="宋体"/>
          <w:color w:val="auto"/>
          <w:kern w:val="2"/>
          <w:sz w:val="21"/>
          <w:highlight w:val="none"/>
        </w:rPr>
      </w:pPr>
      <w:r>
        <w:rPr>
          <w:color w:val="auto"/>
          <w:highlight w:val="none"/>
        </w:rPr>
        <w:fldChar w:fldCharType="begin"/>
      </w:r>
      <w:r>
        <w:rPr>
          <w:color w:val="auto"/>
          <w:highlight w:val="none"/>
        </w:rPr>
        <w:instrText xml:space="preserve"> HYPERLINK \l "_Toc47026336" </w:instrText>
      </w:r>
      <w:r>
        <w:rPr>
          <w:color w:val="auto"/>
          <w:highlight w:val="none"/>
        </w:rPr>
        <w:fldChar w:fldCharType="separate"/>
      </w:r>
      <w:r>
        <w:rPr>
          <w:rStyle w:val="26"/>
          <w:rFonts w:hint="eastAsia" w:ascii="宋体" w:hAnsi="宋体" w:cs="宋体"/>
          <w:b/>
          <w:color w:val="auto"/>
          <w:highlight w:val="none"/>
        </w:rPr>
        <w:t>第五章  合同模板</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_Toc47026336 \h </w:instrText>
      </w:r>
      <w:r>
        <w:rPr>
          <w:rFonts w:hint="eastAsia" w:ascii="宋体" w:hAnsi="宋体" w:cs="宋体"/>
          <w:color w:val="auto"/>
          <w:highlight w:val="none"/>
        </w:rPr>
        <w:fldChar w:fldCharType="separate"/>
      </w:r>
      <w:r>
        <w:rPr>
          <w:rFonts w:hint="eastAsia" w:ascii="宋体" w:hAnsi="宋体" w:cs="宋体"/>
          <w:color w:val="auto"/>
          <w:highlight w:val="none"/>
        </w:rPr>
        <w:t>32</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101FC1FC">
      <w:pPr>
        <w:pStyle w:val="19"/>
        <w:tabs>
          <w:tab w:val="right" w:leader="dot" w:pos="8269"/>
        </w:tabs>
        <w:rPr>
          <w:rFonts w:hint="eastAsia" w:ascii="宋体" w:hAnsi="宋体" w:cs="宋体"/>
          <w:color w:val="auto"/>
          <w:kern w:val="2"/>
          <w:sz w:val="21"/>
          <w:highlight w:val="none"/>
        </w:rPr>
      </w:pPr>
      <w:r>
        <w:rPr>
          <w:color w:val="auto"/>
          <w:highlight w:val="none"/>
        </w:rPr>
        <w:fldChar w:fldCharType="begin"/>
      </w:r>
      <w:r>
        <w:rPr>
          <w:color w:val="auto"/>
          <w:highlight w:val="none"/>
        </w:rPr>
        <w:instrText xml:space="preserve"> HYPERLINK \l "_Toc47026337" </w:instrText>
      </w:r>
      <w:r>
        <w:rPr>
          <w:color w:val="auto"/>
          <w:highlight w:val="none"/>
        </w:rPr>
        <w:fldChar w:fldCharType="separate"/>
      </w:r>
      <w:r>
        <w:rPr>
          <w:rStyle w:val="26"/>
          <w:rFonts w:hint="eastAsia" w:ascii="宋体" w:hAnsi="宋体" w:cs="宋体"/>
          <w:b/>
          <w:color w:val="auto"/>
          <w:highlight w:val="none"/>
        </w:rPr>
        <w:t>第六章  响应文件格式</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_Toc47026337 \h </w:instrText>
      </w:r>
      <w:r>
        <w:rPr>
          <w:rFonts w:hint="eastAsia" w:ascii="宋体" w:hAnsi="宋体" w:cs="宋体"/>
          <w:color w:val="auto"/>
          <w:highlight w:val="none"/>
        </w:rPr>
        <w:fldChar w:fldCharType="separate"/>
      </w:r>
      <w:r>
        <w:rPr>
          <w:rFonts w:hint="eastAsia" w:ascii="宋体" w:hAnsi="宋体" w:cs="宋体"/>
          <w:color w:val="auto"/>
          <w:highlight w:val="none"/>
        </w:rPr>
        <w:t>37</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2D61930D">
      <w:pPr>
        <w:pStyle w:val="19"/>
        <w:tabs>
          <w:tab w:val="right" w:leader="dot" w:pos="8296"/>
        </w:tabs>
        <w:rPr>
          <w:rFonts w:hint="eastAsia" w:ascii="宋体" w:hAnsi="宋体" w:cs="宋体"/>
          <w:b/>
          <w:color w:val="auto"/>
          <w:sz w:val="32"/>
          <w:highlight w:val="none"/>
        </w:rPr>
      </w:pPr>
      <w:r>
        <w:rPr>
          <w:rFonts w:hint="eastAsia" w:ascii="宋体" w:hAnsi="宋体" w:cs="宋体"/>
          <w:b/>
          <w:color w:val="auto"/>
          <w:sz w:val="24"/>
          <w:szCs w:val="24"/>
          <w:highlight w:val="none"/>
        </w:rPr>
        <w:fldChar w:fldCharType="end"/>
      </w:r>
    </w:p>
    <w:p w14:paraId="5233E6CC">
      <w:pPr>
        <w:spacing w:line="360" w:lineRule="auto"/>
        <w:jc w:val="center"/>
        <w:outlineLvl w:val="1"/>
        <w:rPr>
          <w:rFonts w:hint="eastAsia" w:ascii="宋体" w:hAnsi="宋体" w:eastAsia="宋体" w:cs="宋体"/>
          <w:b/>
          <w:color w:val="auto"/>
          <w:sz w:val="28"/>
          <w:highlight w:val="none"/>
        </w:rPr>
        <w:sectPr>
          <w:headerReference r:id="rId3" w:type="default"/>
          <w:footerReference r:id="rId4" w:type="default"/>
          <w:pgSz w:w="11907" w:h="16840"/>
          <w:pgMar w:top="1474" w:right="1814" w:bottom="1474" w:left="1814" w:header="851" w:footer="992" w:gutter="0"/>
          <w:cols w:space="720" w:num="1"/>
          <w:docGrid w:linePitch="462" w:charSpace="0"/>
        </w:sectPr>
      </w:pPr>
    </w:p>
    <w:p w14:paraId="7797B4FC">
      <w:pPr>
        <w:spacing w:line="360" w:lineRule="auto"/>
        <w:jc w:val="center"/>
        <w:outlineLvl w:val="1"/>
        <w:rPr>
          <w:rFonts w:hint="eastAsia" w:ascii="宋体" w:hAnsi="宋体" w:eastAsia="宋体" w:cs="宋体"/>
          <w:b/>
          <w:color w:val="auto"/>
          <w:sz w:val="28"/>
          <w:highlight w:val="none"/>
        </w:rPr>
      </w:pPr>
      <w:bookmarkStart w:id="1" w:name="_Toc47026330"/>
    </w:p>
    <w:p w14:paraId="2A434D97">
      <w:pPr>
        <w:spacing w:line="360" w:lineRule="auto"/>
        <w:jc w:val="center"/>
        <w:outlineLvl w:val="1"/>
        <w:rPr>
          <w:rFonts w:hint="eastAsia" w:ascii="宋体" w:hAnsi="宋体" w:eastAsia="宋体" w:cs="宋体"/>
          <w:b/>
          <w:color w:val="auto"/>
          <w:sz w:val="28"/>
          <w:highlight w:val="none"/>
        </w:rPr>
      </w:pPr>
      <w:r>
        <w:rPr>
          <w:rFonts w:hint="eastAsia" w:ascii="宋体" w:hAnsi="宋体" w:eastAsia="宋体" w:cs="宋体"/>
          <w:b/>
          <w:color w:val="auto"/>
          <w:sz w:val="28"/>
          <w:highlight w:val="none"/>
        </w:rPr>
        <w:t>第一章  磋商公告</w:t>
      </w:r>
      <w:bookmarkEnd w:id="1"/>
    </w:p>
    <w:p w14:paraId="7304606F">
      <w:pPr>
        <w:spacing w:line="360" w:lineRule="auto"/>
        <w:ind w:firstLine="480" w:firstLineChars="200"/>
        <w:jc w:val="left"/>
        <w:outlineLvl w:val="1"/>
        <w:rPr>
          <w:rFonts w:hint="eastAsia" w:ascii="宋体" w:hAnsi="宋体" w:eastAsia="宋体" w:cs="宋体"/>
          <w:b/>
          <w:color w:val="auto"/>
          <w:sz w:val="24"/>
          <w:szCs w:val="24"/>
          <w:highlight w:val="none"/>
        </w:rPr>
      </w:pPr>
      <w:bookmarkStart w:id="2" w:name="_Toc47026331"/>
      <w:bookmarkStart w:id="3" w:name="_Toc44606294"/>
      <w:r>
        <w:rPr>
          <w:rFonts w:hint="eastAsia" w:ascii="宋体" w:hAnsi="宋体" w:eastAsia="宋体" w:cs="宋体"/>
          <w:color w:val="auto"/>
          <w:sz w:val="24"/>
          <w:szCs w:val="24"/>
          <w:highlight w:val="none"/>
        </w:rPr>
        <w:t>为贯彻落实安徽省委宣传部、省文旅厅《安徽省公共文化空间工程实施方案》文件要求，加强包河区</w:t>
      </w:r>
      <w:r>
        <w:rPr>
          <w:rFonts w:hint="eastAsia" w:ascii="宋体" w:hAnsi="宋体" w:eastAsia="宋体" w:cs="宋体"/>
          <w:color w:val="auto"/>
          <w:sz w:val="24"/>
          <w:szCs w:val="24"/>
          <w:highlight w:val="none"/>
          <w:lang w:val="en-US" w:eastAsia="zh-CN"/>
        </w:rPr>
        <w:t>公共文化空间建设，融合多元业态，打通可持续发展底层逻辑，探索场馆市场化经营思路，增强公共文化设施“造血”能力。合肥滨湖时光空间运营管理有限公司</w:t>
      </w:r>
      <w:r>
        <w:rPr>
          <w:rFonts w:hint="eastAsia" w:ascii="宋体" w:hAnsi="宋体" w:eastAsia="宋体" w:cs="宋体"/>
          <w:color w:val="auto"/>
          <w:sz w:val="24"/>
          <w:szCs w:val="24"/>
          <w:highlight w:val="none"/>
        </w:rPr>
        <w:t>（以下简称“招标人”）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现对</w:t>
      </w:r>
      <w:r>
        <w:rPr>
          <w:rFonts w:hint="eastAsia" w:ascii="宋体" w:hAnsi="宋体" w:eastAsia="宋体" w:cs="宋体"/>
          <w:color w:val="auto"/>
          <w:sz w:val="24"/>
          <w:szCs w:val="24"/>
          <w:highlight w:val="none"/>
          <w:lang w:eastAsia="zh-CN"/>
        </w:rPr>
        <w:t>“包河区公共阅读空间罍街悦书房文创采购招标”</w:t>
      </w:r>
      <w:r>
        <w:rPr>
          <w:rFonts w:hint="eastAsia" w:ascii="宋体" w:hAnsi="宋体" w:eastAsia="宋体" w:cs="宋体"/>
          <w:color w:val="auto"/>
          <w:sz w:val="24"/>
          <w:szCs w:val="24"/>
          <w:highlight w:val="none"/>
        </w:rPr>
        <w:t>进行竞争性磋商，欢迎具备条件的</w:t>
      </w:r>
      <w:r>
        <w:rPr>
          <w:rFonts w:hint="eastAsia" w:ascii="宋体" w:hAnsi="宋体" w:eastAsia="宋体" w:cs="宋体"/>
          <w:color w:val="auto"/>
          <w:sz w:val="24"/>
          <w:szCs w:val="24"/>
          <w:highlight w:val="none"/>
          <w:lang w:val="en-US" w:eastAsia="zh-CN"/>
        </w:rPr>
        <w:t>国内</w:t>
      </w:r>
      <w:r>
        <w:rPr>
          <w:rFonts w:hint="eastAsia" w:ascii="宋体" w:hAnsi="宋体" w:eastAsia="宋体" w:cs="宋体"/>
          <w:color w:val="auto"/>
          <w:sz w:val="24"/>
          <w:szCs w:val="24"/>
          <w:highlight w:val="none"/>
        </w:rPr>
        <w:t>投标人参加磋商。</w:t>
      </w:r>
      <w:bookmarkEnd w:id="2"/>
      <w:bookmarkEnd w:id="3"/>
    </w:p>
    <w:p w14:paraId="09F48694">
      <w:pPr>
        <w:spacing w:line="360" w:lineRule="auto"/>
        <w:ind w:firstLine="435"/>
        <w:rPr>
          <w:rFonts w:hint="eastAsia" w:ascii="宋体" w:hAnsi="宋体" w:eastAsia="宋体" w:cs="宋体"/>
          <w:b/>
          <w:bCs/>
          <w:color w:val="auto"/>
          <w:sz w:val="24"/>
          <w:szCs w:val="18"/>
          <w:highlight w:val="none"/>
        </w:rPr>
      </w:pPr>
      <w:r>
        <w:rPr>
          <w:rFonts w:hint="eastAsia" w:ascii="宋体" w:hAnsi="宋体" w:eastAsia="宋体" w:cs="宋体"/>
          <w:b/>
          <w:bCs/>
          <w:color w:val="auto"/>
          <w:sz w:val="24"/>
          <w:szCs w:val="18"/>
          <w:highlight w:val="none"/>
        </w:rPr>
        <w:t>一、项目名称及内容</w:t>
      </w:r>
    </w:p>
    <w:p w14:paraId="04DB7FCF">
      <w:pPr>
        <w:autoSpaceDE w:val="0"/>
        <w:autoSpaceDN w:val="0"/>
        <w:adjustRightInd w:val="0"/>
        <w:spacing w:line="360" w:lineRule="auto"/>
        <w:ind w:firstLine="436" w:firstLineChars="182"/>
        <w:jc w:val="left"/>
        <w:rPr>
          <w:rFonts w:hint="default" w:ascii="宋体" w:hAnsi="宋体" w:eastAsia="宋体" w:cs="宋体"/>
          <w:color w:val="auto"/>
          <w:sz w:val="24"/>
          <w:szCs w:val="18"/>
          <w:highlight w:val="none"/>
          <w:lang w:val="en-US" w:eastAsia="zh-CN"/>
        </w:rPr>
      </w:pPr>
      <w:r>
        <w:rPr>
          <w:rFonts w:hint="eastAsia" w:ascii="宋体" w:hAnsi="宋体" w:eastAsia="宋体" w:cs="宋体"/>
          <w:color w:val="auto"/>
          <w:sz w:val="24"/>
          <w:szCs w:val="18"/>
          <w:highlight w:val="none"/>
        </w:rPr>
        <w:t>1.项目编号：</w:t>
      </w:r>
      <w:r>
        <w:rPr>
          <w:rFonts w:hint="eastAsia" w:ascii="宋体" w:hAnsi="宋体" w:eastAsia="宋体" w:cs="宋体"/>
          <w:b/>
          <w:bCs/>
          <w:color w:val="auto"/>
          <w:sz w:val="24"/>
          <w:szCs w:val="18"/>
          <w:highlight w:val="none"/>
          <w:u w:val="single"/>
          <w:lang w:val="en-US" w:eastAsia="zh-CN"/>
        </w:rPr>
        <w:t>BHSG-ZTB-2025-11</w:t>
      </w:r>
    </w:p>
    <w:p w14:paraId="73C2E9D5">
      <w:pPr>
        <w:autoSpaceDE w:val="0"/>
        <w:autoSpaceDN w:val="0"/>
        <w:adjustRightInd w:val="0"/>
        <w:spacing w:line="360" w:lineRule="auto"/>
        <w:ind w:firstLine="436" w:firstLineChars="182"/>
        <w:jc w:val="left"/>
        <w:rPr>
          <w:rFonts w:hint="eastAsia" w:ascii="宋体" w:hAnsi="宋体" w:eastAsia="宋体" w:cs="宋体"/>
          <w:color w:val="auto"/>
          <w:sz w:val="24"/>
          <w:szCs w:val="18"/>
          <w:highlight w:val="none"/>
          <w:lang w:eastAsia="zh-CN"/>
        </w:rPr>
      </w:pPr>
      <w:r>
        <w:rPr>
          <w:rFonts w:hint="eastAsia" w:ascii="宋体" w:hAnsi="宋体" w:eastAsia="宋体" w:cs="宋体"/>
          <w:color w:val="auto"/>
          <w:sz w:val="24"/>
          <w:szCs w:val="18"/>
          <w:highlight w:val="none"/>
        </w:rPr>
        <w:t>2.项目名称：</w:t>
      </w:r>
      <w:r>
        <w:rPr>
          <w:rFonts w:hint="eastAsia" w:ascii="宋体" w:hAnsi="宋体" w:eastAsia="宋体" w:cs="宋体"/>
          <w:color w:val="auto"/>
          <w:sz w:val="24"/>
          <w:szCs w:val="18"/>
          <w:highlight w:val="none"/>
          <w:u w:val="single"/>
        </w:rPr>
        <w:t>包河区公共阅读空间罍街悦书房文创采购招标</w:t>
      </w:r>
    </w:p>
    <w:p w14:paraId="17919514">
      <w:pPr>
        <w:autoSpaceDE w:val="0"/>
        <w:autoSpaceDN w:val="0"/>
        <w:adjustRightInd w:val="0"/>
        <w:spacing w:line="360" w:lineRule="auto"/>
        <w:ind w:firstLine="436" w:firstLineChars="182"/>
        <w:jc w:val="left"/>
        <w:rPr>
          <w:rFonts w:hint="default" w:ascii="宋体" w:hAnsi="宋体" w:eastAsia="宋体" w:cs="宋体"/>
          <w:color w:val="auto"/>
          <w:sz w:val="24"/>
          <w:szCs w:val="18"/>
          <w:highlight w:val="none"/>
          <w:lang w:val="en-US" w:eastAsia="zh-CN"/>
        </w:rPr>
      </w:pPr>
      <w:r>
        <w:rPr>
          <w:rFonts w:hint="eastAsia" w:ascii="宋体" w:hAnsi="宋体" w:eastAsia="宋体" w:cs="宋体"/>
          <w:color w:val="auto"/>
          <w:sz w:val="24"/>
          <w:szCs w:val="18"/>
          <w:highlight w:val="none"/>
        </w:rPr>
        <w:t>3.项目地点：合肥市包河区宁国路与水阳江路交口罍街二期内（罍街党群服务中心旁）</w:t>
      </w:r>
      <w:r>
        <w:rPr>
          <w:rFonts w:hint="eastAsia" w:ascii="宋体" w:hAnsi="宋体" w:eastAsia="宋体" w:cs="宋体"/>
          <w:color w:val="auto"/>
          <w:sz w:val="24"/>
          <w:szCs w:val="18"/>
          <w:highlight w:val="none"/>
          <w:lang w:val="en-US" w:eastAsia="zh-CN"/>
        </w:rPr>
        <w:t>。</w:t>
      </w:r>
    </w:p>
    <w:p w14:paraId="4710EE1E">
      <w:pPr>
        <w:autoSpaceDE w:val="0"/>
        <w:autoSpaceDN w:val="0"/>
        <w:adjustRightInd w:val="0"/>
        <w:spacing w:line="360" w:lineRule="auto"/>
        <w:ind w:firstLine="436" w:firstLineChars="182"/>
        <w:jc w:val="left"/>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rPr>
        <w:t>4.项目单位：合肥滨湖时光空间运营管理有限公司</w:t>
      </w:r>
    </w:p>
    <w:p w14:paraId="6F8BC42C">
      <w:pPr>
        <w:autoSpaceDE w:val="0"/>
        <w:autoSpaceDN w:val="0"/>
        <w:adjustRightInd w:val="0"/>
        <w:spacing w:line="360" w:lineRule="auto"/>
        <w:ind w:firstLine="436" w:firstLineChars="182"/>
        <w:jc w:val="left"/>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rPr>
        <w:t>5.项目概况：</w:t>
      </w:r>
      <w:r>
        <w:rPr>
          <w:rFonts w:hint="eastAsia" w:ascii="宋体" w:hAnsi="宋体" w:eastAsia="宋体" w:cs="宋体"/>
          <w:color w:val="auto"/>
          <w:sz w:val="24"/>
          <w:szCs w:val="18"/>
          <w:highlight w:val="none"/>
          <w:u w:val="single"/>
        </w:rPr>
        <w:t>包河区公共阅读空间罍街悦书房文创采购招标</w:t>
      </w:r>
      <w:r>
        <w:rPr>
          <w:rFonts w:hint="eastAsia" w:ascii="宋体" w:hAnsi="宋体" w:eastAsia="宋体" w:cs="宋体"/>
          <w:color w:val="auto"/>
          <w:sz w:val="24"/>
          <w:szCs w:val="18"/>
          <w:highlight w:val="none"/>
        </w:rPr>
        <w:t>，</w:t>
      </w:r>
      <w:r>
        <w:rPr>
          <w:rFonts w:hint="eastAsia" w:ascii="宋体" w:hAnsi="宋体" w:eastAsia="宋体" w:cs="宋体"/>
          <w:color w:val="auto"/>
          <w:sz w:val="24"/>
          <w:highlight w:val="none"/>
        </w:rPr>
        <w:t>详见磋商文件</w:t>
      </w:r>
    </w:p>
    <w:p w14:paraId="5FF1AC91">
      <w:pPr>
        <w:autoSpaceDE w:val="0"/>
        <w:autoSpaceDN w:val="0"/>
        <w:adjustRightInd w:val="0"/>
        <w:spacing w:line="360" w:lineRule="auto"/>
        <w:ind w:firstLine="436" w:firstLineChars="182"/>
        <w:jc w:val="left"/>
        <w:rPr>
          <w:rFonts w:hint="eastAsia" w:ascii="宋体" w:hAnsi="宋体" w:eastAsia="宋体" w:cs="宋体"/>
          <w:color w:val="auto"/>
          <w:sz w:val="24"/>
          <w:szCs w:val="18"/>
          <w:highlight w:val="none"/>
          <w:lang w:val="en-US" w:eastAsia="zh-CN"/>
        </w:rPr>
      </w:pPr>
      <w:r>
        <w:rPr>
          <w:rFonts w:hint="eastAsia" w:ascii="宋体" w:hAnsi="宋体" w:eastAsia="宋体" w:cs="宋体"/>
          <w:color w:val="auto"/>
          <w:sz w:val="24"/>
          <w:szCs w:val="18"/>
          <w:highlight w:val="none"/>
        </w:rPr>
        <w:t>6.资金来源：自筹</w:t>
      </w:r>
      <w:r>
        <w:rPr>
          <w:rFonts w:hint="eastAsia" w:ascii="宋体" w:hAnsi="宋体" w:eastAsia="宋体" w:cs="宋体"/>
          <w:color w:val="auto"/>
          <w:sz w:val="24"/>
          <w:szCs w:val="18"/>
          <w:highlight w:val="none"/>
          <w:lang w:val="en-US" w:eastAsia="zh-CN"/>
        </w:rPr>
        <w:t>资金</w:t>
      </w:r>
    </w:p>
    <w:p w14:paraId="4B6D8FA0">
      <w:pPr>
        <w:autoSpaceDE w:val="0"/>
        <w:autoSpaceDN w:val="0"/>
        <w:adjustRightInd w:val="0"/>
        <w:spacing w:line="360" w:lineRule="auto"/>
        <w:ind w:firstLine="436" w:firstLineChars="182"/>
        <w:jc w:val="left"/>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rPr>
        <w:t xml:space="preserve">7.项目预算： </w:t>
      </w:r>
      <w:r>
        <w:rPr>
          <w:rFonts w:hint="eastAsia" w:ascii="宋体" w:hAnsi="宋体" w:eastAsia="宋体" w:cs="宋体"/>
          <w:color w:val="auto"/>
          <w:sz w:val="24"/>
          <w:szCs w:val="18"/>
          <w:highlight w:val="none"/>
          <w:lang w:eastAsia="zh-CN"/>
        </w:rPr>
        <w:t>采用营业额分成，</w:t>
      </w:r>
      <w:r>
        <w:rPr>
          <w:rFonts w:hint="eastAsia" w:ascii="宋体" w:hAnsi="宋体" w:eastAsia="宋体" w:cs="宋体"/>
          <w:color w:val="auto"/>
          <w:sz w:val="24"/>
          <w:szCs w:val="24"/>
          <w:highlight w:val="none"/>
          <w:lang w:val="en-US" w:eastAsia="zh-CN"/>
        </w:rPr>
        <w:t>投标人分成比例报价限价90%（即招标人营业额10%，投标人营业额90%）</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18"/>
          <w:highlight w:val="none"/>
        </w:rPr>
        <w:t>投标人需严格按照招标文件要求报出投标人的分成比例作为本项目价格分计算依据和合同签订依据。</w:t>
      </w:r>
    </w:p>
    <w:p w14:paraId="2E2DA093">
      <w:pPr>
        <w:autoSpaceDE w:val="0"/>
        <w:autoSpaceDN w:val="0"/>
        <w:adjustRightInd w:val="0"/>
        <w:spacing w:line="360" w:lineRule="auto"/>
        <w:ind w:firstLine="436" w:firstLineChars="182"/>
        <w:jc w:val="left"/>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rPr>
        <w:t>8.项目类别：服务类</w:t>
      </w:r>
    </w:p>
    <w:p w14:paraId="25A0E120">
      <w:pPr>
        <w:autoSpaceDE w:val="0"/>
        <w:autoSpaceDN w:val="0"/>
        <w:adjustRightInd w:val="0"/>
        <w:spacing w:line="360" w:lineRule="auto"/>
        <w:ind w:firstLine="436" w:firstLineChars="182"/>
        <w:jc w:val="left"/>
        <w:rPr>
          <w:rFonts w:hint="default"/>
          <w:color w:val="auto"/>
          <w:highlight w:val="none"/>
          <w:lang w:val="en-US" w:eastAsia="zh-CN"/>
        </w:rPr>
      </w:pPr>
      <w:r>
        <w:rPr>
          <w:rFonts w:hint="eastAsia" w:ascii="宋体" w:hAnsi="宋体" w:eastAsia="宋体" w:cs="宋体"/>
          <w:color w:val="auto"/>
          <w:sz w:val="24"/>
          <w:szCs w:val="18"/>
          <w:highlight w:val="none"/>
        </w:rPr>
        <w:t>9.标段（包别）划分：共分</w:t>
      </w:r>
      <w:r>
        <w:rPr>
          <w:rFonts w:hint="eastAsia" w:ascii="宋体" w:hAnsi="宋体" w:eastAsia="宋体" w:cs="宋体"/>
          <w:color w:val="auto"/>
          <w:sz w:val="24"/>
          <w:szCs w:val="18"/>
          <w:highlight w:val="none"/>
          <w:u w:val="single"/>
        </w:rPr>
        <w:t xml:space="preserve"> </w:t>
      </w:r>
      <w:r>
        <w:rPr>
          <w:rFonts w:hint="eastAsia" w:ascii="宋体" w:hAnsi="宋体" w:eastAsia="宋体" w:cs="宋体"/>
          <w:color w:val="auto"/>
          <w:sz w:val="24"/>
          <w:szCs w:val="18"/>
          <w:highlight w:val="none"/>
          <w:u w:val="single"/>
          <w:lang w:val="en-US" w:eastAsia="zh-CN"/>
        </w:rPr>
        <w:t>1</w:t>
      </w:r>
      <w:r>
        <w:rPr>
          <w:rFonts w:hint="eastAsia" w:ascii="宋体" w:hAnsi="宋体" w:eastAsia="宋体" w:cs="宋体"/>
          <w:color w:val="auto"/>
          <w:sz w:val="24"/>
          <w:szCs w:val="18"/>
          <w:highlight w:val="none"/>
          <w:u w:val="single"/>
        </w:rPr>
        <w:t xml:space="preserve"> </w:t>
      </w:r>
      <w:r>
        <w:rPr>
          <w:rFonts w:hint="eastAsia" w:ascii="宋体" w:hAnsi="宋体" w:eastAsia="宋体" w:cs="宋体"/>
          <w:color w:val="auto"/>
          <w:sz w:val="24"/>
          <w:szCs w:val="18"/>
          <w:highlight w:val="none"/>
        </w:rPr>
        <w:t>个标段</w:t>
      </w:r>
      <w:r>
        <w:rPr>
          <w:rFonts w:hint="eastAsia" w:ascii="宋体" w:hAnsi="宋体" w:eastAsia="宋体" w:cs="宋体"/>
          <w:color w:val="auto"/>
          <w:sz w:val="24"/>
          <w:szCs w:val="18"/>
          <w:highlight w:val="none"/>
          <w:lang w:eastAsia="zh-CN"/>
        </w:rPr>
        <w:t>，文创产品展销合作</w:t>
      </w:r>
      <w:r>
        <w:rPr>
          <w:rFonts w:hint="eastAsia" w:ascii="宋体" w:hAnsi="宋体" w:eastAsia="宋体" w:cs="宋体"/>
          <w:color w:val="auto"/>
          <w:sz w:val="24"/>
          <w:szCs w:val="18"/>
          <w:highlight w:val="none"/>
          <w:lang w:val="en-US" w:eastAsia="zh-CN"/>
        </w:rPr>
        <w:t>评标，按标段顺序依次开标。</w:t>
      </w:r>
    </w:p>
    <w:p w14:paraId="720C9C5F">
      <w:pPr>
        <w:spacing w:line="360" w:lineRule="auto"/>
        <w:ind w:firstLine="435"/>
        <w:rPr>
          <w:rFonts w:hint="eastAsia" w:ascii="宋体" w:hAnsi="宋体" w:eastAsia="宋体" w:cs="宋体"/>
          <w:b/>
          <w:bCs/>
          <w:color w:val="auto"/>
          <w:sz w:val="24"/>
          <w:szCs w:val="18"/>
          <w:highlight w:val="none"/>
        </w:rPr>
      </w:pPr>
      <w:r>
        <w:rPr>
          <w:rFonts w:hint="eastAsia" w:ascii="宋体" w:hAnsi="宋体" w:eastAsia="宋体" w:cs="宋体"/>
          <w:b/>
          <w:bCs/>
          <w:color w:val="auto"/>
          <w:sz w:val="24"/>
          <w:szCs w:val="18"/>
          <w:highlight w:val="none"/>
        </w:rPr>
        <w:t>二</w:t>
      </w:r>
      <w:r>
        <w:rPr>
          <w:rFonts w:hint="eastAsia" w:ascii="宋体" w:hAnsi="宋体" w:eastAsia="宋体" w:cs="宋体"/>
          <w:b/>
          <w:color w:val="auto"/>
          <w:sz w:val="24"/>
          <w:highlight w:val="none"/>
        </w:rPr>
        <w:t>、投标</w:t>
      </w:r>
      <w:r>
        <w:rPr>
          <w:rFonts w:hint="eastAsia" w:ascii="宋体" w:hAnsi="宋体" w:eastAsia="宋体" w:cs="宋体"/>
          <w:b/>
          <w:bCs/>
          <w:color w:val="auto"/>
          <w:sz w:val="24"/>
          <w:szCs w:val="18"/>
          <w:highlight w:val="none"/>
        </w:rPr>
        <w:t>人资格</w:t>
      </w:r>
    </w:p>
    <w:p w14:paraId="47574957">
      <w:pPr>
        <w:spacing w:line="360" w:lineRule="auto"/>
        <w:ind w:firstLine="435"/>
        <w:rPr>
          <w:rFonts w:hint="eastAsia" w:ascii="宋体" w:hAnsi="宋体" w:eastAsia="宋体" w:cs="宋体"/>
          <w:color w:val="auto"/>
          <w:sz w:val="24"/>
          <w:szCs w:val="18"/>
          <w:highlight w:val="none"/>
          <w:lang w:val="en-US" w:eastAsia="zh-CN"/>
        </w:rPr>
      </w:pPr>
      <w:r>
        <w:rPr>
          <w:rFonts w:hint="eastAsia" w:ascii="宋体" w:hAnsi="宋体" w:eastAsia="宋体" w:cs="宋体"/>
          <w:color w:val="auto"/>
          <w:sz w:val="24"/>
          <w:szCs w:val="18"/>
          <w:highlight w:val="none"/>
          <w:lang w:val="en-US" w:eastAsia="zh-CN"/>
        </w:rPr>
        <w:t>1.</w:t>
      </w:r>
      <w:r>
        <w:rPr>
          <w:rFonts w:hint="eastAsia" w:ascii="宋体" w:hAnsi="宋体" w:eastAsia="宋体" w:cs="宋体"/>
          <w:color w:val="auto"/>
          <w:sz w:val="24"/>
          <w:szCs w:val="18"/>
          <w:highlight w:val="none"/>
        </w:rPr>
        <w:t>本项目只</w:t>
      </w:r>
      <w:r>
        <w:rPr>
          <w:rFonts w:hint="eastAsia" w:ascii="宋体" w:hAnsi="宋体" w:eastAsia="宋体" w:cs="宋体"/>
          <w:color w:val="auto"/>
          <w:sz w:val="24"/>
          <w:szCs w:val="18"/>
          <w:highlight w:val="none"/>
          <w:lang w:val="en-US" w:eastAsia="zh-CN"/>
        </w:rPr>
        <w:t>接受</w:t>
      </w:r>
      <w:r>
        <w:rPr>
          <w:rFonts w:hint="eastAsia" w:ascii="宋体" w:hAnsi="宋体" w:eastAsia="宋体" w:cs="宋体"/>
          <w:color w:val="auto"/>
          <w:sz w:val="24"/>
          <w:szCs w:val="18"/>
          <w:highlight w:val="none"/>
        </w:rPr>
        <w:t>品牌方经营不得超出其依法登记的经营范围（以品牌方的营业执照为准），且其经营的业务已获得其相关权利人授权</w:t>
      </w:r>
      <w:r>
        <w:rPr>
          <w:rFonts w:hint="eastAsia" w:ascii="宋体" w:hAnsi="宋体" w:eastAsia="宋体" w:cs="宋体"/>
          <w:color w:val="auto"/>
          <w:sz w:val="24"/>
          <w:szCs w:val="18"/>
          <w:highlight w:val="none"/>
          <w:lang w:val="en-US" w:eastAsia="zh-CN"/>
        </w:rPr>
        <w:t>其中。</w:t>
      </w:r>
    </w:p>
    <w:p w14:paraId="10285A62">
      <w:pPr>
        <w:pStyle w:val="2"/>
        <w:keepNext/>
        <w:keepLines/>
        <w:pageBreakBefore w:val="0"/>
        <w:widowControl w:val="0"/>
        <w:kinsoku/>
        <w:wordWrap/>
        <w:overflowPunct/>
        <w:topLinePunct w:val="0"/>
        <w:autoSpaceDE/>
        <w:autoSpaceDN/>
        <w:bidi w:val="0"/>
        <w:adjustRightInd/>
        <w:snapToGrid/>
        <w:ind w:firstLine="482" w:firstLineChars="200"/>
        <w:textAlignment w:val="auto"/>
        <w:rPr>
          <w:rFonts w:hint="default"/>
          <w:color w:val="auto"/>
          <w:highlight w:val="none"/>
          <w:lang w:val="en-US"/>
        </w:rPr>
      </w:pPr>
      <w:r>
        <w:rPr>
          <w:rFonts w:hint="eastAsia" w:cs="宋体"/>
          <w:color w:val="auto"/>
          <w:sz w:val="24"/>
          <w:szCs w:val="18"/>
          <w:highlight w:val="none"/>
          <w:lang w:val="en-US" w:eastAsia="zh-CN"/>
        </w:rPr>
        <w:t>备注：各潜在投标人可参与多个标段投标，但最多只能中标一个标段。</w:t>
      </w:r>
    </w:p>
    <w:p w14:paraId="5E094FD1">
      <w:pPr>
        <w:spacing w:line="360" w:lineRule="auto"/>
        <w:ind w:firstLine="435"/>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rPr>
        <w:t>2.业绩要求：无；</w:t>
      </w:r>
    </w:p>
    <w:p w14:paraId="2647F6BE">
      <w:pPr>
        <w:spacing w:line="360" w:lineRule="auto"/>
        <w:ind w:firstLine="435"/>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rPr>
        <w:t>3.本项目不接受联合体磋商；</w:t>
      </w:r>
    </w:p>
    <w:p w14:paraId="31D1AD7E">
      <w:pPr>
        <w:spacing w:line="360" w:lineRule="auto"/>
        <w:ind w:firstLine="435"/>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rPr>
        <w:t xml:space="preserve">4.投标人未被合肥市及其所辖县（市）、区（开发区）公共资源交易监督管理部门记不良行为记录的；或被记不良行为记录（以公布日期为准），但同时符合下列情形的： </w:t>
      </w:r>
    </w:p>
    <w:p w14:paraId="53F985C7">
      <w:pPr>
        <w:spacing w:line="360" w:lineRule="auto"/>
        <w:ind w:firstLine="435"/>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rPr>
        <w:t xml:space="preserve">（1）开标日前（含当日）6个月内记分累计未满10分的； </w:t>
      </w:r>
    </w:p>
    <w:p w14:paraId="268DF651">
      <w:pPr>
        <w:spacing w:line="360" w:lineRule="auto"/>
        <w:ind w:firstLine="435"/>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rPr>
        <w:t xml:space="preserve">（2）开标日前（含当日）12个月内记分累计未满15分的； </w:t>
      </w:r>
    </w:p>
    <w:p w14:paraId="2F2F3ECB">
      <w:pPr>
        <w:spacing w:line="360" w:lineRule="auto"/>
        <w:ind w:firstLine="435"/>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rPr>
        <w:t xml:space="preserve">（3）开标日前（含当日）18个月内记分累计未满20分的； </w:t>
      </w:r>
    </w:p>
    <w:p w14:paraId="4288C285">
      <w:pPr>
        <w:spacing w:line="360" w:lineRule="auto"/>
        <w:ind w:firstLine="435"/>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rPr>
        <w:t>（4）开标日前（含当日）24个月内记分累计未满25分的。</w:t>
      </w:r>
    </w:p>
    <w:p w14:paraId="139B3AD1">
      <w:pPr>
        <w:spacing w:line="360" w:lineRule="auto"/>
        <w:ind w:firstLine="435"/>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lang w:val="en-US" w:eastAsia="zh-CN"/>
        </w:rPr>
        <w:t>5</w:t>
      </w:r>
      <w:r>
        <w:rPr>
          <w:rFonts w:hint="eastAsia" w:ascii="宋体" w:hAnsi="宋体" w:eastAsia="宋体" w:cs="宋体"/>
          <w:color w:val="auto"/>
          <w:sz w:val="24"/>
          <w:szCs w:val="18"/>
          <w:highlight w:val="none"/>
        </w:rPr>
        <w:t>.投标人存在以下不良信用记录情形之一的，不得推荐为中标候选人，不得确定为中标人：</w:t>
      </w:r>
    </w:p>
    <w:p w14:paraId="452C16E1">
      <w:pPr>
        <w:spacing w:line="360" w:lineRule="auto"/>
        <w:ind w:firstLine="435"/>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rPr>
        <w:t xml:space="preserve">（1）被责令停产停业，暂扣或者吊销许可证，暂扣或者吊销执照； </w:t>
      </w:r>
    </w:p>
    <w:p w14:paraId="47767CFF">
      <w:pPr>
        <w:spacing w:line="360" w:lineRule="auto"/>
        <w:ind w:firstLine="435"/>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rPr>
        <w:t xml:space="preserve">（2）进入清算程序，或被宣告破产，或其他丧失履约能力的情形； </w:t>
      </w:r>
    </w:p>
    <w:p w14:paraId="27A61283">
      <w:pPr>
        <w:spacing w:line="360" w:lineRule="auto"/>
        <w:ind w:firstLine="435"/>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rPr>
        <w:t>（3）在最近三年内（自投标截止之日向前追溯 3 年，下同）有骗取中标或串通投标或严重违约或重大生产安全事故的（以相关行业主管部门的行政处罚决定或司法机关出具的有关法律文书为准），前述行政处罚已完成信用修复的，自行政处罚作出机关或信用修复主管部门同意修复之日起满一年，不受三年期限限制；</w:t>
      </w:r>
    </w:p>
    <w:p w14:paraId="2920F732">
      <w:pPr>
        <w:spacing w:line="360" w:lineRule="auto"/>
        <w:ind w:firstLine="435"/>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rPr>
        <w:t xml:space="preserve">（4）被市场监督管理部门列入严重违法失信名单； </w:t>
      </w:r>
    </w:p>
    <w:p w14:paraId="70B7F734">
      <w:pPr>
        <w:spacing w:line="360" w:lineRule="auto"/>
        <w:ind w:firstLine="435"/>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rPr>
        <w:t xml:space="preserve">（5）被人民法院列为失信被执行人； </w:t>
      </w:r>
    </w:p>
    <w:p w14:paraId="5C936F03">
      <w:pPr>
        <w:spacing w:line="360" w:lineRule="auto"/>
        <w:ind w:firstLine="435"/>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rPr>
        <w:t xml:space="preserve">（6）被税务机关确定为重大税收违法失信主体； </w:t>
      </w:r>
    </w:p>
    <w:p w14:paraId="1F16C04D">
      <w:pPr>
        <w:spacing w:line="360" w:lineRule="auto"/>
        <w:ind w:firstLine="435"/>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rPr>
        <w:t>（7）在近三年内投标人或其法定代表人（单位负责人）有行贿犯罪行为的；</w:t>
      </w:r>
    </w:p>
    <w:p w14:paraId="46DC0744">
      <w:pPr>
        <w:spacing w:line="360" w:lineRule="auto"/>
        <w:ind w:firstLine="435"/>
        <w:rPr>
          <w:rFonts w:hint="eastAsia" w:ascii="宋体" w:hAnsi="宋体" w:eastAsia="宋体" w:cs="宋体"/>
          <w:b/>
          <w:bCs/>
          <w:color w:val="auto"/>
          <w:sz w:val="24"/>
          <w:szCs w:val="18"/>
          <w:highlight w:val="none"/>
        </w:rPr>
      </w:pPr>
      <w:r>
        <w:rPr>
          <w:rFonts w:hint="eastAsia" w:ascii="宋体" w:hAnsi="宋体" w:eastAsia="宋体" w:cs="宋体"/>
          <w:b/>
          <w:bCs/>
          <w:color w:val="auto"/>
          <w:sz w:val="24"/>
          <w:szCs w:val="18"/>
          <w:highlight w:val="none"/>
        </w:rPr>
        <w:t>三</w:t>
      </w:r>
      <w:r>
        <w:rPr>
          <w:rFonts w:hint="eastAsia" w:ascii="宋体" w:hAnsi="宋体" w:eastAsia="宋体" w:cs="宋体"/>
          <w:b/>
          <w:color w:val="auto"/>
          <w:sz w:val="24"/>
          <w:highlight w:val="none"/>
        </w:rPr>
        <w:t>、</w:t>
      </w:r>
      <w:r>
        <w:rPr>
          <w:rFonts w:hint="eastAsia" w:ascii="宋体" w:hAnsi="宋体" w:eastAsia="宋体" w:cs="宋体"/>
          <w:b/>
          <w:bCs/>
          <w:color w:val="auto"/>
          <w:sz w:val="24"/>
          <w:szCs w:val="18"/>
          <w:highlight w:val="none"/>
        </w:rPr>
        <w:t xml:space="preserve">磋商文件的获取 </w:t>
      </w:r>
    </w:p>
    <w:p w14:paraId="020F8583">
      <w:pPr>
        <w:spacing w:line="360" w:lineRule="auto"/>
        <w:ind w:firstLine="435"/>
        <w:rPr>
          <w:rFonts w:hint="default" w:ascii="宋体" w:hAnsi="宋体" w:eastAsia="宋体" w:cs="宋体"/>
          <w:color w:val="auto"/>
          <w:sz w:val="24"/>
          <w:szCs w:val="18"/>
          <w:highlight w:val="none"/>
          <w:lang w:val="en-US" w:eastAsia="zh-CN"/>
        </w:rPr>
      </w:pPr>
      <w:r>
        <w:rPr>
          <w:rFonts w:hint="eastAsia" w:ascii="宋体" w:hAnsi="宋体" w:eastAsia="宋体" w:cs="宋体"/>
          <w:color w:val="auto"/>
          <w:sz w:val="24"/>
          <w:szCs w:val="18"/>
          <w:highlight w:val="none"/>
        </w:rPr>
        <w:t>1</w:t>
      </w:r>
      <w:r>
        <w:rPr>
          <w:rFonts w:hint="eastAsia" w:ascii="宋体" w:hAnsi="宋体" w:eastAsia="宋体" w:cs="宋体"/>
          <w:color w:val="auto"/>
          <w:sz w:val="24"/>
          <w:szCs w:val="18"/>
          <w:highlight w:val="none"/>
          <w:lang w:eastAsia="zh-CN"/>
        </w:rPr>
        <w:t>.</w:t>
      </w:r>
      <w:r>
        <w:rPr>
          <w:rFonts w:hint="eastAsia" w:ascii="宋体" w:hAnsi="宋体" w:eastAsia="宋体" w:cs="宋体"/>
          <w:color w:val="auto"/>
          <w:sz w:val="24"/>
          <w:szCs w:val="18"/>
          <w:highlight w:val="none"/>
        </w:rPr>
        <w:t>磋商文件获取时间:202</w:t>
      </w:r>
      <w:r>
        <w:rPr>
          <w:rFonts w:hint="eastAsia" w:ascii="宋体" w:hAnsi="宋体" w:eastAsia="宋体" w:cs="宋体"/>
          <w:color w:val="auto"/>
          <w:sz w:val="24"/>
          <w:szCs w:val="18"/>
          <w:highlight w:val="none"/>
          <w:lang w:val="en-US" w:eastAsia="zh-CN"/>
        </w:rPr>
        <w:t>5</w:t>
      </w:r>
      <w:r>
        <w:rPr>
          <w:rFonts w:hint="eastAsia" w:ascii="宋体" w:hAnsi="宋体" w:eastAsia="宋体" w:cs="宋体"/>
          <w:color w:val="auto"/>
          <w:sz w:val="24"/>
          <w:szCs w:val="18"/>
          <w:highlight w:val="none"/>
        </w:rPr>
        <w:t>年</w:t>
      </w:r>
      <w:r>
        <w:rPr>
          <w:rFonts w:hint="eastAsia" w:ascii="宋体" w:hAnsi="宋体" w:eastAsia="宋体" w:cs="宋体"/>
          <w:color w:val="auto"/>
          <w:sz w:val="24"/>
          <w:szCs w:val="18"/>
          <w:highlight w:val="none"/>
          <w:lang w:val="en-US" w:eastAsia="zh-CN"/>
        </w:rPr>
        <w:t>3</w:t>
      </w:r>
      <w:r>
        <w:rPr>
          <w:rFonts w:hint="eastAsia" w:ascii="宋体" w:hAnsi="宋体" w:eastAsia="宋体" w:cs="宋体"/>
          <w:color w:val="auto"/>
          <w:sz w:val="24"/>
          <w:szCs w:val="18"/>
          <w:highlight w:val="none"/>
        </w:rPr>
        <w:t>月</w:t>
      </w:r>
      <w:r>
        <w:rPr>
          <w:rFonts w:hint="eastAsia" w:ascii="宋体" w:hAnsi="宋体" w:eastAsia="宋体" w:cs="宋体"/>
          <w:color w:val="auto"/>
          <w:sz w:val="24"/>
          <w:szCs w:val="18"/>
          <w:highlight w:val="none"/>
          <w:lang w:val="en-US" w:eastAsia="zh-CN"/>
        </w:rPr>
        <w:t>19</w:t>
      </w:r>
      <w:r>
        <w:rPr>
          <w:rFonts w:hint="eastAsia" w:ascii="宋体" w:hAnsi="宋体" w:eastAsia="宋体" w:cs="宋体"/>
          <w:color w:val="auto"/>
          <w:sz w:val="24"/>
          <w:szCs w:val="18"/>
          <w:highlight w:val="none"/>
        </w:rPr>
        <w:t>日至202</w:t>
      </w:r>
      <w:r>
        <w:rPr>
          <w:rFonts w:hint="eastAsia" w:ascii="宋体" w:hAnsi="宋体" w:eastAsia="宋体" w:cs="宋体"/>
          <w:color w:val="auto"/>
          <w:sz w:val="24"/>
          <w:szCs w:val="18"/>
          <w:highlight w:val="none"/>
          <w:lang w:val="en-US" w:eastAsia="zh-CN"/>
        </w:rPr>
        <w:t>5</w:t>
      </w:r>
      <w:r>
        <w:rPr>
          <w:rFonts w:hint="eastAsia" w:ascii="宋体" w:hAnsi="宋体" w:eastAsia="宋体" w:cs="宋体"/>
          <w:color w:val="auto"/>
          <w:sz w:val="24"/>
          <w:szCs w:val="18"/>
          <w:highlight w:val="none"/>
        </w:rPr>
        <w:t>年</w:t>
      </w:r>
      <w:r>
        <w:rPr>
          <w:rFonts w:hint="eastAsia" w:ascii="宋体" w:hAnsi="宋体" w:eastAsia="宋体" w:cs="宋体"/>
          <w:color w:val="auto"/>
          <w:sz w:val="24"/>
          <w:szCs w:val="18"/>
          <w:highlight w:val="none"/>
          <w:lang w:val="en-US" w:eastAsia="zh-CN"/>
        </w:rPr>
        <w:t>3</w:t>
      </w:r>
      <w:r>
        <w:rPr>
          <w:rFonts w:hint="eastAsia" w:ascii="宋体" w:hAnsi="宋体" w:eastAsia="宋体" w:cs="宋体"/>
          <w:color w:val="auto"/>
          <w:sz w:val="24"/>
          <w:szCs w:val="18"/>
          <w:highlight w:val="none"/>
        </w:rPr>
        <w:t>月</w:t>
      </w:r>
      <w:r>
        <w:rPr>
          <w:rFonts w:hint="eastAsia" w:ascii="宋体" w:hAnsi="宋体" w:eastAsia="宋体" w:cs="宋体"/>
          <w:color w:val="auto"/>
          <w:sz w:val="24"/>
          <w:szCs w:val="18"/>
          <w:highlight w:val="none"/>
          <w:lang w:val="en-US" w:eastAsia="zh-CN"/>
        </w:rPr>
        <w:t>25</w:t>
      </w:r>
      <w:r>
        <w:rPr>
          <w:rFonts w:hint="eastAsia" w:ascii="宋体" w:hAnsi="宋体" w:eastAsia="宋体" w:cs="宋体"/>
          <w:color w:val="auto"/>
          <w:sz w:val="24"/>
          <w:szCs w:val="18"/>
          <w:highlight w:val="none"/>
        </w:rPr>
        <w:t>日</w:t>
      </w:r>
      <w:r>
        <w:rPr>
          <w:rFonts w:hint="eastAsia" w:ascii="宋体" w:hAnsi="宋体" w:eastAsia="宋体" w:cs="宋体"/>
          <w:color w:val="auto"/>
          <w:sz w:val="24"/>
          <w:szCs w:val="18"/>
          <w:highlight w:val="none"/>
          <w:lang w:val="en-US" w:eastAsia="zh-CN"/>
        </w:rPr>
        <w:t>9时30分</w:t>
      </w:r>
    </w:p>
    <w:p w14:paraId="2881A2D8">
      <w:pPr>
        <w:spacing w:line="360" w:lineRule="auto"/>
        <w:ind w:firstLine="435"/>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rPr>
        <w:t>2</w:t>
      </w:r>
      <w:r>
        <w:rPr>
          <w:rFonts w:hint="eastAsia" w:ascii="宋体" w:hAnsi="宋体" w:eastAsia="宋体" w:cs="宋体"/>
          <w:color w:val="auto"/>
          <w:sz w:val="24"/>
          <w:szCs w:val="18"/>
          <w:highlight w:val="none"/>
          <w:lang w:eastAsia="zh-CN"/>
        </w:rPr>
        <w:t>.</w:t>
      </w:r>
      <w:r>
        <w:rPr>
          <w:rFonts w:hint="eastAsia" w:ascii="宋体" w:hAnsi="宋体" w:eastAsia="宋体" w:cs="宋体"/>
          <w:color w:val="auto"/>
          <w:sz w:val="24"/>
          <w:szCs w:val="18"/>
          <w:highlight w:val="none"/>
        </w:rPr>
        <w:t xml:space="preserve">获取方式： </w:t>
      </w:r>
    </w:p>
    <w:p w14:paraId="1051116A">
      <w:pPr>
        <w:spacing w:line="440" w:lineRule="exact"/>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（1）潜在投标人须登录</w:t>
      </w:r>
      <w:bookmarkStart w:id="4" w:name="OLE_LINK6"/>
      <w:r>
        <w:rPr>
          <w:rFonts w:hint="eastAsia" w:ascii="宋体" w:hAnsi="宋体" w:eastAsia="宋体" w:cs="宋体"/>
          <w:color w:val="auto"/>
          <w:sz w:val="24"/>
          <w:szCs w:val="24"/>
          <w:highlight w:val="none"/>
        </w:rPr>
        <w:t>合肥滨湖时光产业投资集团有限公司</w:t>
      </w:r>
      <w:bookmarkEnd w:id="4"/>
      <w:r>
        <w:rPr>
          <w:rFonts w:hint="eastAsia" w:ascii="宋体" w:hAnsi="宋体" w:eastAsia="宋体" w:cs="宋体"/>
          <w:color w:val="auto"/>
          <w:sz w:val="24"/>
          <w:szCs w:val="24"/>
          <w:highlight w:val="none"/>
        </w:rPr>
        <w:t>（以下简称“滨湖时光集团”）官网http://bhsggroup.cn/查阅磋商文件。</w:t>
      </w:r>
    </w:p>
    <w:p w14:paraId="1115CAEE">
      <w:pPr>
        <w:numPr>
          <w:ilvl w:val="0"/>
          <w:numId w:val="2"/>
        </w:numPr>
        <w:spacing w:line="440" w:lineRule="exact"/>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磋商文件获取过程中有任何疑问，请在工作时间（周一至周五，上午9:00-12:00，下午1:00-5:00，节假日休息）拨打服务热线，项目咨询请拨打电话：</w:t>
      </w:r>
      <w:r>
        <w:rPr>
          <w:rFonts w:hint="eastAsia" w:ascii="宋体" w:hAnsi="宋体" w:eastAsia="宋体" w:cs="宋体"/>
          <w:color w:val="auto"/>
          <w:sz w:val="24"/>
          <w:szCs w:val="24"/>
          <w:highlight w:val="none"/>
          <w:lang w:val="en-US" w:eastAsia="zh-CN"/>
        </w:rPr>
        <w:t>18326167098</w:t>
      </w:r>
      <w:r>
        <w:rPr>
          <w:rFonts w:hint="eastAsia" w:ascii="宋体" w:hAnsi="宋体" w:eastAsia="宋体" w:cs="宋体"/>
          <w:color w:val="auto"/>
          <w:sz w:val="24"/>
          <w:szCs w:val="24"/>
          <w:highlight w:val="none"/>
        </w:rPr>
        <w:t>。</w:t>
      </w:r>
    </w:p>
    <w:p w14:paraId="0C16C183">
      <w:pPr>
        <w:spacing w:line="360" w:lineRule="auto"/>
        <w:ind w:firstLine="435"/>
        <w:rPr>
          <w:rFonts w:hint="eastAsia" w:ascii="宋体" w:hAnsi="宋体" w:eastAsia="宋体" w:cs="宋体"/>
          <w:b/>
          <w:bCs/>
          <w:color w:val="auto"/>
          <w:sz w:val="24"/>
          <w:szCs w:val="18"/>
          <w:highlight w:val="none"/>
        </w:rPr>
      </w:pPr>
      <w:r>
        <w:rPr>
          <w:rFonts w:hint="eastAsia" w:ascii="宋体" w:hAnsi="宋体" w:eastAsia="宋体" w:cs="宋体"/>
          <w:b/>
          <w:bCs/>
          <w:color w:val="auto"/>
          <w:sz w:val="24"/>
          <w:szCs w:val="18"/>
          <w:highlight w:val="none"/>
        </w:rPr>
        <w:t>四</w:t>
      </w:r>
      <w:r>
        <w:rPr>
          <w:rFonts w:hint="eastAsia" w:ascii="宋体" w:hAnsi="宋体" w:eastAsia="宋体" w:cs="宋体"/>
          <w:b/>
          <w:color w:val="auto"/>
          <w:sz w:val="24"/>
          <w:highlight w:val="none"/>
        </w:rPr>
        <w:t>、</w:t>
      </w:r>
      <w:r>
        <w:rPr>
          <w:rFonts w:hint="eastAsia" w:ascii="宋体" w:hAnsi="宋体" w:eastAsia="宋体" w:cs="宋体"/>
          <w:b/>
          <w:bCs/>
          <w:color w:val="auto"/>
          <w:sz w:val="24"/>
          <w:highlight w:val="none"/>
        </w:rPr>
        <w:t>磋商时间、磋商文件送达地址</w:t>
      </w:r>
    </w:p>
    <w:p w14:paraId="71CB1DE2">
      <w:pPr>
        <w:spacing w:line="360" w:lineRule="auto"/>
        <w:ind w:firstLine="435"/>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rPr>
        <w:t>1</w:t>
      </w:r>
      <w:r>
        <w:rPr>
          <w:rFonts w:hint="eastAsia" w:ascii="宋体" w:hAnsi="宋体" w:eastAsia="宋体" w:cs="宋体"/>
          <w:b/>
          <w:color w:val="auto"/>
          <w:sz w:val="24"/>
          <w:highlight w:val="none"/>
        </w:rPr>
        <w:t>.</w:t>
      </w:r>
      <w:r>
        <w:rPr>
          <w:rFonts w:hint="eastAsia" w:ascii="宋体" w:hAnsi="宋体" w:eastAsia="宋体" w:cs="宋体"/>
          <w:color w:val="auto"/>
          <w:sz w:val="24"/>
          <w:szCs w:val="18"/>
          <w:highlight w:val="none"/>
        </w:rPr>
        <w:t>磋商时间：</w:t>
      </w:r>
      <w:r>
        <w:rPr>
          <w:rFonts w:hint="eastAsia" w:ascii="宋体" w:hAnsi="宋体" w:eastAsia="宋体" w:cs="宋体"/>
          <w:color w:val="auto"/>
          <w:sz w:val="24"/>
          <w:szCs w:val="18"/>
          <w:highlight w:val="none"/>
          <w:u w:val="single"/>
        </w:rPr>
        <w:t xml:space="preserve"> 202</w:t>
      </w:r>
      <w:r>
        <w:rPr>
          <w:rFonts w:hint="eastAsia" w:ascii="宋体" w:hAnsi="宋体" w:eastAsia="宋体" w:cs="宋体"/>
          <w:color w:val="auto"/>
          <w:sz w:val="24"/>
          <w:szCs w:val="18"/>
          <w:highlight w:val="none"/>
          <w:u w:val="single"/>
          <w:lang w:val="en-US" w:eastAsia="zh-CN"/>
        </w:rPr>
        <w:t>5</w:t>
      </w:r>
      <w:r>
        <w:rPr>
          <w:rFonts w:hint="eastAsia" w:ascii="宋体" w:hAnsi="宋体" w:eastAsia="宋体" w:cs="宋体"/>
          <w:color w:val="auto"/>
          <w:sz w:val="24"/>
          <w:szCs w:val="18"/>
          <w:highlight w:val="none"/>
        </w:rPr>
        <w:t>年</w:t>
      </w:r>
      <w:r>
        <w:rPr>
          <w:rFonts w:hint="eastAsia" w:ascii="宋体" w:hAnsi="宋体" w:eastAsia="宋体" w:cs="宋体"/>
          <w:color w:val="auto"/>
          <w:sz w:val="24"/>
          <w:szCs w:val="18"/>
          <w:highlight w:val="none"/>
          <w:u w:val="single"/>
        </w:rPr>
        <w:t xml:space="preserve"> </w:t>
      </w:r>
      <w:r>
        <w:rPr>
          <w:rFonts w:hint="eastAsia" w:ascii="宋体" w:hAnsi="宋体" w:eastAsia="宋体" w:cs="宋体"/>
          <w:color w:val="auto"/>
          <w:sz w:val="24"/>
          <w:szCs w:val="18"/>
          <w:highlight w:val="none"/>
          <w:u w:val="single"/>
          <w:lang w:val="en-US" w:eastAsia="zh-CN"/>
        </w:rPr>
        <w:t>3</w:t>
      </w:r>
      <w:r>
        <w:rPr>
          <w:rFonts w:hint="eastAsia" w:ascii="宋体" w:hAnsi="宋体" w:eastAsia="宋体" w:cs="宋体"/>
          <w:color w:val="auto"/>
          <w:sz w:val="24"/>
          <w:szCs w:val="18"/>
          <w:highlight w:val="none"/>
        </w:rPr>
        <w:t>月</w:t>
      </w:r>
      <w:r>
        <w:rPr>
          <w:rFonts w:hint="eastAsia" w:ascii="宋体" w:hAnsi="宋体" w:eastAsia="宋体" w:cs="宋体"/>
          <w:color w:val="auto"/>
          <w:sz w:val="24"/>
          <w:szCs w:val="18"/>
          <w:highlight w:val="none"/>
          <w:u w:val="single"/>
          <w:lang w:val="en-US" w:eastAsia="zh-CN"/>
        </w:rPr>
        <w:t xml:space="preserve"> 25</w:t>
      </w:r>
      <w:r>
        <w:rPr>
          <w:rFonts w:hint="eastAsia" w:ascii="宋体" w:hAnsi="宋体" w:eastAsia="宋体" w:cs="宋体"/>
          <w:color w:val="auto"/>
          <w:sz w:val="24"/>
          <w:szCs w:val="18"/>
          <w:highlight w:val="none"/>
        </w:rPr>
        <w:t>日</w:t>
      </w:r>
      <w:r>
        <w:rPr>
          <w:rFonts w:hint="eastAsia" w:ascii="宋体" w:hAnsi="宋体" w:eastAsia="宋体" w:cs="宋体"/>
          <w:color w:val="auto"/>
          <w:sz w:val="24"/>
          <w:szCs w:val="18"/>
          <w:highlight w:val="none"/>
          <w:u w:val="single"/>
        </w:rPr>
        <w:t xml:space="preserve"> 9</w:t>
      </w:r>
      <w:r>
        <w:rPr>
          <w:rFonts w:hint="eastAsia" w:ascii="宋体" w:hAnsi="宋体" w:eastAsia="宋体" w:cs="宋体"/>
          <w:color w:val="auto"/>
          <w:sz w:val="24"/>
          <w:szCs w:val="18"/>
          <w:highlight w:val="none"/>
        </w:rPr>
        <w:t>时</w:t>
      </w:r>
      <w:r>
        <w:rPr>
          <w:rFonts w:hint="eastAsia" w:ascii="宋体" w:hAnsi="宋体" w:eastAsia="宋体" w:cs="宋体"/>
          <w:color w:val="auto"/>
          <w:sz w:val="24"/>
          <w:szCs w:val="18"/>
          <w:highlight w:val="none"/>
          <w:u w:val="single"/>
        </w:rPr>
        <w:t>30</w:t>
      </w:r>
      <w:r>
        <w:rPr>
          <w:rFonts w:hint="eastAsia" w:ascii="宋体" w:hAnsi="宋体" w:eastAsia="宋体" w:cs="宋体"/>
          <w:color w:val="auto"/>
          <w:sz w:val="24"/>
          <w:szCs w:val="18"/>
          <w:highlight w:val="none"/>
        </w:rPr>
        <w:t>分</w:t>
      </w:r>
    </w:p>
    <w:p w14:paraId="0F3C2005">
      <w:pPr>
        <w:spacing w:line="360" w:lineRule="auto"/>
        <w:ind w:firstLine="435"/>
        <w:rPr>
          <w:rFonts w:hint="eastAsia" w:ascii="宋体" w:hAnsi="宋体" w:eastAsia="宋体" w:cs="宋体"/>
          <w:b/>
          <w:bCs/>
          <w:color w:val="auto"/>
          <w:sz w:val="24"/>
          <w:szCs w:val="18"/>
          <w:highlight w:val="none"/>
        </w:rPr>
      </w:pPr>
      <w:r>
        <w:rPr>
          <w:rFonts w:hint="eastAsia" w:ascii="宋体" w:hAnsi="宋体" w:eastAsia="宋体" w:cs="宋体"/>
          <w:color w:val="auto"/>
          <w:sz w:val="24"/>
          <w:szCs w:val="18"/>
          <w:highlight w:val="none"/>
        </w:rPr>
        <w:t>2</w:t>
      </w:r>
      <w:r>
        <w:rPr>
          <w:rFonts w:hint="eastAsia" w:ascii="宋体" w:hAnsi="宋体" w:eastAsia="宋体" w:cs="宋体"/>
          <w:b/>
          <w:color w:val="auto"/>
          <w:sz w:val="24"/>
          <w:highlight w:val="none"/>
        </w:rPr>
        <w:t>.</w:t>
      </w:r>
      <w:r>
        <w:rPr>
          <w:rFonts w:hint="eastAsia" w:ascii="宋体" w:hAnsi="宋体" w:eastAsia="宋体" w:cs="宋体"/>
          <w:color w:val="auto"/>
          <w:sz w:val="24"/>
          <w:szCs w:val="18"/>
          <w:highlight w:val="none"/>
        </w:rPr>
        <w:t>磋商文件送达地址：</w:t>
      </w:r>
      <w:r>
        <w:rPr>
          <w:rFonts w:hint="eastAsia" w:ascii="宋体" w:hAnsi="宋体" w:eastAsia="宋体"/>
          <w:color w:val="auto"/>
          <w:sz w:val="24"/>
          <w:szCs w:val="18"/>
          <w:highlight w:val="none"/>
        </w:rPr>
        <w:t>合肥市包河区大圩镇花园大道卓越城文华园一期2号楼4楼</w:t>
      </w:r>
      <w:r>
        <w:rPr>
          <w:rFonts w:hint="eastAsia" w:ascii="宋体" w:hAnsi="宋体" w:eastAsia="宋体"/>
          <w:color w:val="auto"/>
          <w:sz w:val="24"/>
          <w:szCs w:val="18"/>
          <w:highlight w:val="none"/>
          <w:lang w:val="en-US" w:eastAsia="zh-CN"/>
        </w:rPr>
        <w:t>411</w:t>
      </w:r>
      <w:r>
        <w:rPr>
          <w:rFonts w:hint="eastAsia" w:ascii="宋体" w:hAnsi="宋体" w:eastAsia="宋体"/>
          <w:color w:val="auto"/>
          <w:sz w:val="24"/>
          <w:szCs w:val="18"/>
          <w:highlight w:val="none"/>
        </w:rPr>
        <w:t>室（收件人：</w:t>
      </w:r>
      <w:r>
        <w:rPr>
          <w:rFonts w:hint="eastAsia" w:ascii="宋体" w:hAnsi="宋体" w:eastAsia="宋体"/>
          <w:color w:val="auto"/>
          <w:sz w:val="24"/>
          <w:szCs w:val="18"/>
          <w:highlight w:val="none"/>
          <w:lang w:val="en-US" w:eastAsia="zh-CN"/>
        </w:rPr>
        <w:t>崔工</w:t>
      </w:r>
      <w:r>
        <w:rPr>
          <w:rFonts w:hint="eastAsia" w:ascii="宋体" w:hAnsi="宋体" w:eastAsia="宋体" w:cs="宋体"/>
          <w:color w:val="auto"/>
          <w:sz w:val="24"/>
          <w:szCs w:val="18"/>
          <w:highlight w:val="none"/>
        </w:rPr>
        <w:t>，电话：</w:t>
      </w:r>
      <w:r>
        <w:rPr>
          <w:rFonts w:hint="eastAsia" w:ascii="宋体" w:hAnsi="宋体" w:eastAsia="宋体" w:cs="宋体"/>
          <w:color w:val="auto"/>
          <w:sz w:val="24"/>
          <w:szCs w:val="18"/>
          <w:highlight w:val="none"/>
          <w:lang w:val="en-US" w:eastAsia="zh-CN"/>
        </w:rPr>
        <w:t>18326167098</w:t>
      </w:r>
      <w:r>
        <w:rPr>
          <w:rFonts w:hint="eastAsia" w:ascii="宋体" w:hAnsi="宋体" w:eastAsia="宋体" w:cs="宋体"/>
          <w:color w:val="auto"/>
          <w:sz w:val="24"/>
          <w:szCs w:val="18"/>
          <w:highlight w:val="none"/>
        </w:rPr>
        <w:t>）</w:t>
      </w:r>
      <w:r>
        <w:rPr>
          <w:rFonts w:hint="eastAsia" w:ascii="宋体" w:hAnsi="宋体" w:eastAsia="宋体" w:cs="宋体"/>
          <w:color w:val="auto"/>
          <w:sz w:val="24"/>
          <w:szCs w:val="18"/>
          <w:highlight w:val="none"/>
        </w:rPr>
        <w:br w:type="textWrapping"/>
      </w:r>
      <w:r>
        <w:rPr>
          <w:rFonts w:hint="eastAsia" w:ascii="宋体" w:hAnsi="宋体" w:eastAsia="宋体" w:cs="宋体"/>
          <w:b/>
          <w:bCs/>
          <w:color w:val="auto"/>
          <w:sz w:val="24"/>
          <w:szCs w:val="18"/>
          <w:highlight w:val="none"/>
        </w:rPr>
        <w:t xml:space="preserve">   五</w:t>
      </w:r>
      <w:r>
        <w:rPr>
          <w:rFonts w:hint="eastAsia" w:ascii="宋体" w:hAnsi="宋体" w:eastAsia="宋体" w:cs="宋体"/>
          <w:b/>
          <w:color w:val="auto"/>
          <w:sz w:val="24"/>
          <w:highlight w:val="none"/>
        </w:rPr>
        <w:t>、</w:t>
      </w:r>
      <w:r>
        <w:rPr>
          <w:rFonts w:hint="eastAsia" w:ascii="宋体" w:hAnsi="宋体" w:eastAsia="宋体" w:cs="宋体"/>
          <w:b/>
          <w:bCs/>
          <w:color w:val="auto"/>
          <w:sz w:val="24"/>
          <w:highlight w:val="none"/>
        </w:rPr>
        <w:t>响应文件提交截止时间</w:t>
      </w:r>
    </w:p>
    <w:p w14:paraId="10A50F8D">
      <w:pPr>
        <w:spacing w:line="360" w:lineRule="auto"/>
        <w:ind w:firstLine="435"/>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rPr>
        <w:t>同磋商时间</w:t>
      </w:r>
    </w:p>
    <w:p w14:paraId="27523C63">
      <w:pPr>
        <w:spacing w:line="360" w:lineRule="auto"/>
        <w:ind w:firstLine="435"/>
        <w:rPr>
          <w:rFonts w:hint="eastAsia" w:ascii="宋体" w:hAnsi="宋体" w:eastAsia="宋体" w:cs="宋体"/>
          <w:b/>
          <w:bCs/>
          <w:color w:val="auto"/>
          <w:sz w:val="24"/>
          <w:szCs w:val="18"/>
          <w:highlight w:val="none"/>
        </w:rPr>
      </w:pPr>
      <w:r>
        <w:rPr>
          <w:rFonts w:hint="eastAsia" w:ascii="宋体" w:hAnsi="宋体" w:eastAsia="宋体" w:cs="宋体"/>
          <w:b/>
          <w:bCs/>
          <w:color w:val="auto"/>
          <w:sz w:val="24"/>
          <w:szCs w:val="18"/>
          <w:highlight w:val="none"/>
        </w:rPr>
        <w:t>六</w:t>
      </w:r>
      <w:r>
        <w:rPr>
          <w:rFonts w:hint="eastAsia" w:ascii="宋体" w:hAnsi="宋体" w:eastAsia="宋体" w:cs="宋体"/>
          <w:b/>
          <w:color w:val="auto"/>
          <w:sz w:val="24"/>
          <w:highlight w:val="none"/>
        </w:rPr>
        <w:t>、</w:t>
      </w:r>
      <w:r>
        <w:rPr>
          <w:rFonts w:hint="eastAsia" w:ascii="宋体" w:hAnsi="宋体" w:eastAsia="宋体" w:cs="宋体"/>
          <w:b/>
          <w:bCs/>
          <w:color w:val="auto"/>
          <w:sz w:val="24"/>
          <w:szCs w:val="18"/>
          <w:highlight w:val="none"/>
        </w:rPr>
        <w:t>联系方法</w:t>
      </w:r>
    </w:p>
    <w:p w14:paraId="18E3633B">
      <w:pPr>
        <w:autoSpaceDE w:val="0"/>
        <w:autoSpaceDN w:val="0"/>
        <w:adjustRightInd w:val="0"/>
        <w:spacing w:line="560" w:lineRule="exact"/>
        <w:ind w:firstLine="480" w:firstLineChars="200"/>
        <w:jc w:val="left"/>
        <w:rPr>
          <w:rFonts w:hint="eastAsia" w:ascii="仿宋" w:hAnsi="仿宋" w:eastAsia="仿宋" w:cs="仿宋"/>
          <w:color w:val="auto"/>
          <w:sz w:val="30"/>
          <w:szCs w:val="30"/>
          <w:highlight w:val="none"/>
        </w:rPr>
      </w:pPr>
      <w:r>
        <w:rPr>
          <w:rFonts w:hint="eastAsia" w:ascii="宋体" w:hAnsi="宋体" w:eastAsia="宋体" w:cs="宋体"/>
          <w:color w:val="auto"/>
          <w:sz w:val="24"/>
          <w:szCs w:val="18"/>
          <w:highlight w:val="none"/>
        </w:rPr>
        <w:t>1.项目单位： 合肥滨湖时光空间运营管理有限公司</w:t>
      </w:r>
      <w:r>
        <w:rPr>
          <w:rFonts w:hint="eastAsia" w:ascii="宋体" w:hAnsi="宋体" w:eastAsia="宋体" w:cs="宋体"/>
          <w:color w:val="auto"/>
          <w:sz w:val="24"/>
          <w:szCs w:val="18"/>
          <w:highlight w:val="none"/>
        </w:rPr>
        <w:br w:type="textWrapping"/>
      </w:r>
      <w:r>
        <w:rPr>
          <w:rFonts w:hint="eastAsia" w:ascii="宋体" w:hAnsi="宋体" w:eastAsia="宋体" w:cs="宋体"/>
          <w:color w:val="auto"/>
          <w:sz w:val="24"/>
          <w:szCs w:val="18"/>
          <w:highlight w:val="none"/>
        </w:rPr>
        <w:t xml:space="preserve">  2.地址： </w:t>
      </w:r>
      <w:r>
        <w:rPr>
          <w:rFonts w:hint="eastAsia" w:ascii="宋体" w:hAnsi="宋体" w:eastAsia="宋体"/>
          <w:color w:val="auto"/>
          <w:sz w:val="24"/>
          <w:szCs w:val="18"/>
          <w:highlight w:val="none"/>
        </w:rPr>
        <w:t>合肥市包河区大圩镇花园大道卓越城文华园一期2号楼4F</w:t>
      </w:r>
      <w:r>
        <w:rPr>
          <w:rFonts w:hint="eastAsia" w:ascii="宋体" w:hAnsi="宋体" w:eastAsia="宋体" w:cs="宋体"/>
          <w:color w:val="auto"/>
          <w:sz w:val="24"/>
          <w:szCs w:val="18"/>
          <w:highlight w:val="none"/>
        </w:rPr>
        <w:br w:type="textWrapping"/>
      </w:r>
      <w:r>
        <w:rPr>
          <w:rFonts w:hint="eastAsia" w:ascii="宋体" w:hAnsi="宋体" w:eastAsia="宋体" w:cs="宋体"/>
          <w:color w:val="auto"/>
          <w:sz w:val="24"/>
          <w:szCs w:val="18"/>
          <w:highlight w:val="none"/>
        </w:rPr>
        <w:t>  3.联系人：</w:t>
      </w:r>
      <w:bookmarkStart w:id="5" w:name="_Hlk179384748"/>
      <w:r>
        <w:rPr>
          <w:rFonts w:hint="eastAsia" w:ascii="宋体" w:hAnsi="宋体" w:eastAsia="宋体" w:cs="宋体"/>
          <w:color w:val="auto"/>
          <w:sz w:val="24"/>
          <w:szCs w:val="18"/>
          <w:highlight w:val="none"/>
        </w:rPr>
        <w:t xml:space="preserve"> </w:t>
      </w:r>
      <w:r>
        <w:rPr>
          <w:rFonts w:hint="eastAsia" w:ascii="宋体" w:hAnsi="宋体" w:eastAsia="宋体" w:cs="宋体"/>
          <w:color w:val="auto"/>
          <w:sz w:val="24"/>
          <w:szCs w:val="18"/>
          <w:highlight w:val="none"/>
          <w:lang w:val="en-US" w:eastAsia="zh-CN"/>
        </w:rPr>
        <w:t>崔工</w:t>
      </w:r>
      <w:r>
        <w:rPr>
          <w:rFonts w:hint="eastAsia" w:ascii="宋体" w:hAnsi="宋体" w:eastAsia="宋体" w:cs="宋体"/>
          <w:color w:val="auto"/>
          <w:sz w:val="24"/>
          <w:szCs w:val="18"/>
          <w:highlight w:val="none"/>
        </w:rPr>
        <w:br w:type="textWrapping"/>
      </w:r>
      <w:r>
        <w:rPr>
          <w:rFonts w:hint="eastAsia" w:ascii="宋体" w:hAnsi="宋体" w:eastAsia="宋体" w:cs="宋体"/>
          <w:color w:val="auto"/>
          <w:sz w:val="24"/>
          <w:szCs w:val="18"/>
          <w:highlight w:val="none"/>
        </w:rPr>
        <w:t xml:space="preserve">   4.电话： </w:t>
      </w:r>
      <w:bookmarkEnd w:id="5"/>
      <w:r>
        <w:rPr>
          <w:rFonts w:hint="eastAsia" w:ascii="宋体" w:hAnsi="宋体" w:eastAsia="宋体" w:cs="宋体"/>
          <w:color w:val="auto"/>
          <w:sz w:val="24"/>
          <w:szCs w:val="18"/>
          <w:highlight w:val="none"/>
          <w:lang w:val="en-US" w:eastAsia="zh-CN"/>
        </w:rPr>
        <w:t>18326167098</w:t>
      </w:r>
      <w:r>
        <w:rPr>
          <w:rFonts w:hint="eastAsia" w:ascii="宋体" w:hAnsi="宋体" w:eastAsia="宋体" w:cs="宋体"/>
          <w:color w:val="auto"/>
          <w:sz w:val="24"/>
          <w:szCs w:val="18"/>
          <w:highlight w:val="none"/>
        </w:rPr>
        <w:br w:type="textWrapping"/>
      </w:r>
      <w:r>
        <w:rPr>
          <w:rFonts w:hint="eastAsia" w:ascii="宋体" w:hAnsi="宋体" w:eastAsia="宋体" w:cs="宋体"/>
          <w:color w:val="auto"/>
          <w:sz w:val="24"/>
          <w:szCs w:val="18"/>
          <w:highlight w:val="none"/>
        </w:rPr>
        <w:t>  5.</w:t>
      </w:r>
      <w:r>
        <w:rPr>
          <w:rFonts w:hint="eastAsia" w:ascii="宋体" w:hAnsi="宋体" w:eastAsia="宋体" w:cs="宋体"/>
          <w:color w:val="auto"/>
          <w:sz w:val="24"/>
          <w:szCs w:val="24"/>
          <w:highlight w:val="none"/>
        </w:rPr>
        <w:t>合肥滨湖时光产业投资集团有限公司</w:t>
      </w:r>
      <w:r>
        <w:rPr>
          <w:rFonts w:hint="eastAsia" w:ascii="宋体" w:hAnsi="宋体" w:eastAsia="宋体" w:cs="宋体"/>
          <w:color w:val="auto"/>
          <w:sz w:val="24"/>
          <w:szCs w:val="18"/>
          <w:highlight w:val="none"/>
        </w:rPr>
        <w:t>网址:</w:t>
      </w:r>
      <w:r>
        <w:rPr>
          <w:rFonts w:hint="eastAsia"/>
          <w:color w:val="auto"/>
          <w:highlight w:val="none"/>
        </w:rPr>
        <w:t xml:space="preserve"> </w:t>
      </w:r>
      <w:r>
        <w:rPr>
          <w:rFonts w:hint="eastAsia" w:ascii="宋体" w:hAnsi="宋体" w:eastAsia="宋体" w:cs="宋体"/>
          <w:color w:val="auto"/>
          <w:sz w:val="24"/>
          <w:szCs w:val="18"/>
          <w:highlight w:val="none"/>
        </w:rPr>
        <w:t>http://bhsggroup.cn/</w:t>
      </w:r>
    </w:p>
    <w:p w14:paraId="666289ED">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outlineLvl w:val="1"/>
        <w:rPr>
          <w:rFonts w:hint="eastAsia" w:ascii="宋体" w:hAnsi="宋体" w:eastAsia="宋体" w:cs="宋体"/>
          <w:b/>
          <w:color w:val="auto"/>
          <w:sz w:val="24"/>
          <w:szCs w:val="18"/>
          <w:highlight w:val="none"/>
        </w:rPr>
      </w:pPr>
      <w:bookmarkStart w:id="6" w:name="_Toc44606295"/>
      <w:bookmarkStart w:id="7" w:name="_Toc47026332"/>
      <w:r>
        <w:rPr>
          <w:rFonts w:hint="eastAsia" w:ascii="宋体" w:hAnsi="宋体" w:eastAsia="宋体" w:cs="宋体"/>
          <w:b/>
          <w:color w:val="auto"/>
          <w:sz w:val="24"/>
          <w:szCs w:val="18"/>
          <w:highlight w:val="none"/>
        </w:rPr>
        <w:t>七</w:t>
      </w:r>
      <w:r>
        <w:rPr>
          <w:rFonts w:hint="eastAsia" w:ascii="宋体" w:hAnsi="宋体" w:eastAsia="宋体" w:cs="宋体"/>
          <w:b/>
          <w:color w:val="auto"/>
          <w:sz w:val="24"/>
          <w:highlight w:val="none"/>
        </w:rPr>
        <w:t>、</w:t>
      </w:r>
      <w:r>
        <w:rPr>
          <w:rFonts w:hint="eastAsia" w:ascii="宋体" w:hAnsi="宋体" w:eastAsia="宋体" w:cs="宋体"/>
          <w:b/>
          <w:color w:val="auto"/>
          <w:sz w:val="24"/>
          <w:szCs w:val="18"/>
          <w:highlight w:val="none"/>
        </w:rPr>
        <w:t>其他事项说明</w:t>
      </w:r>
      <w:bookmarkEnd w:id="6"/>
      <w:bookmarkEnd w:id="7"/>
    </w:p>
    <w:p w14:paraId="6D522B7A">
      <w:pPr>
        <w:spacing w:line="360" w:lineRule="auto"/>
        <w:ind w:firstLine="435"/>
        <w:rPr>
          <w:rFonts w:hint="eastAsia" w:ascii="宋体" w:hAnsi="宋体" w:eastAsia="宋体" w:cs="宋体"/>
          <w:bCs/>
          <w:color w:val="auto"/>
          <w:sz w:val="24"/>
          <w:szCs w:val="18"/>
          <w:highlight w:val="none"/>
        </w:rPr>
      </w:pPr>
      <w:r>
        <w:rPr>
          <w:rFonts w:hint="eastAsia" w:ascii="宋体" w:hAnsi="宋体" w:eastAsia="宋体" w:cs="宋体"/>
          <w:color w:val="auto"/>
          <w:sz w:val="24"/>
          <w:highlight w:val="none"/>
        </w:rPr>
        <w:t>1.</w:t>
      </w:r>
      <w:r>
        <w:rPr>
          <w:rFonts w:hint="eastAsia" w:ascii="宋体" w:hAnsi="宋体" w:eastAsia="宋体" w:cs="宋体"/>
          <w:bCs/>
          <w:color w:val="auto"/>
          <w:sz w:val="24"/>
          <w:szCs w:val="18"/>
          <w:highlight w:val="none"/>
        </w:rPr>
        <w:t>投标人应合理安排</w:t>
      </w:r>
      <w:r>
        <w:rPr>
          <w:rFonts w:hint="eastAsia" w:ascii="宋体" w:hAnsi="宋体" w:eastAsia="宋体" w:cs="宋体"/>
          <w:color w:val="auto"/>
          <w:sz w:val="24"/>
          <w:szCs w:val="18"/>
          <w:highlight w:val="none"/>
        </w:rPr>
        <w:t>磋商</w:t>
      </w:r>
      <w:r>
        <w:rPr>
          <w:rFonts w:hint="eastAsia" w:ascii="宋体" w:hAnsi="宋体" w:eastAsia="宋体" w:cs="宋体"/>
          <w:bCs/>
          <w:color w:val="auto"/>
          <w:sz w:val="24"/>
          <w:szCs w:val="18"/>
          <w:highlight w:val="none"/>
        </w:rPr>
        <w:t>文件获取时间，如果因计算机及网络故障造成无法完成</w:t>
      </w:r>
      <w:r>
        <w:rPr>
          <w:rFonts w:hint="eastAsia" w:ascii="宋体" w:hAnsi="宋体" w:eastAsia="宋体" w:cs="宋体"/>
          <w:color w:val="auto"/>
          <w:sz w:val="24"/>
          <w:szCs w:val="18"/>
          <w:highlight w:val="none"/>
        </w:rPr>
        <w:t>磋商</w:t>
      </w:r>
      <w:r>
        <w:rPr>
          <w:rFonts w:hint="eastAsia" w:ascii="宋体" w:hAnsi="宋体" w:eastAsia="宋体" w:cs="宋体"/>
          <w:bCs/>
          <w:color w:val="auto"/>
          <w:sz w:val="24"/>
          <w:szCs w:val="18"/>
          <w:highlight w:val="none"/>
        </w:rPr>
        <w:t>文件获取，责任自负。</w:t>
      </w:r>
    </w:p>
    <w:p w14:paraId="045AD41F">
      <w:pPr>
        <w:spacing w:line="360" w:lineRule="auto"/>
        <w:ind w:firstLine="435"/>
        <w:jc w:val="left"/>
        <w:rPr>
          <w:rFonts w:hint="eastAsia" w:ascii="宋体" w:hAnsi="宋体" w:eastAsia="宋体" w:cs="宋体"/>
          <w:bCs/>
          <w:color w:val="auto"/>
          <w:sz w:val="24"/>
          <w:szCs w:val="18"/>
          <w:highlight w:val="none"/>
        </w:rPr>
      </w:pPr>
      <w:r>
        <w:rPr>
          <w:rFonts w:hint="eastAsia" w:ascii="宋体" w:hAnsi="宋体" w:eastAsia="宋体" w:cs="宋体"/>
          <w:bCs/>
          <w:color w:val="auto"/>
          <w:sz w:val="24"/>
          <w:szCs w:val="18"/>
          <w:highlight w:val="none"/>
        </w:rPr>
        <w:t>2.本项目采用线下开标，投标人无需前往磋商现场。</w:t>
      </w:r>
    </w:p>
    <w:p w14:paraId="21D2C1AF">
      <w:pPr>
        <w:spacing w:line="360" w:lineRule="auto"/>
        <w:ind w:firstLine="435"/>
        <w:rPr>
          <w:rFonts w:hint="eastAsia" w:ascii="宋体" w:hAnsi="宋体" w:eastAsia="宋体" w:cs="宋体"/>
          <w:b/>
          <w:color w:val="auto"/>
          <w:sz w:val="24"/>
          <w:szCs w:val="18"/>
          <w:highlight w:val="none"/>
        </w:rPr>
      </w:pPr>
      <w:r>
        <w:rPr>
          <w:rFonts w:hint="eastAsia" w:ascii="宋体" w:hAnsi="宋体" w:eastAsia="宋体" w:cs="宋体"/>
          <w:b/>
          <w:color w:val="auto"/>
          <w:sz w:val="24"/>
          <w:szCs w:val="18"/>
          <w:highlight w:val="none"/>
        </w:rPr>
        <w:t>八、保证金缴纳账户</w:t>
      </w:r>
    </w:p>
    <w:p w14:paraId="36114CB4">
      <w:pPr>
        <w:spacing w:line="360" w:lineRule="auto"/>
        <w:ind w:firstLine="435"/>
        <w:rPr>
          <w:rFonts w:hint="eastAsia" w:ascii="宋体" w:hAnsi="宋体" w:eastAsia="宋体" w:cs="宋体"/>
          <w:bCs/>
          <w:color w:val="auto"/>
          <w:sz w:val="24"/>
          <w:szCs w:val="18"/>
          <w:highlight w:val="none"/>
        </w:rPr>
      </w:pPr>
      <w:r>
        <w:rPr>
          <w:rFonts w:hint="eastAsia" w:ascii="宋体" w:hAnsi="宋体" w:eastAsia="宋体" w:cs="宋体"/>
          <w:bCs/>
          <w:color w:val="auto"/>
          <w:sz w:val="24"/>
          <w:szCs w:val="18"/>
          <w:highlight w:val="none"/>
        </w:rPr>
        <w:t>1.公司名称：</w:t>
      </w:r>
      <w:r>
        <w:rPr>
          <w:rFonts w:hint="eastAsia" w:ascii="宋体" w:hAnsi="宋体" w:eastAsia="宋体" w:cs="宋体"/>
          <w:color w:val="auto"/>
          <w:sz w:val="24"/>
          <w:szCs w:val="18"/>
          <w:highlight w:val="none"/>
        </w:rPr>
        <w:t>合肥滨湖时光空间运营管理有限公司</w:t>
      </w:r>
    </w:p>
    <w:p w14:paraId="50B85887">
      <w:pPr>
        <w:spacing w:line="360" w:lineRule="auto"/>
        <w:ind w:firstLine="435"/>
        <w:rPr>
          <w:rFonts w:hint="eastAsia" w:ascii="宋体" w:hAnsi="宋体" w:eastAsia="宋体" w:cs="宋体"/>
          <w:bCs/>
          <w:color w:val="auto"/>
          <w:sz w:val="24"/>
          <w:szCs w:val="18"/>
          <w:highlight w:val="none"/>
        </w:rPr>
      </w:pPr>
      <w:r>
        <w:rPr>
          <w:rFonts w:hint="eastAsia" w:ascii="宋体" w:hAnsi="宋体" w:eastAsia="宋体" w:cs="宋体"/>
          <w:bCs/>
          <w:color w:val="auto"/>
          <w:sz w:val="24"/>
          <w:szCs w:val="18"/>
          <w:highlight w:val="none"/>
        </w:rPr>
        <w:t>2.社会信用代码：91340111MADUPQLH80</w:t>
      </w:r>
    </w:p>
    <w:p w14:paraId="4B29034A">
      <w:pPr>
        <w:spacing w:line="360" w:lineRule="auto"/>
        <w:ind w:firstLine="435"/>
        <w:rPr>
          <w:rFonts w:hint="eastAsia" w:ascii="宋体" w:hAnsi="宋体" w:eastAsia="宋体" w:cs="宋体"/>
          <w:bCs/>
          <w:color w:val="auto"/>
          <w:sz w:val="24"/>
          <w:szCs w:val="18"/>
          <w:highlight w:val="none"/>
        </w:rPr>
      </w:pPr>
      <w:r>
        <w:rPr>
          <w:rFonts w:hint="eastAsia" w:ascii="宋体" w:hAnsi="宋体" w:eastAsia="宋体" w:cs="宋体"/>
          <w:bCs/>
          <w:color w:val="auto"/>
          <w:sz w:val="24"/>
          <w:szCs w:val="18"/>
          <w:highlight w:val="none"/>
        </w:rPr>
        <w:t>3.开户行：徽商银行合肥包河支行</w:t>
      </w:r>
    </w:p>
    <w:p w14:paraId="7F701C53">
      <w:pPr>
        <w:spacing w:line="360" w:lineRule="auto"/>
        <w:ind w:firstLine="435"/>
        <w:rPr>
          <w:rFonts w:hint="eastAsia" w:ascii="宋体" w:hAnsi="宋体" w:eastAsia="宋体" w:cs="宋体"/>
          <w:bCs/>
          <w:color w:val="auto"/>
          <w:sz w:val="24"/>
          <w:szCs w:val="18"/>
          <w:highlight w:val="none"/>
        </w:rPr>
      </w:pPr>
      <w:r>
        <w:rPr>
          <w:rFonts w:hint="eastAsia" w:ascii="宋体" w:hAnsi="宋体" w:eastAsia="宋体" w:cs="宋体"/>
          <w:bCs/>
          <w:color w:val="auto"/>
          <w:sz w:val="24"/>
          <w:szCs w:val="18"/>
          <w:highlight w:val="none"/>
        </w:rPr>
        <w:t>4.账号：261682624151000002</w:t>
      </w:r>
    </w:p>
    <w:p w14:paraId="0AFB9251">
      <w:pPr>
        <w:spacing w:line="360" w:lineRule="auto"/>
        <w:ind w:firstLine="435"/>
        <w:rPr>
          <w:rFonts w:hint="eastAsia" w:ascii="宋体" w:hAnsi="宋体" w:eastAsia="宋体" w:cs="宋体"/>
          <w:bCs/>
          <w:color w:val="auto"/>
          <w:sz w:val="24"/>
          <w:szCs w:val="18"/>
          <w:highlight w:val="none"/>
        </w:rPr>
      </w:pPr>
      <w:r>
        <w:rPr>
          <w:rFonts w:hint="eastAsia" w:ascii="宋体" w:hAnsi="宋体" w:eastAsia="宋体" w:cs="宋体"/>
          <w:bCs/>
          <w:color w:val="auto"/>
          <w:sz w:val="24"/>
          <w:szCs w:val="18"/>
          <w:highlight w:val="none"/>
        </w:rPr>
        <w:t>5.公司地址：安徽省合肥市包河区大圩镇花园大道 365 号滨湖卓越</w:t>
      </w:r>
    </w:p>
    <w:p w14:paraId="7028F222">
      <w:pPr>
        <w:spacing w:line="360" w:lineRule="auto"/>
        <w:ind w:firstLine="435"/>
        <w:rPr>
          <w:rFonts w:hint="eastAsia" w:ascii="宋体" w:hAnsi="宋体" w:eastAsia="宋体" w:cs="宋体"/>
          <w:color w:val="auto"/>
          <w:sz w:val="24"/>
          <w:szCs w:val="18"/>
          <w:highlight w:val="none"/>
        </w:rPr>
      </w:pPr>
      <w:r>
        <w:rPr>
          <w:rFonts w:hint="eastAsia" w:ascii="宋体" w:hAnsi="宋体" w:eastAsia="宋体" w:cs="宋体"/>
          <w:bCs/>
          <w:color w:val="auto"/>
          <w:sz w:val="24"/>
          <w:szCs w:val="18"/>
          <w:highlight w:val="none"/>
        </w:rPr>
        <w:t>城 A2栋4</w:t>
      </w:r>
      <w:r>
        <w:rPr>
          <w:rFonts w:hint="eastAsia" w:ascii="宋体" w:hAnsi="宋体" w:eastAsia="宋体" w:cs="宋体"/>
          <w:bCs/>
          <w:color w:val="auto"/>
          <w:sz w:val="24"/>
          <w:szCs w:val="18"/>
          <w:highlight w:val="none"/>
          <w:lang w:val="en-US" w:eastAsia="zh-CN"/>
        </w:rPr>
        <w:t>11</w:t>
      </w:r>
      <w:r>
        <w:rPr>
          <w:rFonts w:hint="eastAsia" w:ascii="宋体" w:hAnsi="宋体" w:eastAsia="宋体" w:cs="宋体"/>
          <w:bCs/>
          <w:color w:val="auto"/>
          <w:sz w:val="24"/>
          <w:szCs w:val="18"/>
          <w:highlight w:val="none"/>
        </w:rPr>
        <w:t>室</w:t>
      </w:r>
      <w:r>
        <w:rPr>
          <w:rFonts w:hint="eastAsia" w:ascii="宋体" w:hAnsi="宋体" w:eastAsia="宋体" w:cs="宋体"/>
          <w:color w:val="auto"/>
          <w:sz w:val="28"/>
          <w:szCs w:val="28"/>
          <w:highlight w:val="none"/>
        </w:rPr>
        <w:br w:type="textWrapping"/>
      </w:r>
      <w:r>
        <w:rPr>
          <w:rFonts w:hint="eastAsia" w:ascii="宋体" w:hAnsi="宋体" w:eastAsia="宋体" w:cs="宋体"/>
          <w:color w:val="auto"/>
          <w:sz w:val="24"/>
          <w:szCs w:val="18"/>
          <w:highlight w:val="none"/>
        </w:rPr>
        <w:br w:type="page"/>
      </w:r>
    </w:p>
    <w:p w14:paraId="7693D018">
      <w:pPr>
        <w:spacing w:line="360" w:lineRule="auto"/>
        <w:jc w:val="center"/>
        <w:outlineLvl w:val="1"/>
        <w:rPr>
          <w:rFonts w:hint="eastAsia" w:ascii="宋体" w:hAnsi="宋体" w:eastAsia="宋体" w:cs="宋体"/>
          <w:b/>
          <w:color w:val="auto"/>
          <w:sz w:val="28"/>
          <w:highlight w:val="none"/>
        </w:rPr>
      </w:pPr>
      <w:bookmarkStart w:id="8" w:name="_Toc47026333"/>
      <w:r>
        <w:rPr>
          <w:rFonts w:hint="eastAsia" w:ascii="宋体" w:hAnsi="宋体" w:eastAsia="宋体" w:cs="宋体"/>
          <w:b/>
          <w:color w:val="auto"/>
          <w:sz w:val="28"/>
          <w:highlight w:val="none"/>
        </w:rPr>
        <w:t>第二章  投标人须知</w:t>
      </w:r>
      <w:bookmarkEnd w:id="8"/>
    </w:p>
    <w:p w14:paraId="1FA326D3">
      <w:pPr>
        <w:spacing w:line="360" w:lineRule="auto"/>
        <w:jc w:val="center"/>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一、投标人须知前附表</w:t>
      </w:r>
    </w:p>
    <w:p w14:paraId="51153B1A">
      <w:pPr>
        <w:spacing w:line="360" w:lineRule="auto"/>
        <w:ind w:firstLine="435"/>
        <w:rPr>
          <w:rFonts w:hint="eastAsia" w:ascii="宋体" w:hAnsi="宋体" w:eastAsia="宋体" w:cs="宋体"/>
          <w:color w:val="auto"/>
          <w:sz w:val="24"/>
          <w:szCs w:val="18"/>
          <w:highlight w:val="none"/>
        </w:rPr>
      </w:pPr>
      <w:r>
        <w:rPr>
          <w:rFonts w:hint="eastAsia" w:ascii="宋体" w:hAnsi="宋体" w:eastAsia="宋体" w:cs="宋体"/>
          <w:b/>
          <w:bCs/>
          <w:color w:val="auto"/>
          <w:sz w:val="24"/>
          <w:szCs w:val="18"/>
          <w:highlight w:val="none"/>
        </w:rPr>
        <w:t>注：</w:t>
      </w:r>
      <w:r>
        <w:rPr>
          <w:rFonts w:hint="eastAsia" w:ascii="宋体" w:hAnsi="宋体" w:eastAsia="宋体" w:cs="宋体"/>
          <w:color w:val="auto"/>
          <w:sz w:val="24"/>
          <w:szCs w:val="18"/>
          <w:highlight w:val="none"/>
        </w:rPr>
        <w:t>本表是本项目的具体要求，是对投标人须知的具体补充和修改，如有不一致，以本表为准。</w:t>
      </w:r>
    </w:p>
    <w:tbl>
      <w:tblPr>
        <w:tblStyle w:val="23"/>
        <w:tblW w:w="84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4"/>
        <w:gridCol w:w="2025"/>
        <w:gridCol w:w="5466"/>
      </w:tblGrid>
      <w:tr w14:paraId="514FA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4" w:type="dxa"/>
            <w:vAlign w:val="center"/>
          </w:tcPr>
          <w:p w14:paraId="3689351B">
            <w:pPr>
              <w:pStyle w:val="29"/>
              <w:rPr>
                <w:rFonts w:hint="eastAsia"/>
                <w:color w:val="auto"/>
                <w:highlight w:val="none"/>
              </w:rPr>
            </w:pPr>
            <w:r>
              <w:rPr>
                <w:rFonts w:hint="eastAsia"/>
                <w:color w:val="auto"/>
                <w:highlight w:val="none"/>
              </w:rPr>
              <w:t>条款号</w:t>
            </w:r>
          </w:p>
        </w:tc>
        <w:tc>
          <w:tcPr>
            <w:tcW w:w="2025" w:type="dxa"/>
            <w:vAlign w:val="center"/>
          </w:tcPr>
          <w:p w14:paraId="48C70C6C">
            <w:pPr>
              <w:pStyle w:val="29"/>
              <w:rPr>
                <w:rFonts w:hint="eastAsia"/>
                <w:color w:val="auto"/>
                <w:highlight w:val="none"/>
              </w:rPr>
            </w:pPr>
            <w:r>
              <w:rPr>
                <w:rFonts w:hint="eastAsia"/>
                <w:color w:val="auto"/>
                <w:highlight w:val="none"/>
              </w:rPr>
              <w:t>条款名称</w:t>
            </w:r>
          </w:p>
        </w:tc>
        <w:tc>
          <w:tcPr>
            <w:tcW w:w="5466" w:type="dxa"/>
            <w:vAlign w:val="center"/>
          </w:tcPr>
          <w:p w14:paraId="17346D3E">
            <w:pPr>
              <w:pStyle w:val="29"/>
              <w:rPr>
                <w:rFonts w:hint="eastAsia"/>
                <w:color w:val="auto"/>
                <w:highlight w:val="none"/>
              </w:rPr>
            </w:pPr>
            <w:r>
              <w:rPr>
                <w:rFonts w:hint="eastAsia"/>
                <w:color w:val="auto"/>
                <w:highlight w:val="none"/>
              </w:rPr>
              <w:t>内容、说明与要求</w:t>
            </w:r>
          </w:p>
        </w:tc>
      </w:tr>
      <w:tr w14:paraId="2C8ED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4" w:type="dxa"/>
            <w:vAlign w:val="center"/>
          </w:tcPr>
          <w:p w14:paraId="78BF05DF">
            <w:pPr>
              <w:pStyle w:val="30"/>
              <w:rPr>
                <w:rFonts w:hint="eastAsia"/>
                <w:color w:val="auto"/>
                <w:highlight w:val="none"/>
              </w:rPr>
            </w:pPr>
            <w:r>
              <w:rPr>
                <w:rFonts w:hint="eastAsia"/>
                <w:color w:val="auto"/>
                <w:highlight w:val="none"/>
              </w:rPr>
              <w:t>3.1</w:t>
            </w:r>
          </w:p>
        </w:tc>
        <w:tc>
          <w:tcPr>
            <w:tcW w:w="2025" w:type="dxa"/>
            <w:vAlign w:val="center"/>
          </w:tcPr>
          <w:p w14:paraId="53513312">
            <w:pPr>
              <w:pStyle w:val="29"/>
              <w:rPr>
                <w:rFonts w:hint="eastAsia"/>
                <w:b/>
                <w:color w:val="auto"/>
                <w:highlight w:val="none"/>
              </w:rPr>
            </w:pPr>
            <w:r>
              <w:rPr>
                <w:rFonts w:hint="eastAsia"/>
                <w:color w:val="auto"/>
                <w:highlight w:val="none"/>
              </w:rPr>
              <w:t>招标人</w:t>
            </w:r>
          </w:p>
        </w:tc>
        <w:tc>
          <w:tcPr>
            <w:tcW w:w="5466" w:type="dxa"/>
            <w:vAlign w:val="center"/>
          </w:tcPr>
          <w:p w14:paraId="6D212B81">
            <w:pPr>
              <w:pStyle w:val="29"/>
              <w:rPr>
                <w:rFonts w:hint="eastAsia"/>
                <w:b/>
                <w:color w:val="auto"/>
                <w:kern w:val="2"/>
                <w:szCs w:val="20"/>
                <w:highlight w:val="none"/>
              </w:rPr>
            </w:pPr>
            <w:r>
              <w:rPr>
                <w:rFonts w:hint="eastAsia" w:ascii="宋体" w:hAnsi="宋体" w:eastAsia="宋体" w:cs="宋体"/>
                <w:color w:val="auto"/>
                <w:sz w:val="24"/>
                <w:szCs w:val="18"/>
                <w:highlight w:val="none"/>
              </w:rPr>
              <w:t>合肥滨湖时光空间运营管理有限公司</w:t>
            </w:r>
          </w:p>
        </w:tc>
      </w:tr>
      <w:tr w14:paraId="0CCA0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4" w:type="dxa"/>
            <w:vAlign w:val="center"/>
          </w:tcPr>
          <w:p w14:paraId="7F0B91D3">
            <w:pPr>
              <w:pStyle w:val="30"/>
              <w:rPr>
                <w:rFonts w:hint="eastAsia"/>
                <w:color w:val="auto"/>
                <w:highlight w:val="none"/>
              </w:rPr>
            </w:pPr>
            <w:r>
              <w:rPr>
                <w:rFonts w:hint="eastAsia"/>
                <w:color w:val="auto"/>
                <w:highlight w:val="none"/>
              </w:rPr>
              <w:t>3.2</w:t>
            </w:r>
          </w:p>
        </w:tc>
        <w:tc>
          <w:tcPr>
            <w:tcW w:w="2025" w:type="dxa"/>
            <w:vAlign w:val="center"/>
          </w:tcPr>
          <w:p w14:paraId="79E645C8">
            <w:pPr>
              <w:pStyle w:val="29"/>
              <w:rPr>
                <w:rFonts w:hint="eastAsia"/>
                <w:b/>
                <w:color w:val="auto"/>
                <w:highlight w:val="none"/>
              </w:rPr>
            </w:pPr>
            <w:r>
              <w:rPr>
                <w:rFonts w:hint="eastAsia"/>
                <w:color w:val="auto"/>
                <w:highlight w:val="none"/>
              </w:rPr>
              <w:t>招标投标监督管理部门</w:t>
            </w:r>
          </w:p>
        </w:tc>
        <w:tc>
          <w:tcPr>
            <w:tcW w:w="5466" w:type="dxa"/>
            <w:vAlign w:val="center"/>
          </w:tcPr>
          <w:p w14:paraId="12100CDC">
            <w:pPr>
              <w:pStyle w:val="29"/>
              <w:rPr>
                <w:rFonts w:hint="eastAsia"/>
                <w:b/>
                <w:color w:val="auto"/>
                <w:highlight w:val="none"/>
              </w:rPr>
            </w:pPr>
            <w:r>
              <w:rPr>
                <w:rFonts w:hint="eastAsia"/>
                <w:color w:val="auto"/>
                <w:highlight w:val="none"/>
              </w:rPr>
              <w:t>合肥滨湖时光产业投资集团有限公司</w:t>
            </w:r>
          </w:p>
        </w:tc>
      </w:tr>
      <w:tr w14:paraId="4395F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4" w:type="dxa"/>
            <w:vAlign w:val="center"/>
          </w:tcPr>
          <w:p w14:paraId="3DDB221B">
            <w:pPr>
              <w:pStyle w:val="30"/>
              <w:rPr>
                <w:rFonts w:hint="eastAsia"/>
                <w:color w:val="auto"/>
                <w:highlight w:val="none"/>
              </w:rPr>
            </w:pPr>
            <w:r>
              <w:rPr>
                <w:rFonts w:hint="eastAsia"/>
                <w:color w:val="auto"/>
                <w:highlight w:val="none"/>
              </w:rPr>
              <w:t>3.5</w:t>
            </w:r>
          </w:p>
        </w:tc>
        <w:tc>
          <w:tcPr>
            <w:tcW w:w="2025" w:type="dxa"/>
            <w:vAlign w:val="center"/>
          </w:tcPr>
          <w:p w14:paraId="1AB83EE7">
            <w:pPr>
              <w:pStyle w:val="29"/>
              <w:rPr>
                <w:rFonts w:hint="eastAsia"/>
                <w:b/>
                <w:color w:val="auto"/>
                <w:highlight w:val="none"/>
              </w:rPr>
            </w:pPr>
            <w:r>
              <w:rPr>
                <w:rFonts w:hint="eastAsia"/>
                <w:color w:val="auto"/>
                <w:highlight w:val="none"/>
              </w:rPr>
              <w:t>是否允许联合体参加磋商</w:t>
            </w:r>
          </w:p>
        </w:tc>
        <w:tc>
          <w:tcPr>
            <w:tcW w:w="5466" w:type="dxa"/>
            <w:vAlign w:val="center"/>
          </w:tcPr>
          <w:p w14:paraId="2951D646">
            <w:pPr>
              <w:pStyle w:val="29"/>
              <w:rPr>
                <w:rFonts w:hint="eastAsia"/>
                <w:b/>
                <w:color w:val="auto"/>
                <w:highlight w:val="none"/>
              </w:rPr>
            </w:pPr>
            <w:r>
              <w:rPr>
                <w:rFonts w:hint="eastAsia"/>
                <w:color w:val="auto"/>
                <w:highlight w:val="none"/>
              </w:rPr>
              <w:t xml:space="preserve">□是  </w:t>
            </w:r>
            <w:r>
              <w:rPr>
                <w:rFonts w:hint="eastAsia"/>
                <w:color w:val="auto"/>
                <w:szCs w:val="24"/>
                <w:highlight w:val="none"/>
              </w:rPr>
              <w:sym w:font="Wingdings 2" w:char="0052"/>
            </w:r>
            <w:r>
              <w:rPr>
                <w:rFonts w:hint="eastAsia"/>
                <w:color w:val="auto"/>
                <w:highlight w:val="none"/>
              </w:rPr>
              <w:t>否</w:t>
            </w:r>
          </w:p>
        </w:tc>
      </w:tr>
      <w:tr w14:paraId="05F69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4" w:type="dxa"/>
            <w:vAlign w:val="center"/>
          </w:tcPr>
          <w:p w14:paraId="6A5707D0">
            <w:pPr>
              <w:pStyle w:val="30"/>
              <w:rPr>
                <w:rFonts w:hint="eastAsia"/>
                <w:color w:val="auto"/>
                <w:highlight w:val="none"/>
              </w:rPr>
            </w:pPr>
            <w:r>
              <w:rPr>
                <w:rFonts w:hint="eastAsia"/>
                <w:color w:val="auto"/>
                <w:highlight w:val="none"/>
              </w:rPr>
              <w:t>7.3</w:t>
            </w:r>
          </w:p>
        </w:tc>
        <w:tc>
          <w:tcPr>
            <w:tcW w:w="2025" w:type="dxa"/>
            <w:vAlign w:val="center"/>
          </w:tcPr>
          <w:p w14:paraId="27D3A588">
            <w:pPr>
              <w:pStyle w:val="29"/>
              <w:rPr>
                <w:rFonts w:hint="eastAsia"/>
                <w:b/>
                <w:color w:val="auto"/>
                <w:highlight w:val="none"/>
              </w:rPr>
            </w:pPr>
            <w:r>
              <w:rPr>
                <w:rFonts w:hint="eastAsia"/>
                <w:color w:val="auto"/>
                <w:highlight w:val="none"/>
              </w:rPr>
              <w:t>现场考察</w:t>
            </w:r>
          </w:p>
        </w:tc>
        <w:tc>
          <w:tcPr>
            <w:tcW w:w="5466" w:type="dxa"/>
            <w:vAlign w:val="center"/>
          </w:tcPr>
          <w:p w14:paraId="7D822C9E">
            <w:pPr>
              <w:spacing w:line="360" w:lineRule="auto"/>
              <w:rPr>
                <w:rFonts w:hint="eastAsia" w:ascii="宋体" w:hAnsi="宋体" w:eastAsia="宋体" w:cs="宋体"/>
                <w:bCs/>
                <w:color w:val="auto"/>
                <w:sz w:val="24"/>
                <w:highlight w:val="none"/>
              </w:rPr>
            </w:pPr>
            <w:r>
              <w:rPr>
                <w:rFonts w:hint="eastAsia" w:ascii="宋体" w:hAnsi="宋体" w:eastAsia="宋体" w:cs="宋体"/>
                <w:bCs/>
                <w:color w:val="auto"/>
                <w:sz w:val="24"/>
                <w:szCs w:val="24"/>
                <w:highlight w:val="none"/>
              </w:rPr>
              <w:sym w:font="Wingdings 2" w:char="0052"/>
            </w:r>
            <w:r>
              <w:rPr>
                <w:rFonts w:hint="eastAsia" w:ascii="宋体" w:hAnsi="宋体" w:eastAsia="宋体" w:cs="宋体"/>
                <w:color w:val="auto"/>
                <w:sz w:val="24"/>
                <w:highlight w:val="none"/>
              </w:rPr>
              <w:t>不组织，投标人</w:t>
            </w:r>
            <w:r>
              <w:rPr>
                <w:rFonts w:hint="eastAsia" w:ascii="宋体" w:hAnsi="宋体" w:eastAsia="宋体" w:cs="宋体"/>
                <w:bCs/>
                <w:color w:val="auto"/>
                <w:sz w:val="24"/>
                <w:highlight w:val="none"/>
              </w:rPr>
              <w:t>自行考察</w:t>
            </w:r>
          </w:p>
        </w:tc>
      </w:tr>
      <w:tr w14:paraId="50430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4" w:type="dxa"/>
            <w:vAlign w:val="center"/>
          </w:tcPr>
          <w:p w14:paraId="6114DEDD">
            <w:pPr>
              <w:pStyle w:val="30"/>
              <w:rPr>
                <w:rFonts w:hint="eastAsia"/>
                <w:color w:val="auto"/>
                <w:highlight w:val="none"/>
              </w:rPr>
            </w:pPr>
            <w:r>
              <w:rPr>
                <w:rFonts w:hint="eastAsia"/>
                <w:color w:val="auto"/>
                <w:highlight w:val="none"/>
              </w:rPr>
              <w:t>8.1</w:t>
            </w:r>
          </w:p>
        </w:tc>
        <w:tc>
          <w:tcPr>
            <w:tcW w:w="2025" w:type="dxa"/>
            <w:vAlign w:val="center"/>
          </w:tcPr>
          <w:p w14:paraId="78B6C1B6">
            <w:pPr>
              <w:pStyle w:val="29"/>
              <w:rPr>
                <w:rFonts w:hint="eastAsia"/>
                <w:b/>
                <w:color w:val="auto"/>
                <w:highlight w:val="none"/>
              </w:rPr>
            </w:pPr>
            <w:r>
              <w:rPr>
                <w:rFonts w:hint="eastAsia"/>
                <w:color w:val="auto"/>
                <w:highlight w:val="none"/>
              </w:rPr>
              <w:t>答疑截止时间</w:t>
            </w:r>
          </w:p>
        </w:tc>
        <w:tc>
          <w:tcPr>
            <w:tcW w:w="5466" w:type="dxa"/>
            <w:vAlign w:val="center"/>
          </w:tcPr>
          <w:p w14:paraId="163265DF">
            <w:pPr>
              <w:pStyle w:val="29"/>
              <w:rPr>
                <w:rFonts w:hint="eastAsia"/>
                <w:color w:val="auto"/>
                <w:highlight w:val="none"/>
              </w:rPr>
            </w:pPr>
            <w:r>
              <w:rPr>
                <w:rFonts w:hint="eastAsia"/>
                <w:color w:val="auto"/>
                <w:highlight w:val="none"/>
              </w:rPr>
              <w:t>202</w:t>
            </w:r>
            <w:r>
              <w:rPr>
                <w:rFonts w:hint="eastAsia"/>
                <w:color w:val="auto"/>
                <w:highlight w:val="none"/>
                <w:lang w:val="en-US" w:eastAsia="zh-CN"/>
              </w:rPr>
              <w:t>5</w:t>
            </w:r>
            <w:r>
              <w:rPr>
                <w:rFonts w:hint="eastAsia"/>
                <w:color w:val="auto"/>
                <w:highlight w:val="none"/>
              </w:rPr>
              <w:t>年</w:t>
            </w:r>
            <w:r>
              <w:rPr>
                <w:rFonts w:hint="eastAsia"/>
                <w:color w:val="auto"/>
                <w:highlight w:val="none"/>
                <w:lang w:val="en-US" w:eastAsia="zh-CN"/>
              </w:rPr>
              <w:t>3</w:t>
            </w:r>
            <w:r>
              <w:rPr>
                <w:rFonts w:hint="eastAsia"/>
                <w:color w:val="auto"/>
                <w:highlight w:val="none"/>
              </w:rPr>
              <w:t>月</w:t>
            </w:r>
            <w:r>
              <w:rPr>
                <w:rFonts w:hint="eastAsia"/>
                <w:color w:val="auto"/>
                <w:highlight w:val="none"/>
                <w:lang w:val="en-US" w:eastAsia="zh-CN"/>
              </w:rPr>
              <w:t>21</w:t>
            </w:r>
            <w:r>
              <w:rPr>
                <w:rFonts w:hint="eastAsia"/>
                <w:color w:val="auto"/>
                <w:highlight w:val="none"/>
              </w:rPr>
              <w:t>日17:30前接受答疑（逾期不予受理）。</w:t>
            </w:r>
          </w:p>
          <w:p w14:paraId="267ACE24">
            <w:pPr>
              <w:pStyle w:val="29"/>
              <w:rPr>
                <w:rFonts w:hint="eastAsia"/>
                <w:b/>
                <w:color w:val="auto"/>
                <w:highlight w:val="none"/>
              </w:rPr>
            </w:pPr>
            <w:r>
              <w:rPr>
                <w:rFonts w:hint="eastAsia"/>
                <w:color w:val="auto"/>
                <w:highlight w:val="none"/>
              </w:rPr>
              <w:t>投标人请注意：</w:t>
            </w:r>
            <w:r>
              <w:rPr>
                <w:rFonts w:hint="eastAsia" w:ascii="宋体" w:hAnsi="宋体" w:eastAsia="宋体" w:cs="宋体"/>
                <w:color w:val="auto"/>
                <w:sz w:val="24"/>
                <w:szCs w:val="18"/>
                <w:highlight w:val="none"/>
              </w:rPr>
              <w:t>合肥滨湖时光空间运营管理有限公司</w:t>
            </w:r>
            <w:r>
              <w:rPr>
                <w:rFonts w:hint="eastAsia"/>
                <w:color w:val="auto"/>
                <w:highlight w:val="none"/>
              </w:rPr>
              <w:t>对磋商文件进行的澄清、更正或更改，将在网站上及时发布，该公告内容为磋商文件的组成部分，对投标人具有同样约束力。投标人应主动上网查询。</w:t>
            </w:r>
            <w:r>
              <w:rPr>
                <w:rFonts w:hint="eastAsia" w:ascii="宋体" w:hAnsi="宋体" w:eastAsia="宋体" w:cs="宋体"/>
                <w:color w:val="auto"/>
                <w:sz w:val="24"/>
                <w:szCs w:val="18"/>
                <w:highlight w:val="none"/>
              </w:rPr>
              <w:t>合肥滨湖时光空间运营管理有限公司</w:t>
            </w:r>
            <w:r>
              <w:rPr>
                <w:rFonts w:hint="eastAsia"/>
                <w:color w:val="auto"/>
                <w:highlight w:val="none"/>
              </w:rPr>
              <w:t>不承担投标人未及时关注相关信息引发的相关责任。</w:t>
            </w:r>
          </w:p>
        </w:tc>
      </w:tr>
      <w:tr w14:paraId="5A332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4" w:hRule="atLeast"/>
          <w:jc w:val="center"/>
        </w:trPr>
        <w:tc>
          <w:tcPr>
            <w:tcW w:w="1004" w:type="dxa"/>
            <w:vAlign w:val="center"/>
          </w:tcPr>
          <w:p w14:paraId="35C04CFD">
            <w:pPr>
              <w:pStyle w:val="30"/>
              <w:rPr>
                <w:rFonts w:hint="eastAsia"/>
                <w:color w:val="auto"/>
                <w:highlight w:val="none"/>
              </w:rPr>
            </w:pPr>
            <w:r>
              <w:rPr>
                <w:rFonts w:hint="eastAsia"/>
                <w:color w:val="auto"/>
                <w:highlight w:val="none"/>
              </w:rPr>
              <w:t>9.1</w:t>
            </w:r>
          </w:p>
        </w:tc>
        <w:tc>
          <w:tcPr>
            <w:tcW w:w="2025" w:type="dxa"/>
            <w:vAlign w:val="center"/>
          </w:tcPr>
          <w:p w14:paraId="2D564D65">
            <w:pPr>
              <w:pStyle w:val="29"/>
              <w:rPr>
                <w:rFonts w:hint="eastAsia"/>
                <w:b/>
                <w:color w:val="auto"/>
                <w:highlight w:val="none"/>
              </w:rPr>
            </w:pPr>
            <w:r>
              <w:rPr>
                <w:rFonts w:hint="eastAsia"/>
                <w:color w:val="auto"/>
                <w:highlight w:val="none"/>
              </w:rPr>
              <w:t>标段划分</w:t>
            </w:r>
          </w:p>
        </w:tc>
        <w:tc>
          <w:tcPr>
            <w:tcW w:w="5466" w:type="dxa"/>
            <w:vAlign w:val="center"/>
          </w:tcPr>
          <w:p w14:paraId="1A3AD1EC">
            <w:pPr>
              <w:pStyle w:val="2"/>
              <w:keepNext/>
              <w:keepLines/>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eastAsia="宋体"/>
                <w:b/>
                <w:color w:val="auto"/>
                <w:highlight w:val="none"/>
                <w:lang w:val="en-US" w:eastAsia="zh-CN"/>
              </w:rPr>
            </w:pPr>
            <w:r>
              <w:rPr>
                <w:rFonts w:hint="eastAsia" w:cs="宋体"/>
                <w:color w:val="auto"/>
                <w:sz w:val="24"/>
                <w:szCs w:val="18"/>
                <w:highlight w:val="none"/>
                <w:lang w:val="en-US" w:eastAsia="zh-CN"/>
              </w:rPr>
              <w:t>本项目为1个标段，文创产品展销合作。</w:t>
            </w:r>
          </w:p>
        </w:tc>
      </w:tr>
      <w:tr w14:paraId="601E9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2" w:hRule="atLeast"/>
          <w:jc w:val="center"/>
        </w:trPr>
        <w:tc>
          <w:tcPr>
            <w:tcW w:w="1004" w:type="dxa"/>
            <w:vAlign w:val="center"/>
          </w:tcPr>
          <w:p w14:paraId="76E258AB">
            <w:pPr>
              <w:pStyle w:val="30"/>
              <w:rPr>
                <w:rFonts w:hint="eastAsia"/>
                <w:color w:val="auto"/>
                <w:highlight w:val="none"/>
              </w:rPr>
            </w:pPr>
            <w:r>
              <w:rPr>
                <w:rFonts w:hint="eastAsia"/>
                <w:color w:val="auto"/>
                <w:highlight w:val="none"/>
              </w:rPr>
              <w:t>13.1</w:t>
            </w:r>
          </w:p>
        </w:tc>
        <w:tc>
          <w:tcPr>
            <w:tcW w:w="2025" w:type="dxa"/>
            <w:vAlign w:val="center"/>
          </w:tcPr>
          <w:p w14:paraId="64709D0B">
            <w:pPr>
              <w:pStyle w:val="29"/>
              <w:rPr>
                <w:rFonts w:hint="eastAsia"/>
                <w:b/>
                <w:color w:val="auto"/>
                <w:highlight w:val="none"/>
              </w:rPr>
            </w:pPr>
            <w:r>
              <w:rPr>
                <w:rFonts w:hint="eastAsia"/>
                <w:color w:val="auto"/>
                <w:highlight w:val="none"/>
              </w:rPr>
              <w:t>磋商保证金</w:t>
            </w:r>
          </w:p>
        </w:tc>
        <w:tc>
          <w:tcPr>
            <w:tcW w:w="5466" w:type="dxa"/>
            <w:vAlign w:val="center"/>
          </w:tcPr>
          <w:p w14:paraId="4F4591D3">
            <w:pPr>
              <w:snapToGrid w:val="0"/>
              <w:spacing w:line="520" w:lineRule="exact"/>
              <w:rPr>
                <w:rFonts w:hint="eastAsia" w:ascii="宋体" w:hAnsi="宋体" w:eastAsia="宋体" w:cs="宋体"/>
                <w:bCs/>
                <w:color w:val="auto"/>
                <w:kern w:val="0"/>
                <w:sz w:val="24"/>
                <w:szCs w:val="28"/>
                <w:highlight w:val="none"/>
              </w:rPr>
            </w:pPr>
            <w:r>
              <w:rPr>
                <w:rFonts w:hint="eastAsia" w:ascii="宋体" w:hAnsi="宋体" w:eastAsia="宋体" w:cs="宋体"/>
                <w:bCs/>
                <w:color w:val="auto"/>
                <w:kern w:val="0"/>
                <w:sz w:val="24"/>
                <w:szCs w:val="28"/>
                <w:highlight w:val="none"/>
              </w:rPr>
              <w:t>是否要求投标人提交磋商保证金：</w:t>
            </w:r>
          </w:p>
          <w:p w14:paraId="3AF83BE5">
            <w:pPr>
              <w:snapToGrid w:val="0"/>
              <w:spacing w:line="520" w:lineRule="exact"/>
              <w:rPr>
                <w:rFonts w:hint="eastAsia" w:ascii="宋体" w:hAnsi="宋体" w:eastAsia="宋体" w:cs="宋体"/>
                <w:bCs/>
                <w:color w:val="auto"/>
                <w:kern w:val="0"/>
                <w:sz w:val="24"/>
                <w:szCs w:val="28"/>
                <w:highlight w:val="none"/>
              </w:rPr>
            </w:pPr>
            <w:r>
              <w:rPr>
                <w:rFonts w:hint="eastAsia" w:ascii="宋体" w:hAnsi="宋体" w:eastAsia="宋体" w:cs="宋体"/>
                <w:bCs/>
                <w:color w:val="auto"/>
                <w:sz w:val="24"/>
                <w:szCs w:val="24"/>
                <w:highlight w:val="none"/>
              </w:rPr>
              <w:sym w:font="Wingdings 2" w:char="0052"/>
            </w:r>
            <w:r>
              <w:rPr>
                <w:rFonts w:hint="eastAsia" w:ascii="宋体" w:hAnsi="宋体" w:eastAsia="宋体" w:cs="宋体"/>
                <w:bCs/>
                <w:color w:val="auto"/>
                <w:kern w:val="0"/>
                <w:sz w:val="24"/>
                <w:szCs w:val="28"/>
                <w:highlight w:val="none"/>
              </w:rPr>
              <w:t>不要求</w:t>
            </w:r>
          </w:p>
        </w:tc>
      </w:tr>
      <w:tr w14:paraId="39B35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2" w:hRule="atLeast"/>
          <w:jc w:val="center"/>
        </w:trPr>
        <w:tc>
          <w:tcPr>
            <w:tcW w:w="1004" w:type="dxa"/>
            <w:vAlign w:val="center"/>
          </w:tcPr>
          <w:p w14:paraId="1197B01D">
            <w:pPr>
              <w:pStyle w:val="30"/>
              <w:rPr>
                <w:rFonts w:hint="eastAsia"/>
                <w:color w:val="auto"/>
                <w:highlight w:val="none"/>
              </w:rPr>
            </w:pPr>
            <w:r>
              <w:rPr>
                <w:rFonts w:hint="eastAsia"/>
                <w:color w:val="auto"/>
                <w:highlight w:val="none"/>
              </w:rPr>
              <w:t>13.3</w:t>
            </w:r>
          </w:p>
        </w:tc>
        <w:tc>
          <w:tcPr>
            <w:tcW w:w="2025" w:type="dxa"/>
            <w:vAlign w:val="center"/>
          </w:tcPr>
          <w:p w14:paraId="034C13B1">
            <w:pPr>
              <w:pStyle w:val="29"/>
              <w:rPr>
                <w:rFonts w:hint="eastAsia"/>
                <w:b/>
                <w:color w:val="auto"/>
                <w:highlight w:val="none"/>
              </w:rPr>
            </w:pPr>
            <w:r>
              <w:rPr>
                <w:rFonts w:hint="eastAsia"/>
                <w:color w:val="auto"/>
                <w:highlight w:val="none"/>
              </w:rPr>
              <w:t>其他不予退还磋商保证金的情形</w:t>
            </w:r>
          </w:p>
        </w:tc>
        <w:tc>
          <w:tcPr>
            <w:tcW w:w="5466" w:type="dxa"/>
            <w:vAlign w:val="center"/>
          </w:tcPr>
          <w:p w14:paraId="189C27E6">
            <w:pPr>
              <w:pStyle w:val="29"/>
              <w:rPr>
                <w:rFonts w:hint="eastAsia"/>
                <w:color w:val="auto"/>
                <w:highlight w:val="none"/>
              </w:rPr>
            </w:pPr>
            <w:r>
              <w:rPr>
                <w:rFonts w:hint="eastAsia"/>
                <w:color w:val="auto"/>
                <w:highlight w:val="none"/>
              </w:rPr>
              <w:t>/</w:t>
            </w:r>
          </w:p>
        </w:tc>
      </w:tr>
      <w:tr w14:paraId="6EB17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4" w:type="dxa"/>
            <w:vAlign w:val="center"/>
          </w:tcPr>
          <w:p w14:paraId="303796BD">
            <w:pPr>
              <w:pStyle w:val="30"/>
              <w:rPr>
                <w:rFonts w:hint="eastAsia"/>
                <w:color w:val="auto"/>
                <w:highlight w:val="none"/>
              </w:rPr>
            </w:pPr>
            <w:r>
              <w:rPr>
                <w:rFonts w:hint="eastAsia"/>
                <w:color w:val="auto"/>
                <w:highlight w:val="none"/>
              </w:rPr>
              <w:t>14.1</w:t>
            </w:r>
          </w:p>
        </w:tc>
        <w:tc>
          <w:tcPr>
            <w:tcW w:w="2025" w:type="dxa"/>
            <w:vAlign w:val="center"/>
          </w:tcPr>
          <w:p w14:paraId="5F9E930C">
            <w:pPr>
              <w:pStyle w:val="29"/>
              <w:rPr>
                <w:rFonts w:hint="eastAsia"/>
                <w:b/>
                <w:color w:val="auto"/>
                <w:highlight w:val="none"/>
              </w:rPr>
            </w:pPr>
            <w:r>
              <w:rPr>
                <w:rFonts w:hint="eastAsia"/>
                <w:color w:val="auto"/>
                <w:highlight w:val="none"/>
              </w:rPr>
              <w:t>磋商有效期</w:t>
            </w:r>
          </w:p>
        </w:tc>
        <w:tc>
          <w:tcPr>
            <w:tcW w:w="5466" w:type="dxa"/>
            <w:vAlign w:val="center"/>
          </w:tcPr>
          <w:p w14:paraId="617C0AA6">
            <w:pPr>
              <w:pStyle w:val="29"/>
              <w:rPr>
                <w:rFonts w:hint="eastAsia"/>
                <w:b/>
                <w:color w:val="auto"/>
                <w:highlight w:val="none"/>
              </w:rPr>
            </w:pPr>
            <w:r>
              <w:rPr>
                <w:rFonts w:hint="eastAsia"/>
                <w:color w:val="auto"/>
                <w:highlight w:val="none"/>
              </w:rPr>
              <w:t>120日历日</w:t>
            </w:r>
          </w:p>
        </w:tc>
      </w:tr>
      <w:tr w14:paraId="73412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4" w:type="dxa"/>
            <w:vAlign w:val="center"/>
          </w:tcPr>
          <w:p w14:paraId="28AC80A3">
            <w:pPr>
              <w:pStyle w:val="30"/>
              <w:rPr>
                <w:rFonts w:hint="eastAsia"/>
                <w:color w:val="auto"/>
                <w:highlight w:val="none"/>
              </w:rPr>
            </w:pPr>
            <w:r>
              <w:rPr>
                <w:rFonts w:hint="eastAsia"/>
                <w:color w:val="auto"/>
                <w:highlight w:val="none"/>
              </w:rPr>
              <w:t>15.1</w:t>
            </w:r>
          </w:p>
        </w:tc>
        <w:tc>
          <w:tcPr>
            <w:tcW w:w="2025" w:type="dxa"/>
            <w:vAlign w:val="center"/>
          </w:tcPr>
          <w:p w14:paraId="4EE0561A">
            <w:pPr>
              <w:pStyle w:val="29"/>
              <w:rPr>
                <w:rFonts w:hint="eastAsia"/>
                <w:b/>
                <w:color w:val="auto"/>
                <w:highlight w:val="none"/>
              </w:rPr>
            </w:pPr>
            <w:r>
              <w:rPr>
                <w:rFonts w:hint="eastAsia"/>
                <w:color w:val="auto"/>
                <w:highlight w:val="none"/>
              </w:rPr>
              <w:t>响应文件要求</w:t>
            </w:r>
          </w:p>
          <w:p w14:paraId="7CCFAEC6">
            <w:pPr>
              <w:pStyle w:val="29"/>
              <w:rPr>
                <w:rFonts w:hint="eastAsia"/>
                <w:color w:val="auto"/>
                <w:highlight w:val="none"/>
              </w:rPr>
            </w:pPr>
            <w:r>
              <w:rPr>
                <w:rFonts w:hint="eastAsia"/>
                <w:color w:val="auto"/>
                <w:highlight w:val="none"/>
              </w:rPr>
              <w:t>（纸质）</w:t>
            </w:r>
          </w:p>
        </w:tc>
        <w:tc>
          <w:tcPr>
            <w:tcW w:w="5466" w:type="dxa"/>
            <w:vAlign w:val="center"/>
          </w:tcPr>
          <w:p w14:paraId="3556E2C8">
            <w:pPr>
              <w:pStyle w:val="29"/>
              <w:rPr>
                <w:rFonts w:hint="eastAsia"/>
                <w:color w:val="auto"/>
                <w:highlight w:val="none"/>
              </w:rPr>
            </w:pPr>
            <w:bookmarkStart w:id="9" w:name="_Hlk179388000"/>
            <w:r>
              <w:rPr>
                <w:rFonts w:hint="eastAsia"/>
                <w:color w:val="auto"/>
                <w:highlight w:val="none"/>
              </w:rPr>
              <w:t>（1）纸质版投标文件（要求胶装成册）：</w:t>
            </w:r>
          </w:p>
          <w:p w14:paraId="6146F5DC">
            <w:pPr>
              <w:pStyle w:val="29"/>
              <w:rPr>
                <w:rFonts w:hint="eastAsia"/>
                <w:color w:val="auto"/>
                <w:highlight w:val="none"/>
              </w:rPr>
            </w:pPr>
            <w:r>
              <w:rPr>
                <w:rFonts w:hint="eastAsia"/>
                <w:color w:val="auto"/>
                <w:highlight w:val="none"/>
              </w:rPr>
              <w:t>正本1份；副本2份，密封提交。</w:t>
            </w:r>
          </w:p>
          <w:p w14:paraId="7A52E5A4">
            <w:pPr>
              <w:pStyle w:val="29"/>
              <w:rPr>
                <w:rFonts w:hint="eastAsia"/>
                <w:color w:val="auto"/>
                <w:highlight w:val="none"/>
              </w:rPr>
            </w:pPr>
            <w:r>
              <w:rPr>
                <w:rFonts w:hint="eastAsia"/>
                <w:color w:val="auto"/>
                <w:highlight w:val="none"/>
              </w:rPr>
              <w:t>（2）电子版投标文件（仅作为存档使用，不作为否决条款，要求与纸质版投标文件一致）：</w:t>
            </w:r>
          </w:p>
          <w:p w14:paraId="5940B3EC">
            <w:pPr>
              <w:pStyle w:val="29"/>
              <w:rPr>
                <w:rFonts w:hint="eastAsia"/>
                <w:color w:val="auto"/>
                <w:highlight w:val="none"/>
              </w:rPr>
            </w:pPr>
            <w:r>
              <w:rPr>
                <w:rFonts w:hint="eastAsia"/>
                <w:color w:val="auto"/>
                <w:highlight w:val="none"/>
              </w:rPr>
              <w:t>U盘或光盘1份（加盖公章后完整版投标文件扫件）。</w:t>
            </w:r>
          </w:p>
          <w:bookmarkEnd w:id="9"/>
          <w:p w14:paraId="4670DFA9">
            <w:pPr>
              <w:pStyle w:val="29"/>
              <w:rPr>
                <w:rFonts w:hint="eastAsia"/>
                <w:color w:val="auto"/>
                <w:highlight w:val="none"/>
              </w:rPr>
            </w:pPr>
            <w:r>
              <w:rPr>
                <w:rFonts w:hint="eastAsia"/>
                <w:color w:val="auto"/>
                <w:highlight w:val="none"/>
              </w:rPr>
              <w:t>重要提示：以上文件均须密封提交，密封档案袋封面格式由投标人自行拟定，但须至少反映出投标项目名称</w:t>
            </w:r>
            <w:r>
              <w:rPr>
                <w:rFonts w:hint="eastAsia"/>
                <w:color w:val="auto"/>
                <w:highlight w:val="none"/>
                <w:lang w:val="en-US" w:eastAsia="zh-CN"/>
              </w:rPr>
              <w:t>及标段</w:t>
            </w:r>
            <w:r>
              <w:rPr>
                <w:rFonts w:hint="eastAsia"/>
                <w:color w:val="auto"/>
                <w:highlight w:val="none"/>
              </w:rPr>
              <w:t>、项目编号、投标人名称、投标时间，并加盖投标人公章。如未注明以上信息，则视为为响应招标文件要求，将作废标处理，由此造成的所有责任由投标人自行承担。</w:t>
            </w:r>
          </w:p>
        </w:tc>
      </w:tr>
      <w:tr w14:paraId="63AA2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4" w:type="dxa"/>
            <w:vAlign w:val="center"/>
          </w:tcPr>
          <w:p w14:paraId="25B94CEC">
            <w:pPr>
              <w:pStyle w:val="30"/>
              <w:rPr>
                <w:rFonts w:hint="eastAsia"/>
                <w:color w:val="auto"/>
                <w:highlight w:val="none"/>
              </w:rPr>
            </w:pPr>
            <w:r>
              <w:rPr>
                <w:rFonts w:hint="eastAsia"/>
                <w:color w:val="auto"/>
                <w:highlight w:val="none"/>
              </w:rPr>
              <w:t>15.3</w:t>
            </w:r>
          </w:p>
        </w:tc>
        <w:tc>
          <w:tcPr>
            <w:tcW w:w="2025" w:type="dxa"/>
            <w:vAlign w:val="center"/>
          </w:tcPr>
          <w:p w14:paraId="50C8B381">
            <w:pPr>
              <w:pStyle w:val="29"/>
              <w:rPr>
                <w:rFonts w:hint="eastAsia"/>
                <w:b/>
                <w:color w:val="auto"/>
                <w:highlight w:val="none"/>
              </w:rPr>
            </w:pPr>
            <w:r>
              <w:rPr>
                <w:rFonts w:hint="eastAsia"/>
                <w:color w:val="auto"/>
                <w:highlight w:val="none"/>
              </w:rPr>
              <w:t>磋商现场提交的其他材料要求</w:t>
            </w:r>
          </w:p>
        </w:tc>
        <w:tc>
          <w:tcPr>
            <w:tcW w:w="5466" w:type="dxa"/>
            <w:vAlign w:val="center"/>
          </w:tcPr>
          <w:p w14:paraId="3E9B376D">
            <w:pPr>
              <w:pStyle w:val="29"/>
              <w:rPr>
                <w:rFonts w:hint="eastAsia"/>
                <w:b/>
                <w:color w:val="auto"/>
                <w:highlight w:val="none"/>
              </w:rPr>
            </w:pPr>
            <w:r>
              <w:rPr>
                <w:rFonts w:hint="eastAsia"/>
                <w:color w:val="auto"/>
                <w:highlight w:val="none"/>
              </w:rPr>
              <w:t xml:space="preserve">  无  </w:t>
            </w:r>
          </w:p>
        </w:tc>
      </w:tr>
      <w:tr w14:paraId="0404D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4" w:type="dxa"/>
            <w:vAlign w:val="center"/>
          </w:tcPr>
          <w:p w14:paraId="11F71EB1">
            <w:pPr>
              <w:pStyle w:val="30"/>
              <w:rPr>
                <w:rFonts w:hint="eastAsia"/>
                <w:color w:val="auto"/>
                <w:highlight w:val="none"/>
              </w:rPr>
            </w:pPr>
            <w:r>
              <w:rPr>
                <w:rFonts w:hint="eastAsia"/>
                <w:color w:val="auto"/>
                <w:highlight w:val="none"/>
              </w:rPr>
              <w:t>16.1</w:t>
            </w:r>
          </w:p>
        </w:tc>
        <w:tc>
          <w:tcPr>
            <w:tcW w:w="2025" w:type="dxa"/>
            <w:vAlign w:val="center"/>
          </w:tcPr>
          <w:p w14:paraId="50611CC7">
            <w:pPr>
              <w:pStyle w:val="29"/>
              <w:rPr>
                <w:rFonts w:hint="eastAsia"/>
                <w:b/>
                <w:color w:val="auto"/>
                <w:highlight w:val="none"/>
              </w:rPr>
            </w:pPr>
            <w:r>
              <w:rPr>
                <w:rFonts w:hint="eastAsia"/>
                <w:color w:val="auto"/>
                <w:highlight w:val="none"/>
              </w:rPr>
              <w:t>响应文件提交截止时间</w:t>
            </w:r>
          </w:p>
        </w:tc>
        <w:tc>
          <w:tcPr>
            <w:tcW w:w="5466" w:type="dxa"/>
            <w:vAlign w:val="center"/>
          </w:tcPr>
          <w:p w14:paraId="3899EC23">
            <w:pPr>
              <w:pStyle w:val="29"/>
              <w:rPr>
                <w:rFonts w:hint="eastAsia"/>
                <w:b/>
                <w:color w:val="auto"/>
                <w:highlight w:val="none"/>
              </w:rPr>
            </w:pPr>
            <w:r>
              <w:rPr>
                <w:rFonts w:hint="eastAsia"/>
                <w:color w:val="auto"/>
                <w:highlight w:val="none"/>
              </w:rPr>
              <w:t>详见磋商公告</w:t>
            </w:r>
          </w:p>
        </w:tc>
      </w:tr>
      <w:tr w14:paraId="4A45C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4" w:type="dxa"/>
            <w:vMerge w:val="restart"/>
            <w:vAlign w:val="center"/>
          </w:tcPr>
          <w:p w14:paraId="49FECA60">
            <w:pPr>
              <w:pStyle w:val="30"/>
              <w:rPr>
                <w:rFonts w:hint="eastAsia"/>
                <w:color w:val="auto"/>
                <w:highlight w:val="none"/>
              </w:rPr>
            </w:pPr>
            <w:r>
              <w:rPr>
                <w:rFonts w:hint="eastAsia"/>
                <w:color w:val="auto"/>
                <w:highlight w:val="none"/>
              </w:rPr>
              <w:t>19.1</w:t>
            </w:r>
          </w:p>
        </w:tc>
        <w:tc>
          <w:tcPr>
            <w:tcW w:w="2025" w:type="dxa"/>
            <w:vAlign w:val="center"/>
          </w:tcPr>
          <w:p w14:paraId="4EA6AA67">
            <w:pPr>
              <w:pStyle w:val="29"/>
              <w:rPr>
                <w:rFonts w:hint="eastAsia"/>
                <w:b/>
                <w:color w:val="auto"/>
                <w:highlight w:val="none"/>
              </w:rPr>
            </w:pPr>
            <w:r>
              <w:rPr>
                <w:rFonts w:hint="eastAsia"/>
                <w:color w:val="auto"/>
                <w:highlight w:val="none"/>
              </w:rPr>
              <w:t>磋商时间</w:t>
            </w:r>
          </w:p>
        </w:tc>
        <w:tc>
          <w:tcPr>
            <w:tcW w:w="5466" w:type="dxa"/>
            <w:vAlign w:val="center"/>
          </w:tcPr>
          <w:p w14:paraId="6AE40FFA">
            <w:pPr>
              <w:pStyle w:val="29"/>
              <w:rPr>
                <w:rFonts w:hint="eastAsia"/>
                <w:b/>
                <w:color w:val="auto"/>
                <w:highlight w:val="none"/>
              </w:rPr>
            </w:pPr>
            <w:r>
              <w:rPr>
                <w:rFonts w:hint="eastAsia"/>
                <w:color w:val="auto"/>
                <w:highlight w:val="none"/>
              </w:rPr>
              <w:t>详见磋商公告</w:t>
            </w:r>
          </w:p>
        </w:tc>
      </w:tr>
      <w:tr w14:paraId="2743E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4" w:type="dxa"/>
            <w:vMerge w:val="continue"/>
            <w:vAlign w:val="center"/>
          </w:tcPr>
          <w:p w14:paraId="72C32CE1">
            <w:pPr>
              <w:pStyle w:val="30"/>
              <w:rPr>
                <w:rFonts w:hint="eastAsia"/>
                <w:color w:val="auto"/>
                <w:highlight w:val="none"/>
              </w:rPr>
            </w:pPr>
          </w:p>
        </w:tc>
        <w:tc>
          <w:tcPr>
            <w:tcW w:w="2025" w:type="dxa"/>
            <w:vAlign w:val="center"/>
          </w:tcPr>
          <w:p w14:paraId="449DA089">
            <w:pPr>
              <w:pStyle w:val="29"/>
              <w:rPr>
                <w:rFonts w:hint="eastAsia"/>
                <w:b/>
                <w:color w:val="auto"/>
                <w:highlight w:val="none"/>
              </w:rPr>
            </w:pPr>
            <w:r>
              <w:rPr>
                <w:rFonts w:hint="eastAsia"/>
                <w:color w:val="auto"/>
                <w:highlight w:val="none"/>
              </w:rPr>
              <w:t>磋商地点</w:t>
            </w:r>
          </w:p>
        </w:tc>
        <w:tc>
          <w:tcPr>
            <w:tcW w:w="5466" w:type="dxa"/>
            <w:vAlign w:val="center"/>
          </w:tcPr>
          <w:p w14:paraId="6E2477B7">
            <w:pPr>
              <w:pStyle w:val="29"/>
              <w:rPr>
                <w:rFonts w:hint="eastAsia"/>
                <w:b/>
                <w:color w:val="auto"/>
                <w:highlight w:val="none"/>
              </w:rPr>
            </w:pPr>
            <w:r>
              <w:rPr>
                <w:rFonts w:hint="eastAsia"/>
                <w:color w:val="auto"/>
                <w:highlight w:val="none"/>
              </w:rPr>
              <w:t>详见磋商公告</w:t>
            </w:r>
          </w:p>
          <w:p w14:paraId="0811A06B">
            <w:pPr>
              <w:pStyle w:val="29"/>
              <w:rPr>
                <w:rFonts w:hint="eastAsia"/>
                <w:b/>
                <w:color w:val="auto"/>
                <w:highlight w:val="none"/>
              </w:rPr>
            </w:pPr>
            <w:r>
              <w:rPr>
                <w:rFonts w:hint="eastAsia"/>
                <w:color w:val="auto"/>
                <w:highlight w:val="none"/>
              </w:rPr>
              <w:t>注：投标人无须现场参加磋商</w:t>
            </w:r>
          </w:p>
        </w:tc>
      </w:tr>
      <w:tr w14:paraId="534FE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4" w:type="dxa"/>
            <w:vAlign w:val="center"/>
          </w:tcPr>
          <w:p w14:paraId="7266089F">
            <w:pPr>
              <w:pStyle w:val="30"/>
              <w:rPr>
                <w:rFonts w:hint="eastAsia"/>
                <w:color w:val="auto"/>
                <w:highlight w:val="none"/>
              </w:rPr>
            </w:pPr>
            <w:r>
              <w:rPr>
                <w:rFonts w:hint="eastAsia"/>
                <w:color w:val="auto"/>
                <w:highlight w:val="none"/>
              </w:rPr>
              <w:t>19.3</w:t>
            </w:r>
          </w:p>
        </w:tc>
        <w:tc>
          <w:tcPr>
            <w:tcW w:w="2025" w:type="dxa"/>
            <w:vAlign w:val="center"/>
          </w:tcPr>
          <w:p w14:paraId="4F65AA21">
            <w:pPr>
              <w:pStyle w:val="29"/>
              <w:rPr>
                <w:rFonts w:hint="eastAsia"/>
                <w:b/>
                <w:color w:val="auto"/>
                <w:highlight w:val="none"/>
              </w:rPr>
            </w:pPr>
            <w:r>
              <w:rPr>
                <w:rFonts w:hint="eastAsia"/>
                <w:color w:val="auto"/>
                <w:highlight w:val="none"/>
              </w:rPr>
              <w:t>评审方法</w:t>
            </w:r>
          </w:p>
        </w:tc>
        <w:tc>
          <w:tcPr>
            <w:tcW w:w="5466" w:type="dxa"/>
            <w:vAlign w:val="center"/>
          </w:tcPr>
          <w:p w14:paraId="0A3CA343">
            <w:pPr>
              <w:pStyle w:val="29"/>
              <w:rPr>
                <w:rFonts w:hint="eastAsia"/>
                <w:b/>
                <w:color w:val="auto"/>
                <w:highlight w:val="none"/>
              </w:rPr>
            </w:pPr>
            <w:r>
              <w:rPr>
                <w:rFonts w:hint="eastAsia"/>
                <w:color w:val="auto"/>
                <w:highlight w:val="none"/>
              </w:rPr>
              <w:sym w:font="Wingdings" w:char="F0FE"/>
            </w:r>
            <w:r>
              <w:rPr>
                <w:rFonts w:hint="eastAsia"/>
                <w:color w:val="auto"/>
                <w:highlight w:val="none"/>
              </w:rPr>
              <w:t>综合评分法</w:t>
            </w:r>
          </w:p>
        </w:tc>
      </w:tr>
      <w:tr w14:paraId="7F4BC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4" w:type="dxa"/>
            <w:vMerge w:val="restart"/>
            <w:vAlign w:val="center"/>
          </w:tcPr>
          <w:p w14:paraId="3BEBB90F">
            <w:pPr>
              <w:pStyle w:val="30"/>
              <w:rPr>
                <w:rFonts w:hint="eastAsia"/>
                <w:color w:val="auto"/>
                <w:highlight w:val="none"/>
              </w:rPr>
            </w:pPr>
            <w:r>
              <w:rPr>
                <w:rFonts w:hint="eastAsia"/>
                <w:color w:val="auto"/>
                <w:highlight w:val="none"/>
              </w:rPr>
              <w:t>24.1</w:t>
            </w:r>
          </w:p>
        </w:tc>
        <w:tc>
          <w:tcPr>
            <w:tcW w:w="2025" w:type="dxa"/>
            <w:vMerge w:val="restart"/>
            <w:vAlign w:val="center"/>
          </w:tcPr>
          <w:p w14:paraId="5D273ABB">
            <w:pPr>
              <w:pStyle w:val="29"/>
              <w:rPr>
                <w:rFonts w:hint="eastAsia"/>
                <w:b/>
                <w:color w:val="auto"/>
                <w:highlight w:val="none"/>
              </w:rPr>
            </w:pPr>
            <w:r>
              <w:rPr>
                <w:rFonts w:hint="eastAsia"/>
                <w:color w:val="auto"/>
                <w:highlight w:val="none"/>
              </w:rPr>
              <w:t>确定中标候选人和中标人</w:t>
            </w:r>
          </w:p>
        </w:tc>
        <w:tc>
          <w:tcPr>
            <w:tcW w:w="5466" w:type="dxa"/>
            <w:vAlign w:val="center"/>
          </w:tcPr>
          <w:p w14:paraId="4505004F">
            <w:pPr>
              <w:pStyle w:val="29"/>
              <w:rPr>
                <w:rFonts w:hint="default"/>
                <w:b/>
                <w:color w:val="auto"/>
                <w:highlight w:val="none"/>
                <w:lang w:val="en-US"/>
              </w:rPr>
            </w:pPr>
            <w:r>
              <w:rPr>
                <w:color w:val="auto"/>
                <w:sz w:val="24"/>
                <w:highlight w:val="none"/>
              </w:rPr>
              <mc:AlternateContent>
                <mc:Choice Requires="wps">
                  <w:drawing>
                    <wp:anchor distT="0" distB="0" distL="114300" distR="114300" simplePos="0" relativeHeight="251659264" behindDoc="0" locked="0" layoutInCell="1" allowOverlap="1">
                      <wp:simplePos x="0" y="0"/>
                      <wp:positionH relativeFrom="column">
                        <wp:posOffset>2604135</wp:posOffset>
                      </wp:positionH>
                      <wp:positionV relativeFrom="paragraph">
                        <wp:posOffset>1188720</wp:posOffset>
                      </wp:positionV>
                      <wp:extent cx="635" cy="635"/>
                      <wp:effectExtent l="8890" t="8890" r="15875" b="15875"/>
                      <wp:wrapNone/>
                      <wp:docPr id="4" name="墨迹 4"/>
                      <wp:cNvGraphicFramePr/>
                      <a:graphic xmlns:a="http://schemas.openxmlformats.org/drawingml/2006/main">
                        <a:graphicData uri="http://schemas.microsoft.com/office/word/2010/wordprocessingInk">
                          <mc:AlternateContent xmlns:a14="http://schemas.microsoft.com/office/drawing/2010/main">
                            <mc:Choice Requires="a14">
                              <w14:contentPart bwMode="clr" r:id="rId10">
                                <w14:nvContentPartPr>
                                  <w14:cNvPr id="4" name="墨迹 4"/>
                                  <w14:cNvContentPartPr/>
                                </w14:nvContentPartPr>
                                <w14:xfrm>
                                  <a:off x="5679440" y="9940290"/>
                                  <a:ext cx="635" cy="635"/>
                                </w14:xfrm>
                              </w14:contentPart>
                            </mc:Choice>
                          </mc:AlternateContent>
                        </a:graphicData>
                      </a:graphic>
                    </wp:anchor>
                  </w:drawing>
                </mc:Choice>
                <mc:Fallback>
                  <w:pict>
                    <v:shape id="_x0000_s1026" o:spid="_x0000_s1026" o:spt="75" style="position:absolute;left:0pt;margin-left:205.05pt;margin-top:93.6pt;height:0.05pt;width:0.05pt;z-index:251659264;mso-width-relative:page;mso-height-relative:page;" coordsize="21600,21600" o:gfxdata="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">
                      <v:imagedata r:id="rId11" o:title=""/>
                      <o:lock v:ext="edit"/>
                    </v:shape>
                  </w:pict>
                </mc:Fallback>
              </mc:AlternateContent>
            </w:r>
            <w:r>
              <w:rPr>
                <w:rFonts w:hint="eastAsia"/>
                <w:color w:val="auto"/>
                <w:highlight w:val="none"/>
              </w:rPr>
              <w:t>磋商小组推荐中标候选人的数量：</w:t>
            </w:r>
            <w:r>
              <w:rPr>
                <w:rFonts w:hint="eastAsia"/>
                <w:color w:val="auto"/>
                <w:highlight w:val="none"/>
                <w:lang w:val="en-US" w:eastAsia="zh-CN"/>
              </w:rPr>
              <w:t>推荐1家中标候选人</w:t>
            </w:r>
          </w:p>
        </w:tc>
      </w:tr>
      <w:tr w14:paraId="0EC24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4" w:type="dxa"/>
            <w:vMerge w:val="continue"/>
            <w:vAlign w:val="center"/>
          </w:tcPr>
          <w:p w14:paraId="1A2F6BE2">
            <w:pPr>
              <w:pStyle w:val="30"/>
              <w:rPr>
                <w:rFonts w:hint="eastAsia"/>
                <w:color w:val="auto"/>
                <w:highlight w:val="none"/>
              </w:rPr>
            </w:pPr>
          </w:p>
        </w:tc>
        <w:tc>
          <w:tcPr>
            <w:tcW w:w="2025" w:type="dxa"/>
            <w:vMerge w:val="continue"/>
            <w:vAlign w:val="center"/>
          </w:tcPr>
          <w:p w14:paraId="284A70E1">
            <w:pPr>
              <w:pStyle w:val="29"/>
              <w:rPr>
                <w:rFonts w:hint="eastAsia"/>
                <w:color w:val="auto"/>
                <w:highlight w:val="none"/>
              </w:rPr>
            </w:pPr>
          </w:p>
        </w:tc>
        <w:tc>
          <w:tcPr>
            <w:tcW w:w="5466" w:type="dxa"/>
            <w:vAlign w:val="center"/>
          </w:tcPr>
          <w:p w14:paraId="4AD92EEB">
            <w:pPr>
              <w:pStyle w:val="29"/>
              <w:rPr>
                <w:rFonts w:hint="eastAsia"/>
                <w:b/>
                <w:color w:val="auto"/>
                <w:highlight w:val="none"/>
              </w:rPr>
            </w:pPr>
            <w:r>
              <w:rPr>
                <w:rFonts w:hint="eastAsia"/>
                <w:color w:val="auto"/>
                <w:highlight w:val="none"/>
              </w:rPr>
              <w:t>确定中标人：</w:t>
            </w:r>
          </w:p>
          <w:p w14:paraId="08E9DCA5">
            <w:pPr>
              <w:pStyle w:val="29"/>
              <w:rPr>
                <w:rFonts w:hint="eastAsia"/>
                <w:b/>
                <w:color w:val="auto"/>
                <w:highlight w:val="none"/>
              </w:rPr>
            </w:pPr>
            <w:r>
              <w:rPr>
                <w:rFonts w:hint="eastAsia"/>
                <w:color w:val="auto"/>
                <w:highlight w:val="none"/>
              </w:rPr>
              <w:sym w:font="Wingdings" w:char="F0FE"/>
            </w:r>
            <w:r>
              <w:rPr>
                <w:rFonts w:hint="eastAsia"/>
                <w:color w:val="auto"/>
                <w:highlight w:val="none"/>
              </w:rPr>
              <w:t xml:space="preserve">招标人委托磋商小组确定     </w:t>
            </w:r>
            <w:r>
              <w:rPr>
                <w:rFonts w:hint="eastAsia"/>
                <w:color w:val="auto"/>
                <w:highlight w:val="none"/>
                <w:lang w:eastAsia="zh-CN"/>
              </w:rPr>
              <w:t>□</w:t>
            </w:r>
            <w:r>
              <w:rPr>
                <w:rFonts w:hint="eastAsia"/>
                <w:color w:val="auto"/>
                <w:highlight w:val="none"/>
              </w:rPr>
              <w:t>招标人确定</w:t>
            </w:r>
          </w:p>
        </w:tc>
      </w:tr>
      <w:tr w14:paraId="04C00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4" w:type="dxa"/>
            <w:vAlign w:val="center"/>
          </w:tcPr>
          <w:p w14:paraId="4F692100">
            <w:pPr>
              <w:pStyle w:val="30"/>
              <w:rPr>
                <w:rFonts w:hint="eastAsia"/>
                <w:color w:val="auto"/>
                <w:highlight w:val="none"/>
              </w:rPr>
            </w:pPr>
            <w:r>
              <w:rPr>
                <w:rFonts w:hint="eastAsia"/>
                <w:color w:val="auto"/>
                <w:highlight w:val="none"/>
              </w:rPr>
              <w:t>28.1</w:t>
            </w:r>
          </w:p>
        </w:tc>
        <w:tc>
          <w:tcPr>
            <w:tcW w:w="2025" w:type="dxa"/>
            <w:vAlign w:val="center"/>
          </w:tcPr>
          <w:p w14:paraId="0F23E9A6">
            <w:pPr>
              <w:pStyle w:val="29"/>
              <w:rPr>
                <w:rFonts w:hint="eastAsia"/>
                <w:b/>
                <w:color w:val="auto"/>
                <w:highlight w:val="none"/>
              </w:rPr>
            </w:pPr>
            <w:r>
              <w:rPr>
                <w:rFonts w:hint="eastAsia"/>
                <w:color w:val="auto"/>
                <w:highlight w:val="none"/>
              </w:rPr>
              <w:t>中标通知书发出的形式</w:t>
            </w:r>
          </w:p>
        </w:tc>
        <w:tc>
          <w:tcPr>
            <w:tcW w:w="5466" w:type="dxa"/>
            <w:vAlign w:val="center"/>
          </w:tcPr>
          <w:p w14:paraId="6FC74750">
            <w:pPr>
              <w:pStyle w:val="29"/>
              <w:rPr>
                <w:rFonts w:hint="eastAsia"/>
                <w:b/>
                <w:color w:val="auto"/>
                <w:highlight w:val="none"/>
              </w:rPr>
            </w:pPr>
            <w:r>
              <w:rPr>
                <w:rFonts w:hint="eastAsia"/>
                <w:color w:val="auto"/>
                <w:highlight w:val="none"/>
              </w:rPr>
              <w:t xml:space="preserve"> </w:t>
            </w:r>
            <w:r>
              <w:rPr>
                <w:rFonts w:hint="eastAsia"/>
                <w:color w:val="auto"/>
                <w:highlight w:val="none"/>
              </w:rPr>
              <w:sym w:font="Wingdings" w:char="F0FE"/>
            </w:r>
            <w:r>
              <w:rPr>
                <w:rFonts w:hint="eastAsia"/>
                <w:color w:val="auto"/>
                <w:highlight w:val="none"/>
              </w:rPr>
              <w:t>数据电文</w:t>
            </w:r>
          </w:p>
          <w:p w14:paraId="4B07C93D">
            <w:pPr>
              <w:pStyle w:val="29"/>
              <w:rPr>
                <w:rFonts w:hint="eastAsia"/>
                <w:b/>
                <w:color w:val="auto"/>
                <w:highlight w:val="none"/>
              </w:rPr>
            </w:pPr>
            <w:r>
              <w:rPr>
                <w:rFonts w:hint="eastAsia"/>
                <w:snapToGrid w:val="0"/>
                <w:color w:val="auto"/>
                <w:highlight w:val="none"/>
              </w:rPr>
              <w:t xml:space="preserve">特别提醒：招标人确定中标人后，通过线上邮箱或通讯工具发送，中标通知书发出即视为送达。 </w:t>
            </w:r>
          </w:p>
        </w:tc>
      </w:tr>
      <w:tr w14:paraId="4DAE9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4" w:type="dxa"/>
            <w:vAlign w:val="center"/>
          </w:tcPr>
          <w:p w14:paraId="561A5ED8">
            <w:pPr>
              <w:pStyle w:val="30"/>
              <w:rPr>
                <w:rFonts w:hint="eastAsia"/>
                <w:color w:val="auto"/>
                <w:highlight w:val="none"/>
              </w:rPr>
            </w:pPr>
            <w:r>
              <w:rPr>
                <w:rFonts w:hint="eastAsia"/>
                <w:color w:val="auto"/>
                <w:highlight w:val="none"/>
              </w:rPr>
              <w:t>29.1</w:t>
            </w:r>
          </w:p>
        </w:tc>
        <w:tc>
          <w:tcPr>
            <w:tcW w:w="2025" w:type="dxa"/>
            <w:vAlign w:val="center"/>
          </w:tcPr>
          <w:p w14:paraId="4CB55790">
            <w:pPr>
              <w:pStyle w:val="29"/>
              <w:rPr>
                <w:rFonts w:hint="eastAsia"/>
                <w:b/>
                <w:color w:val="auto"/>
                <w:highlight w:val="none"/>
              </w:rPr>
            </w:pPr>
            <w:r>
              <w:rPr>
                <w:rFonts w:hint="eastAsia"/>
                <w:color w:val="auto"/>
                <w:highlight w:val="none"/>
              </w:rPr>
              <w:t>告知磋商结果的形式</w:t>
            </w:r>
          </w:p>
        </w:tc>
        <w:tc>
          <w:tcPr>
            <w:tcW w:w="5466" w:type="dxa"/>
            <w:vAlign w:val="center"/>
          </w:tcPr>
          <w:p w14:paraId="1A0BB1BE">
            <w:pPr>
              <w:pStyle w:val="29"/>
              <w:rPr>
                <w:rFonts w:hint="eastAsia"/>
                <w:b/>
                <w:color w:val="auto"/>
                <w:highlight w:val="none"/>
              </w:rPr>
            </w:pPr>
            <w:r>
              <w:rPr>
                <w:rFonts w:hint="eastAsia"/>
                <w:color w:val="auto"/>
                <w:highlight w:val="none"/>
              </w:rPr>
              <w:sym w:font="Wingdings" w:char="F0FE"/>
            </w:r>
            <w:r>
              <w:rPr>
                <w:rFonts w:hint="eastAsia"/>
                <w:color w:val="auto"/>
                <w:highlight w:val="none"/>
              </w:rPr>
              <w:t>投标人自行登录滨湖时光集团官网查看</w:t>
            </w:r>
          </w:p>
        </w:tc>
      </w:tr>
      <w:tr w14:paraId="7D56F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4" w:type="dxa"/>
            <w:vAlign w:val="center"/>
          </w:tcPr>
          <w:p w14:paraId="3E2C5EFC">
            <w:pPr>
              <w:pStyle w:val="30"/>
              <w:rPr>
                <w:rFonts w:hint="eastAsia"/>
                <w:color w:val="auto"/>
                <w:highlight w:val="none"/>
              </w:rPr>
            </w:pPr>
            <w:r>
              <w:rPr>
                <w:rFonts w:hint="eastAsia"/>
                <w:color w:val="auto"/>
                <w:highlight w:val="none"/>
              </w:rPr>
              <w:t>30.1</w:t>
            </w:r>
          </w:p>
        </w:tc>
        <w:tc>
          <w:tcPr>
            <w:tcW w:w="2025" w:type="dxa"/>
            <w:vAlign w:val="center"/>
          </w:tcPr>
          <w:p w14:paraId="4744C290">
            <w:pPr>
              <w:pStyle w:val="29"/>
              <w:rPr>
                <w:rFonts w:hint="eastAsia"/>
                <w:b/>
                <w:color w:val="auto"/>
                <w:highlight w:val="none"/>
              </w:rPr>
            </w:pPr>
            <w:r>
              <w:rPr>
                <w:rFonts w:hint="eastAsia"/>
                <w:color w:val="auto"/>
                <w:highlight w:val="none"/>
              </w:rPr>
              <w:t>履约保证金</w:t>
            </w:r>
          </w:p>
        </w:tc>
        <w:tc>
          <w:tcPr>
            <w:tcW w:w="5466" w:type="dxa"/>
            <w:vAlign w:val="center"/>
          </w:tcPr>
          <w:p w14:paraId="33E8E00F">
            <w:pPr>
              <w:pStyle w:val="29"/>
              <w:rPr>
                <w:rFonts w:hint="eastAsia"/>
                <w:b/>
                <w:color w:val="auto"/>
                <w:highlight w:val="none"/>
              </w:rPr>
            </w:pPr>
            <w:r>
              <w:rPr>
                <w:rFonts w:hint="eastAsia"/>
                <w:color w:val="auto"/>
                <w:highlight w:val="none"/>
              </w:rPr>
              <w:t>是否要求投标人递交履约保证金：</w:t>
            </w:r>
          </w:p>
          <w:p w14:paraId="4CB2AB00">
            <w:pPr>
              <w:pStyle w:val="29"/>
              <w:rPr>
                <w:rFonts w:hint="eastAsia"/>
                <w:b/>
                <w:color w:val="auto"/>
                <w:highlight w:val="none"/>
              </w:rPr>
            </w:pPr>
            <w:r>
              <w:rPr>
                <w:rFonts w:hint="eastAsia"/>
                <w:color w:val="auto"/>
                <w:highlight w:val="none"/>
              </w:rPr>
              <w:sym w:font="Wingdings 2" w:char="0052"/>
            </w:r>
            <w:r>
              <w:rPr>
                <w:rFonts w:hint="eastAsia"/>
                <w:color w:val="auto"/>
                <w:highlight w:val="none"/>
              </w:rPr>
              <w:t>不要求</w:t>
            </w:r>
          </w:p>
        </w:tc>
      </w:tr>
      <w:tr w14:paraId="35A21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4" w:type="dxa"/>
            <w:vAlign w:val="center"/>
          </w:tcPr>
          <w:p w14:paraId="0CE87E08">
            <w:pPr>
              <w:pStyle w:val="30"/>
              <w:rPr>
                <w:rFonts w:hint="eastAsia"/>
                <w:color w:val="auto"/>
                <w:highlight w:val="none"/>
              </w:rPr>
            </w:pPr>
            <w:r>
              <w:rPr>
                <w:rFonts w:hint="eastAsia"/>
                <w:color w:val="auto"/>
                <w:highlight w:val="none"/>
              </w:rPr>
              <w:t>31.1</w:t>
            </w:r>
          </w:p>
        </w:tc>
        <w:tc>
          <w:tcPr>
            <w:tcW w:w="2025" w:type="dxa"/>
            <w:vAlign w:val="center"/>
          </w:tcPr>
          <w:p w14:paraId="4E37A796">
            <w:pPr>
              <w:pStyle w:val="29"/>
              <w:rPr>
                <w:rFonts w:hint="eastAsia"/>
                <w:b/>
                <w:color w:val="auto"/>
                <w:highlight w:val="none"/>
              </w:rPr>
            </w:pPr>
            <w:r>
              <w:rPr>
                <w:rFonts w:hint="eastAsia"/>
                <w:color w:val="auto"/>
                <w:highlight w:val="none"/>
              </w:rPr>
              <w:t>中标服务费</w:t>
            </w:r>
          </w:p>
        </w:tc>
        <w:tc>
          <w:tcPr>
            <w:tcW w:w="5466" w:type="dxa"/>
            <w:vAlign w:val="center"/>
          </w:tcPr>
          <w:p w14:paraId="4825058D">
            <w:pPr>
              <w:pStyle w:val="29"/>
              <w:rPr>
                <w:rFonts w:hint="eastAsia"/>
                <w:b/>
                <w:color w:val="auto"/>
                <w:highlight w:val="none"/>
              </w:rPr>
            </w:pPr>
            <w:r>
              <w:rPr>
                <w:rFonts w:hint="eastAsia"/>
                <w:color w:val="auto"/>
                <w:highlight w:val="none"/>
              </w:rPr>
              <w:t>（1）金额：</w:t>
            </w:r>
          </w:p>
          <w:p w14:paraId="4F52C6D1">
            <w:pPr>
              <w:pStyle w:val="29"/>
              <w:rPr>
                <w:rFonts w:hint="eastAsia"/>
                <w:b/>
                <w:color w:val="auto"/>
                <w:highlight w:val="none"/>
              </w:rPr>
            </w:pPr>
            <w:r>
              <w:rPr>
                <w:rFonts w:hint="eastAsia"/>
                <w:color w:val="auto"/>
                <w:highlight w:val="none"/>
              </w:rPr>
              <w:sym w:font="Wingdings 2" w:char="0052"/>
            </w:r>
            <w:r>
              <w:rPr>
                <w:rFonts w:hint="eastAsia"/>
                <w:color w:val="auto"/>
                <w:highlight w:val="none"/>
              </w:rPr>
              <w:t>免收</w:t>
            </w:r>
          </w:p>
        </w:tc>
      </w:tr>
      <w:tr w14:paraId="6573C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4" w:type="dxa"/>
            <w:vAlign w:val="center"/>
          </w:tcPr>
          <w:p w14:paraId="272DA117">
            <w:pPr>
              <w:pStyle w:val="30"/>
              <w:rPr>
                <w:rFonts w:hint="eastAsia"/>
                <w:color w:val="auto"/>
                <w:highlight w:val="none"/>
              </w:rPr>
            </w:pPr>
            <w:r>
              <w:rPr>
                <w:rFonts w:hint="eastAsia"/>
                <w:color w:val="auto"/>
                <w:highlight w:val="none"/>
              </w:rPr>
              <w:t>34.3</w:t>
            </w:r>
          </w:p>
        </w:tc>
        <w:tc>
          <w:tcPr>
            <w:tcW w:w="2025" w:type="dxa"/>
            <w:vAlign w:val="center"/>
          </w:tcPr>
          <w:p w14:paraId="1C89C9B9">
            <w:pPr>
              <w:pStyle w:val="29"/>
              <w:rPr>
                <w:rFonts w:hint="eastAsia"/>
                <w:b/>
                <w:color w:val="auto"/>
                <w:highlight w:val="none"/>
              </w:rPr>
            </w:pPr>
            <w:r>
              <w:rPr>
                <w:rFonts w:hint="eastAsia"/>
                <w:color w:val="auto"/>
                <w:highlight w:val="none"/>
              </w:rPr>
              <w:t>异议函递交方式、接收部门、联系电话和通讯地址</w:t>
            </w:r>
          </w:p>
        </w:tc>
        <w:tc>
          <w:tcPr>
            <w:tcW w:w="5466" w:type="dxa"/>
            <w:vAlign w:val="center"/>
          </w:tcPr>
          <w:p w14:paraId="6D0C73EE">
            <w:pPr>
              <w:pStyle w:val="29"/>
              <w:rPr>
                <w:rFonts w:hint="eastAsia"/>
                <w:b/>
                <w:color w:val="auto"/>
                <w:highlight w:val="none"/>
              </w:rPr>
            </w:pPr>
            <w:r>
              <w:rPr>
                <w:rFonts w:hint="eastAsia"/>
                <w:color w:val="auto"/>
                <w:highlight w:val="none"/>
              </w:rPr>
              <w:t>递交方式：书面形式</w:t>
            </w:r>
          </w:p>
          <w:p w14:paraId="11C8545F">
            <w:pPr>
              <w:spacing w:line="360" w:lineRule="auto"/>
              <w:rPr>
                <w:rFonts w:hint="eastAsia" w:ascii="宋体" w:hAnsi="宋体" w:eastAsia="宋体" w:cs="宋体"/>
                <w:color w:val="auto"/>
                <w:kern w:val="0"/>
                <w:sz w:val="24"/>
                <w:szCs w:val="18"/>
                <w:highlight w:val="none"/>
              </w:rPr>
            </w:pPr>
            <w:r>
              <w:rPr>
                <w:rFonts w:hint="eastAsia" w:ascii="宋体" w:hAnsi="宋体" w:eastAsia="宋体" w:cs="宋体"/>
                <w:bCs/>
                <w:color w:val="auto"/>
                <w:kern w:val="0"/>
                <w:sz w:val="24"/>
                <w:szCs w:val="28"/>
                <w:highlight w:val="none"/>
              </w:rPr>
              <w:t>接收部门：</w:t>
            </w:r>
            <w:r>
              <w:rPr>
                <w:rFonts w:hint="eastAsia" w:ascii="宋体" w:hAnsi="宋体" w:eastAsia="宋体" w:cs="宋体"/>
                <w:color w:val="auto"/>
                <w:sz w:val="24"/>
                <w:highlight w:val="none"/>
                <w:u w:val="single"/>
              </w:rPr>
              <w:t>合肥滨湖时光产业投资集团有限公司公共事业部</w:t>
            </w:r>
          </w:p>
          <w:p w14:paraId="42AAF639">
            <w:pPr>
              <w:spacing w:line="360" w:lineRule="auto"/>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rPr>
              <w:t>联系人：</w:t>
            </w:r>
            <w:r>
              <w:rPr>
                <w:rFonts w:hint="eastAsia" w:ascii="宋体" w:hAnsi="宋体" w:eastAsia="宋体" w:cs="宋体"/>
                <w:color w:val="auto"/>
                <w:sz w:val="24"/>
                <w:szCs w:val="18"/>
                <w:highlight w:val="none"/>
                <w:lang w:eastAsia="zh-CN"/>
              </w:rPr>
              <w:t>汤</w:t>
            </w:r>
            <w:r>
              <w:rPr>
                <w:rFonts w:hint="eastAsia" w:ascii="宋体" w:hAnsi="宋体" w:eastAsia="宋体" w:cs="宋体"/>
                <w:color w:val="auto"/>
                <w:sz w:val="24"/>
                <w:szCs w:val="18"/>
                <w:highlight w:val="none"/>
              </w:rPr>
              <w:t>工</w:t>
            </w:r>
            <w:r>
              <w:rPr>
                <w:rFonts w:hint="eastAsia" w:ascii="宋体" w:hAnsi="宋体" w:eastAsia="宋体" w:cs="宋体"/>
                <w:color w:val="auto"/>
                <w:sz w:val="24"/>
                <w:szCs w:val="18"/>
                <w:highlight w:val="none"/>
              </w:rPr>
              <w:br w:type="textWrapping"/>
            </w:r>
            <w:r>
              <w:rPr>
                <w:rFonts w:hint="eastAsia" w:ascii="宋体" w:hAnsi="宋体" w:eastAsia="宋体" w:cs="宋体"/>
                <w:color w:val="auto"/>
                <w:sz w:val="24"/>
                <w:szCs w:val="18"/>
                <w:highlight w:val="none"/>
              </w:rPr>
              <w:t>电话： 0551-63357563</w:t>
            </w:r>
          </w:p>
          <w:p w14:paraId="7A6A9219">
            <w:pPr>
              <w:spacing w:line="360" w:lineRule="auto"/>
              <w:rPr>
                <w:rFonts w:hint="eastAsia" w:ascii="宋体" w:hAnsi="宋体" w:eastAsia="宋体" w:cs="宋体"/>
                <w:color w:val="auto"/>
                <w:kern w:val="0"/>
                <w:sz w:val="24"/>
                <w:szCs w:val="18"/>
                <w:highlight w:val="none"/>
              </w:rPr>
            </w:pPr>
            <w:r>
              <w:rPr>
                <w:rFonts w:hint="eastAsia" w:ascii="宋体" w:hAnsi="宋体" w:eastAsia="宋体" w:cs="宋体"/>
                <w:color w:val="auto"/>
                <w:sz w:val="24"/>
                <w:highlight w:val="none"/>
              </w:rPr>
              <w:t>通讯地址：</w:t>
            </w:r>
            <w:r>
              <w:rPr>
                <w:rFonts w:hint="eastAsia" w:ascii="宋体" w:hAnsi="宋体" w:eastAsia="宋体" w:cs="宋体"/>
                <w:color w:val="auto"/>
                <w:sz w:val="24"/>
                <w:szCs w:val="18"/>
                <w:highlight w:val="none"/>
              </w:rPr>
              <w:t>合肥市包河区花园大道与吉林路交口以南滨湖卓越城 A2栋404室</w:t>
            </w:r>
          </w:p>
        </w:tc>
      </w:tr>
      <w:tr w14:paraId="17D02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4" w:type="dxa"/>
            <w:vAlign w:val="center"/>
          </w:tcPr>
          <w:p w14:paraId="254B8F49">
            <w:pPr>
              <w:pStyle w:val="30"/>
              <w:rPr>
                <w:rFonts w:hint="eastAsia"/>
                <w:color w:val="auto"/>
                <w:highlight w:val="none"/>
              </w:rPr>
            </w:pPr>
            <w:r>
              <w:rPr>
                <w:rFonts w:hint="eastAsia"/>
                <w:color w:val="auto"/>
                <w:highlight w:val="none"/>
              </w:rPr>
              <w:t>35</w:t>
            </w:r>
          </w:p>
        </w:tc>
        <w:tc>
          <w:tcPr>
            <w:tcW w:w="2025" w:type="dxa"/>
            <w:vAlign w:val="center"/>
          </w:tcPr>
          <w:p w14:paraId="5EC4B6D7">
            <w:pPr>
              <w:pStyle w:val="29"/>
              <w:rPr>
                <w:rFonts w:hint="eastAsia"/>
                <w:b/>
                <w:color w:val="auto"/>
                <w:highlight w:val="none"/>
              </w:rPr>
            </w:pPr>
            <w:r>
              <w:rPr>
                <w:rFonts w:hint="eastAsia"/>
                <w:color w:val="auto"/>
                <w:highlight w:val="none"/>
              </w:rPr>
              <w:t>其他内容</w:t>
            </w:r>
          </w:p>
        </w:tc>
        <w:tc>
          <w:tcPr>
            <w:tcW w:w="5466" w:type="dxa"/>
            <w:vAlign w:val="center"/>
          </w:tcPr>
          <w:p w14:paraId="3BA72F58">
            <w:pPr>
              <w:pStyle w:val="29"/>
              <w:rPr>
                <w:rFonts w:hint="eastAsia"/>
                <w:color w:val="auto"/>
                <w:highlight w:val="none"/>
              </w:rPr>
            </w:pPr>
          </w:p>
        </w:tc>
      </w:tr>
      <w:tr w14:paraId="5B400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4" w:type="dxa"/>
            <w:vAlign w:val="center"/>
          </w:tcPr>
          <w:p w14:paraId="27D98CC2">
            <w:pPr>
              <w:pStyle w:val="30"/>
              <w:rPr>
                <w:rFonts w:hint="eastAsia"/>
                <w:color w:val="auto"/>
                <w:highlight w:val="none"/>
              </w:rPr>
            </w:pPr>
            <w:r>
              <w:rPr>
                <w:rFonts w:hint="eastAsia"/>
                <w:color w:val="auto"/>
                <w:highlight w:val="none"/>
              </w:rPr>
              <w:t>35.2</w:t>
            </w:r>
          </w:p>
        </w:tc>
        <w:tc>
          <w:tcPr>
            <w:tcW w:w="2025" w:type="dxa"/>
            <w:vAlign w:val="center"/>
          </w:tcPr>
          <w:p w14:paraId="5FF9B9B4">
            <w:pPr>
              <w:pStyle w:val="29"/>
              <w:rPr>
                <w:rFonts w:hint="eastAsia"/>
                <w:b/>
                <w:snapToGrid w:val="0"/>
                <w:color w:val="auto"/>
                <w:highlight w:val="none"/>
              </w:rPr>
            </w:pPr>
            <w:r>
              <w:rPr>
                <w:rFonts w:hint="eastAsia"/>
                <w:color w:val="auto"/>
                <w:highlight w:val="none"/>
              </w:rPr>
              <w:t>中标候选人公示内容</w:t>
            </w:r>
          </w:p>
        </w:tc>
        <w:tc>
          <w:tcPr>
            <w:tcW w:w="5466" w:type="dxa"/>
            <w:vAlign w:val="center"/>
          </w:tcPr>
          <w:p w14:paraId="0A561652">
            <w:pPr>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本项目中标候选人公示中将对中标候选人经磋商小组评审认可的以下内容进行公示：</w:t>
            </w:r>
          </w:p>
          <w:p w14:paraId="23A2F8CB">
            <w:pPr>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（1）拟任项目负责人（如有）：项目负责人姓名；</w:t>
            </w:r>
          </w:p>
          <w:p w14:paraId="3E2F55A5">
            <w:pPr>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（2）项目负责人业绩（如有）：项目名称；</w:t>
            </w:r>
          </w:p>
          <w:p w14:paraId="38F562E0">
            <w:pPr>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（3）投标人业绩（如有）：项目名称；</w:t>
            </w:r>
          </w:p>
          <w:p w14:paraId="38DEED3D">
            <w:pPr>
              <w:widowControl/>
              <w:snapToGrid w:val="0"/>
              <w:spacing w:line="360" w:lineRule="auto"/>
              <w:jc w:val="left"/>
              <w:rPr>
                <w:rFonts w:hint="eastAsia" w:ascii="宋体" w:hAnsi="宋体" w:eastAsia="宋体" w:cs="宋体"/>
                <w:bCs/>
                <w:snapToGrid w:val="0"/>
                <w:color w:val="auto"/>
                <w:kern w:val="0"/>
                <w:sz w:val="24"/>
                <w:szCs w:val="24"/>
                <w:highlight w:val="none"/>
              </w:rPr>
            </w:pPr>
            <w:r>
              <w:rPr>
                <w:rFonts w:hint="eastAsia" w:ascii="宋体" w:hAnsi="宋体" w:eastAsia="宋体" w:cs="宋体"/>
                <w:color w:val="auto"/>
                <w:sz w:val="24"/>
                <w:szCs w:val="24"/>
                <w:highlight w:val="none"/>
              </w:rPr>
              <w:t>（4）银行保函或担保机构担保或保证保险形式的磋商保证金扫描件（如采用）。</w:t>
            </w:r>
          </w:p>
        </w:tc>
      </w:tr>
      <w:tr w14:paraId="30825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4" w:type="dxa"/>
            <w:vAlign w:val="center"/>
          </w:tcPr>
          <w:p w14:paraId="42CDE30C">
            <w:pPr>
              <w:pStyle w:val="30"/>
              <w:rPr>
                <w:rFonts w:hint="eastAsia"/>
                <w:color w:val="auto"/>
                <w:highlight w:val="none"/>
              </w:rPr>
            </w:pPr>
            <w:r>
              <w:rPr>
                <w:rFonts w:hint="eastAsia"/>
                <w:color w:val="auto"/>
                <w:highlight w:val="none"/>
              </w:rPr>
              <w:t>35.4</w:t>
            </w:r>
          </w:p>
        </w:tc>
        <w:tc>
          <w:tcPr>
            <w:tcW w:w="2025" w:type="dxa"/>
            <w:vAlign w:val="center"/>
          </w:tcPr>
          <w:p w14:paraId="6F8C0CC9">
            <w:pPr>
              <w:pStyle w:val="29"/>
              <w:rPr>
                <w:rFonts w:hint="eastAsia"/>
                <w:b/>
                <w:color w:val="auto"/>
                <w:highlight w:val="none"/>
              </w:rPr>
            </w:pPr>
            <w:r>
              <w:rPr>
                <w:rFonts w:hint="eastAsia"/>
                <w:color w:val="auto"/>
                <w:highlight w:val="none"/>
              </w:rPr>
              <w:t>社保证明材料</w:t>
            </w:r>
          </w:p>
          <w:p w14:paraId="6AD37B85">
            <w:pPr>
              <w:pStyle w:val="29"/>
              <w:rPr>
                <w:rFonts w:hint="eastAsia"/>
                <w:b/>
                <w:color w:val="auto"/>
                <w:highlight w:val="none"/>
              </w:rPr>
            </w:pPr>
            <w:r>
              <w:rPr>
                <w:rFonts w:hint="eastAsia"/>
                <w:color w:val="auto"/>
                <w:highlight w:val="none"/>
              </w:rPr>
              <w:t>（如有）</w:t>
            </w:r>
          </w:p>
        </w:tc>
        <w:tc>
          <w:tcPr>
            <w:tcW w:w="5466" w:type="dxa"/>
            <w:vAlign w:val="center"/>
          </w:tcPr>
          <w:p w14:paraId="4E368AF0">
            <w:pPr>
              <w:pStyle w:val="29"/>
              <w:rPr>
                <w:rFonts w:hint="eastAsia"/>
                <w:b/>
                <w:color w:val="auto"/>
                <w:highlight w:val="none"/>
              </w:rPr>
            </w:pPr>
            <w:r>
              <w:rPr>
                <w:rFonts w:hint="eastAsia"/>
                <w:color w:val="auto"/>
                <w:highlight w:val="none"/>
              </w:rPr>
              <w:t>本项目磋商文件中要求提供的社保证明材料为下述形式之一（响应文件中须提供扫描件）：</w:t>
            </w:r>
          </w:p>
          <w:p w14:paraId="1D7CE923">
            <w:pPr>
              <w:pStyle w:val="29"/>
              <w:rPr>
                <w:rFonts w:hint="eastAsia"/>
                <w:b/>
                <w:color w:val="auto"/>
                <w:highlight w:val="none"/>
              </w:rPr>
            </w:pPr>
            <w:r>
              <w:rPr>
                <w:rFonts w:hint="eastAsia"/>
                <w:color w:val="auto"/>
                <w:highlight w:val="none"/>
              </w:rPr>
              <w:t>（1）社保局官方网站查询的缴费记录截图；</w:t>
            </w:r>
          </w:p>
          <w:p w14:paraId="5C08B649">
            <w:pPr>
              <w:pStyle w:val="29"/>
              <w:rPr>
                <w:rFonts w:hint="eastAsia"/>
                <w:b/>
                <w:color w:val="auto"/>
                <w:highlight w:val="none"/>
              </w:rPr>
            </w:pPr>
            <w:r>
              <w:rPr>
                <w:rFonts w:hint="eastAsia"/>
                <w:color w:val="auto"/>
                <w:highlight w:val="none"/>
              </w:rPr>
              <w:t>（2）社保局的书面证明材料；</w:t>
            </w:r>
          </w:p>
          <w:p w14:paraId="5545EECD">
            <w:pPr>
              <w:pStyle w:val="29"/>
              <w:rPr>
                <w:rFonts w:hint="eastAsia"/>
                <w:b/>
                <w:color w:val="auto"/>
                <w:highlight w:val="none"/>
              </w:rPr>
            </w:pPr>
            <w:r>
              <w:rPr>
                <w:rFonts w:hint="eastAsia"/>
                <w:color w:val="auto"/>
                <w:highlight w:val="none"/>
              </w:rPr>
              <w:t>（3）经投标人委托的第三方人力资源服务机构或与投标人有直接隶属关系的机构可以代缴社保，但须提供有关证明材料并经磋商小组确认；</w:t>
            </w:r>
          </w:p>
          <w:p w14:paraId="76E717F8">
            <w:pPr>
              <w:pStyle w:val="29"/>
              <w:rPr>
                <w:rFonts w:hint="eastAsia"/>
                <w:b/>
                <w:color w:val="auto"/>
                <w:highlight w:val="none"/>
              </w:rPr>
            </w:pPr>
            <w:r>
              <w:rPr>
                <w:rFonts w:hint="eastAsia"/>
                <w:color w:val="auto"/>
                <w:highlight w:val="none"/>
              </w:rPr>
              <w:t>（4）参与磋商的机构，社保证明可以用以下任意一种：</w:t>
            </w:r>
          </w:p>
          <w:p w14:paraId="1A8F7BB5">
            <w:pPr>
              <w:pStyle w:val="29"/>
              <w:rPr>
                <w:rFonts w:hint="eastAsia"/>
                <w:b/>
                <w:color w:val="auto"/>
                <w:highlight w:val="none"/>
              </w:rPr>
            </w:pPr>
            <w:r>
              <w:rPr>
                <w:rFonts w:hint="eastAsia"/>
                <w:color w:val="auto"/>
                <w:highlight w:val="none"/>
              </w:rPr>
              <w:t>①加盖投标人公章的教师证（须为本单位人员）；</w:t>
            </w:r>
          </w:p>
          <w:p w14:paraId="0D8996EA">
            <w:pPr>
              <w:pStyle w:val="29"/>
              <w:rPr>
                <w:rFonts w:hint="eastAsia"/>
                <w:b/>
                <w:color w:val="auto"/>
                <w:highlight w:val="none"/>
              </w:rPr>
            </w:pPr>
            <w:r>
              <w:rPr>
                <w:rFonts w:hint="eastAsia"/>
                <w:color w:val="auto"/>
                <w:highlight w:val="none"/>
              </w:rPr>
              <w:t>②医保证明材料；</w:t>
            </w:r>
          </w:p>
          <w:p w14:paraId="726F3F69">
            <w:pPr>
              <w:pStyle w:val="29"/>
              <w:rPr>
                <w:rFonts w:hint="eastAsia"/>
                <w:b/>
                <w:color w:val="auto"/>
                <w:highlight w:val="none"/>
              </w:rPr>
            </w:pPr>
            <w:r>
              <w:rPr>
                <w:rFonts w:hint="eastAsia"/>
                <w:color w:val="auto"/>
                <w:highlight w:val="none"/>
              </w:rPr>
              <w:t>（5）其他经磋商小组认可的证明材料；</w:t>
            </w:r>
          </w:p>
          <w:p w14:paraId="30E08606">
            <w:pPr>
              <w:pStyle w:val="29"/>
              <w:rPr>
                <w:rFonts w:hint="eastAsia"/>
                <w:b/>
                <w:color w:val="auto"/>
                <w:highlight w:val="none"/>
              </w:rPr>
            </w:pPr>
            <w:r>
              <w:rPr>
                <w:rFonts w:hint="eastAsia"/>
                <w:color w:val="auto"/>
                <w:highlight w:val="none"/>
              </w:rPr>
              <w:t>（6）法定代表人参与项目的，无需提供社保证明材料，提供身份证明材料即可。</w:t>
            </w:r>
          </w:p>
        </w:tc>
      </w:tr>
      <w:tr w14:paraId="7F1B5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4" w:type="dxa"/>
            <w:vAlign w:val="center"/>
          </w:tcPr>
          <w:p w14:paraId="13486F95">
            <w:pPr>
              <w:pStyle w:val="30"/>
              <w:rPr>
                <w:rFonts w:hint="eastAsia"/>
                <w:color w:val="auto"/>
                <w:highlight w:val="none"/>
              </w:rPr>
            </w:pPr>
            <w:r>
              <w:rPr>
                <w:rFonts w:hint="eastAsia"/>
                <w:color w:val="auto"/>
                <w:highlight w:val="none"/>
              </w:rPr>
              <w:t>35.6</w:t>
            </w:r>
          </w:p>
        </w:tc>
        <w:tc>
          <w:tcPr>
            <w:tcW w:w="2025" w:type="dxa"/>
            <w:vAlign w:val="center"/>
          </w:tcPr>
          <w:p w14:paraId="5CED65B1">
            <w:pPr>
              <w:pStyle w:val="29"/>
              <w:rPr>
                <w:rFonts w:hint="eastAsia"/>
                <w:b/>
                <w:color w:val="auto"/>
                <w:highlight w:val="none"/>
              </w:rPr>
            </w:pPr>
            <w:r>
              <w:rPr>
                <w:rFonts w:hint="eastAsia"/>
                <w:color w:val="auto"/>
                <w:highlight w:val="none"/>
              </w:rPr>
              <w:t>重要提示</w:t>
            </w:r>
          </w:p>
        </w:tc>
        <w:tc>
          <w:tcPr>
            <w:tcW w:w="5466" w:type="dxa"/>
            <w:vAlign w:val="center"/>
          </w:tcPr>
          <w:p w14:paraId="1A632AD8">
            <w:pPr>
              <w:numPr>
                <w:ilvl w:val="0"/>
                <w:numId w:val="3"/>
              </w:numPr>
              <w:spacing w:line="360" w:lineRule="auto"/>
              <w:ind w:left="0" w:firstLine="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中标人应在规定期限内提交履约保证金（如有）并与招标人签订合同，若中标人未能在规定期限内提交履约保证金（如有）或签订合同，招标人有权取消中标人中标资格，并将相关违约行为报送监管部门，实施信用惩戒；</w:t>
            </w:r>
          </w:p>
          <w:p w14:paraId="696F5764">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②合同签订后，中标人存在规定时间内不组织人员进场、不履行服务义务等情况，招标人有权解除合同，并追究违约责任，同时将相关违约行为报送监管部门处理；</w:t>
            </w:r>
          </w:p>
          <w:p w14:paraId="6F7876A2">
            <w:pPr>
              <w:numPr>
                <w:ilvl w:val="0"/>
                <w:numId w:val="4"/>
              </w:numPr>
              <w:spacing w:line="360" w:lineRule="auto"/>
              <w:ind w:left="0" w:firstLine="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中标人中标后被监管部门查实存在违法行为，不满足中标条件的，招标人直接取消中标资格；</w:t>
            </w:r>
          </w:p>
          <w:p w14:paraId="7B6C26D9">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④中标人在中标项目发生投诉、信访举报案件、履约存在争议时，拒绝协助配合执法部门调查案件的，招标人可以取消其中标资格或解除合同，并追究其违约责任。</w:t>
            </w:r>
          </w:p>
        </w:tc>
      </w:tr>
      <w:tr w14:paraId="666F8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4" w:type="dxa"/>
            <w:vAlign w:val="center"/>
          </w:tcPr>
          <w:p w14:paraId="5727C830">
            <w:pPr>
              <w:pStyle w:val="30"/>
              <w:rPr>
                <w:rFonts w:hint="eastAsia"/>
                <w:color w:val="auto"/>
                <w:highlight w:val="none"/>
              </w:rPr>
            </w:pPr>
            <w:r>
              <w:rPr>
                <w:rFonts w:hint="eastAsia"/>
                <w:color w:val="auto"/>
                <w:highlight w:val="none"/>
              </w:rPr>
              <w:t>35.7</w:t>
            </w:r>
          </w:p>
        </w:tc>
        <w:tc>
          <w:tcPr>
            <w:tcW w:w="2025" w:type="dxa"/>
            <w:vAlign w:val="center"/>
          </w:tcPr>
          <w:p w14:paraId="2C37B394">
            <w:pPr>
              <w:pStyle w:val="29"/>
              <w:rPr>
                <w:rFonts w:hint="eastAsia"/>
                <w:b/>
                <w:color w:val="auto"/>
                <w:highlight w:val="none"/>
              </w:rPr>
            </w:pPr>
            <w:r>
              <w:rPr>
                <w:rFonts w:hint="eastAsia"/>
                <w:color w:val="auto"/>
                <w:highlight w:val="none"/>
              </w:rPr>
              <w:t>解释权</w:t>
            </w:r>
          </w:p>
        </w:tc>
        <w:tc>
          <w:tcPr>
            <w:tcW w:w="5466" w:type="dxa"/>
            <w:vAlign w:val="center"/>
          </w:tcPr>
          <w:p w14:paraId="6FF0FBF2">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（1）构成本磋商文件的各个组成文件应互为解释，互为说明；</w:t>
            </w:r>
          </w:p>
          <w:p w14:paraId="0AFE6230">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（2）同一组成文件中就同一事项的规定或约定不一致的，以编排顺序在后者为准；</w:t>
            </w:r>
          </w:p>
          <w:p w14:paraId="5C0974DF">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（3）如有不明确或不一致，构成合同文件组成内容的，以合同文件约定内容为准，且以专用合同条款约定的合同文件优先顺序解释；</w:t>
            </w:r>
          </w:p>
          <w:p w14:paraId="71D57A02">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（4）除磋商文件中有特别规定外，仅适用于磋商及响应文件提交阶段的规定，按磋商公告、投标人须知、评审方法和标准、响应文件格式的先后顺序解释；</w:t>
            </w:r>
          </w:p>
          <w:p w14:paraId="25B68741">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（5）按本款前述规定仍不能形成结论的，由招标人负责解释。</w:t>
            </w:r>
          </w:p>
        </w:tc>
      </w:tr>
      <w:tr w14:paraId="004E2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4" w:type="dxa"/>
            <w:vAlign w:val="center"/>
          </w:tcPr>
          <w:p w14:paraId="60373629">
            <w:pPr>
              <w:pStyle w:val="30"/>
              <w:rPr>
                <w:rFonts w:hint="eastAsia"/>
                <w:color w:val="auto"/>
                <w:highlight w:val="none"/>
              </w:rPr>
            </w:pPr>
            <w:r>
              <w:rPr>
                <w:rFonts w:hint="eastAsia"/>
                <w:color w:val="auto"/>
                <w:highlight w:val="none"/>
              </w:rPr>
              <w:t>35.8</w:t>
            </w:r>
          </w:p>
        </w:tc>
        <w:tc>
          <w:tcPr>
            <w:tcW w:w="2025" w:type="dxa"/>
            <w:vAlign w:val="center"/>
          </w:tcPr>
          <w:p w14:paraId="4125B011">
            <w:pPr>
              <w:pStyle w:val="29"/>
              <w:rPr>
                <w:rFonts w:hint="eastAsia"/>
                <w:b/>
                <w:color w:val="auto"/>
                <w:highlight w:val="none"/>
              </w:rPr>
            </w:pPr>
            <w:r>
              <w:rPr>
                <w:rFonts w:hint="eastAsia"/>
                <w:color w:val="auto"/>
                <w:highlight w:val="none"/>
              </w:rPr>
              <w:t>特别提醒</w:t>
            </w:r>
          </w:p>
        </w:tc>
        <w:tc>
          <w:tcPr>
            <w:tcW w:w="5466" w:type="dxa"/>
            <w:vAlign w:val="center"/>
          </w:tcPr>
          <w:p w14:paraId="5DE0489A">
            <w:pPr>
              <w:spacing w:line="360" w:lineRule="auto"/>
              <w:rPr>
                <w:rFonts w:hint="eastAsia" w:ascii="宋体" w:hAnsi="宋体" w:eastAsia="宋体" w:cs="宋体"/>
                <w:b/>
                <w:color w:val="auto"/>
                <w:sz w:val="24"/>
                <w:szCs w:val="24"/>
                <w:highlight w:val="none"/>
              </w:rPr>
            </w:pPr>
            <w:r>
              <w:rPr>
                <w:rFonts w:hint="eastAsia" w:ascii="宋体" w:hAnsi="宋体" w:eastAsia="宋体" w:cs="宋体"/>
                <w:bCs/>
                <w:color w:val="auto"/>
                <w:sz w:val="24"/>
                <w:szCs w:val="24"/>
                <w:highlight w:val="none"/>
              </w:rPr>
              <w:t>本项目响应文件可由投标人在磋商时间前送至招标人指定的接收地点，或在磋商时间前邮寄至招标人指定的接收地点。</w:t>
            </w:r>
          </w:p>
        </w:tc>
      </w:tr>
      <w:tr w14:paraId="6295A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4" w:type="dxa"/>
            <w:vAlign w:val="center"/>
          </w:tcPr>
          <w:p w14:paraId="5038FF96">
            <w:pPr>
              <w:pStyle w:val="30"/>
              <w:rPr>
                <w:rFonts w:hint="eastAsia"/>
                <w:color w:val="auto"/>
                <w:highlight w:val="none"/>
              </w:rPr>
            </w:pPr>
            <w:r>
              <w:rPr>
                <w:rFonts w:hint="eastAsia"/>
                <w:color w:val="auto"/>
                <w:highlight w:val="none"/>
              </w:rPr>
              <w:t>35.9</w:t>
            </w:r>
          </w:p>
        </w:tc>
        <w:tc>
          <w:tcPr>
            <w:tcW w:w="2025" w:type="dxa"/>
            <w:vAlign w:val="center"/>
          </w:tcPr>
          <w:p w14:paraId="35B1F563">
            <w:pPr>
              <w:pStyle w:val="29"/>
              <w:rPr>
                <w:rFonts w:hint="eastAsia"/>
                <w:b/>
                <w:color w:val="auto"/>
                <w:highlight w:val="none"/>
              </w:rPr>
            </w:pPr>
            <w:r>
              <w:rPr>
                <w:rFonts w:hint="eastAsia"/>
                <w:color w:val="auto"/>
                <w:highlight w:val="none"/>
              </w:rPr>
              <w:t>其他补充说明</w:t>
            </w:r>
          </w:p>
        </w:tc>
        <w:tc>
          <w:tcPr>
            <w:tcW w:w="5466" w:type="dxa"/>
            <w:vAlign w:val="center"/>
          </w:tcPr>
          <w:p w14:paraId="071F9B4E">
            <w:pPr>
              <w:pStyle w:val="29"/>
              <w:rPr>
                <w:rFonts w:hint="eastAsia"/>
                <w:b/>
                <w:color w:val="auto"/>
                <w:highlight w:val="none"/>
              </w:rPr>
            </w:pPr>
            <w:r>
              <w:rPr>
                <w:rFonts w:hint="eastAsia"/>
                <w:color w:val="auto"/>
                <w:highlight w:val="none"/>
              </w:rPr>
              <w:t xml:space="preserve">   无   </w:t>
            </w:r>
          </w:p>
        </w:tc>
      </w:tr>
    </w:tbl>
    <w:p w14:paraId="21FFBDFF">
      <w:pPr>
        <w:numPr>
          <w:ilvl w:val="0"/>
          <w:numId w:val="5"/>
        </w:numPr>
        <w:spacing w:line="360" w:lineRule="auto"/>
        <w:jc w:val="center"/>
        <w:outlineLvl w:val="2"/>
        <w:rPr>
          <w:rFonts w:hint="eastAsia" w:ascii="宋体" w:hAnsi="宋体" w:eastAsia="宋体" w:cs="宋体"/>
          <w:b/>
          <w:color w:val="auto"/>
          <w:sz w:val="24"/>
          <w:highlight w:val="none"/>
        </w:rPr>
      </w:pPr>
      <w:r>
        <w:rPr>
          <w:rFonts w:hint="eastAsia" w:ascii="宋体" w:hAnsi="宋体" w:eastAsia="宋体" w:cs="宋体"/>
          <w:b/>
          <w:color w:val="auto"/>
          <w:sz w:val="28"/>
          <w:highlight w:val="none"/>
        </w:rPr>
        <w:br w:type="page"/>
      </w:r>
      <w:r>
        <w:rPr>
          <w:rFonts w:hint="eastAsia" w:ascii="宋体" w:hAnsi="宋体" w:eastAsia="宋体" w:cs="宋体"/>
          <w:b/>
          <w:color w:val="auto"/>
          <w:sz w:val="24"/>
          <w:highlight w:val="none"/>
        </w:rPr>
        <w:t>投标人须知正文</w:t>
      </w:r>
    </w:p>
    <w:p w14:paraId="6B28B56D">
      <w:pPr>
        <w:pStyle w:val="8"/>
        <w:rPr>
          <w:rFonts w:hint="eastAsia" w:ascii="宋体" w:hAnsi="宋体" w:eastAsia="宋体" w:cs="宋体"/>
          <w:color w:val="auto"/>
          <w:highlight w:val="none"/>
        </w:rPr>
      </w:pPr>
    </w:p>
    <w:p w14:paraId="13C515FB">
      <w:pPr>
        <w:spacing w:line="360" w:lineRule="auto"/>
        <w:ind w:firstLine="437"/>
        <w:outlineLvl w:val="3"/>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1.适用范围</w:t>
      </w:r>
    </w:p>
    <w:p w14:paraId="0AE8E992">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1.1本磋商文件仅适用于本次磋商所述的服务项目招标。</w:t>
      </w:r>
    </w:p>
    <w:p w14:paraId="24554009">
      <w:pPr>
        <w:spacing w:line="360" w:lineRule="auto"/>
        <w:ind w:firstLine="437"/>
        <w:outlineLvl w:val="3"/>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2.定义</w:t>
      </w:r>
    </w:p>
    <w:p w14:paraId="7586635F">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2.1服务：系指除货物和工程以外的其他招标对象，包括咨询、调研、评估、规划、设计、监理、审计、保险、租赁、印刷、维修、物业管理等。</w:t>
      </w:r>
    </w:p>
    <w:p w14:paraId="3F9F2601">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2.2时限（年份、月份等）计算：系指从磋商之日向前追溯X年/月（“X”为“一”及以后整数）起算。</w:t>
      </w:r>
    </w:p>
    <w:p w14:paraId="5781BCD1">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2.3业绩：业绩系指符合本磋商文件规定的与最终用户签订的合同或磋商文件要求的相关证明。投标人与其关联公司（如母公司、控股公司、分公司、子公司、同一法定代表人的公司等）之间签订的合同，均不予认可。</w:t>
      </w:r>
    </w:p>
    <w:p w14:paraId="27359091">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除非本磋商文件中另有规定，否则业绩均为已服务完毕的业绩，业绩时间均以合同签订之日为追溯节点。</w:t>
      </w:r>
    </w:p>
    <w:p w14:paraId="4CF7E111">
      <w:pPr>
        <w:spacing w:line="360" w:lineRule="auto"/>
        <w:ind w:firstLine="437"/>
        <w:outlineLvl w:val="3"/>
        <w:rPr>
          <w:rFonts w:hint="eastAsia" w:ascii="宋体" w:hAnsi="宋体" w:eastAsia="宋体" w:cs="宋体"/>
          <w:b/>
          <w:color w:val="auto"/>
          <w:sz w:val="24"/>
          <w:highlight w:val="none"/>
        </w:rPr>
      </w:pPr>
      <w:r>
        <w:rPr>
          <w:rFonts w:hint="eastAsia" w:ascii="宋体" w:hAnsi="宋体" w:eastAsia="宋体" w:cs="宋体"/>
          <w:b/>
          <w:color w:val="auto"/>
          <w:sz w:val="24"/>
          <w:highlight w:val="none"/>
        </w:rPr>
        <w:t>3.招标人、招标代理机及投标人</w:t>
      </w:r>
    </w:p>
    <w:p w14:paraId="5C823393">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3.1招标人：是指依法开展招标活动的法人或者其他组织。本项目的招标人见</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w:t>
      </w:r>
    </w:p>
    <w:p w14:paraId="0A01658C">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3.2招标代理机构：是指从事招标代理业务的社会中介机构。本项目无招标代理机构。</w:t>
      </w:r>
    </w:p>
    <w:p w14:paraId="72A168D9">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3.3招标投标监督管理部门：各级人民政府指定的有关部门依法履行与招标投标活动有关的监督管理职责。本项目的招标投标监督管理部门见</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w:t>
      </w:r>
    </w:p>
    <w:p w14:paraId="3540477E">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3.4投标人：是指向招标人提供货物、工程或者服务的法人、非法人组织或者自然人。分支机构不得参加招标投标活动，但银行、保险、石油石化、电力、电信等特殊行业除外。本项目的投标人须满足以下条件：</w:t>
      </w:r>
    </w:p>
    <w:p w14:paraId="7E036D95">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3.4.1在中华人民共和国境内注册，能够独立承担民事责任，有生产或供应能力的本国投标人。</w:t>
      </w:r>
    </w:p>
    <w:p w14:paraId="648FF1E6">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3.4.2具备《中华人民共和国招标投标法》关于投标人条件的规定。</w:t>
      </w:r>
    </w:p>
    <w:p w14:paraId="013FFFAB">
      <w:pPr>
        <w:spacing w:line="360" w:lineRule="auto"/>
        <w:ind w:firstLine="437"/>
        <w:outlineLvl w:val="3"/>
        <w:rPr>
          <w:rFonts w:hint="eastAsia" w:ascii="宋体" w:hAnsi="宋体" w:eastAsia="宋体" w:cs="宋体"/>
          <w:b/>
          <w:color w:val="auto"/>
          <w:sz w:val="24"/>
          <w:highlight w:val="none"/>
        </w:rPr>
      </w:pPr>
      <w:r>
        <w:rPr>
          <w:rFonts w:hint="eastAsia" w:ascii="宋体" w:hAnsi="宋体" w:eastAsia="宋体" w:cs="宋体"/>
          <w:b/>
          <w:color w:val="auto"/>
          <w:sz w:val="24"/>
          <w:highlight w:val="none"/>
        </w:rPr>
        <w:t>4.资金来源</w:t>
      </w:r>
    </w:p>
    <w:p w14:paraId="0F3FE0F2">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4.1本项目的招标人已获得足以支付本次磋商后所签订的合同项下的资金。</w:t>
      </w:r>
    </w:p>
    <w:p w14:paraId="20A562A2">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4.2项目预算金额或分项（或分标段）预算金额见磋商公告。</w:t>
      </w:r>
    </w:p>
    <w:p w14:paraId="03C5A11B">
      <w:pPr>
        <w:spacing w:line="360" w:lineRule="auto"/>
        <w:ind w:firstLine="437"/>
        <w:outlineLvl w:val="3"/>
        <w:rPr>
          <w:rFonts w:hint="eastAsia" w:ascii="宋体" w:hAnsi="宋体" w:eastAsia="宋体" w:cs="宋体"/>
          <w:b/>
          <w:color w:val="auto"/>
          <w:sz w:val="24"/>
          <w:highlight w:val="none"/>
        </w:rPr>
      </w:pPr>
      <w:r>
        <w:rPr>
          <w:rFonts w:hint="eastAsia" w:ascii="宋体" w:hAnsi="宋体" w:eastAsia="宋体" w:cs="宋体"/>
          <w:b/>
          <w:color w:val="auto"/>
          <w:sz w:val="24"/>
          <w:highlight w:val="none"/>
        </w:rPr>
        <w:t>5.磋商费用</w:t>
      </w:r>
    </w:p>
    <w:p w14:paraId="4FC24623">
      <w:pPr>
        <w:spacing w:line="360" w:lineRule="auto"/>
        <w:ind w:firstLine="437"/>
        <w:rPr>
          <w:rFonts w:hint="eastAsia" w:ascii="宋体" w:hAnsi="宋体" w:eastAsia="宋体" w:cs="宋体"/>
          <w:color w:val="auto"/>
          <w:sz w:val="24"/>
          <w:highlight w:val="none"/>
        </w:rPr>
      </w:pPr>
      <w:r>
        <w:rPr>
          <w:rFonts w:hint="eastAsia" w:ascii="宋体" w:hAnsi="宋体" w:eastAsia="宋体" w:cs="宋体"/>
          <w:color w:val="auto"/>
          <w:sz w:val="24"/>
          <w:highlight w:val="none"/>
        </w:rPr>
        <w:t>不论磋商的结果如何，投标人应承担其所有与准备和参加磋商有关的费用。</w:t>
      </w:r>
    </w:p>
    <w:p w14:paraId="6B098D2F">
      <w:pPr>
        <w:spacing w:line="360" w:lineRule="auto"/>
        <w:ind w:firstLine="437"/>
        <w:outlineLvl w:val="3"/>
        <w:rPr>
          <w:rFonts w:hint="eastAsia" w:ascii="宋体" w:hAnsi="宋体" w:eastAsia="宋体" w:cs="宋体"/>
          <w:b/>
          <w:color w:val="auto"/>
          <w:sz w:val="24"/>
          <w:highlight w:val="none"/>
        </w:rPr>
      </w:pPr>
      <w:r>
        <w:rPr>
          <w:rFonts w:hint="eastAsia" w:ascii="宋体" w:hAnsi="宋体" w:eastAsia="宋体" w:cs="宋体"/>
          <w:b/>
          <w:color w:val="auto"/>
          <w:sz w:val="24"/>
          <w:highlight w:val="none"/>
        </w:rPr>
        <w:t>6.适用法律</w:t>
      </w:r>
    </w:p>
    <w:p w14:paraId="687A2BC6">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本项目招标人、投标人、磋商小组的相关行为均受《中华人民共和国招标投标法》、《中华人民共和国招标投标法实施条例》及本项目招标投标监督管理部门的有关规定约束，其权利受到上述法律法规的保护。</w:t>
      </w:r>
    </w:p>
    <w:p w14:paraId="31EE33C1">
      <w:pPr>
        <w:spacing w:line="360" w:lineRule="auto"/>
        <w:ind w:firstLine="435"/>
        <w:rPr>
          <w:rFonts w:hint="eastAsia" w:ascii="宋体" w:hAnsi="宋体" w:eastAsia="宋体" w:cs="宋体"/>
          <w:b/>
          <w:color w:val="auto"/>
          <w:sz w:val="24"/>
          <w:highlight w:val="none"/>
        </w:rPr>
      </w:pPr>
      <w:r>
        <w:rPr>
          <w:rFonts w:hint="eastAsia" w:ascii="宋体" w:hAnsi="宋体" w:eastAsia="宋体" w:cs="宋体"/>
          <w:b/>
          <w:color w:val="auto"/>
          <w:sz w:val="24"/>
          <w:highlight w:val="none"/>
        </w:rPr>
        <w:t>7.磋商文件构成</w:t>
      </w:r>
    </w:p>
    <w:p w14:paraId="1A445160">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7.1磋商文件包括下列内容：</w:t>
      </w:r>
    </w:p>
    <w:p w14:paraId="49F296AF">
      <w:pPr>
        <w:spacing w:line="360" w:lineRule="auto"/>
        <w:ind w:firstLine="840" w:firstLineChars="350"/>
        <w:rPr>
          <w:rFonts w:hint="eastAsia" w:ascii="宋体" w:hAnsi="宋体" w:eastAsia="宋体" w:cs="宋体"/>
          <w:color w:val="auto"/>
          <w:sz w:val="24"/>
          <w:highlight w:val="none"/>
        </w:rPr>
      </w:pPr>
      <w:r>
        <w:rPr>
          <w:rFonts w:hint="eastAsia" w:ascii="宋体" w:hAnsi="宋体" w:eastAsia="宋体" w:cs="宋体"/>
          <w:color w:val="auto"/>
          <w:sz w:val="24"/>
          <w:highlight w:val="none"/>
        </w:rPr>
        <w:t>第一章  磋商公告</w:t>
      </w:r>
    </w:p>
    <w:p w14:paraId="7A8B83FF">
      <w:pPr>
        <w:spacing w:line="360" w:lineRule="auto"/>
        <w:ind w:firstLine="840" w:firstLineChars="350"/>
        <w:rPr>
          <w:rFonts w:hint="eastAsia" w:ascii="宋体" w:hAnsi="宋体" w:eastAsia="宋体" w:cs="宋体"/>
          <w:color w:val="auto"/>
          <w:sz w:val="24"/>
          <w:highlight w:val="none"/>
        </w:rPr>
      </w:pPr>
      <w:r>
        <w:rPr>
          <w:rFonts w:hint="eastAsia" w:ascii="宋体" w:hAnsi="宋体" w:eastAsia="宋体" w:cs="宋体"/>
          <w:color w:val="auto"/>
          <w:sz w:val="24"/>
          <w:highlight w:val="none"/>
        </w:rPr>
        <w:t>第二章  投标人须知</w:t>
      </w:r>
    </w:p>
    <w:p w14:paraId="5553D854">
      <w:pPr>
        <w:spacing w:line="360" w:lineRule="auto"/>
        <w:ind w:firstLine="840" w:firstLineChars="350"/>
        <w:rPr>
          <w:rFonts w:hint="eastAsia" w:ascii="宋体" w:hAnsi="宋体" w:eastAsia="宋体" w:cs="宋体"/>
          <w:color w:val="auto"/>
          <w:sz w:val="24"/>
          <w:highlight w:val="none"/>
        </w:rPr>
      </w:pPr>
      <w:r>
        <w:rPr>
          <w:rFonts w:hint="eastAsia" w:ascii="宋体" w:hAnsi="宋体" w:eastAsia="宋体" w:cs="宋体"/>
          <w:color w:val="auto"/>
          <w:sz w:val="24"/>
          <w:highlight w:val="none"/>
        </w:rPr>
        <w:t>第三章  招标需求</w:t>
      </w:r>
    </w:p>
    <w:p w14:paraId="0C9EF0C0">
      <w:pPr>
        <w:spacing w:line="360" w:lineRule="auto"/>
        <w:ind w:firstLine="840" w:firstLineChars="350"/>
        <w:rPr>
          <w:rFonts w:hint="eastAsia" w:ascii="宋体" w:hAnsi="宋体" w:eastAsia="宋体" w:cs="宋体"/>
          <w:color w:val="auto"/>
          <w:sz w:val="24"/>
          <w:highlight w:val="none"/>
        </w:rPr>
      </w:pPr>
      <w:r>
        <w:rPr>
          <w:rFonts w:hint="eastAsia" w:ascii="宋体" w:hAnsi="宋体" w:eastAsia="宋体" w:cs="宋体"/>
          <w:color w:val="auto"/>
          <w:sz w:val="24"/>
          <w:highlight w:val="none"/>
        </w:rPr>
        <w:t>第四章  评审方法和标准</w:t>
      </w:r>
    </w:p>
    <w:p w14:paraId="4886AE3F">
      <w:pPr>
        <w:spacing w:line="360" w:lineRule="auto"/>
        <w:ind w:firstLine="840" w:firstLineChars="350"/>
        <w:rPr>
          <w:rFonts w:hint="eastAsia" w:ascii="宋体" w:hAnsi="宋体" w:eastAsia="宋体" w:cs="宋体"/>
          <w:color w:val="auto"/>
          <w:sz w:val="24"/>
          <w:highlight w:val="none"/>
        </w:rPr>
      </w:pPr>
      <w:r>
        <w:rPr>
          <w:rFonts w:hint="eastAsia" w:ascii="宋体" w:hAnsi="宋体" w:eastAsia="宋体" w:cs="宋体"/>
          <w:color w:val="auto"/>
          <w:sz w:val="24"/>
          <w:highlight w:val="none"/>
        </w:rPr>
        <w:t>第五章  合同模板</w:t>
      </w:r>
    </w:p>
    <w:p w14:paraId="71D77F13">
      <w:pPr>
        <w:spacing w:line="360" w:lineRule="auto"/>
        <w:ind w:firstLine="840" w:firstLineChars="350"/>
        <w:rPr>
          <w:rFonts w:hint="eastAsia" w:ascii="宋体" w:hAnsi="宋体" w:eastAsia="宋体" w:cs="宋体"/>
          <w:color w:val="auto"/>
          <w:sz w:val="24"/>
          <w:highlight w:val="none"/>
        </w:rPr>
      </w:pPr>
      <w:r>
        <w:rPr>
          <w:rFonts w:hint="eastAsia" w:ascii="宋体" w:hAnsi="宋体" w:eastAsia="宋体" w:cs="宋体"/>
          <w:color w:val="auto"/>
          <w:sz w:val="24"/>
          <w:highlight w:val="none"/>
        </w:rPr>
        <w:t>第六章  响应文件格式</w:t>
      </w:r>
    </w:p>
    <w:p w14:paraId="7332F416">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7.2磋商文件中有不一致的，有澄清的部分以最终的澄清更正内容为准。</w:t>
      </w:r>
    </w:p>
    <w:p w14:paraId="04CAD752">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7.3现场考察及相关事项见</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w:t>
      </w:r>
    </w:p>
    <w:p w14:paraId="74B32AD8">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7.4投标人应认真阅读磋商文件所有的事项、格式、条款和技术规范等。</w:t>
      </w:r>
    </w:p>
    <w:p w14:paraId="187F9A4E">
      <w:pPr>
        <w:spacing w:line="360" w:lineRule="auto"/>
        <w:ind w:firstLine="437"/>
        <w:outlineLvl w:val="3"/>
        <w:rPr>
          <w:rFonts w:hint="eastAsia" w:ascii="宋体" w:hAnsi="宋体" w:eastAsia="宋体" w:cs="宋体"/>
          <w:b/>
          <w:color w:val="auto"/>
          <w:sz w:val="24"/>
          <w:highlight w:val="none"/>
        </w:rPr>
      </w:pPr>
      <w:r>
        <w:rPr>
          <w:rFonts w:hint="eastAsia" w:ascii="宋体" w:hAnsi="宋体" w:eastAsia="宋体" w:cs="宋体"/>
          <w:b/>
          <w:color w:val="auto"/>
          <w:sz w:val="24"/>
          <w:highlight w:val="none"/>
        </w:rPr>
        <w:t>8.磋商文件的澄清与修改</w:t>
      </w:r>
    </w:p>
    <w:p w14:paraId="724F634C">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8.1投标人如对磋商文件内容有疑问，必须在</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规定的截止时间前以电话咨询形式进行咨询。</w:t>
      </w:r>
    </w:p>
    <w:p w14:paraId="58E28CE7">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8.2招标人可主动或在解答投标人提出的问题时对磋商文件进行澄清或者修改。招标人将在</w:t>
      </w:r>
      <w:r>
        <w:rPr>
          <w:rFonts w:hint="eastAsia" w:ascii="宋体" w:hAnsi="宋体" w:eastAsia="宋体" w:cs="宋体"/>
          <w:color w:val="auto"/>
          <w:sz w:val="24"/>
          <w:szCs w:val="24"/>
          <w:highlight w:val="none"/>
        </w:rPr>
        <w:t>合肥滨湖时光产业投资集团有限公司</w:t>
      </w:r>
      <w:r>
        <w:rPr>
          <w:rFonts w:hint="eastAsia" w:ascii="宋体" w:hAnsi="宋体" w:eastAsia="宋体" w:cs="宋体"/>
          <w:color w:val="auto"/>
          <w:sz w:val="24"/>
          <w:highlight w:val="none"/>
        </w:rPr>
        <w:t>网站以发布公告的方式澄清或者修改磋商文件，澄清或修改的内容作为磋商文件的组成部分，与磋商文件具有同等效用，投标人应主动上网查询。招标人不承担投标人未及时关注相关信息引发的相关责任。</w:t>
      </w:r>
    </w:p>
    <w:p w14:paraId="38343419">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8.3任何人或任何组织向投标人提供的任何书面或口头资料，未经招标人在网上发布或书面通知，均作无效处理，不得作为磋商文件的组成部分。</w:t>
      </w:r>
    </w:p>
    <w:p w14:paraId="45BF8371">
      <w:pPr>
        <w:spacing w:line="360" w:lineRule="auto"/>
        <w:ind w:firstLine="435"/>
        <w:rPr>
          <w:rFonts w:hint="eastAsia" w:ascii="宋体" w:hAnsi="宋体" w:eastAsia="宋体" w:cs="宋体"/>
          <w:iCs/>
          <w:color w:val="auto"/>
          <w:sz w:val="24"/>
          <w:highlight w:val="none"/>
        </w:rPr>
      </w:pPr>
      <w:r>
        <w:rPr>
          <w:rFonts w:hint="eastAsia" w:ascii="宋体" w:hAnsi="宋体" w:eastAsia="宋体" w:cs="宋体"/>
          <w:color w:val="auto"/>
          <w:sz w:val="24"/>
          <w:highlight w:val="none"/>
        </w:rPr>
        <w:t>8.4对于没有提出询问又参与了本项目磋商的投标人将被视为完全认同本磋商文件（含澄清或修改的内容）</w:t>
      </w:r>
      <w:r>
        <w:rPr>
          <w:rFonts w:hint="eastAsia" w:ascii="宋体" w:hAnsi="宋体" w:eastAsia="宋体" w:cs="宋体"/>
          <w:i/>
          <w:color w:val="auto"/>
          <w:sz w:val="24"/>
          <w:highlight w:val="none"/>
        </w:rPr>
        <w:t>。</w:t>
      </w:r>
    </w:p>
    <w:p w14:paraId="5F225027">
      <w:pPr>
        <w:spacing w:line="360" w:lineRule="auto"/>
        <w:ind w:firstLine="437"/>
        <w:outlineLvl w:val="3"/>
        <w:rPr>
          <w:rFonts w:hint="eastAsia" w:ascii="宋体" w:hAnsi="宋体" w:eastAsia="宋体" w:cs="宋体"/>
          <w:b/>
          <w:color w:val="auto"/>
          <w:sz w:val="24"/>
          <w:highlight w:val="none"/>
        </w:rPr>
      </w:pPr>
      <w:r>
        <w:rPr>
          <w:rFonts w:hint="eastAsia" w:ascii="宋体" w:hAnsi="宋体" w:eastAsia="宋体" w:cs="宋体"/>
          <w:b/>
          <w:color w:val="auto"/>
          <w:sz w:val="24"/>
          <w:highlight w:val="none"/>
        </w:rPr>
        <w:t>9.磋商范围及响应文件中标准和计量单位的使用</w:t>
      </w:r>
    </w:p>
    <w:p w14:paraId="4269DAA9">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9.1项目有划分标段的，投标人可参与其中某一个或多个标段的磋商，中标标段数详见</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中规定。</w:t>
      </w:r>
    </w:p>
    <w:p w14:paraId="71F64DD9">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9.2无论磋商文件中是否要求，投标人所投服务及伴随的货物和工程均应符合国家强制性标准。</w:t>
      </w:r>
    </w:p>
    <w:p w14:paraId="1115707A">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9.3投标人与</w:t>
      </w:r>
      <w:r>
        <w:rPr>
          <w:rFonts w:hint="eastAsia" w:ascii="宋体" w:hAnsi="宋体" w:eastAsia="宋体" w:cs="宋体"/>
          <w:color w:val="auto"/>
          <w:sz w:val="24"/>
          <w:highlight w:val="none"/>
          <w:lang w:val="en-US" w:eastAsia="zh-CN"/>
        </w:rPr>
        <w:t>招标人</w:t>
      </w:r>
      <w:r>
        <w:rPr>
          <w:rFonts w:hint="eastAsia" w:ascii="宋体" w:hAnsi="宋体" w:eastAsia="宋体" w:cs="宋体"/>
          <w:color w:val="auto"/>
          <w:sz w:val="24"/>
          <w:highlight w:val="none"/>
        </w:rPr>
        <w:t>之间与磋商有关的所有往来通知、函件和响应文件均用中文表述。投标人随响应文件提供的证明文件和资料可以为其它语言，但必须附中文译文。翻译的中文资料与外文资料如果出现差异时，以中文为准。</w:t>
      </w:r>
    </w:p>
    <w:p w14:paraId="7E88A87F">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9.4除磋商文件中有特殊要求外，响应文件中所使用的计量单位，应采用中华人民共和国法定计量单位。</w:t>
      </w:r>
    </w:p>
    <w:p w14:paraId="5BB50878">
      <w:pPr>
        <w:spacing w:line="360" w:lineRule="auto"/>
        <w:ind w:firstLine="437"/>
        <w:outlineLvl w:val="3"/>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10.响应文件构成</w:t>
      </w:r>
    </w:p>
    <w:p w14:paraId="4B12D902">
      <w:pPr>
        <w:spacing w:line="360" w:lineRule="auto"/>
        <w:ind w:firstLine="437"/>
        <w:rPr>
          <w:rFonts w:hint="eastAsia" w:ascii="宋体" w:hAnsi="宋体" w:eastAsia="宋体" w:cs="宋体"/>
          <w:color w:val="auto"/>
          <w:sz w:val="24"/>
          <w:highlight w:val="none"/>
        </w:rPr>
      </w:pPr>
      <w:r>
        <w:rPr>
          <w:rFonts w:hint="eastAsia" w:ascii="宋体" w:hAnsi="宋体" w:eastAsia="宋体" w:cs="宋体"/>
          <w:color w:val="auto"/>
          <w:sz w:val="24"/>
          <w:highlight w:val="none"/>
        </w:rPr>
        <w:t>10.1投标人应完整地按磋商文件提供的响应文件格式及要求编写响应文件，具体内容详见第六章响应文件格式的相关内容。</w:t>
      </w:r>
    </w:p>
    <w:p w14:paraId="2D1BED68">
      <w:pPr>
        <w:spacing w:line="360" w:lineRule="auto"/>
        <w:ind w:firstLine="437"/>
        <w:rPr>
          <w:rFonts w:hint="eastAsia" w:ascii="宋体" w:hAnsi="宋体" w:eastAsia="宋体" w:cs="宋体"/>
          <w:color w:val="auto"/>
          <w:sz w:val="24"/>
          <w:highlight w:val="none"/>
        </w:rPr>
      </w:pPr>
      <w:r>
        <w:rPr>
          <w:rFonts w:hint="eastAsia" w:ascii="宋体" w:hAnsi="宋体" w:eastAsia="宋体" w:cs="宋体"/>
          <w:color w:val="auto"/>
          <w:sz w:val="24"/>
          <w:highlight w:val="none"/>
        </w:rPr>
        <w:t>10.2上述文件应按照磋商文件规定的格式填写、签署和公章。</w:t>
      </w:r>
    </w:p>
    <w:p w14:paraId="236F73CB">
      <w:pPr>
        <w:spacing w:line="360" w:lineRule="auto"/>
        <w:ind w:firstLine="437"/>
        <w:outlineLvl w:val="3"/>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11.证明标的的合格性和符合磋商文件规定的技术文件</w:t>
      </w:r>
    </w:p>
    <w:p w14:paraId="05B9F164">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11.1投标人应提交磋商文件要求的证明文件，证明其响应内容符合磋商文件规定。该证明文件是响应文件的一部分。</w:t>
      </w:r>
    </w:p>
    <w:p w14:paraId="496E371C">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11.2上款所述的证明文件，可以是文字资料、图纸和数据</w:t>
      </w:r>
      <w:bookmarkStart w:id="10" w:name="_Hlk11703583"/>
      <w:r>
        <w:rPr>
          <w:rFonts w:hint="eastAsia" w:ascii="宋体" w:hAnsi="宋体" w:eastAsia="宋体" w:cs="宋体"/>
          <w:color w:val="auto"/>
          <w:sz w:val="24"/>
          <w:highlight w:val="none"/>
        </w:rPr>
        <w:t>。</w:t>
      </w:r>
    </w:p>
    <w:bookmarkEnd w:id="10"/>
    <w:p w14:paraId="24450657">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11.3本条所指证明文件不包括对磋商文件相关部分的文字、图标的复制。</w:t>
      </w:r>
    </w:p>
    <w:p w14:paraId="0710F0EE">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11.4为保证公平公正，除非另有规定或说明，投标人对同一项目磋商时，不得同时提供备选磋商方案。</w:t>
      </w:r>
    </w:p>
    <w:p w14:paraId="2FF78C37">
      <w:pPr>
        <w:spacing w:line="360" w:lineRule="auto"/>
        <w:ind w:firstLine="437"/>
        <w:outlineLvl w:val="3"/>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12.报价</w:t>
      </w:r>
    </w:p>
    <w:p w14:paraId="79B97936">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12.1 报价详见第三章招标需求的第四条报价要求，按照第六章响应文件格式进行报价。</w:t>
      </w:r>
    </w:p>
    <w:p w14:paraId="5B6C0B05">
      <w:pPr>
        <w:spacing w:line="360" w:lineRule="auto"/>
        <w:ind w:firstLine="437"/>
        <w:outlineLvl w:val="3"/>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13.磋商保证金</w:t>
      </w:r>
    </w:p>
    <w:p w14:paraId="5AEFB4AD">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13.1本项目不要求投标人递交磋商保证金。</w:t>
      </w:r>
    </w:p>
    <w:p w14:paraId="38F34656">
      <w:pPr>
        <w:spacing w:line="360" w:lineRule="auto"/>
        <w:ind w:firstLine="437"/>
        <w:outlineLvl w:val="3"/>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14.磋商有效期</w:t>
      </w:r>
    </w:p>
    <w:p w14:paraId="67DE23E3">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14.1磋商有效期为从响应文件提交截止之日算起的日历天数，磋商有效期详见</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w:t>
      </w:r>
    </w:p>
    <w:p w14:paraId="5013A2B7">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14.2在磋商有效期内，投标人的响应文件保持有效，投标人不得要求撤销或修改其响应文件。磋商有效期不满足要求的，其响应文件将被认定为</w:t>
      </w:r>
      <w:r>
        <w:rPr>
          <w:rFonts w:hint="eastAsia" w:ascii="宋体" w:hAnsi="宋体" w:eastAsia="宋体" w:cs="宋体"/>
          <w:b/>
          <w:color w:val="auto"/>
          <w:sz w:val="24"/>
          <w:highlight w:val="none"/>
        </w:rPr>
        <w:t>响应无效</w:t>
      </w:r>
      <w:r>
        <w:rPr>
          <w:rFonts w:hint="eastAsia" w:ascii="宋体" w:hAnsi="宋体" w:eastAsia="宋体" w:cs="宋体"/>
          <w:color w:val="auto"/>
          <w:sz w:val="24"/>
          <w:highlight w:val="none"/>
        </w:rPr>
        <w:t>。</w:t>
      </w:r>
    </w:p>
    <w:p w14:paraId="1C562BDC">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14.3为保证有充分时间签订合同，招标人可根据实际情况，在原磋商有效期截止之前，要求投标人延长磋商有效期。接受该要求的投标人将不会被要求和允许修正其响应文件。投标人可以拒绝延长磋商有效期的要求，且不承担任何责任。上述要求和答复都应以书面形式提交。</w:t>
      </w:r>
    </w:p>
    <w:p w14:paraId="30DD678C">
      <w:pPr>
        <w:spacing w:line="360" w:lineRule="auto"/>
        <w:ind w:firstLine="437"/>
        <w:outlineLvl w:val="3"/>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15.响应文件的制作</w:t>
      </w:r>
    </w:p>
    <w:p w14:paraId="38DA2A6B">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15.1本项目要求提供密封纸质版响应文件，响应文件的制作应满足以下规定：</w:t>
      </w:r>
    </w:p>
    <w:p w14:paraId="49A73E7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（1）在第六章“响应文件格式”中要求加盖投标人签章处，投标人均应加盖投标人签章或公章。</w:t>
      </w:r>
    </w:p>
    <w:p w14:paraId="3C19B318">
      <w:pPr>
        <w:pStyle w:val="29"/>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color w:val="auto"/>
          <w:highlight w:val="none"/>
        </w:rPr>
      </w:pPr>
      <w:r>
        <w:rPr>
          <w:rFonts w:hint="eastAsia"/>
          <w:color w:val="auto"/>
          <w:highlight w:val="none"/>
        </w:rPr>
        <w:t>（2）响应文件制作完成后，投标人应对响应文件进行文件密封处理，形成密封的响应文件。纸质版投标文件（要求胶装成册）：正本1份；副本2份，密封提交。</w:t>
      </w:r>
    </w:p>
    <w:p w14:paraId="16DDBA50">
      <w:pPr>
        <w:pStyle w:val="29"/>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color w:val="auto"/>
          <w:highlight w:val="none"/>
        </w:rPr>
      </w:pPr>
      <w:r>
        <w:rPr>
          <w:rFonts w:hint="eastAsia"/>
          <w:color w:val="auto"/>
          <w:highlight w:val="none"/>
        </w:rPr>
        <w:t>（3）电子版投标文件（仅作为存档使用，不作为否决条款，要求与纸质版投标文件一致）：U盘或光盘1份（加盖公章后完整版投标文件扫件）。</w:t>
      </w:r>
    </w:p>
    <w:p w14:paraId="30145883">
      <w:pPr>
        <w:pStyle w:val="29"/>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color w:val="auto"/>
          <w:highlight w:val="none"/>
        </w:rPr>
      </w:pPr>
      <w:r>
        <w:rPr>
          <w:rFonts w:hint="eastAsia"/>
          <w:color w:val="auto"/>
          <w:highlight w:val="none"/>
        </w:rPr>
        <w:t>（4）以上文件均密封提交。</w:t>
      </w:r>
    </w:p>
    <w:p w14:paraId="4B948EE9">
      <w:pPr>
        <w:pStyle w:val="29"/>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color w:val="auto"/>
          <w:highlight w:val="none"/>
        </w:rPr>
      </w:pPr>
      <w:r>
        <w:rPr>
          <w:rFonts w:hint="eastAsia"/>
          <w:color w:val="auto"/>
          <w:highlight w:val="none"/>
        </w:rPr>
        <w:t>（5）重要提示：以上文件均须密封提交，密封档案袋封面格式由投标人自行拟定，但须至少反映出投标项目名称</w:t>
      </w:r>
      <w:r>
        <w:rPr>
          <w:rFonts w:hint="eastAsia"/>
          <w:color w:val="auto"/>
          <w:highlight w:val="none"/>
          <w:lang w:val="en-US" w:eastAsia="zh-CN"/>
        </w:rPr>
        <w:t>及标段</w:t>
      </w:r>
      <w:r>
        <w:rPr>
          <w:rFonts w:hint="eastAsia"/>
          <w:color w:val="auto"/>
          <w:highlight w:val="none"/>
        </w:rPr>
        <w:t>、项目编号、投标人名称、投标时间，并加盖投标人公章。如未注明以上信息，则视为为响应招标文件要求，将作废标处理，由此造成的所有责任由投标人自行承担。</w:t>
      </w:r>
    </w:p>
    <w:p w14:paraId="2037ED6B">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15.2因投标人自身原因而导致响应文件无法在磋商时间前送达磋商指定地点的，该响应文件视为无效响应文件，投标人自行承担由此导致的全部责任。（该响应文件是指密封纸质版响应文件）。</w:t>
      </w:r>
    </w:p>
    <w:p w14:paraId="1C9BE010">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15.3磋商现场提交的其他材料要求详见</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w:t>
      </w:r>
    </w:p>
    <w:p w14:paraId="22EF9683">
      <w:pPr>
        <w:spacing w:line="360" w:lineRule="auto"/>
        <w:ind w:firstLine="437"/>
        <w:outlineLvl w:val="3"/>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16.响应文件提交截止时间</w:t>
      </w:r>
    </w:p>
    <w:p w14:paraId="5C6DEB1E">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16.1投标人应在</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中规定的响应文件提交截止时间前，线下提交文件，送达磋商指定地点。</w:t>
      </w:r>
    </w:p>
    <w:p w14:paraId="7FE1BB55">
      <w:pPr>
        <w:spacing w:line="360" w:lineRule="auto"/>
        <w:ind w:firstLine="437"/>
        <w:outlineLvl w:val="3"/>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17.响应文件的提交、修改与撤回</w:t>
      </w:r>
    </w:p>
    <w:p w14:paraId="11DC9921">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17.1投标人应当在第一章“磋商公告”规定的响应文件提交截止时间前，将密封纸质版文件，送达磋商指定地点。</w:t>
      </w:r>
    </w:p>
    <w:p w14:paraId="56EB342B">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17.2未按规定密封或响应文件提交截止时间后送达的响应文件，招标人应当拒收。</w:t>
      </w:r>
    </w:p>
    <w:p w14:paraId="015D907F">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17.3在响应文件提交截止时间之后，投标人不得对其响应文件做任何修改。但属于磋商小组在评审中发现的计算错误并进行核实的修改、按照磋商文件的变动情况和磋商小组的要求重新提交响应文件的，不在此列。</w:t>
      </w:r>
    </w:p>
    <w:p w14:paraId="7D7D06E3">
      <w:pPr>
        <w:spacing w:line="360" w:lineRule="auto"/>
        <w:ind w:firstLine="437"/>
        <w:outlineLvl w:val="3"/>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18.磋商小组</w:t>
      </w:r>
    </w:p>
    <w:p w14:paraId="407E3FDB">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18.1本项目将依法组建磋商小组，磋商小组成员由3人以上单数组成，磋商小组及其成员应当依照有关规定履行相关职责和义务。</w:t>
      </w:r>
    </w:p>
    <w:p w14:paraId="466490A5">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18.2磋商小组依法对响应文件进行评审，并根据磋商文件规定的程序、评定中标的标准等事项与实质性响应磋商文件要求的投标人进行磋商。</w:t>
      </w:r>
    </w:p>
    <w:p w14:paraId="1B0DECD9">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18.3磋商小组应当从质量和服务均能满足磋商文件实质性响应要求的投标人中，按照评审方法和标准推荐中标候选人，并编写磋商结论表。</w:t>
      </w:r>
    </w:p>
    <w:p w14:paraId="004411AF">
      <w:pPr>
        <w:spacing w:line="360" w:lineRule="auto"/>
        <w:ind w:firstLine="437"/>
        <w:outlineLvl w:val="3"/>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19.响应文件的评审与磋商</w:t>
      </w:r>
    </w:p>
    <w:p w14:paraId="4E6719AD">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19.1招标人将在</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规定的时间和地点组织磋商。</w:t>
      </w:r>
    </w:p>
    <w:p w14:paraId="6450D70A">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19.2竞争性磋商活动采用综合评分法评审。</w:t>
      </w:r>
    </w:p>
    <w:p w14:paraId="0C569704">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综合评分法，是指响应文件满足磋商文件全部实质性要求且按评审因素的量化指标评审得分最高的投标人为中标候选人的评审方法。</w:t>
      </w:r>
    </w:p>
    <w:p w14:paraId="70EC3C02">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19.3磋商小组将按照磋商文件规定的评审方法和标准对投标人独立进行评审。评审程序如下：</w:t>
      </w:r>
    </w:p>
    <w:p w14:paraId="31C7047A">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19.3.1</w:t>
      </w:r>
      <w:r>
        <w:rPr>
          <w:rFonts w:hint="eastAsia" w:ascii="宋体" w:hAnsi="宋体" w:eastAsia="宋体" w:cs="宋体"/>
          <w:b/>
          <w:color w:val="auto"/>
          <w:sz w:val="24"/>
          <w:highlight w:val="none"/>
        </w:rPr>
        <w:t>初审</w:t>
      </w:r>
      <w:r>
        <w:rPr>
          <w:rFonts w:hint="eastAsia" w:ascii="宋体" w:hAnsi="宋体" w:eastAsia="宋体" w:cs="宋体"/>
          <w:color w:val="auto"/>
          <w:sz w:val="24"/>
          <w:highlight w:val="none"/>
        </w:rPr>
        <w:t>。磋商小组对投标人必须满足和实质性响应的内容进行评审，投标人未实质性响应磋商文件要求导致响应无效的，磋商小组将以询标的方式告知有关投标人。</w:t>
      </w:r>
    </w:p>
    <w:p w14:paraId="3B037797">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19.3.2</w:t>
      </w:r>
      <w:r>
        <w:rPr>
          <w:rFonts w:hint="eastAsia" w:ascii="宋体" w:hAnsi="宋体" w:eastAsia="宋体" w:cs="宋体"/>
          <w:b/>
          <w:color w:val="auto"/>
          <w:sz w:val="24"/>
          <w:highlight w:val="none"/>
        </w:rPr>
        <w:t>磋商</w:t>
      </w:r>
      <w:r>
        <w:rPr>
          <w:rFonts w:hint="eastAsia" w:ascii="宋体" w:hAnsi="宋体" w:eastAsia="宋体" w:cs="宋体"/>
          <w:color w:val="auto"/>
          <w:sz w:val="24"/>
          <w:highlight w:val="none"/>
        </w:rPr>
        <w:t xml:space="preserve">。初审合格后，磋商小组将对响应文件进行磋商。 </w:t>
      </w:r>
    </w:p>
    <w:p w14:paraId="66DFF4AC">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19.3.3</w:t>
      </w:r>
      <w:r>
        <w:rPr>
          <w:rFonts w:hint="eastAsia" w:ascii="宋体" w:hAnsi="宋体" w:eastAsia="宋体" w:cs="宋体"/>
          <w:b/>
          <w:color w:val="auto"/>
          <w:sz w:val="24"/>
          <w:highlight w:val="none"/>
        </w:rPr>
        <w:t>综合评分</w:t>
      </w:r>
      <w:r>
        <w:rPr>
          <w:rFonts w:hint="eastAsia" w:ascii="宋体" w:hAnsi="宋体" w:eastAsia="宋体" w:cs="宋体"/>
          <w:color w:val="auto"/>
          <w:sz w:val="24"/>
          <w:highlight w:val="none"/>
        </w:rPr>
        <w:t>。磋商小组只对通过初审，实质上响应磋商文件要求的响应文件进行综合评分，由磋商小组采用综合评分法对投标人的响应文件和报价进行综合评分。</w:t>
      </w:r>
    </w:p>
    <w:p w14:paraId="60F5269E">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19.4相关说明</w:t>
      </w:r>
    </w:p>
    <w:p w14:paraId="37D77322">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19.4.1磋商小组根据与投标人磋商情况可能实质性变动磋商文件的内容，包括招标需求中的技术、服务要求以及合同草案条款。磋商文件有实质性变动的，经招标人代表确认作为磋商文件的有效组成部分，磋商小组将以书面形式通知所有参加磋商的投标人。</w:t>
      </w:r>
    </w:p>
    <w:p w14:paraId="5F68C33B">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19.4.2磋商小组发现投标人的报价或者某些分项报价明显低于其他通过初审的投标人的报价，有可能影响产品质量和不能诚信履约的，应当要求其在合理的时间内提供书面说明，必要时提交相关证明材料；投标人不能证明其报价合理性的，其响应文件将被认定为</w:t>
      </w:r>
      <w:r>
        <w:rPr>
          <w:rFonts w:hint="eastAsia" w:ascii="宋体" w:hAnsi="宋体" w:eastAsia="宋体" w:cs="宋体"/>
          <w:b/>
          <w:color w:val="auto"/>
          <w:sz w:val="24"/>
          <w:highlight w:val="none"/>
        </w:rPr>
        <w:t>响应无效</w:t>
      </w:r>
      <w:r>
        <w:rPr>
          <w:rFonts w:hint="eastAsia" w:ascii="宋体" w:hAnsi="宋体" w:eastAsia="宋体" w:cs="宋体"/>
          <w:color w:val="auto"/>
          <w:sz w:val="24"/>
          <w:highlight w:val="none"/>
        </w:rPr>
        <w:t>。</w:t>
      </w:r>
    </w:p>
    <w:p w14:paraId="51168D24">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19.4.3无论何种原因，即使投标人磋商时携带了证书材料的原件，但响应文件中未提供与之内容完全一致的扫描件或影印件的，磋商小组可以视同其未提供。</w:t>
      </w:r>
    </w:p>
    <w:p w14:paraId="69318EB1">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19.4.4磋商小组决定响应文件的响应性及符合性只根据响应文件本身的内容，而不寻求其他外部证据。</w:t>
      </w:r>
    </w:p>
    <w:p w14:paraId="2D3C1CBB">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19.5投标人授权代表对磋商过程有疑义，以及认为招标人相关工作人员有需要回避的情形的，应当场提出询问或者回避申请，并说明理由。 </w:t>
      </w:r>
    </w:p>
    <w:p w14:paraId="7626F225">
      <w:pPr>
        <w:spacing w:line="360" w:lineRule="auto"/>
        <w:ind w:firstLine="437"/>
        <w:outlineLvl w:val="3"/>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20.终止竞争性磋商</w:t>
      </w:r>
    </w:p>
    <w:p w14:paraId="4F2468D5">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20.1出现下列情况之一时，招标人有权宣布终止竞争性磋商，并将理由通知所有投标人：</w:t>
      </w:r>
    </w:p>
    <w:p w14:paraId="42D682BA">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（1）有效投标人数量不足，导致本次磋商缺乏竞争的；</w:t>
      </w:r>
    </w:p>
    <w:p w14:paraId="3A62011F">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（2）出现影响招标公正的违法、违规行为的；</w:t>
      </w:r>
    </w:p>
    <w:p w14:paraId="5CD1DD26">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（3）因重大变故，招标任务取消的；</w:t>
      </w:r>
    </w:p>
    <w:p w14:paraId="7A1DE14E">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（4）法律法规规定的其他情形。</w:t>
      </w:r>
    </w:p>
    <w:p w14:paraId="675959C1">
      <w:pPr>
        <w:spacing w:line="360" w:lineRule="auto"/>
        <w:ind w:firstLine="437"/>
        <w:outlineLvl w:val="3"/>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21.响应文件的澄清、说明或更正</w:t>
      </w:r>
    </w:p>
    <w:p w14:paraId="69D53B05">
      <w:pPr>
        <w:spacing w:line="360" w:lineRule="auto"/>
        <w:ind w:firstLine="470" w:firstLineChars="196"/>
        <w:rPr>
          <w:rFonts w:hint="eastAsia" w:ascii="宋体" w:hAnsi="宋体" w:eastAsia="宋体" w:cs="宋体"/>
          <w:color w:val="auto"/>
          <w:sz w:val="24"/>
          <w:highlight w:val="none"/>
        </w:rPr>
      </w:pPr>
      <w:r>
        <w:rPr>
          <w:rFonts w:hint="eastAsia" w:ascii="宋体" w:hAnsi="宋体" w:eastAsia="宋体" w:cs="宋体"/>
          <w:color w:val="auto"/>
          <w:sz w:val="24"/>
          <w:highlight w:val="none"/>
        </w:rPr>
        <w:t>21.1磋商小组将对响应文件的有效性、完整性和响应程度进行审查，审查时可以要求投标人对响应文件中含义不明确、同类问题表述不一致或者有明显文字和计算错误的内容等作出必要的澄清、说明或者更正。投标人的澄清、说明或者更正不得超出响应文件的范围或者改变响应文件的实质性内容。对不同文字文本响应文件的解释发生异议的，以中文文本为准。</w:t>
      </w:r>
    </w:p>
    <w:p w14:paraId="34461CF6">
      <w:pPr>
        <w:spacing w:line="360" w:lineRule="auto"/>
        <w:ind w:firstLine="470" w:firstLineChars="196"/>
        <w:rPr>
          <w:rFonts w:hint="eastAsia" w:ascii="宋体" w:hAnsi="宋体" w:eastAsia="宋体" w:cs="宋体"/>
          <w:color w:val="auto"/>
          <w:sz w:val="24"/>
          <w:highlight w:val="none"/>
        </w:rPr>
      </w:pPr>
      <w:r>
        <w:rPr>
          <w:rFonts w:hint="eastAsia" w:ascii="宋体" w:hAnsi="宋体" w:eastAsia="宋体" w:cs="宋体"/>
          <w:color w:val="auto"/>
          <w:sz w:val="24"/>
          <w:highlight w:val="none"/>
        </w:rPr>
        <w:t>21.2磋商小组要求投标人澄清、说明或者更正响应文件应当以书面形式（询标）作出。投标人的澄清、说明或者更正应当由法定代表人或其授权代表签字或者加盖公章。</w:t>
      </w:r>
    </w:p>
    <w:p w14:paraId="0F177927">
      <w:pPr>
        <w:spacing w:line="360" w:lineRule="auto"/>
        <w:ind w:firstLine="437"/>
        <w:outlineLvl w:val="3"/>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22.最后报价</w:t>
      </w:r>
    </w:p>
    <w:p w14:paraId="60B76854">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22.1磋商限定只进行一轮报价，响应文件中的报价即为最终报价，也是签订合同的依据。</w:t>
      </w:r>
    </w:p>
    <w:p w14:paraId="772A48B9">
      <w:pPr>
        <w:spacing w:line="360" w:lineRule="auto"/>
        <w:ind w:firstLine="437"/>
        <w:outlineLvl w:val="3"/>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23.中标候选人的推荐原则及标准</w:t>
      </w:r>
    </w:p>
    <w:p w14:paraId="2C34E070">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23.1磋商小组依据本项目磋商文件所约定的评审方法和标准，按照有效投标人综合总得分由高到低依次推荐中标候选人，同时对拟推荐中标候选人进行信用查询（信用查询要求如下），并将信用查询结果作为推荐中标候选人的依据，如查询存在以下情形的，不得推荐为中标候选人：</w:t>
      </w:r>
    </w:p>
    <w:p w14:paraId="0392ECA7">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（1）被市场监督管理部门列入严重违法失信名单；</w:t>
      </w:r>
    </w:p>
    <w:p w14:paraId="368D6C7B">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（2）被人民法院列为失信被执行人；</w:t>
      </w:r>
    </w:p>
    <w:p w14:paraId="6A876BCB">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（3）被税务机关确定为重大税收违法失信主体。</w:t>
      </w:r>
    </w:p>
    <w:p w14:paraId="29EBF36A">
      <w:pPr>
        <w:spacing w:line="360" w:lineRule="auto"/>
        <w:ind w:firstLine="435"/>
        <w:rPr>
          <w:rFonts w:hint="eastAsia" w:ascii="宋体" w:hAnsi="宋体" w:eastAsia="宋体" w:cs="宋体"/>
          <w:color w:val="auto"/>
          <w:highlight w:val="none"/>
        </w:rPr>
      </w:pPr>
      <w:r>
        <w:rPr>
          <w:rFonts w:hint="eastAsia" w:ascii="宋体" w:hAnsi="宋体" w:eastAsia="宋体" w:cs="宋体"/>
          <w:color w:val="auto"/>
          <w:sz w:val="24"/>
          <w:highlight w:val="none"/>
        </w:rPr>
        <w:t>23.2综合总得分出现两家或两家以上相同者，按报价由低到高排序推荐中标候选人；综合总得分且最后报价均相同的，由磋商小组按照技术指标优劣顺序推荐中标候选人。</w:t>
      </w:r>
    </w:p>
    <w:p w14:paraId="5BE60538">
      <w:pPr>
        <w:spacing w:line="360" w:lineRule="auto"/>
        <w:ind w:firstLine="437"/>
        <w:outlineLvl w:val="3"/>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24.确定中标候选人和中标人</w:t>
      </w:r>
    </w:p>
    <w:p w14:paraId="22631BC6">
      <w:pPr>
        <w:spacing w:line="360" w:lineRule="auto"/>
        <w:ind w:firstLine="470" w:firstLineChars="196"/>
        <w:rPr>
          <w:rFonts w:hint="eastAsia" w:ascii="宋体" w:hAnsi="宋体" w:eastAsia="宋体" w:cs="宋体"/>
          <w:color w:val="auto"/>
          <w:sz w:val="24"/>
          <w:highlight w:val="none"/>
        </w:rPr>
      </w:pPr>
      <w:r>
        <w:rPr>
          <w:rFonts w:hint="eastAsia" w:ascii="宋体" w:hAnsi="宋体" w:eastAsia="宋体" w:cs="宋体"/>
          <w:color w:val="auto"/>
          <w:sz w:val="24"/>
          <w:highlight w:val="none"/>
        </w:rPr>
        <w:t>24.1磋商小组根据综合评分的结果和投标人须知前附表中规定确定中标候选人，并标明排列顺序。排名第一的中标候选人经招标人或招标人授权的磋商小组确定为中标人后，由招标人在指定网站上予以公告。</w:t>
      </w:r>
    </w:p>
    <w:p w14:paraId="4F2D3A05">
      <w:pPr>
        <w:spacing w:line="360" w:lineRule="auto"/>
        <w:ind w:firstLine="437"/>
        <w:outlineLvl w:val="3"/>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25.编写磋商结论表</w:t>
      </w:r>
    </w:p>
    <w:p w14:paraId="1517A969">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25.1磋商结论表由磋商小组全体成员签字。对评审结论持有异议的磋商小组成员可以书面方式阐述其不同意见和理由。磋商小组成员拒绝在磋商结论表上签字且不陈述其不同意见和理由的，视为同意评审结论。</w:t>
      </w:r>
    </w:p>
    <w:p w14:paraId="47CAE195">
      <w:pPr>
        <w:spacing w:line="360" w:lineRule="auto"/>
        <w:ind w:firstLine="437"/>
        <w:outlineLvl w:val="3"/>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26.保密要求</w:t>
      </w:r>
    </w:p>
    <w:p w14:paraId="4D3CF30F">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26.1评审将在严格保密的情况下进行。</w:t>
      </w:r>
    </w:p>
    <w:p w14:paraId="36456FCD">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26.2有关人员应当遵守评审工作纪律，不得泄露评审文件、评审情况和评审中获悉的国家秘密、商业秘密。</w:t>
      </w:r>
    </w:p>
    <w:p w14:paraId="20DECDC9">
      <w:pPr>
        <w:spacing w:line="360" w:lineRule="auto"/>
        <w:ind w:firstLine="437"/>
        <w:outlineLvl w:val="3"/>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27. 中标候选人和中标结果公示</w:t>
      </w:r>
    </w:p>
    <w:p w14:paraId="1E896858">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rPr>
        <w:t>27.1为体现“公开、公平、公正”的原则，磋商结束后，</w:t>
      </w:r>
      <w:r>
        <w:rPr>
          <w:rFonts w:hint="eastAsia" w:ascii="宋体" w:hAnsi="宋体" w:eastAsia="宋体" w:cs="宋体"/>
          <w:color w:val="auto"/>
          <w:sz w:val="24"/>
          <w:szCs w:val="24"/>
          <w:highlight w:val="none"/>
        </w:rPr>
        <w:t>招标人将在</w:t>
      </w:r>
      <w:r>
        <w:rPr>
          <w:rFonts w:hint="eastAsia" w:ascii="宋体" w:hAnsi="宋体" w:eastAsia="宋体" w:cs="宋体"/>
          <w:color w:val="auto"/>
          <w:sz w:val="24"/>
          <w:szCs w:val="18"/>
          <w:highlight w:val="none"/>
        </w:rPr>
        <w:t>合肥滨湖时光产业投资集团有限公司网站: http://bhsggroup.cn/</w:t>
      </w:r>
      <w:r>
        <w:rPr>
          <w:rFonts w:hint="eastAsia" w:ascii="宋体" w:hAnsi="宋体" w:eastAsia="宋体" w:cs="宋体"/>
          <w:color w:val="auto"/>
          <w:sz w:val="24"/>
          <w:szCs w:val="24"/>
          <w:highlight w:val="none"/>
        </w:rPr>
        <w:t>上发布中标</w:t>
      </w:r>
      <w:r>
        <w:rPr>
          <w:rFonts w:hint="eastAsia" w:ascii="宋体" w:hAnsi="宋体" w:eastAsia="宋体" w:cs="宋体"/>
          <w:snapToGrid w:val="0"/>
          <w:color w:val="auto"/>
          <w:sz w:val="24"/>
          <w:szCs w:val="24"/>
          <w:highlight w:val="none"/>
        </w:rPr>
        <w:t>候选人</w:t>
      </w:r>
      <w:r>
        <w:rPr>
          <w:rFonts w:hint="eastAsia" w:ascii="宋体" w:hAnsi="宋体" w:eastAsia="宋体" w:cs="宋体"/>
          <w:color w:val="auto"/>
          <w:sz w:val="24"/>
          <w:szCs w:val="24"/>
          <w:highlight w:val="none"/>
        </w:rPr>
        <w:t>公示和中标结果公示。</w:t>
      </w:r>
    </w:p>
    <w:p w14:paraId="1874C705">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27.2招标人在评审结束之日起3日内，依法公示中标候选人。招标人在确定中标人之日起3日内，依法公示中标结果。</w:t>
      </w:r>
    </w:p>
    <w:p w14:paraId="5303D67E">
      <w:pPr>
        <w:spacing w:line="360" w:lineRule="auto"/>
        <w:ind w:firstLine="435"/>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28.中标通知书</w:t>
      </w:r>
    </w:p>
    <w:p w14:paraId="55488B25">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28.1发布中标结果公示的同时以</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规定的形式向中标人发出中标通知书。</w:t>
      </w:r>
    </w:p>
    <w:p w14:paraId="5B0EEF72">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28.2中标通知书对招标人和中标人具有同等法律效力。中标通知书发出以后，招标人改变中标结果或者中标人放弃中标资格，应当承担相应的法律责任。</w:t>
      </w:r>
    </w:p>
    <w:p w14:paraId="6704BC8E">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28.3中标通知书是合同的组成部分。</w:t>
      </w:r>
    </w:p>
    <w:p w14:paraId="3BC2931D">
      <w:pPr>
        <w:spacing w:line="360" w:lineRule="auto"/>
        <w:ind w:firstLine="437"/>
        <w:outlineLvl w:val="3"/>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29.告知磋商结果</w:t>
      </w:r>
    </w:p>
    <w:p w14:paraId="32929F38">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29.1在公告中标结果的同时，招标人同时以</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规定的形式告知未中标人本人的评审得分和排序。</w:t>
      </w:r>
    </w:p>
    <w:p w14:paraId="3DF2FF76">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29.2招标人对未中标的投标人不做未中标原因的解释。</w:t>
      </w:r>
    </w:p>
    <w:p w14:paraId="2E3F1CB9">
      <w:pPr>
        <w:spacing w:line="360" w:lineRule="auto"/>
        <w:ind w:firstLine="437"/>
        <w:outlineLvl w:val="3"/>
        <w:rPr>
          <w:rFonts w:hint="eastAsia" w:ascii="宋体" w:hAnsi="宋体" w:eastAsia="宋体" w:cs="宋体"/>
          <w:b/>
          <w:color w:val="auto"/>
          <w:sz w:val="24"/>
          <w:highlight w:val="none"/>
        </w:rPr>
      </w:pPr>
      <w:r>
        <w:rPr>
          <w:rFonts w:hint="eastAsia" w:ascii="宋体" w:hAnsi="宋体" w:eastAsia="宋体" w:cs="宋体"/>
          <w:b/>
          <w:color w:val="auto"/>
          <w:sz w:val="24"/>
          <w:highlight w:val="none"/>
        </w:rPr>
        <w:t>30.履约保证金</w:t>
      </w:r>
    </w:p>
    <w:p w14:paraId="463DAA4A">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30.1 中标人应按照</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规定缴纳履约保证金（本项目不需要缴纳履约保证金）。</w:t>
      </w:r>
    </w:p>
    <w:p w14:paraId="061ED596">
      <w:pPr>
        <w:spacing w:line="360" w:lineRule="auto"/>
        <w:ind w:firstLine="437"/>
        <w:outlineLvl w:val="3"/>
        <w:rPr>
          <w:rFonts w:hint="eastAsia" w:ascii="宋体" w:hAnsi="宋体" w:eastAsia="宋体" w:cs="宋体"/>
          <w:b/>
          <w:color w:val="auto"/>
          <w:sz w:val="24"/>
          <w:highlight w:val="none"/>
        </w:rPr>
      </w:pPr>
      <w:r>
        <w:rPr>
          <w:rFonts w:hint="eastAsia" w:ascii="宋体" w:hAnsi="宋体" w:eastAsia="宋体" w:cs="宋体"/>
          <w:b/>
          <w:color w:val="auto"/>
          <w:sz w:val="24"/>
          <w:highlight w:val="none"/>
        </w:rPr>
        <w:t>31.中标服务费</w:t>
      </w:r>
    </w:p>
    <w:p w14:paraId="67F48EAB">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31.1本项目中标服务费的收取按</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的规定执行。</w:t>
      </w:r>
    </w:p>
    <w:p w14:paraId="2C121249">
      <w:pPr>
        <w:spacing w:line="360" w:lineRule="auto"/>
        <w:ind w:firstLine="437"/>
        <w:outlineLvl w:val="3"/>
        <w:rPr>
          <w:rFonts w:hint="eastAsia" w:ascii="宋体" w:hAnsi="宋体" w:eastAsia="宋体" w:cs="宋体"/>
          <w:b/>
          <w:color w:val="auto"/>
          <w:sz w:val="24"/>
          <w:highlight w:val="none"/>
        </w:rPr>
      </w:pPr>
      <w:r>
        <w:rPr>
          <w:rFonts w:hint="eastAsia" w:ascii="宋体" w:hAnsi="宋体" w:eastAsia="宋体" w:cs="宋体"/>
          <w:b/>
          <w:color w:val="auto"/>
          <w:sz w:val="24"/>
          <w:highlight w:val="none"/>
        </w:rPr>
        <w:t>32.签订合同</w:t>
      </w:r>
    </w:p>
    <w:p w14:paraId="4C543E08">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32.1招标人与中标人应当自发出中标通知书之日起30日内签订合同。</w:t>
      </w:r>
    </w:p>
    <w:p w14:paraId="56DC85A2">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32.2磋商文件、中标人的响应文件及其澄清文件等，均为签订合同的依据。</w:t>
      </w:r>
    </w:p>
    <w:p w14:paraId="36B964F9">
      <w:pPr>
        <w:spacing w:line="360" w:lineRule="auto"/>
        <w:ind w:firstLine="437"/>
        <w:outlineLvl w:val="3"/>
        <w:rPr>
          <w:rFonts w:hint="eastAsia" w:ascii="宋体" w:hAnsi="宋体" w:eastAsia="宋体" w:cs="宋体"/>
          <w:b/>
          <w:color w:val="auto"/>
          <w:sz w:val="24"/>
          <w:highlight w:val="none"/>
        </w:rPr>
      </w:pPr>
      <w:r>
        <w:rPr>
          <w:rFonts w:hint="eastAsia" w:ascii="宋体" w:hAnsi="宋体" w:eastAsia="宋体" w:cs="宋体"/>
          <w:b/>
          <w:color w:val="auto"/>
          <w:sz w:val="24"/>
          <w:highlight w:val="none"/>
        </w:rPr>
        <w:t>33.廉洁自律规定</w:t>
      </w:r>
    </w:p>
    <w:p w14:paraId="01637DDA">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33.1招标人工作人员不得以不正当手段获取招标代理业务，不得投标人恶意串通。</w:t>
      </w:r>
    </w:p>
    <w:p w14:paraId="023E5735">
      <w:pPr>
        <w:spacing w:line="360" w:lineRule="auto"/>
        <w:ind w:firstLine="437"/>
        <w:outlineLvl w:val="3"/>
        <w:rPr>
          <w:rFonts w:hint="eastAsia" w:ascii="宋体" w:hAnsi="宋体" w:eastAsia="宋体" w:cs="宋体"/>
          <w:b/>
          <w:color w:val="auto"/>
          <w:sz w:val="24"/>
          <w:highlight w:val="none"/>
        </w:rPr>
      </w:pPr>
      <w:r>
        <w:rPr>
          <w:rFonts w:hint="eastAsia" w:ascii="宋体" w:hAnsi="宋体" w:eastAsia="宋体" w:cs="宋体"/>
          <w:b/>
          <w:color w:val="auto"/>
          <w:sz w:val="24"/>
          <w:highlight w:val="none"/>
        </w:rPr>
        <w:t>34.异议的提出与接收</w:t>
      </w:r>
    </w:p>
    <w:p w14:paraId="2CA43D55">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34.1投标人认为磋商文件、采购过程和中标结果使自己的权益受到损害的，可以在知道或者应知其权益受到损害之日起七个工作日内，以书面形式向招标人提出异议。</w:t>
      </w:r>
    </w:p>
    <w:p w14:paraId="33D1BEBF">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34.2上述应知其权益受到损害之日，是指：</w:t>
      </w:r>
    </w:p>
    <w:p w14:paraId="108F8034">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（1）对磋商文件提出异议的，为磋商文件公告期限届满之日；</w:t>
      </w:r>
    </w:p>
    <w:p w14:paraId="6C36040F">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（2）对采购过程提出异议的，为各采购程序环节结束之日；</w:t>
      </w:r>
    </w:p>
    <w:p w14:paraId="6F46A3FD">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（3）对中标结果提出异议的，为中标结果公告期限届满之日。</w:t>
      </w:r>
    </w:p>
    <w:p w14:paraId="040E1A86">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34.3异议投标人应在法定异议期内以书面形式提出异议，超出法定异议期提交的异议将被拒绝。针对同一招标程序环节的异议应一次性提出。</w:t>
      </w:r>
    </w:p>
    <w:p w14:paraId="2C1C32AA">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超出法定异议期的、重复提出的、分次提出的或内容、形式不符合规定的，异议投标人将依法承担不利后果。</w:t>
      </w:r>
    </w:p>
    <w:p w14:paraId="50D06F23">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34.4招标人异议函接收部门、联系电话和通讯地址，见</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w:t>
      </w:r>
    </w:p>
    <w:p w14:paraId="67446136">
      <w:pPr>
        <w:spacing w:line="360" w:lineRule="auto"/>
        <w:ind w:firstLine="437"/>
        <w:outlineLvl w:val="3"/>
        <w:rPr>
          <w:rFonts w:hint="eastAsia" w:ascii="宋体" w:hAnsi="宋体" w:eastAsia="宋体" w:cs="宋体"/>
          <w:b/>
          <w:color w:val="auto"/>
          <w:sz w:val="24"/>
          <w:highlight w:val="none"/>
        </w:rPr>
      </w:pPr>
      <w:r>
        <w:rPr>
          <w:rFonts w:hint="eastAsia" w:ascii="宋体" w:hAnsi="宋体" w:eastAsia="宋体" w:cs="宋体"/>
          <w:b/>
          <w:color w:val="auto"/>
          <w:sz w:val="24"/>
          <w:highlight w:val="none"/>
        </w:rPr>
        <w:t>35.需要补充的其他内容</w:t>
      </w:r>
    </w:p>
    <w:p w14:paraId="45524A1B">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需要补充的其他内容，见</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w:t>
      </w:r>
    </w:p>
    <w:p w14:paraId="00F1C075">
      <w:pPr>
        <w:widowControl/>
        <w:jc w:val="left"/>
        <w:rPr>
          <w:rFonts w:hint="eastAsia" w:ascii="宋体" w:hAnsi="宋体" w:eastAsia="宋体" w:cs="宋体"/>
          <w:b/>
          <w:color w:val="auto"/>
          <w:sz w:val="28"/>
          <w:highlight w:val="none"/>
        </w:rPr>
      </w:pPr>
      <w:r>
        <w:rPr>
          <w:rFonts w:hint="eastAsia" w:ascii="宋体" w:hAnsi="宋体" w:eastAsia="宋体" w:cs="宋体"/>
          <w:color w:val="auto"/>
          <w:sz w:val="24"/>
          <w:highlight w:val="none"/>
        </w:rPr>
        <w:br w:type="page"/>
      </w:r>
    </w:p>
    <w:p w14:paraId="55710964">
      <w:pPr>
        <w:spacing w:line="360" w:lineRule="auto"/>
        <w:jc w:val="center"/>
        <w:outlineLvl w:val="1"/>
        <w:rPr>
          <w:rFonts w:hint="eastAsia" w:ascii="宋体" w:hAnsi="宋体" w:eastAsia="宋体" w:cs="宋体"/>
          <w:b/>
          <w:color w:val="auto"/>
          <w:sz w:val="28"/>
          <w:highlight w:val="none"/>
        </w:rPr>
      </w:pPr>
      <w:bookmarkStart w:id="11" w:name="_Toc47026334"/>
      <w:r>
        <w:rPr>
          <w:rFonts w:hint="eastAsia" w:ascii="宋体" w:hAnsi="宋体" w:eastAsia="宋体" w:cs="宋体"/>
          <w:b/>
          <w:color w:val="auto"/>
          <w:sz w:val="28"/>
          <w:highlight w:val="none"/>
        </w:rPr>
        <w:t>第三章  招标需求</w:t>
      </w:r>
      <w:bookmarkEnd w:id="11"/>
    </w:p>
    <w:p w14:paraId="6C8226B4">
      <w:pPr>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前注：</w:t>
      </w:r>
    </w:p>
    <w:p w14:paraId="5813C9D7">
      <w:pPr>
        <w:spacing w:line="360" w:lineRule="auto"/>
        <w:ind w:firstLine="437"/>
        <w:rPr>
          <w:rFonts w:hint="eastAsia" w:ascii="宋体" w:hAnsi="宋体" w:eastAsia="宋体" w:cs="宋体"/>
          <w:color w:val="auto"/>
          <w:sz w:val="24"/>
          <w:highlight w:val="none"/>
        </w:rPr>
      </w:pPr>
      <w:r>
        <w:rPr>
          <w:rFonts w:hint="eastAsia" w:ascii="宋体" w:hAnsi="宋体" w:eastAsia="宋体" w:cs="宋体"/>
          <w:color w:val="auto"/>
          <w:sz w:val="24"/>
          <w:highlight w:val="none"/>
        </w:rPr>
        <w:t>1、本说明中提出的技术方案仅为参考，如无明确限制，投标人可以进行优化，提供满足用户实际需要的更优（或者性能实质上不低于的）服务方案，且此方案须经磋商小组评审认可；</w:t>
      </w:r>
    </w:p>
    <w:p w14:paraId="6662C3CE">
      <w:pPr>
        <w:spacing w:line="360" w:lineRule="auto"/>
        <w:ind w:firstLine="437"/>
        <w:rPr>
          <w:rFonts w:hint="eastAsia" w:ascii="宋体" w:hAnsi="宋体" w:eastAsia="宋体" w:cs="宋体"/>
          <w:color w:val="auto"/>
          <w:sz w:val="24"/>
          <w:highlight w:val="none"/>
        </w:rPr>
      </w:pPr>
      <w:r>
        <w:rPr>
          <w:rFonts w:hint="eastAsia" w:ascii="宋体" w:hAnsi="宋体" w:eastAsia="宋体" w:cs="宋体"/>
          <w:color w:val="auto"/>
          <w:sz w:val="24"/>
          <w:highlight w:val="none"/>
        </w:rPr>
        <w:t>2、如投标人因未及时勘察现场而导致的报价缺项漏项废标、或中标后无法完工，投标人自行承担一切后果。</w:t>
      </w:r>
    </w:p>
    <w:p w14:paraId="394CEB80">
      <w:pPr>
        <w:pStyle w:val="2"/>
        <w:rPr>
          <w:rFonts w:hint="eastAsia"/>
          <w:color w:val="auto"/>
          <w:highlight w:val="none"/>
          <w:lang w:eastAsia="zh-CN"/>
        </w:rPr>
      </w:pPr>
    </w:p>
    <w:p w14:paraId="75FEB18A">
      <w:pPr>
        <w:spacing w:line="360" w:lineRule="auto"/>
        <w:ind w:firstLine="437"/>
        <w:rPr>
          <w:rFonts w:hint="eastAsia" w:ascii="宋体" w:hAnsi="宋体" w:eastAsia="宋体" w:cs="宋体"/>
          <w:b/>
          <w:color w:val="auto"/>
          <w:sz w:val="24"/>
          <w:szCs w:val="18"/>
          <w:highlight w:val="none"/>
        </w:rPr>
      </w:pPr>
      <w:r>
        <w:rPr>
          <w:rFonts w:hint="eastAsia" w:ascii="宋体" w:hAnsi="宋体" w:eastAsia="宋体" w:cs="宋体"/>
          <w:b/>
          <w:color w:val="auto"/>
          <w:sz w:val="24"/>
          <w:szCs w:val="18"/>
          <w:highlight w:val="none"/>
        </w:rPr>
        <w:t>一、招标需求前附表</w:t>
      </w:r>
    </w:p>
    <w:tbl>
      <w:tblPr>
        <w:tblStyle w:val="23"/>
        <w:tblW w:w="82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1"/>
        <w:gridCol w:w="2033"/>
        <w:gridCol w:w="5488"/>
      </w:tblGrid>
      <w:tr w14:paraId="759F4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741" w:type="dxa"/>
            <w:vAlign w:val="center"/>
          </w:tcPr>
          <w:p w14:paraId="46EDF710">
            <w:pPr>
              <w:pStyle w:val="29"/>
              <w:rPr>
                <w:rFonts w:hint="eastAsia"/>
                <w:color w:val="auto"/>
                <w:highlight w:val="none"/>
              </w:rPr>
            </w:pPr>
            <w:r>
              <w:rPr>
                <w:rFonts w:hint="eastAsia"/>
                <w:color w:val="auto"/>
                <w:highlight w:val="none"/>
              </w:rPr>
              <w:t>序号</w:t>
            </w:r>
          </w:p>
        </w:tc>
        <w:tc>
          <w:tcPr>
            <w:tcW w:w="2033" w:type="dxa"/>
            <w:vAlign w:val="center"/>
          </w:tcPr>
          <w:p w14:paraId="322C0B70">
            <w:pPr>
              <w:pStyle w:val="29"/>
              <w:rPr>
                <w:rFonts w:hint="eastAsia"/>
                <w:color w:val="auto"/>
                <w:highlight w:val="none"/>
              </w:rPr>
            </w:pPr>
            <w:r>
              <w:rPr>
                <w:rFonts w:hint="eastAsia"/>
                <w:color w:val="auto"/>
                <w:highlight w:val="none"/>
              </w:rPr>
              <w:t>条款名称</w:t>
            </w:r>
          </w:p>
        </w:tc>
        <w:tc>
          <w:tcPr>
            <w:tcW w:w="5488" w:type="dxa"/>
            <w:vAlign w:val="center"/>
          </w:tcPr>
          <w:p w14:paraId="5EBF8D5F">
            <w:pPr>
              <w:pStyle w:val="29"/>
              <w:rPr>
                <w:rFonts w:hint="eastAsia"/>
                <w:color w:val="auto"/>
                <w:highlight w:val="none"/>
              </w:rPr>
            </w:pPr>
            <w:r>
              <w:rPr>
                <w:rFonts w:hint="eastAsia"/>
                <w:color w:val="auto"/>
                <w:highlight w:val="none"/>
              </w:rPr>
              <w:t>内容、说明与要求</w:t>
            </w:r>
          </w:p>
        </w:tc>
      </w:tr>
      <w:tr w14:paraId="48D4B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741" w:type="dxa"/>
            <w:vAlign w:val="center"/>
          </w:tcPr>
          <w:p w14:paraId="7B46C647">
            <w:pPr>
              <w:pStyle w:val="30"/>
              <w:rPr>
                <w:rFonts w:hint="eastAsia"/>
                <w:color w:val="auto"/>
                <w:highlight w:val="none"/>
              </w:rPr>
            </w:pPr>
            <w:r>
              <w:rPr>
                <w:rFonts w:hint="eastAsia"/>
                <w:color w:val="auto"/>
                <w:highlight w:val="none"/>
              </w:rPr>
              <w:t>1</w:t>
            </w:r>
          </w:p>
        </w:tc>
        <w:tc>
          <w:tcPr>
            <w:tcW w:w="2033" w:type="dxa"/>
            <w:vAlign w:val="center"/>
          </w:tcPr>
          <w:p w14:paraId="653194B1">
            <w:pPr>
              <w:pStyle w:val="29"/>
              <w:rPr>
                <w:rFonts w:hint="eastAsia"/>
                <w:b/>
                <w:color w:val="auto"/>
                <w:highlight w:val="none"/>
              </w:rPr>
            </w:pPr>
            <w:r>
              <w:rPr>
                <w:rFonts w:hint="eastAsia"/>
                <w:color w:val="auto"/>
                <w:highlight w:val="none"/>
              </w:rPr>
              <w:t>付款方式</w:t>
            </w:r>
          </w:p>
        </w:tc>
        <w:tc>
          <w:tcPr>
            <w:tcW w:w="5488" w:type="dxa"/>
            <w:vAlign w:val="center"/>
          </w:tcPr>
          <w:p w14:paraId="0F929274">
            <w:pPr>
              <w:pStyle w:val="29"/>
              <w:rPr>
                <w:rFonts w:hint="eastAsia"/>
                <w:color w:val="auto"/>
                <w:highlight w:val="none"/>
                <w:lang w:val="en-US" w:eastAsia="zh-CN"/>
              </w:rPr>
            </w:pPr>
            <w:r>
              <w:rPr>
                <w:rFonts w:hint="eastAsia"/>
                <w:color w:val="auto"/>
                <w:highlight w:val="none"/>
                <w:lang w:val="en-US" w:eastAsia="zh-CN"/>
              </w:rPr>
              <w:t>所有经营收入须由招标人统一收款，中标人不得擅自收取销售货款，次月按中标比例与中标人进行结算，经双方确认结算金额后当月内，招标人向中标人支付结算款项【结算款为双方确认营业收入*（1-分成比例%）】，付款前，中标人应当按照招标人要求开具等额增值税发票</w:t>
            </w:r>
          </w:p>
          <w:p w14:paraId="4CB43506">
            <w:pPr>
              <w:pStyle w:val="29"/>
              <w:rPr>
                <w:rFonts w:hint="eastAsia"/>
                <w:b/>
                <w:color w:val="auto"/>
                <w:highlight w:val="none"/>
              </w:rPr>
            </w:pPr>
            <w:r>
              <w:rPr>
                <w:rFonts w:hint="eastAsia"/>
                <w:color w:val="auto"/>
                <w:highlight w:val="none"/>
              </w:rPr>
              <w:t>注：投标人提交的响应文件中如有关于付款条件的表述与磋商文件规定负偏离的，响应无效。</w:t>
            </w:r>
          </w:p>
        </w:tc>
      </w:tr>
      <w:tr w14:paraId="402DB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741" w:type="dxa"/>
            <w:vAlign w:val="center"/>
          </w:tcPr>
          <w:p w14:paraId="22CBA215">
            <w:pPr>
              <w:pStyle w:val="30"/>
              <w:rPr>
                <w:rFonts w:hint="eastAsia"/>
                <w:color w:val="auto"/>
                <w:highlight w:val="none"/>
              </w:rPr>
            </w:pPr>
            <w:r>
              <w:rPr>
                <w:rFonts w:hint="eastAsia"/>
                <w:color w:val="auto"/>
                <w:highlight w:val="none"/>
              </w:rPr>
              <w:t>2</w:t>
            </w:r>
          </w:p>
        </w:tc>
        <w:tc>
          <w:tcPr>
            <w:tcW w:w="2033" w:type="dxa"/>
            <w:vAlign w:val="center"/>
          </w:tcPr>
          <w:p w14:paraId="7915C29D">
            <w:pPr>
              <w:pStyle w:val="29"/>
              <w:rPr>
                <w:rFonts w:hint="eastAsia"/>
                <w:b/>
                <w:color w:val="auto"/>
                <w:highlight w:val="none"/>
              </w:rPr>
            </w:pPr>
            <w:r>
              <w:rPr>
                <w:rFonts w:hint="eastAsia"/>
                <w:color w:val="auto"/>
                <w:highlight w:val="none"/>
              </w:rPr>
              <w:t>服务地点</w:t>
            </w:r>
          </w:p>
        </w:tc>
        <w:tc>
          <w:tcPr>
            <w:tcW w:w="5488" w:type="dxa"/>
            <w:vAlign w:val="center"/>
          </w:tcPr>
          <w:p w14:paraId="52D7E9B6">
            <w:pPr>
              <w:pStyle w:val="29"/>
              <w:rPr>
                <w:rFonts w:hint="default" w:eastAsia="宋体"/>
                <w:b/>
                <w:color w:val="auto"/>
                <w:highlight w:val="none"/>
                <w:lang w:val="en-US" w:eastAsia="zh-CN"/>
              </w:rPr>
            </w:pPr>
            <w:r>
              <w:rPr>
                <w:rFonts w:hint="eastAsia"/>
                <w:color w:val="auto"/>
                <w:highlight w:val="none"/>
              </w:rPr>
              <w:t>包河区宁国路与水阳江路交口罍街二期内（罍街党群服务中心旁）</w:t>
            </w:r>
            <w:r>
              <w:rPr>
                <w:rFonts w:hint="eastAsia"/>
                <w:color w:val="auto"/>
                <w:highlight w:val="none"/>
                <w:lang w:val="en-US" w:eastAsia="zh-CN"/>
              </w:rPr>
              <w:t>罍街悦书房一层文创销售区域约120㎡。（具体销售区域由招标人指定）</w:t>
            </w:r>
          </w:p>
        </w:tc>
      </w:tr>
      <w:tr w14:paraId="3DE6A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741" w:type="dxa"/>
            <w:vAlign w:val="center"/>
          </w:tcPr>
          <w:p w14:paraId="357F8CF9">
            <w:pPr>
              <w:pStyle w:val="30"/>
              <w:rPr>
                <w:rFonts w:hint="eastAsia"/>
                <w:color w:val="auto"/>
                <w:highlight w:val="none"/>
              </w:rPr>
            </w:pPr>
            <w:r>
              <w:rPr>
                <w:rFonts w:hint="eastAsia"/>
                <w:color w:val="auto"/>
                <w:highlight w:val="none"/>
              </w:rPr>
              <w:t>3</w:t>
            </w:r>
          </w:p>
        </w:tc>
        <w:tc>
          <w:tcPr>
            <w:tcW w:w="2033" w:type="dxa"/>
            <w:vAlign w:val="center"/>
          </w:tcPr>
          <w:p w14:paraId="794FF403">
            <w:pPr>
              <w:pStyle w:val="29"/>
              <w:rPr>
                <w:rFonts w:hint="eastAsia"/>
                <w:color w:val="auto"/>
                <w:highlight w:val="none"/>
              </w:rPr>
            </w:pPr>
            <w:r>
              <w:rPr>
                <w:rFonts w:hint="eastAsia"/>
                <w:color w:val="auto"/>
                <w:highlight w:val="none"/>
              </w:rPr>
              <w:t>服务期限</w:t>
            </w:r>
          </w:p>
        </w:tc>
        <w:tc>
          <w:tcPr>
            <w:tcW w:w="5488" w:type="dxa"/>
            <w:vAlign w:val="center"/>
          </w:tcPr>
          <w:p w14:paraId="0B5102D7">
            <w:pPr>
              <w:pStyle w:val="29"/>
              <w:rPr>
                <w:rFonts w:hint="eastAsia"/>
                <w:color w:val="auto"/>
                <w:highlight w:val="none"/>
              </w:rPr>
            </w:pPr>
            <w:r>
              <w:rPr>
                <w:rFonts w:hint="eastAsia"/>
                <w:color w:val="auto"/>
                <w:highlight w:val="none"/>
              </w:rPr>
              <w:t>合同签订后一年，服务期满，经招标人</w:t>
            </w:r>
            <w:r>
              <w:rPr>
                <w:rFonts w:hint="eastAsia"/>
                <w:color w:val="auto"/>
                <w:highlight w:val="none"/>
                <w:lang w:val="en-US" w:eastAsia="zh-CN"/>
              </w:rPr>
              <w:t>的对乙方进行评估，</w:t>
            </w:r>
            <w:r>
              <w:rPr>
                <w:rFonts w:hint="eastAsia"/>
                <w:color w:val="auto"/>
                <w:highlight w:val="none"/>
              </w:rPr>
              <w:t>履约良好</w:t>
            </w:r>
            <w:r>
              <w:rPr>
                <w:rFonts w:hint="eastAsia"/>
                <w:color w:val="auto"/>
                <w:highlight w:val="none"/>
                <w:lang w:eastAsia="zh-CN"/>
              </w:rPr>
              <w:t>，</w:t>
            </w:r>
            <w:r>
              <w:rPr>
                <w:rFonts w:hint="eastAsia"/>
                <w:color w:val="auto"/>
                <w:highlight w:val="none"/>
              </w:rPr>
              <w:t>可按原合同续签一年。</w:t>
            </w:r>
          </w:p>
        </w:tc>
      </w:tr>
    </w:tbl>
    <w:p w14:paraId="0E9265CA">
      <w:pPr>
        <w:spacing w:line="360" w:lineRule="auto"/>
        <w:ind w:firstLine="437"/>
        <w:rPr>
          <w:rFonts w:hint="eastAsia" w:ascii="宋体" w:hAnsi="宋体" w:eastAsia="宋体" w:cs="宋体"/>
          <w:b/>
          <w:color w:val="auto"/>
          <w:sz w:val="24"/>
          <w:szCs w:val="18"/>
          <w:highlight w:val="none"/>
        </w:rPr>
      </w:pPr>
      <w:bookmarkStart w:id="12" w:name="_Hlk16461016"/>
      <w:r>
        <w:rPr>
          <w:rFonts w:hint="eastAsia" w:ascii="宋体" w:hAnsi="宋体" w:eastAsia="宋体" w:cs="宋体"/>
          <w:b/>
          <w:color w:val="auto"/>
          <w:sz w:val="24"/>
          <w:szCs w:val="18"/>
          <w:highlight w:val="none"/>
        </w:rPr>
        <w:t>二、项目概况</w:t>
      </w:r>
    </w:p>
    <w:p w14:paraId="09DA749A">
      <w:pPr>
        <w:spacing w:line="360" w:lineRule="auto"/>
        <w:ind w:firstLine="480" w:firstLineChars="200"/>
        <w:rPr>
          <w:rFonts w:hint="eastAsia" w:ascii="宋体" w:hAnsi="宋体" w:eastAsia="宋体"/>
          <w:bCs/>
          <w:color w:val="auto"/>
          <w:sz w:val="24"/>
          <w:szCs w:val="18"/>
          <w:highlight w:val="none"/>
        </w:rPr>
      </w:pPr>
      <w:r>
        <w:rPr>
          <w:rFonts w:hint="eastAsia" w:ascii="宋体" w:hAnsi="宋体" w:eastAsia="宋体" w:cs="宋体"/>
          <w:color w:val="auto"/>
          <w:sz w:val="24"/>
          <w:szCs w:val="24"/>
          <w:highlight w:val="none"/>
        </w:rPr>
        <w:t>为贯彻落实安徽省委宣传部、省文旅厅《安徽省公共文化空间工程实施方案》文件要求，加强包河区</w:t>
      </w:r>
      <w:r>
        <w:rPr>
          <w:rFonts w:hint="eastAsia" w:ascii="宋体" w:hAnsi="宋体" w:eastAsia="宋体" w:cs="宋体"/>
          <w:color w:val="auto"/>
          <w:sz w:val="24"/>
          <w:szCs w:val="24"/>
          <w:highlight w:val="none"/>
          <w:lang w:val="en-US" w:eastAsia="zh-CN"/>
        </w:rPr>
        <w:t>公共文化空间建设，融合多元业态，打通可持续发展底层逻辑，探索场馆市场化经营思路，增强公共文化设施“造血”能力。</w:t>
      </w:r>
      <w:bookmarkStart w:id="13" w:name="OLE_LINK10"/>
    </w:p>
    <w:bookmarkEnd w:id="13"/>
    <w:p w14:paraId="1CB7EEB8">
      <w:pPr>
        <w:spacing w:line="360" w:lineRule="auto"/>
        <w:ind w:firstLine="437"/>
        <w:rPr>
          <w:rFonts w:hint="eastAsia" w:ascii="宋体" w:hAnsi="宋体" w:eastAsia="宋体" w:cs="宋体"/>
          <w:b/>
          <w:color w:val="auto"/>
          <w:sz w:val="24"/>
          <w:szCs w:val="18"/>
          <w:highlight w:val="none"/>
        </w:rPr>
      </w:pPr>
      <w:r>
        <w:rPr>
          <w:rFonts w:hint="eastAsia" w:ascii="宋体" w:hAnsi="宋体" w:eastAsia="宋体" w:cs="宋体"/>
          <w:b/>
          <w:color w:val="auto"/>
          <w:sz w:val="24"/>
          <w:szCs w:val="18"/>
          <w:highlight w:val="none"/>
        </w:rPr>
        <w:t>三、服务需求</w:t>
      </w:r>
    </w:p>
    <w:p w14:paraId="60B953DC">
      <w:pPr>
        <w:spacing w:line="360" w:lineRule="auto"/>
        <w:ind w:firstLine="437"/>
        <w:rPr>
          <w:rFonts w:hint="eastAsia" w:ascii="宋体" w:hAnsi="宋体" w:eastAsia="宋体" w:cs="宋体"/>
          <w:bCs/>
          <w:color w:val="auto"/>
          <w:sz w:val="24"/>
          <w:szCs w:val="18"/>
          <w:highlight w:val="none"/>
        </w:rPr>
      </w:pPr>
      <w:r>
        <w:rPr>
          <w:rFonts w:hint="eastAsia" w:ascii="宋体" w:hAnsi="宋体" w:eastAsia="宋体" w:cs="宋体"/>
          <w:bCs/>
          <w:color w:val="auto"/>
          <w:sz w:val="24"/>
          <w:szCs w:val="18"/>
          <w:highlight w:val="none"/>
        </w:rPr>
        <w:t>现针对</w:t>
      </w:r>
      <w:r>
        <w:rPr>
          <w:rFonts w:hint="eastAsia" w:ascii="宋体" w:hAnsi="宋体" w:eastAsia="宋体" w:cs="宋体"/>
          <w:bCs/>
          <w:color w:val="auto"/>
          <w:sz w:val="24"/>
          <w:szCs w:val="18"/>
          <w:highlight w:val="none"/>
          <w:lang w:val="en-US" w:eastAsia="zh-CN"/>
        </w:rPr>
        <w:t>服务单位</w:t>
      </w:r>
      <w:r>
        <w:rPr>
          <w:rFonts w:hint="eastAsia" w:ascii="宋体" w:hAnsi="宋体" w:eastAsia="宋体" w:cs="宋体"/>
          <w:bCs/>
          <w:color w:val="auto"/>
          <w:sz w:val="24"/>
          <w:szCs w:val="18"/>
          <w:highlight w:val="none"/>
        </w:rPr>
        <w:t>进行招标，负责</w:t>
      </w:r>
      <w:r>
        <w:rPr>
          <w:rFonts w:hint="eastAsia" w:ascii="宋体" w:hAnsi="宋体" w:eastAsia="宋体" w:cs="宋体"/>
          <w:bCs/>
          <w:color w:val="auto"/>
          <w:sz w:val="24"/>
          <w:szCs w:val="18"/>
          <w:highlight w:val="none"/>
          <w:lang w:val="en-US" w:eastAsia="zh-CN"/>
        </w:rPr>
        <w:t>罍街悦书房内文创产品展销、商业活动组织开展</w:t>
      </w:r>
      <w:r>
        <w:rPr>
          <w:rFonts w:hint="eastAsia" w:ascii="宋体" w:hAnsi="宋体" w:eastAsia="宋体" w:cs="宋体"/>
          <w:bCs/>
          <w:color w:val="auto"/>
          <w:sz w:val="24"/>
          <w:szCs w:val="18"/>
          <w:highlight w:val="none"/>
        </w:rPr>
        <w:t>等事宜，</w:t>
      </w:r>
      <w:r>
        <w:rPr>
          <w:rFonts w:hint="eastAsia" w:ascii="宋体" w:hAnsi="宋体" w:eastAsia="宋体" w:cs="宋体"/>
          <w:bCs/>
          <w:color w:val="auto"/>
          <w:sz w:val="24"/>
          <w:szCs w:val="18"/>
          <w:highlight w:val="none"/>
          <w:lang w:val="en-US" w:eastAsia="zh-CN"/>
        </w:rPr>
        <w:t>中标人需负责以下内容</w:t>
      </w:r>
      <w:r>
        <w:rPr>
          <w:rFonts w:hint="eastAsia" w:ascii="宋体" w:hAnsi="宋体" w:eastAsia="宋体" w:cs="宋体"/>
          <w:bCs/>
          <w:color w:val="auto"/>
          <w:sz w:val="24"/>
          <w:szCs w:val="18"/>
          <w:highlight w:val="none"/>
        </w:rPr>
        <w:t>：</w:t>
      </w:r>
    </w:p>
    <w:p w14:paraId="3DD2ED2B">
      <w:pPr>
        <w:spacing w:line="360" w:lineRule="auto"/>
        <w:ind w:firstLine="437"/>
        <w:rPr>
          <w:rFonts w:hint="eastAsia" w:ascii="宋体" w:hAnsi="宋体" w:eastAsia="宋体" w:cs="宋体"/>
          <w:bCs/>
          <w:color w:val="auto"/>
          <w:sz w:val="24"/>
          <w:szCs w:val="18"/>
          <w:highlight w:val="none"/>
        </w:rPr>
      </w:pPr>
      <w:r>
        <w:rPr>
          <w:rFonts w:hint="eastAsia" w:ascii="宋体" w:hAnsi="宋体" w:eastAsia="宋体" w:cs="宋体"/>
          <w:bCs/>
          <w:color w:val="auto"/>
          <w:sz w:val="24"/>
          <w:szCs w:val="18"/>
          <w:highlight w:val="none"/>
        </w:rPr>
        <w:t>1、品牌方经营范围文创、文具、文体、艺术工艺品，商业活动组织，品牌方经营活动不得超出其依法登记的经营范围（以品牌方的营业执照为准），且其经营的业务已获得其相关权利人授权，否则，引起的索赔、诉讼或行政处罚及甲方的损失等一切后果均由乙方承担。</w:t>
      </w:r>
    </w:p>
    <w:p w14:paraId="19BBB80A">
      <w:pPr>
        <w:spacing w:line="360" w:lineRule="auto"/>
        <w:ind w:firstLine="437"/>
        <w:rPr>
          <w:rFonts w:hint="eastAsia" w:ascii="宋体" w:hAnsi="宋体" w:eastAsia="宋体" w:cs="宋体"/>
          <w:bCs/>
          <w:color w:val="auto"/>
          <w:sz w:val="24"/>
          <w:szCs w:val="18"/>
          <w:highlight w:val="none"/>
        </w:rPr>
      </w:pPr>
      <w:r>
        <w:rPr>
          <w:rFonts w:hint="eastAsia" w:ascii="宋体" w:hAnsi="宋体" w:eastAsia="宋体" w:cs="宋体"/>
          <w:bCs/>
          <w:color w:val="auto"/>
          <w:sz w:val="24"/>
          <w:szCs w:val="18"/>
          <w:highlight w:val="none"/>
        </w:rPr>
        <w:t>2、品牌方需充分了解经营场地所在区位及周边环境，自愿承担所有经营责任和风险，品牌方不得因经营亏损或其他理由不履行本协议约定的责任、义务或向我司提出本协议约定之外的其他要求。</w:t>
      </w:r>
    </w:p>
    <w:p w14:paraId="4215B61B">
      <w:pPr>
        <w:spacing w:line="360" w:lineRule="auto"/>
        <w:ind w:firstLine="437"/>
        <w:rPr>
          <w:rFonts w:hint="eastAsia" w:ascii="宋体" w:hAnsi="宋体" w:eastAsia="宋体" w:cs="宋体"/>
          <w:bCs/>
          <w:color w:val="auto"/>
          <w:sz w:val="24"/>
          <w:szCs w:val="18"/>
          <w:highlight w:val="none"/>
        </w:rPr>
      </w:pPr>
      <w:r>
        <w:rPr>
          <w:rFonts w:hint="eastAsia" w:ascii="宋体" w:hAnsi="宋体" w:eastAsia="宋体" w:cs="宋体"/>
          <w:bCs/>
          <w:color w:val="auto"/>
          <w:sz w:val="24"/>
          <w:szCs w:val="18"/>
          <w:highlight w:val="none"/>
        </w:rPr>
        <w:t>3、场地文创主题制定：根据文创市场发展方向及消费者喜好，对文创产品进行主题划分，策划主题并落实到产品中，旺季每月不少于4个主题，淡季每月不少于2个主题。要求如下：根据不同季节设计应季主题；根据节日推出相应主题；根据目标客群分析的用户画像推出相应主题。</w:t>
      </w:r>
    </w:p>
    <w:p w14:paraId="0A1152D5">
      <w:pPr>
        <w:spacing w:line="360" w:lineRule="auto"/>
        <w:ind w:firstLine="437"/>
        <w:rPr>
          <w:rFonts w:hint="eastAsia" w:ascii="宋体" w:hAnsi="宋体" w:eastAsia="宋体" w:cs="宋体"/>
          <w:bCs/>
          <w:color w:val="auto"/>
          <w:sz w:val="24"/>
          <w:szCs w:val="18"/>
          <w:highlight w:val="none"/>
        </w:rPr>
      </w:pPr>
      <w:r>
        <w:rPr>
          <w:rFonts w:hint="eastAsia" w:ascii="宋体" w:hAnsi="宋体" w:eastAsia="宋体" w:cs="宋体"/>
          <w:bCs/>
          <w:color w:val="auto"/>
          <w:sz w:val="24"/>
          <w:szCs w:val="18"/>
          <w:highlight w:val="none"/>
        </w:rPr>
        <w:t>4、并实时结合文创发展方向及罍街悦书房的消费群体，对目标客群进行分析，根据分析数据对文创方向、产品、定价等因素实时调整，以此达到文创产品符合用户的喜好、需求，促进销售。</w:t>
      </w:r>
    </w:p>
    <w:p w14:paraId="71247E07">
      <w:pPr>
        <w:spacing w:line="360" w:lineRule="auto"/>
        <w:ind w:firstLine="437"/>
        <w:rPr>
          <w:rFonts w:hint="eastAsia" w:ascii="宋体" w:hAnsi="宋体" w:eastAsia="宋体" w:cs="宋体"/>
          <w:bCs/>
          <w:color w:val="auto"/>
          <w:sz w:val="24"/>
          <w:szCs w:val="18"/>
          <w:highlight w:val="none"/>
        </w:rPr>
      </w:pPr>
      <w:r>
        <w:rPr>
          <w:rFonts w:hint="eastAsia" w:ascii="宋体" w:hAnsi="宋体" w:eastAsia="宋体" w:cs="宋体"/>
          <w:bCs/>
          <w:color w:val="auto"/>
          <w:sz w:val="24"/>
          <w:szCs w:val="18"/>
          <w:highlight w:val="none"/>
        </w:rPr>
        <w:t>5、产品及研发：整体提供的文创产品中，定制文创占比达到10%，定制文创范围为当地区、市、省元素的产品，突出本地化特点，弘扬文化宣传；每季度做文创产品新品上市计划，并落实到文创产品上架。凡重点节假日应明确对应时节的文创产品上新规划，对应时节提前布置陈列，提前备货。</w:t>
      </w:r>
    </w:p>
    <w:p w14:paraId="63425794">
      <w:pPr>
        <w:spacing w:line="360" w:lineRule="auto"/>
        <w:ind w:firstLine="437"/>
        <w:rPr>
          <w:rFonts w:hint="eastAsia" w:ascii="宋体" w:hAnsi="宋体" w:eastAsia="宋体" w:cs="宋体"/>
          <w:bCs/>
          <w:color w:val="auto"/>
          <w:sz w:val="24"/>
          <w:szCs w:val="18"/>
          <w:highlight w:val="none"/>
        </w:rPr>
      </w:pPr>
      <w:r>
        <w:rPr>
          <w:rFonts w:hint="eastAsia" w:ascii="宋体" w:hAnsi="宋体" w:eastAsia="宋体" w:cs="宋体"/>
          <w:bCs/>
          <w:color w:val="auto"/>
          <w:sz w:val="24"/>
          <w:szCs w:val="18"/>
          <w:highlight w:val="none"/>
        </w:rPr>
        <w:t>6、所售的文创产品必须确保有正规版权，不得出现侵权、违规现象。</w:t>
      </w:r>
    </w:p>
    <w:p w14:paraId="4BD0EBC1">
      <w:pPr>
        <w:spacing w:line="360" w:lineRule="auto"/>
        <w:ind w:firstLine="437"/>
        <w:rPr>
          <w:rFonts w:hint="eastAsia" w:ascii="宋体" w:hAnsi="宋体" w:eastAsia="宋体" w:cs="宋体"/>
          <w:bCs/>
          <w:color w:val="auto"/>
          <w:sz w:val="24"/>
          <w:szCs w:val="18"/>
          <w:highlight w:val="none"/>
        </w:rPr>
      </w:pPr>
      <w:r>
        <w:rPr>
          <w:rFonts w:hint="eastAsia" w:ascii="宋体" w:hAnsi="宋体" w:eastAsia="宋体" w:cs="宋体"/>
          <w:bCs/>
          <w:color w:val="auto"/>
          <w:sz w:val="24"/>
          <w:szCs w:val="18"/>
          <w:highlight w:val="none"/>
        </w:rPr>
        <w:t>7、关于陈列：①每月安排专人到馆负责文创产品的陈列，包含新品上架、在售产品陈列调整，达到有新鲜感、趣味性、整洁的效果，每月不低于2次；②按照文创主题的陈列；③按照新产品上市的陈列；④按照不同区域及品类的陈列；⑤重点产品的DP点设计并陈列，特殊的体验型产品与客人之间的交互陈列，并做出交互或体验的相应内容的引导指示；⑥对促销产品和非促销产品的区分陈列；⑦每次陈列要突出产品特点、主题特点，做到整齐、美观，不同的区域特点鲜明，能让客人找到自己所需要的品类；⑧每月文创产品的主题调整、货架之间整体调整不少于1次。根据季度、月度，每次上新的文创产品，不同主题的文创产品，设计并制作陈列道具、宣传物料，做到主题明确、美观，烘托氛围，突出产品特点；⑨重点的文创产品免费提供展示样品，以此确保介绍清楚文创产品的特点。</w:t>
      </w:r>
    </w:p>
    <w:p w14:paraId="4F0F96E9">
      <w:pPr>
        <w:spacing w:line="360" w:lineRule="auto"/>
        <w:ind w:firstLine="437"/>
        <w:rPr>
          <w:rFonts w:hint="eastAsia" w:ascii="宋体" w:hAnsi="宋体" w:eastAsia="宋体" w:cs="宋体"/>
          <w:bCs/>
          <w:color w:val="auto"/>
          <w:sz w:val="24"/>
          <w:szCs w:val="18"/>
          <w:highlight w:val="none"/>
        </w:rPr>
      </w:pPr>
      <w:r>
        <w:rPr>
          <w:rFonts w:hint="eastAsia" w:ascii="宋体" w:hAnsi="宋体" w:eastAsia="宋体" w:cs="宋体"/>
          <w:bCs/>
          <w:color w:val="auto"/>
          <w:sz w:val="24"/>
          <w:szCs w:val="18"/>
          <w:highlight w:val="none"/>
        </w:rPr>
        <w:t>8、关于销售：①做好每次文创产品新品上市的货品核对工作，提供到货单据给图书馆负责人，包含到货品类、品名、商品编码、数量、定价。并核对货单与实到货品的一致性，以实际签收货品数量录入系统；②安排专人负责产品维护，包含非消费者原因导致的残次品维修、残次品退还、缺件少件调换，确保在售产品的品质；③根据需要做文创产品的促销方案制定与执行，及促销物料的设计和制作；④配合甲方的活动要求，做好文创产品策划、设计以及活动的策划与执行等相关工作。</w:t>
      </w:r>
    </w:p>
    <w:p w14:paraId="657FB7DF">
      <w:pPr>
        <w:spacing w:line="360" w:lineRule="auto"/>
        <w:ind w:firstLine="437"/>
        <w:rPr>
          <w:rFonts w:hint="eastAsia" w:ascii="宋体" w:hAnsi="宋体" w:eastAsia="宋体" w:cs="宋体"/>
          <w:bCs/>
          <w:color w:val="auto"/>
          <w:sz w:val="24"/>
          <w:szCs w:val="18"/>
          <w:highlight w:val="none"/>
        </w:rPr>
      </w:pPr>
      <w:r>
        <w:rPr>
          <w:rFonts w:hint="eastAsia" w:ascii="宋体" w:hAnsi="宋体" w:eastAsia="宋体" w:cs="宋体"/>
          <w:bCs/>
          <w:color w:val="auto"/>
          <w:sz w:val="24"/>
          <w:szCs w:val="18"/>
          <w:highlight w:val="none"/>
        </w:rPr>
        <w:t>9、关于培训：不定期对场馆员工进行文创产品销售的培训，确保员工对顾客咨询文创产品的相关问题能做出正确回应，并协助顾客选择需要的产品。要每次新品上市要对产品的特点、功能做介绍：①对产品的定价做介绍，如有同产品促销定价应重点介绍；②对每次陈列调整后的产品做介绍；③对促销品的集中陈列及促销方案做介绍；④对部分有功能性的产品做产品使用讲解；⑤对特殊产品的注意事项做讲解。</w:t>
      </w:r>
      <w:r>
        <w:rPr>
          <w:rFonts w:hint="eastAsia" w:ascii="宋体" w:hAnsi="宋体" w:eastAsia="宋体" w:cs="宋体"/>
          <w:bCs/>
          <w:color w:val="auto"/>
          <w:sz w:val="24"/>
          <w:szCs w:val="18"/>
          <w:highlight w:val="none"/>
          <w:lang w:val="en-US" w:eastAsia="zh-CN"/>
        </w:rPr>
        <w:t>由中标人负责支付所有培训老师的薪资，如中标人拖欠薪资，由此造成的劳动/劳务纠纷均由中标人解决并承担支付责任，包含但不限于薪资、赔偿、诉讼费及可能产生的一切费用。如给招标人带来不良影响或损失的，中标人须承担全部责任并赔偿招标人损失。</w:t>
      </w:r>
    </w:p>
    <w:p w14:paraId="12094A2F">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bCs/>
          <w:color w:val="auto"/>
          <w:sz w:val="24"/>
          <w:szCs w:val="18"/>
          <w:highlight w:val="none"/>
          <w:lang w:val="en-US" w:eastAsia="zh-CN"/>
        </w:rPr>
        <w:t>10</w:t>
      </w:r>
      <w:r>
        <w:rPr>
          <w:rFonts w:hint="eastAsia" w:ascii="宋体" w:hAnsi="宋体" w:eastAsia="宋体" w:cs="宋体"/>
          <w:bCs/>
          <w:color w:val="auto"/>
          <w:sz w:val="24"/>
          <w:szCs w:val="18"/>
          <w:highlight w:val="none"/>
        </w:rPr>
        <w:t>、中标人在服务期限内，应牢固树立问题意识、安全意识、风险意识、责任意识、廉洁意识，全面加强防范和控制，不得</w:t>
      </w:r>
      <w:r>
        <w:rPr>
          <w:rFonts w:hint="eastAsia" w:ascii="宋体" w:hAnsi="宋体" w:eastAsia="宋体" w:cs="宋体"/>
          <w:bCs/>
          <w:color w:val="auto"/>
          <w:sz w:val="24"/>
          <w:szCs w:val="18"/>
          <w:highlight w:val="none"/>
          <w:lang w:val="en-US" w:eastAsia="zh-CN"/>
        </w:rPr>
        <w:t>收售</w:t>
      </w:r>
      <w:r>
        <w:rPr>
          <w:rFonts w:hint="eastAsia" w:ascii="宋体" w:hAnsi="宋体" w:eastAsia="宋体" w:cs="宋体"/>
          <w:bCs/>
          <w:color w:val="auto"/>
          <w:sz w:val="24"/>
          <w:szCs w:val="18"/>
          <w:highlight w:val="none"/>
        </w:rPr>
        <w:t>赠礼、物品和现金。防止出现意识形态领域问题和重大安全事故。如出现相关问题，招标人有权解除合同并进行追责。</w:t>
      </w:r>
    </w:p>
    <w:p w14:paraId="25694662">
      <w:pPr>
        <w:spacing w:line="360" w:lineRule="auto"/>
        <w:ind w:firstLine="482" w:firstLineChars="200"/>
        <w:rPr>
          <w:rFonts w:hint="eastAsia" w:ascii="宋体" w:hAnsi="宋体" w:eastAsia="宋体" w:cs="宋体"/>
          <w:b/>
          <w:color w:val="auto"/>
          <w:sz w:val="24"/>
          <w:szCs w:val="18"/>
          <w:highlight w:val="none"/>
        </w:rPr>
      </w:pPr>
      <w:r>
        <w:rPr>
          <w:rFonts w:hint="eastAsia" w:ascii="宋体" w:hAnsi="宋体" w:eastAsia="宋体" w:cs="宋体"/>
          <w:b/>
          <w:color w:val="auto"/>
          <w:sz w:val="24"/>
          <w:szCs w:val="18"/>
          <w:highlight w:val="none"/>
        </w:rPr>
        <w:t>四、报价要求</w:t>
      </w:r>
    </w:p>
    <w:p w14:paraId="03C9C72C">
      <w:pPr>
        <w:spacing w:line="360" w:lineRule="auto"/>
        <w:ind w:firstLine="480" w:firstLineChars="200"/>
        <w:rPr>
          <w:rFonts w:hint="default" w:ascii="宋体" w:hAnsi="宋体" w:eastAsia="宋体" w:cs="宋体"/>
          <w:color w:val="auto"/>
          <w:sz w:val="24"/>
          <w:szCs w:val="24"/>
          <w:highlight w:val="none"/>
          <w:lang w:val="en-US" w:eastAsia="zh-CN"/>
        </w:rPr>
      </w:pPr>
      <w:bookmarkStart w:id="14" w:name="OLE_LINK1"/>
      <w:r>
        <w:rPr>
          <w:rFonts w:hint="eastAsia" w:ascii="宋体" w:hAnsi="宋体" w:eastAsia="宋体" w:cs="宋体"/>
          <w:color w:val="auto"/>
          <w:sz w:val="24"/>
          <w:szCs w:val="24"/>
          <w:highlight w:val="none"/>
          <w:lang w:val="en-US" w:eastAsia="zh-CN"/>
        </w:rPr>
        <w:t>1、</w:t>
      </w:r>
      <w:bookmarkEnd w:id="14"/>
      <w:r>
        <w:rPr>
          <w:rFonts w:hint="eastAsia" w:ascii="宋体" w:hAnsi="宋体" w:eastAsia="宋体" w:cs="宋体"/>
          <w:color w:val="auto"/>
          <w:sz w:val="24"/>
          <w:szCs w:val="24"/>
          <w:highlight w:val="none"/>
          <w:lang w:val="en-US" w:eastAsia="zh-CN"/>
        </w:rPr>
        <w:t>本项目采用费率报价，投标人应报出投标人的分成比例，仅计取小数点后两位，例如报价78.999%，按78.99%计，不再“四舍五入”，且投标费率不得超过相应标段的最高限价，否则，报价无效。本项目招标分成</w:t>
      </w:r>
      <w:r>
        <w:rPr>
          <w:rFonts w:hint="eastAsia" w:ascii="宋体" w:hAnsi="宋体" w:eastAsia="宋体" w:cs="宋体"/>
          <w:b/>
          <w:bCs/>
          <w:color w:val="auto"/>
          <w:sz w:val="24"/>
          <w:szCs w:val="24"/>
          <w:highlight w:val="none"/>
          <w:lang w:val="en-US" w:eastAsia="zh-CN"/>
        </w:rPr>
        <w:t>比例限价90%（即招标人营业额10%，投标人营业额90%）</w:t>
      </w:r>
      <w:r>
        <w:rPr>
          <w:rFonts w:hint="eastAsia" w:ascii="宋体" w:hAnsi="宋体" w:eastAsia="宋体" w:cs="宋体"/>
          <w:color w:val="auto"/>
          <w:sz w:val="24"/>
          <w:szCs w:val="24"/>
          <w:highlight w:val="none"/>
          <w:lang w:val="en-US" w:eastAsia="zh-CN"/>
        </w:rPr>
        <w:t>，报价不得高于项目最高限价。</w:t>
      </w:r>
    </w:p>
    <w:p w14:paraId="14643E24">
      <w:pPr>
        <w:spacing w:before="34" w:line="360" w:lineRule="auto"/>
        <w:ind w:left="49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2、支付方式</w:t>
      </w:r>
    </w:p>
    <w:p w14:paraId="04D02D05">
      <w:pPr>
        <w:spacing w:line="360" w:lineRule="auto"/>
        <w:ind w:firstLine="437"/>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所有经营收入须由招标人统一收款，乙方不得擅自收取销售货款，次月初按中标比例与乙方进行结算，经双方确认结算金额后当月内，招标人按照比例向乙方支付结算款项，并提供相应管理费的增值税发票</w:t>
      </w:r>
      <w:r>
        <w:rPr>
          <w:rFonts w:hint="eastAsia" w:ascii="宋体" w:hAnsi="宋体" w:eastAsia="宋体" w:cs="宋体"/>
          <w:color w:val="auto"/>
          <w:sz w:val="24"/>
          <w:szCs w:val="24"/>
          <w:highlight w:val="none"/>
          <w:lang w:eastAsia="zh-CN"/>
        </w:rPr>
        <w:t>，开具发票税率由中标人承担</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产品销售过程中消费者如需开具发票，由招标人进行开具发票，税率由招标人承担。</w:t>
      </w:r>
    </w:p>
    <w:p w14:paraId="3B9E4210">
      <w:pPr>
        <w:spacing w:line="360" w:lineRule="auto"/>
        <w:ind w:firstLine="437"/>
        <w:rPr>
          <w:rFonts w:hint="eastAsia" w:ascii="宋体" w:hAnsi="宋体" w:eastAsia="宋体" w:cs="宋体"/>
          <w:b/>
          <w:color w:val="auto"/>
          <w:sz w:val="24"/>
          <w:szCs w:val="18"/>
          <w:highlight w:val="none"/>
        </w:rPr>
      </w:pPr>
      <w:r>
        <w:rPr>
          <w:rFonts w:hint="eastAsia" w:ascii="宋体" w:hAnsi="宋体" w:eastAsia="宋体" w:cs="宋体"/>
          <w:b/>
          <w:color w:val="auto"/>
          <w:sz w:val="24"/>
          <w:szCs w:val="18"/>
          <w:highlight w:val="none"/>
        </w:rPr>
        <w:t>五、其他要求</w:t>
      </w:r>
    </w:p>
    <w:p w14:paraId="153C81E8">
      <w:pPr>
        <w:spacing w:line="360" w:lineRule="auto"/>
        <w:ind w:firstLine="437"/>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1、内部空间改造：中标人若需</w:t>
      </w:r>
      <w:r>
        <w:rPr>
          <w:rFonts w:hint="eastAsia" w:ascii="宋体" w:hAnsi="宋体" w:eastAsia="宋体" w:cs="宋体"/>
          <w:color w:val="auto"/>
          <w:sz w:val="24"/>
          <w:szCs w:val="24"/>
          <w:highlight w:val="none"/>
          <w:lang w:val="en-US" w:eastAsia="zh-CN"/>
        </w:rPr>
        <w:t>现场陈列及展架进行改造</w:t>
      </w:r>
      <w:r>
        <w:rPr>
          <w:rFonts w:hint="eastAsia" w:ascii="宋体" w:hAnsi="宋体" w:eastAsia="宋体" w:cs="宋体"/>
          <w:color w:val="auto"/>
          <w:sz w:val="24"/>
          <w:szCs w:val="24"/>
          <w:highlight w:val="none"/>
        </w:rPr>
        <w:t>服务需求的内部空间改造，并须在改造期（10个工作日）内一次性完成。中标人在中标后7日内提供书面内部空间</w:t>
      </w:r>
      <w:r>
        <w:rPr>
          <w:rFonts w:hint="eastAsia" w:ascii="宋体" w:hAnsi="宋体" w:eastAsia="宋体" w:cs="宋体"/>
          <w:color w:val="auto"/>
          <w:sz w:val="24"/>
          <w:szCs w:val="24"/>
          <w:highlight w:val="none"/>
          <w:lang w:val="en-US" w:eastAsia="zh-CN"/>
        </w:rPr>
        <w:t>陈列</w:t>
      </w:r>
      <w:r>
        <w:rPr>
          <w:rFonts w:hint="eastAsia" w:ascii="宋体" w:hAnsi="宋体" w:eastAsia="宋体" w:cs="宋体"/>
          <w:color w:val="auto"/>
          <w:sz w:val="24"/>
          <w:szCs w:val="24"/>
          <w:highlight w:val="none"/>
        </w:rPr>
        <w:t>方案，经招标人同意之后中标人方可实施，其中改造产生的所有费用由中标人承担，后期场馆内维修费用由中标人自理。</w:t>
      </w:r>
      <w:r>
        <w:rPr>
          <w:rFonts w:hint="eastAsia" w:ascii="宋体" w:hAnsi="宋体" w:eastAsia="宋体" w:cs="宋体"/>
          <w:color w:val="auto"/>
          <w:sz w:val="24"/>
          <w:szCs w:val="24"/>
          <w:highlight w:val="none"/>
          <w:lang w:eastAsia="zh-CN"/>
        </w:rPr>
        <w:t>中标人不得擅自改变场馆内所有建筑及构筑物的外立面、结构。</w:t>
      </w:r>
    </w:p>
    <w:p w14:paraId="4D505761">
      <w:pPr>
        <w:pStyle w:val="58"/>
        <w:widowControl w:val="0"/>
        <w:tabs>
          <w:tab w:val="left" w:pos="689"/>
        </w:tabs>
        <w:adjustRightInd/>
        <w:snapToGrid/>
        <w:spacing w:line="360" w:lineRule="auto"/>
        <w:ind w:left="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2、中标人在运营时间内需负责</w:t>
      </w:r>
      <w:r>
        <w:rPr>
          <w:rFonts w:hint="eastAsia" w:ascii="宋体" w:hAnsi="宋体" w:eastAsia="宋体" w:cs="宋体"/>
          <w:color w:val="auto"/>
          <w:sz w:val="24"/>
          <w:szCs w:val="24"/>
          <w:highlight w:val="none"/>
          <w:lang w:val="en-US" w:eastAsia="zh-CN"/>
        </w:rPr>
        <w:t>展销的所有文创产品</w:t>
      </w:r>
      <w:r>
        <w:rPr>
          <w:rFonts w:hint="eastAsia" w:ascii="宋体" w:hAnsi="宋体" w:eastAsia="宋体" w:cs="宋体"/>
          <w:color w:val="auto"/>
          <w:sz w:val="24"/>
          <w:szCs w:val="24"/>
          <w:highlight w:val="none"/>
          <w:lang w:eastAsia="zh-CN"/>
        </w:rPr>
        <w:t>安全管理、组织</w:t>
      </w:r>
      <w:r>
        <w:rPr>
          <w:rFonts w:hint="eastAsia" w:ascii="宋体" w:hAnsi="宋体" w:eastAsia="宋体" w:cs="宋体"/>
          <w:color w:val="auto"/>
          <w:sz w:val="24"/>
          <w:szCs w:val="24"/>
          <w:highlight w:val="none"/>
          <w:lang w:val="en-US" w:eastAsia="zh-CN"/>
        </w:rPr>
        <w:t>开展的商业活动</w:t>
      </w:r>
      <w:r>
        <w:rPr>
          <w:rFonts w:hint="eastAsia" w:ascii="宋体" w:hAnsi="宋体" w:eastAsia="宋体" w:cs="宋体"/>
          <w:color w:val="auto"/>
          <w:sz w:val="24"/>
          <w:szCs w:val="24"/>
          <w:highlight w:val="none"/>
          <w:lang w:eastAsia="zh-CN"/>
        </w:rPr>
        <w:t>：</w:t>
      </w:r>
    </w:p>
    <w:p w14:paraId="74A06B06">
      <w:pPr>
        <w:pStyle w:val="58"/>
        <w:widowControl w:val="0"/>
        <w:tabs>
          <w:tab w:val="left" w:pos="689"/>
        </w:tabs>
        <w:adjustRightInd/>
        <w:snapToGrid/>
        <w:spacing w:line="360" w:lineRule="auto"/>
        <w:ind w:left="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中标方</w:t>
      </w:r>
      <w:r>
        <w:rPr>
          <w:rFonts w:hint="eastAsia" w:ascii="宋体" w:hAnsi="宋体" w:eastAsia="宋体" w:cs="宋体"/>
          <w:color w:val="auto"/>
          <w:sz w:val="24"/>
          <w:szCs w:val="24"/>
          <w:highlight w:val="none"/>
          <w:lang w:eastAsia="zh-CN"/>
        </w:rPr>
        <w:t>经营商品的质量责任、退换货服务、质保服务（如有）等完全由</w:t>
      </w:r>
      <w:r>
        <w:rPr>
          <w:rFonts w:hint="eastAsia" w:ascii="宋体" w:hAnsi="宋体" w:eastAsia="宋体" w:cs="宋体"/>
          <w:color w:val="auto"/>
          <w:sz w:val="24"/>
          <w:szCs w:val="24"/>
          <w:highlight w:val="none"/>
          <w:lang w:val="en-US" w:eastAsia="zh-CN"/>
        </w:rPr>
        <w:t>中标方</w:t>
      </w:r>
      <w:r>
        <w:rPr>
          <w:rFonts w:hint="eastAsia" w:ascii="宋体" w:hAnsi="宋体" w:eastAsia="宋体" w:cs="宋体"/>
          <w:color w:val="auto"/>
          <w:sz w:val="24"/>
          <w:szCs w:val="24"/>
          <w:highlight w:val="none"/>
          <w:lang w:eastAsia="zh-CN"/>
        </w:rPr>
        <w:t>负责。</w:t>
      </w:r>
    </w:p>
    <w:p w14:paraId="2AE0C525">
      <w:pPr>
        <w:pStyle w:val="58"/>
        <w:widowControl w:val="0"/>
        <w:tabs>
          <w:tab w:val="left" w:pos="689"/>
        </w:tabs>
        <w:adjustRightInd/>
        <w:snapToGrid/>
        <w:spacing w:line="360" w:lineRule="auto"/>
        <w:ind w:left="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w:t>
      </w:r>
      <w:r>
        <w:rPr>
          <w:rFonts w:hint="eastAsia" w:ascii="宋体" w:hAnsi="宋体" w:eastAsia="宋体" w:cs="宋体"/>
          <w:color w:val="auto"/>
          <w:sz w:val="24"/>
          <w:szCs w:val="24"/>
          <w:highlight w:val="none"/>
          <w:lang w:val="en-US" w:eastAsia="zh-CN"/>
        </w:rPr>
        <w:t>中标方</w:t>
      </w:r>
      <w:r>
        <w:rPr>
          <w:rFonts w:hint="eastAsia" w:ascii="宋体" w:hAnsi="宋体" w:eastAsia="宋体" w:cs="宋体"/>
          <w:color w:val="auto"/>
          <w:sz w:val="24"/>
          <w:szCs w:val="24"/>
          <w:highlight w:val="none"/>
          <w:lang w:eastAsia="zh-CN"/>
        </w:rPr>
        <w:t>经营的商品或服务的标识必须符合国家有关规定。乙方所售商品或服务应符合国家《消费者权益保护法》、《产品质量法》、《标准化法》、《计量法》、《商标法》、《食品安全法》、《专利法》等相关法律法规的规定，应使用合法的商品或服务名称、商标、著作权、图案或专利权，同时，</w:t>
      </w:r>
      <w:r>
        <w:rPr>
          <w:rFonts w:hint="eastAsia" w:ascii="宋体" w:hAnsi="宋体" w:eastAsia="宋体" w:cs="宋体"/>
          <w:color w:val="auto"/>
          <w:sz w:val="24"/>
          <w:szCs w:val="24"/>
          <w:highlight w:val="none"/>
          <w:lang w:val="en-US" w:eastAsia="zh-CN"/>
        </w:rPr>
        <w:t>中标方</w:t>
      </w:r>
      <w:r>
        <w:rPr>
          <w:rFonts w:hint="eastAsia" w:ascii="宋体" w:hAnsi="宋体" w:eastAsia="宋体" w:cs="宋体"/>
          <w:color w:val="auto"/>
          <w:sz w:val="24"/>
          <w:szCs w:val="24"/>
          <w:highlight w:val="none"/>
          <w:lang w:eastAsia="zh-CN"/>
        </w:rPr>
        <w:t>不得销售任何假冒伪劣商品和违禁品（包含但不限于反党、反社会及存在意识形态问题的物品），否则引起的索赔、诉讼或行政处罚及甲方损失等一切后果均由乙方承担。</w:t>
      </w:r>
    </w:p>
    <w:p w14:paraId="43DD1297">
      <w:pPr>
        <w:pStyle w:val="58"/>
        <w:widowControl w:val="0"/>
        <w:tabs>
          <w:tab w:val="left" w:pos="689"/>
        </w:tabs>
        <w:adjustRightInd/>
        <w:snapToGrid/>
        <w:spacing w:line="360" w:lineRule="auto"/>
        <w:ind w:left="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中标方需</w:t>
      </w:r>
      <w:r>
        <w:rPr>
          <w:rFonts w:hint="eastAsia" w:ascii="宋体" w:hAnsi="宋体" w:eastAsia="宋体" w:cs="宋体"/>
          <w:color w:val="auto"/>
          <w:sz w:val="24"/>
          <w:szCs w:val="24"/>
          <w:highlight w:val="none"/>
          <w:lang w:eastAsia="zh-CN"/>
        </w:rPr>
        <w:t>保证所供应的商品或服务与其所标示或宣传的品质、成份、数量及相关内容相符，不得作虚假的标示或宣传，否则，所有责任均由</w:t>
      </w:r>
      <w:r>
        <w:rPr>
          <w:rFonts w:hint="eastAsia" w:ascii="宋体" w:hAnsi="宋体" w:eastAsia="宋体" w:cs="宋体"/>
          <w:color w:val="auto"/>
          <w:sz w:val="24"/>
          <w:szCs w:val="24"/>
          <w:highlight w:val="none"/>
          <w:lang w:val="en-US" w:eastAsia="zh-CN"/>
        </w:rPr>
        <w:t>中标方</w:t>
      </w:r>
      <w:r>
        <w:rPr>
          <w:rFonts w:hint="eastAsia" w:ascii="宋体" w:hAnsi="宋体" w:eastAsia="宋体" w:cs="宋体"/>
          <w:color w:val="auto"/>
          <w:sz w:val="24"/>
          <w:szCs w:val="24"/>
          <w:highlight w:val="none"/>
          <w:lang w:eastAsia="zh-CN"/>
        </w:rPr>
        <w:t>承担。</w:t>
      </w:r>
    </w:p>
    <w:p w14:paraId="094D3A3D">
      <w:pPr>
        <w:pStyle w:val="58"/>
        <w:widowControl w:val="0"/>
        <w:tabs>
          <w:tab w:val="left" w:pos="689"/>
        </w:tabs>
        <w:adjustRightInd/>
        <w:snapToGrid/>
        <w:spacing w:line="360" w:lineRule="auto"/>
        <w:ind w:left="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）为维护双方共同利益，形成区域性错位经营，有效防止恶性价格竞争，如</w:t>
      </w:r>
      <w:r>
        <w:rPr>
          <w:rFonts w:hint="eastAsia" w:ascii="宋体" w:hAnsi="宋体" w:eastAsia="宋体" w:cs="宋体"/>
          <w:color w:val="auto"/>
          <w:sz w:val="24"/>
          <w:szCs w:val="24"/>
          <w:highlight w:val="none"/>
          <w:lang w:val="en-US" w:eastAsia="zh-CN"/>
        </w:rPr>
        <w:t>中标方</w:t>
      </w:r>
      <w:r>
        <w:rPr>
          <w:rFonts w:hint="eastAsia" w:ascii="宋体" w:hAnsi="宋体" w:eastAsia="宋体" w:cs="宋体"/>
          <w:color w:val="auto"/>
          <w:sz w:val="24"/>
          <w:szCs w:val="24"/>
          <w:highlight w:val="none"/>
          <w:lang w:eastAsia="zh-CN"/>
        </w:rPr>
        <w:t>在</w:t>
      </w:r>
      <w:r>
        <w:rPr>
          <w:rFonts w:hint="eastAsia" w:ascii="宋体" w:hAnsi="宋体" w:eastAsia="宋体" w:cs="宋体"/>
          <w:color w:val="auto"/>
          <w:sz w:val="24"/>
          <w:szCs w:val="24"/>
          <w:highlight w:val="none"/>
          <w:lang w:val="en-US" w:eastAsia="zh-CN"/>
        </w:rPr>
        <w:t>招标人</w:t>
      </w:r>
      <w:r>
        <w:rPr>
          <w:rFonts w:hint="eastAsia" w:ascii="宋体" w:hAnsi="宋体" w:eastAsia="宋体" w:cs="宋体"/>
          <w:color w:val="auto"/>
          <w:sz w:val="24"/>
          <w:szCs w:val="24"/>
          <w:highlight w:val="none"/>
          <w:lang w:eastAsia="zh-CN"/>
        </w:rPr>
        <w:t>所在城市地区其它零售店设点销售的，应提前告知</w:t>
      </w:r>
      <w:r>
        <w:rPr>
          <w:rFonts w:hint="eastAsia" w:ascii="宋体" w:hAnsi="宋体" w:eastAsia="宋体" w:cs="宋体"/>
          <w:color w:val="auto"/>
          <w:sz w:val="24"/>
          <w:szCs w:val="24"/>
          <w:highlight w:val="none"/>
          <w:lang w:val="en-US" w:eastAsia="zh-CN"/>
        </w:rPr>
        <w:t>招标人</w:t>
      </w:r>
      <w:r>
        <w:rPr>
          <w:rFonts w:hint="eastAsia" w:ascii="宋体" w:hAnsi="宋体" w:eastAsia="宋体" w:cs="宋体"/>
          <w:color w:val="auto"/>
          <w:sz w:val="24"/>
          <w:szCs w:val="24"/>
          <w:highlight w:val="none"/>
          <w:lang w:eastAsia="zh-CN"/>
        </w:rPr>
        <w:t>并保证在其他零售店的售价不低于在</w:t>
      </w:r>
      <w:r>
        <w:rPr>
          <w:rFonts w:hint="eastAsia" w:ascii="宋体" w:hAnsi="宋体" w:eastAsia="宋体" w:cs="宋体"/>
          <w:color w:val="auto"/>
          <w:sz w:val="24"/>
          <w:szCs w:val="24"/>
          <w:highlight w:val="none"/>
          <w:lang w:val="en-US" w:eastAsia="zh-CN"/>
        </w:rPr>
        <w:t>招标人</w:t>
      </w:r>
      <w:r>
        <w:rPr>
          <w:rFonts w:hint="eastAsia" w:ascii="宋体" w:hAnsi="宋体" w:eastAsia="宋体" w:cs="宋体"/>
          <w:color w:val="auto"/>
          <w:sz w:val="24"/>
          <w:szCs w:val="24"/>
          <w:highlight w:val="none"/>
          <w:lang w:eastAsia="zh-CN"/>
        </w:rPr>
        <w:t>的售价。</w:t>
      </w:r>
    </w:p>
    <w:p w14:paraId="56CF2FA5">
      <w:pPr>
        <w:pStyle w:val="58"/>
        <w:widowControl w:val="0"/>
        <w:tabs>
          <w:tab w:val="left" w:pos="689"/>
        </w:tabs>
        <w:adjustRightInd/>
        <w:snapToGrid/>
        <w:spacing w:line="360" w:lineRule="auto"/>
        <w:ind w:left="0"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中标人在服务期内不得以任何理由将经营场地转租、转借、拍卖、赠予或拆分给第三方经营，同时，服务期内不得变更经营主体，且不得与第三方合作经营。若确因业务发展需要，需变更经营主体名称或经营范围的，中标人须征求招标方书面同意后，方可进行工商手续变更，如中标人擅自变更的，招标方有权解除协议，且招标方不承担因此给中标人造成的损失。</w:t>
      </w:r>
    </w:p>
    <w:p w14:paraId="2C784D33">
      <w:pPr>
        <w:pStyle w:val="58"/>
        <w:widowControl w:val="0"/>
        <w:tabs>
          <w:tab w:val="left" w:pos="689"/>
        </w:tabs>
        <w:adjustRightInd/>
        <w:snapToGrid/>
        <w:spacing w:line="360" w:lineRule="auto"/>
        <w:ind w:left="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中标人在</w:t>
      </w:r>
      <w:r>
        <w:rPr>
          <w:rFonts w:hint="eastAsia" w:ascii="宋体" w:hAnsi="宋体" w:eastAsia="宋体" w:cs="宋体"/>
          <w:color w:val="auto"/>
          <w:sz w:val="24"/>
          <w:szCs w:val="24"/>
          <w:highlight w:val="none"/>
          <w:lang w:val="en-US" w:eastAsia="zh-CN"/>
        </w:rPr>
        <w:t>服务期</w:t>
      </w:r>
      <w:r>
        <w:rPr>
          <w:rFonts w:hint="eastAsia" w:ascii="宋体" w:hAnsi="宋体" w:eastAsia="宋体" w:cs="宋体"/>
          <w:color w:val="auto"/>
          <w:sz w:val="24"/>
          <w:szCs w:val="24"/>
          <w:highlight w:val="none"/>
          <w:lang w:eastAsia="zh-CN"/>
        </w:rPr>
        <w:t>内应负责维护</w:t>
      </w:r>
      <w:r>
        <w:rPr>
          <w:rFonts w:hint="eastAsia" w:ascii="宋体" w:hAnsi="宋体" w:eastAsia="宋体" w:cs="宋体"/>
          <w:color w:val="auto"/>
          <w:sz w:val="24"/>
          <w:szCs w:val="24"/>
          <w:highlight w:val="none"/>
          <w:lang w:val="en-US" w:eastAsia="zh-CN"/>
        </w:rPr>
        <w:t>招标人</w:t>
      </w:r>
      <w:r>
        <w:rPr>
          <w:rFonts w:hint="eastAsia" w:ascii="宋体" w:hAnsi="宋体" w:eastAsia="宋体" w:cs="宋体"/>
          <w:color w:val="auto"/>
          <w:sz w:val="24"/>
          <w:szCs w:val="24"/>
          <w:highlight w:val="none"/>
          <w:lang w:eastAsia="zh-CN"/>
        </w:rPr>
        <w:t>场馆公共设施及环境，如造成公共设施损坏（</w:t>
      </w:r>
      <w:r>
        <w:rPr>
          <w:rFonts w:hint="eastAsia" w:ascii="宋体" w:hAnsi="宋体" w:eastAsia="宋体" w:cs="宋体"/>
          <w:color w:val="auto"/>
          <w:sz w:val="24"/>
          <w:szCs w:val="24"/>
          <w:highlight w:val="none"/>
          <w:lang w:val="en-US" w:eastAsia="zh-CN"/>
        </w:rPr>
        <w:t>除中标人进场后添置设备外</w:t>
      </w:r>
      <w:r>
        <w:rPr>
          <w:rFonts w:hint="eastAsia" w:ascii="宋体" w:hAnsi="宋体" w:eastAsia="宋体" w:cs="宋体"/>
          <w:color w:val="auto"/>
          <w:sz w:val="24"/>
          <w:szCs w:val="24"/>
          <w:highlight w:val="none"/>
          <w:lang w:eastAsia="zh-CN"/>
        </w:rPr>
        <w:t>），由中标人进行维修或更换。</w:t>
      </w:r>
    </w:p>
    <w:p w14:paraId="28511EF0">
      <w:pPr>
        <w:pStyle w:val="58"/>
        <w:widowControl w:val="0"/>
        <w:tabs>
          <w:tab w:val="left" w:pos="689"/>
        </w:tabs>
        <w:adjustRightInd/>
        <w:snapToGrid/>
        <w:spacing w:line="360" w:lineRule="auto"/>
        <w:ind w:left="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运营期内，中标人不得以任何理由要求减免中标价款（如因法律法规及市政调整除外）。如因法律法规及市政规定需要拆除或改造而导致合同解除的，中标价款按照实际运营时间计算，不足整月的按实际天数计算，多退少补，招标人不承担违约责任。</w:t>
      </w:r>
    </w:p>
    <w:p w14:paraId="4B1CA199">
      <w:pPr>
        <w:pStyle w:val="58"/>
        <w:widowControl w:val="0"/>
        <w:tabs>
          <w:tab w:val="left" w:pos="689"/>
        </w:tabs>
        <w:adjustRightInd/>
        <w:snapToGrid/>
        <w:spacing w:line="360" w:lineRule="auto"/>
        <w:ind w:left="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eastAsia="zh-CN"/>
        </w:rPr>
        <w:t>、因为天气、灾害、政策及要求等原因造成中标人无法经营的，招标人不承担违约责任。</w:t>
      </w:r>
    </w:p>
    <w:p w14:paraId="24703E34">
      <w:pPr>
        <w:pStyle w:val="58"/>
        <w:widowControl w:val="0"/>
        <w:tabs>
          <w:tab w:val="left" w:pos="689"/>
        </w:tabs>
        <w:adjustRightInd/>
        <w:snapToGrid/>
        <w:spacing w:line="360" w:lineRule="auto"/>
        <w:ind w:left="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lang w:eastAsia="zh-CN"/>
        </w:rPr>
        <w:t>、服务期内，招标人有权在</w:t>
      </w:r>
      <w:r>
        <w:rPr>
          <w:rFonts w:hint="eastAsia" w:ascii="宋体" w:hAnsi="宋体" w:eastAsia="宋体" w:cs="宋体"/>
          <w:color w:val="auto"/>
          <w:sz w:val="24"/>
          <w:szCs w:val="24"/>
          <w:highlight w:val="none"/>
          <w:lang w:val="en-US" w:eastAsia="zh-CN"/>
        </w:rPr>
        <w:t>中标人经营</w:t>
      </w:r>
      <w:r>
        <w:rPr>
          <w:rFonts w:hint="eastAsia" w:ascii="宋体" w:hAnsi="宋体" w:eastAsia="宋体" w:cs="宋体"/>
          <w:color w:val="auto"/>
          <w:sz w:val="24"/>
          <w:szCs w:val="24"/>
          <w:highlight w:val="none"/>
          <w:lang w:eastAsia="zh-CN"/>
        </w:rPr>
        <w:t>场地内开展研学、异业合作、广告招商等经营事项及举办各类活动等（所得收益全部归招标人所有，与中标人无关）。如中标人在场馆进行异业合作、广告招商等，需经招标人审核同意，并按中标分成比例进行营收分成。</w:t>
      </w:r>
    </w:p>
    <w:p w14:paraId="2518F0E2">
      <w:pPr>
        <w:spacing w:line="360" w:lineRule="auto"/>
        <w:ind w:firstLine="480" w:firstLineChars="200"/>
        <w:rPr>
          <w:rFonts w:hint="eastAsia" w:ascii="宋体" w:hAnsi="宋体" w:eastAsia="宋体"/>
          <w:bCs/>
          <w:color w:val="auto"/>
          <w:sz w:val="24"/>
          <w:szCs w:val="18"/>
          <w:highlight w:val="none"/>
        </w:rPr>
      </w:pPr>
      <w:r>
        <w:rPr>
          <w:rFonts w:hint="eastAsia" w:ascii="宋体" w:hAnsi="宋体" w:eastAsia="宋体"/>
          <w:bCs/>
          <w:color w:val="auto"/>
          <w:sz w:val="24"/>
          <w:szCs w:val="18"/>
          <w:highlight w:val="none"/>
          <w:lang w:val="en-US" w:eastAsia="zh-CN"/>
        </w:rPr>
        <w:t>8</w:t>
      </w:r>
      <w:r>
        <w:rPr>
          <w:rFonts w:hint="eastAsia" w:ascii="宋体" w:hAnsi="宋体" w:eastAsia="宋体"/>
          <w:bCs/>
          <w:color w:val="auto"/>
          <w:sz w:val="24"/>
          <w:szCs w:val="18"/>
          <w:highlight w:val="none"/>
        </w:rPr>
        <w:t>、中标人在</w:t>
      </w:r>
      <w:r>
        <w:rPr>
          <w:rFonts w:hint="eastAsia" w:ascii="宋体" w:hAnsi="宋体" w:eastAsia="宋体"/>
          <w:bCs/>
          <w:color w:val="auto"/>
          <w:sz w:val="24"/>
          <w:szCs w:val="18"/>
          <w:highlight w:val="none"/>
          <w:lang w:val="en-US" w:eastAsia="zh-CN"/>
        </w:rPr>
        <w:t>场地经营的项目</w:t>
      </w:r>
      <w:r>
        <w:rPr>
          <w:rFonts w:hint="eastAsia" w:ascii="宋体" w:hAnsi="宋体" w:eastAsia="宋体"/>
          <w:bCs/>
          <w:color w:val="auto"/>
          <w:sz w:val="24"/>
          <w:szCs w:val="18"/>
          <w:highlight w:val="none"/>
        </w:rPr>
        <w:t>，须在业务范围或经营许可范围内，不得超范围经营。</w:t>
      </w:r>
    </w:p>
    <w:p w14:paraId="45857006">
      <w:pPr>
        <w:spacing w:line="360" w:lineRule="auto"/>
        <w:ind w:firstLine="480" w:firstLineChars="200"/>
        <w:rPr>
          <w:rFonts w:hint="eastAsia" w:ascii="宋体" w:hAnsi="宋体" w:eastAsia="宋体"/>
          <w:bCs/>
          <w:color w:val="auto"/>
          <w:sz w:val="24"/>
          <w:szCs w:val="18"/>
          <w:highlight w:val="none"/>
        </w:rPr>
      </w:pPr>
      <w:r>
        <w:rPr>
          <w:rFonts w:hint="eastAsia" w:ascii="宋体" w:hAnsi="宋体" w:eastAsia="宋体"/>
          <w:bCs/>
          <w:color w:val="auto"/>
          <w:sz w:val="24"/>
          <w:szCs w:val="18"/>
          <w:highlight w:val="none"/>
          <w:lang w:val="en-US" w:eastAsia="zh-CN"/>
        </w:rPr>
        <w:t>9</w:t>
      </w:r>
      <w:r>
        <w:rPr>
          <w:rFonts w:hint="eastAsia" w:ascii="宋体" w:hAnsi="宋体" w:eastAsia="宋体"/>
          <w:bCs/>
          <w:color w:val="auto"/>
          <w:sz w:val="24"/>
          <w:szCs w:val="18"/>
          <w:highlight w:val="none"/>
        </w:rPr>
        <w:t>、因上级政策原因需要提前终止合作，合同自行终止，双方互不补偿由此产生的损失。</w:t>
      </w:r>
    </w:p>
    <w:p w14:paraId="2B2762E8">
      <w:pPr>
        <w:spacing w:line="360" w:lineRule="auto"/>
        <w:ind w:firstLine="480" w:firstLineChars="200"/>
        <w:rPr>
          <w:rFonts w:hint="eastAsia" w:ascii="宋体" w:hAnsi="宋体" w:eastAsia="宋体"/>
          <w:bCs/>
          <w:color w:val="auto"/>
          <w:sz w:val="24"/>
          <w:szCs w:val="18"/>
          <w:highlight w:val="none"/>
        </w:rPr>
      </w:pPr>
      <w:r>
        <w:rPr>
          <w:rFonts w:hint="eastAsia" w:ascii="宋体" w:hAnsi="宋体" w:eastAsia="宋体"/>
          <w:bCs/>
          <w:color w:val="auto"/>
          <w:sz w:val="24"/>
          <w:szCs w:val="18"/>
          <w:highlight w:val="none"/>
          <w:lang w:val="en-US" w:eastAsia="zh-CN"/>
        </w:rPr>
        <w:t>10</w:t>
      </w:r>
      <w:r>
        <w:rPr>
          <w:rFonts w:hint="eastAsia" w:ascii="宋体" w:hAnsi="宋体" w:eastAsia="宋体"/>
          <w:bCs/>
          <w:color w:val="auto"/>
          <w:sz w:val="24"/>
          <w:szCs w:val="18"/>
          <w:highlight w:val="none"/>
        </w:rPr>
        <w:t>、由于不可抗力导致合同不能履行的，</w:t>
      </w:r>
      <w:bookmarkStart w:id="15" w:name="OLE_LINK11"/>
      <w:r>
        <w:rPr>
          <w:rFonts w:hint="eastAsia" w:ascii="宋体" w:hAnsi="宋体" w:eastAsia="宋体"/>
          <w:bCs/>
          <w:color w:val="auto"/>
          <w:sz w:val="24"/>
          <w:szCs w:val="18"/>
          <w:highlight w:val="none"/>
        </w:rPr>
        <w:t>甲乙双方互不承担违约责任</w:t>
      </w:r>
      <w:bookmarkEnd w:id="15"/>
      <w:r>
        <w:rPr>
          <w:rFonts w:hint="eastAsia" w:ascii="宋体" w:hAnsi="宋体" w:eastAsia="宋体"/>
          <w:bCs/>
          <w:color w:val="auto"/>
          <w:sz w:val="24"/>
          <w:szCs w:val="18"/>
          <w:highlight w:val="none"/>
        </w:rPr>
        <w:t>，受不可抗力影响的一方应及时书面通知对方。</w:t>
      </w:r>
    </w:p>
    <w:p w14:paraId="1EF932B7">
      <w:pPr>
        <w:spacing w:line="360" w:lineRule="auto"/>
        <w:ind w:firstLine="480" w:firstLineChars="200"/>
        <w:rPr>
          <w:rFonts w:hint="eastAsia" w:ascii="宋体" w:hAnsi="宋体" w:eastAsia="宋体"/>
          <w:bCs/>
          <w:color w:val="auto"/>
          <w:sz w:val="24"/>
          <w:szCs w:val="18"/>
          <w:highlight w:val="none"/>
        </w:rPr>
      </w:pPr>
      <w:r>
        <w:rPr>
          <w:rFonts w:hint="eastAsia" w:ascii="宋体" w:hAnsi="宋体" w:eastAsia="宋体"/>
          <w:bCs/>
          <w:color w:val="auto"/>
          <w:sz w:val="24"/>
          <w:szCs w:val="18"/>
          <w:highlight w:val="none"/>
        </w:rPr>
        <w:t>1</w:t>
      </w:r>
      <w:r>
        <w:rPr>
          <w:rFonts w:hint="eastAsia" w:ascii="宋体" w:hAnsi="宋体" w:eastAsia="宋体"/>
          <w:bCs/>
          <w:color w:val="auto"/>
          <w:sz w:val="24"/>
          <w:szCs w:val="18"/>
          <w:highlight w:val="none"/>
          <w:lang w:val="en-US" w:eastAsia="zh-CN"/>
        </w:rPr>
        <w:t>1</w:t>
      </w:r>
      <w:r>
        <w:rPr>
          <w:rFonts w:hint="eastAsia" w:ascii="宋体" w:hAnsi="宋体" w:eastAsia="宋体"/>
          <w:bCs/>
          <w:color w:val="auto"/>
          <w:sz w:val="24"/>
          <w:szCs w:val="18"/>
          <w:highlight w:val="none"/>
        </w:rPr>
        <w:t>、如因上级主管部门要求或其他政策性原因导致招标人不再负责包河区</w:t>
      </w:r>
      <w:r>
        <w:rPr>
          <w:rFonts w:hint="eastAsia" w:ascii="宋体" w:hAnsi="宋体" w:eastAsia="宋体"/>
          <w:bCs/>
          <w:color w:val="auto"/>
          <w:sz w:val="24"/>
          <w:szCs w:val="18"/>
          <w:highlight w:val="none"/>
          <w:lang w:val="en-US" w:eastAsia="zh-CN"/>
        </w:rPr>
        <w:t>公共阅读空间</w:t>
      </w:r>
      <w:r>
        <w:rPr>
          <w:rFonts w:hint="eastAsia" w:ascii="宋体" w:hAnsi="宋体" w:eastAsia="宋体"/>
          <w:bCs/>
          <w:color w:val="auto"/>
          <w:sz w:val="24"/>
          <w:szCs w:val="18"/>
          <w:highlight w:val="none"/>
        </w:rPr>
        <w:t>运营等相关事宜，合同自动失效。</w:t>
      </w:r>
      <w:bookmarkEnd w:id="12"/>
    </w:p>
    <w:p w14:paraId="606BEBB0">
      <w:pPr>
        <w:pStyle w:val="58"/>
        <w:widowControl w:val="0"/>
        <w:tabs>
          <w:tab w:val="left" w:pos="689"/>
        </w:tabs>
        <w:adjustRightInd/>
        <w:snapToGrid/>
        <w:spacing w:line="360" w:lineRule="auto"/>
        <w:ind w:left="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bCs/>
          <w:color w:val="auto"/>
          <w:sz w:val="24"/>
          <w:szCs w:val="18"/>
          <w:highlight w:val="none"/>
        </w:rPr>
        <w:t>1</w:t>
      </w:r>
      <w:r>
        <w:rPr>
          <w:rFonts w:hint="eastAsia" w:ascii="宋体" w:hAnsi="宋体" w:eastAsia="宋体"/>
          <w:bCs/>
          <w:color w:val="auto"/>
          <w:sz w:val="24"/>
          <w:szCs w:val="18"/>
          <w:highlight w:val="none"/>
          <w:lang w:val="en-US" w:eastAsia="zh-CN"/>
        </w:rPr>
        <w:t>2</w:t>
      </w:r>
      <w:r>
        <w:rPr>
          <w:rFonts w:hint="eastAsia" w:ascii="宋体" w:hAnsi="宋体" w:eastAsia="宋体"/>
          <w:bCs/>
          <w:color w:val="auto"/>
          <w:sz w:val="24"/>
          <w:szCs w:val="18"/>
          <w:highlight w:val="none"/>
        </w:rPr>
        <w:t>、如中标人在履行合同期间内，因中标人原因</w:t>
      </w:r>
      <w:r>
        <w:rPr>
          <w:rFonts w:hint="eastAsia" w:ascii="宋体" w:hAnsi="宋体" w:eastAsia="宋体" w:cs="宋体"/>
          <w:color w:val="auto"/>
          <w:sz w:val="24"/>
          <w:szCs w:val="24"/>
          <w:highlight w:val="none"/>
          <w:lang w:eastAsia="zh-CN"/>
        </w:rPr>
        <w:t>解除合同或合同期满终止时</w:t>
      </w:r>
      <w:r>
        <w:rPr>
          <w:rFonts w:hint="eastAsia" w:ascii="宋体" w:hAnsi="宋体" w:eastAsia="宋体"/>
          <w:bCs/>
          <w:color w:val="auto"/>
          <w:sz w:val="24"/>
          <w:szCs w:val="18"/>
          <w:highlight w:val="none"/>
        </w:rPr>
        <w:t>《</w:t>
      </w:r>
      <w:r>
        <w:rPr>
          <w:rFonts w:hint="eastAsia" w:ascii="宋体" w:hAnsi="宋体" w:eastAsia="宋体"/>
          <w:bCs/>
          <w:color w:val="auto"/>
          <w:sz w:val="24"/>
          <w:szCs w:val="18"/>
          <w:highlight w:val="none"/>
          <w:lang w:val="en-US" w:eastAsia="zh-CN"/>
        </w:rPr>
        <w:t>包河区公共阅读空间—罍街悦书房文创产品展销</w:t>
      </w:r>
      <w:r>
        <w:rPr>
          <w:rFonts w:hint="eastAsia" w:ascii="宋体" w:hAnsi="宋体" w:eastAsia="宋体"/>
          <w:bCs/>
          <w:color w:val="auto"/>
          <w:sz w:val="24"/>
          <w:szCs w:val="18"/>
          <w:highlight w:val="none"/>
        </w:rPr>
        <w:t>》的，招标人有权解除合同，</w:t>
      </w:r>
      <w:r>
        <w:rPr>
          <w:rFonts w:hint="eastAsia" w:ascii="宋体" w:hAnsi="宋体" w:eastAsia="宋体"/>
          <w:bCs/>
          <w:color w:val="auto"/>
          <w:sz w:val="24"/>
          <w:szCs w:val="18"/>
          <w:highlight w:val="none"/>
          <w:lang w:val="en-US" w:eastAsia="zh-CN"/>
        </w:rPr>
        <w:t>招标人</w:t>
      </w:r>
      <w:r>
        <w:rPr>
          <w:rFonts w:hint="eastAsia" w:ascii="宋体" w:hAnsi="宋体" w:eastAsia="宋体"/>
          <w:bCs/>
          <w:color w:val="auto"/>
          <w:sz w:val="24"/>
          <w:szCs w:val="18"/>
          <w:highlight w:val="none"/>
        </w:rPr>
        <w:t>不承担违约责任，</w:t>
      </w:r>
      <w:r>
        <w:rPr>
          <w:rFonts w:hint="eastAsia" w:ascii="宋体" w:hAnsi="宋体" w:eastAsia="宋体"/>
          <w:bCs/>
          <w:color w:val="auto"/>
          <w:sz w:val="24"/>
          <w:szCs w:val="18"/>
          <w:highlight w:val="none"/>
          <w:lang w:val="en-US" w:eastAsia="zh-CN"/>
        </w:rPr>
        <w:t>中标人</w:t>
      </w:r>
      <w:r>
        <w:rPr>
          <w:rFonts w:hint="eastAsia" w:ascii="宋体" w:hAnsi="宋体" w:eastAsia="宋体"/>
          <w:bCs/>
          <w:color w:val="auto"/>
          <w:sz w:val="24"/>
          <w:szCs w:val="18"/>
          <w:highlight w:val="none"/>
        </w:rPr>
        <w:t>在解除合同前需将</w:t>
      </w:r>
      <w:r>
        <w:rPr>
          <w:rFonts w:hint="eastAsia" w:ascii="宋体" w:hAnsi="宋体" w:eastAsia="宋体"/>
          <w:bCs/>
          <w:color w:val="auto"/>
          <w:sz w:val="24"/>
          <w:szCs w:val="18"/>
          <w:highlight w:val="none"/>
          <w:lang w:val="en-US" w:eastAsia="zh-CN"/>
        </w:rPr>
        <w:t>现场所有前期投放的产品、陈列设施等7个工作日内完成</w:t>
      </w:r>
      <w:r>
        <w:rPr>
          <w:rFonts w:hint="eastAsia" w:ascii="宋体" w:hAnsi="宋体" w:eastAsia="宋体" w:cs="宋体"/>
          <w:color w:val="auto"/>
          <w:sz w:val="24"/>
          <w:szCs w:val="24"/>
          <w:highlight w:val="none"/>
          <w:lang w:eastAsia="zh-CN"/>
        </w:rPr>
        <w:t>撤离经营区域</w:t>
      </w:r>
      <w:r>
        <w:rPr>
          <w:rFonts w:hint="eastAsia" w:ascii="宋体" w:hAnsi="宋体" w:eastAsia="宋体"/>
          <w:bCs/>
          <w:color w:val="auto"/>
          <w:sz w:val="24"/>
          <w:szCs w:val="18"/>
          <w:highlight w:val="none"/>
          <w:lang w:val="en-US" w:eastAsia="zh-CN"/>
        </w:rPr>
        <w:t>，中标人承担</w:t>
      </w:r>
      <w:r>
        <w:rPr>
          <w:rFonts w:hint="eastAsia" w:ascii="宋体" w:hAnsi="宋体" w:eastAsia="宋体" w:cs="宋体"/>
          <w:color w:val="auto"/>
          <w:sz w:val="24"/>
          <w:szCs w:val="24"/>
          <w:highlight w:val="none"/>
          <w:lang w:eastAsia="zh-CN"/>
        </w:rPr>
        <w:t>相关货物</w:t>
      </w:r>
      <w:r>
        <w:rPr>
          <w:rFonts w:hint="eastAsia" w:ascii="宋体" w:hAnsi="宋体" w:eastAsia="宋体" w:cs="宋体"/>
          <w:color w:val="auto"/>
          <w:sz w:val="24"/>
          <w:szCs w:val="24"/>
          <w:highlight w:val="none"/>
          <w:lang w:val="en-US" w:eastAsia="zh-CN"/>
        </w:rPr>
        <w:t>及进场时投入的设备设施等</w:t>
      </w:r>
      <w:r>
        <w:rPr>
          <w:rFonts w:hint="eastAsia" w:ascii="宋体" w:hAnsi="宋体" w:eastAsia="宋体" w:cs="宋体"/>
          <w:color w:val="auto"/>
          <w:sz w:val="24"/>
          <w:szCs w:val="24"/>
          <w:highlight w:val="none"/>
          <w:lang w:eastAsia="zh-CN"/>
        </w:rPr>
        <w:t>的撤除及运输方式和费用等。如</w:t>
      </w:r>
      <w:r>
        <w:rPr>
          <w:rFonts w:hint="eastAsia" w:ascii="宋体" w:hAnsi="宋体" w:eastAsia="宋体" w:cs="宋体"/>
          <w:color w:val="auto"/>
          <w:sz w:val="24"/>
          <w:szCs w:val="24"/>
          <w:highlight w:val="none"/>
          <w:lang w:val="en-US" w:eastAsia="zh-CN"/>
        </w:rPr>
        <w:t>中标人</w:t>
      </w:r>
      <w:r>
        <w:rPr>
          <w:rFonts w:hint="eastAsia" w:ascii="宋体" w:hAnsi="宋体" w:eastAsia="宋体" w:cs="宋体"/>
          <w:color w:val="auto"/>
          <w:sz w:val="24"/>
          <w:szCs w:val="24"/>
          <w:highlight w:val="none"/>
          <w:lang w:eastAsia="zh-CN"/>
        </w:rPr>
        <w:t>将撤除的物品暂存在</w:t>
      </w:r>
      <w:r>
        <w:rPr>
          <w:rFonts w:hint="eastAsia" w:ascii="宋体" w:hAnsi="宋体" w:eastAsia="宋体" w:cs="宋体"/>
          <w:color w:val="auto"/>
          <w:sz w:val="24"/>
          <w:szCs w:val="24"/>
          <w:highlight w:val="none"/>
          <w:lang w:val="en-US" w:eastAsia="zh-CN"/>
        </w:rPr>
        <w:t>招标人经营场地</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超过规定的撤场时间后</w:t>
      </w:r>
      <w:r>
        <w:rPr>
          <w:rFonts w:hint="eastAsia" w:ascii="宋体" w:hAnsi="宋体" w:eastAsia="宋体" w:cs="宋体"/>
          <w:color w:val="auto"/>
          <w:sz w:val="24"/>
          <w:szCs w:val="24"/>
          <w:highlight w:val="none"/>
          <w:lang w:eastAsia="zh-CN"/>
        </w:rPr>
        <w:t>3日内</w:t>
      </w:r>
      <w:r>
        <w:rPr>
          <w:rFonts w:hint="eastAsia" w:ascii="宋体" w:hAnsi="宋体" w:eastAsia="宋体" w:cs="宋体"/>
          <w:color w:val="auto"/>
          <w:sz w:val="24"/>
          <w:szCs w:val="24"/>
          <w:highlight w:val="none"/>
          <w:lang w:val="en-US" w:eastAsia="zh-CN"/>
        </w:rPr>
        <w:t>招标人</w:t>
      </w:r>
      <w:r>
        <w:rPr>
          <w:rFonts w:hint="eastAsia" w:ascii="宋体" w:hAnsi="宋体" w:eastAsia="宋体" w:cs="宋体"/>
          <w:color w:val="auto"/>
          <w:sz w:val="24"/>
          <w:szCs w:val="24"/>
          <w:highlight w:val="none"/>
          <w:lang w:eastAsia="zh-CN"/>
        </w:rPr>
        <w:t>不收取任何费用也不承担任何保管责任，如</w:t>
      </w:r>
      <w:r>
        <w:rPr>
          <w:rFonts w:hint="eastAsia" w:ascii="宋体" w:hAnsi="宋体" w:eastAsia="宋体" w:cs="宋体"/>
          <w:color w:val="auto"/>
          <w:sz w:val="24"/>
          <w:szCs w:val="24"/>
          <w:highlight w:val="none"/>
          <w:lang w:val="en-US" w:eastAsia="zh-CN"/>
        </w:rPr>
        <w:t>中标人</w:t>
      </w:r>
      <w:r>
        <w:rPr>
          <w:rFonts w:hint="eastAsia" w:ascii="宋体" w:hAnsi="宋体" w:eastAsia="宋体" w:cs="宋体"/>
          <w:color w:val="auto"/>
          <w:sz w:val="24"/>
          <w:szCs w:val="24"/>
          <w:highlight w:val="none"/>
          <w:lang w:eastAsia="zh-CN"/>
        </w:rPr>
        <w:t>货物在</w:t>
      </w:r>
      <w:r>
        <w:rPr>
          <w:rFonts w:hint="eastAsia" w:ascii="宋体" w:hAnsi="宋体" w:eastAsia="宋体" w:cs="宋体"/>
          <w:color w:val="auto"/>
          <w:sz w:val="24"/>
          <w:szCs w:val="24"/>
          <w:highlight w:val="none"/>
          <w:lang w:val="en-US" w:eastAsia="zh-CN"/>
        </w:rPr>
        <w:t>招标人经营现场</w:t>
      </w:r>
      <w:r>
        <w:rPr>
          <w:rFonts w:hint="eastAsia" w:ascii="宋体" w:hAnsi="宋体" w:eastAsia="宋体" w:cs="宋体"/>
          <w:color w:val="auto"/>
          <w:sz w:val="24"/>
          <w:szCs w:val="24"/>
          <w:highlight w:val="none"/>
          <w:lang w:eastAsia="zh-CN"/>
        </w:rPr>
        <w:t>滞留时间超过3日，</w:t>
      </w:r>
      <w:r>
        <w:rPr>
          <w:rFonts w:hint="eastAsia" w:ascii="宋体" w:hAnsi="宋体" w:eastAsia="宋体" w:cs="宋体"/>
          <w:color w:val="auto"/>
          <w:sz w:val="24"/>
          <w:szCs w:val="24"/>
          <w:highlight w:val="none"/>
          <w:lang w:val="en-US" w:eastAsia="zh-CN"/>
        </w:rPr>
        <w:t>招标人</w:t>
      </w:r>
      <w:r>
        <w:rPr>
          <w:rFonts w:hint="eastAsia" w:ascii="宋体" w:hAnsi="宋体" w:eastAsia="宋体" w:cs="宋体"/>
          <w:color w:val="auto"/>
          <w:sz w:val="24"/>
          <w:szCs w:val="24"/>
          <w:highlight w:val="none"/>
          <w:lang w:eastAsia="zh-CN"/>
        </w:rPr>
        <w:t>有权处理</w:t>
      </w:r>
      <w:r>
        <w:rPr>
          <w:rFonts w:hint="eastAsia" w:ascii="宋体" w:hAnsi="宋体" w:eastAsia="宋体" w:cs="宋体"/>
          <w:color w:val="auto"/>
          <w:sz w:val="24"/>
          <w:szCs w:val="24"/>
          <w:highlight w:val="none"/>
          <w:lang w:val="en-US" w:eastAsia="zh-CN"/>
        </w:rPr>
        <w:t>中标人</w:t>
      </w:r>
      <w:r>
        <w:rPr>
          <w:rFonts w:hint="eastAsia" w:ascii="宋体" w:hAnsi="宋体" w:eastAsia="宋体" w:cs="宋体"/>
          <w:color w:val="auto"/>
          <w:sz w:val="24"/>
          <w:szCs w:val="24"/>
          <w:highlight w:val="none"/>
          <w:lang w:eastAsia="zh-CN"/>
        </w:rPr>
        <w:t>货物并按500元/日收取保管费用，所需费用由</w:t>
      </w:r>
      <w:r>
        <w:rPr>
          <w:rFonts w:hint="eastAsia" w:ascii="宋体" w:hAnsi="宋体" w:eastAsia="宋体" w:cs="宋体"/>
          <w:color w:val="auto"/>
          <w:sz w:val="24"/>
          <w:szCs w:val="24"/>
          <w:highlight w:val="none"/>
          <w:lang w:val="en-US" w:eastAsia="zh-CN"/>
        </w:rPr>
        <w:t>中标人缴纳至招标人账户</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如未如期缴纳招标人</w:t>
      </w:r>
      <w:r>
        <w:rPr>
          <w:rFonts w:hint="eastAsia" w:ascii="宋体" w:hAnsi="宋体" w:eastAsia="宋体" w:cs="宋体"/>
          <w:color w:val="auto"/>
          <w:sz w:val="24"/>
          <w:szCs w:val="24"/>
          <w:highlight w:val="none"/>
          <w:lang w:eastAsia="zh-CN"/>
        </w:rPr>
        <w:t>有权继续追偿。</w:t>
      </w:r>
    </w:p>
    <w:p w14:paraId="73C2D0A6">
      <w:pPr>
        <w:pStyle w:val="58"/>
        <w:widowControl w:val="0"/>
        <w:tabs>
          <w:tab w:val="left" w:pos="689"/>
        </w:tabs>
        <w:adjustRightInd/>
        <w:snapToGrid/>
        <w:spacing w:line="360" w:lineRule="auto"/>
        <w:ind w:left="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13、中标人每月按照水电表、物业费相关数据，按时缴纳水电费、物业费至招标人账户，不得以任何理由拒缴或延迟缴纳。</w:t>
      </w:r>
    </w:p>
    <w:p w14:paraId="775D3ACA">
      <w:pPr>
        <w:pStyle w:val="58"/>
        <w:widowControl w:val="0"/>
        <w:tabs>
          <w:tab w:val="left" w:pos="689"/>
        </w:tabs>
        <w:adjustRightInd/>
        <w:snapToGrid/>
        <w:spacing w:line="360" w:lineRule="auto"/>
        <w:ind w:left="0"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14、文创产品销售营业额所涉及提成部分由中标人承担，计入营业额成本中。</w:t>
      </w:r>
    </w:p>
    <w:p w14:paraId="7FEF2E15">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br w:type="page"/>
      </w:r>
    </w:p>
    <w:p w14:paraId="15C7CACA">
      <w:pPr>
        <w:spacing w:line="360" w:lineRule="auto"/>
        <w:jc w:val="center"/>
        <w:outlineLvl w:val="1"/>
        <w:rPr>
          <w:rFonts w:hint="eastAsia" w:ascii="宋体" w:hAnsi="宋体" w:eastAsia="宋体" w:cs="宋体"/>
          <w:b/>
          <w:color w:val="auto"/>
          <w:sz w:val="28"/>
          <w:highlight w:val="none"/>
        </w:rPr>
      </w:pPr>
      <w:bookmarkStart w:id="16" w:name="_Toc47026335"/>
      <w:r>
        <w:rPr>
          <w:rFonts w:hint="eastAsia" w:ascii="宋体" w:hAnsi="宋体" w:eastAsia="宋体" w:cs="宋体"/>
          <w:b/>
          <w:color w:val="auto"/>
          <w:sz w:val="28"/>
          <w:highlight w:val="none"/>
        </w:rPr>
        <w:t>第四章  评审方法和标准</w:t>
      </w:r>
      <w:bookmarkEnd w:id="16"/>
    </w:p>
    <w:p w14:paraId="2CBB5983">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一、总则</w:t>
      </w:r>
    </w:p>
    <w:p w14:paraId="2A65BDEC">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本项目将按照磋商文件第二章 投标人须知的相关要求及本章的规定评审。</w:t>
      </w:r>
    </w:p>
    <w:p w14:paraId="1C33DD94">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二、评审方法</w:t>
      </w:r>
    </w:p>
    <w:p w14:paraId="0CC83E40">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2.1初审</w:t>
      </w:r>
    </w:p>
    <w:p w14:paraId="7908DBAA">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磋商小组对投标人的响应文件进行初审，以确定其是否满足磋商文件的实质性要求。初审表如下：</w:t>
      </w:r>
    </w:p>
    <w:tbl>
      <w:tblPr>
        <w:tblStyle w:val="23"/>
        <w:tblW w:w="84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5"/>
        <w:gridCol w:w="1653"/>
        <w:gridCol w:w="2260"/>
        <w:gridCol w:w="3867"/>
      </w:tblGrid>
      <w:tr w14:paraId="20C82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8495" w:type="dxa"/>
            <w:gridSpan w:val="4"/>
            <w:tcBorders>
              <w:bottom w:val="single" w:color="auto" w:sz="4" w:space="0"/>
            </w:tcBorders>
            <w:vAlign w:val="center"/>
          </w:tcPr>
          <w:p w14:paraId="63DFEE5C">
            <w:pPr>
              <w:adjustRightInd w:val="0"/>
              <w:snapToGrid w:val="0"/>
              <w:spacing w:line="360" w:lineRule="auto"/>
              <w:ind w:right="-10"/>
              <w:jc w:val="center"/>
              <w:rPr>
                <w:rFonts w:hint="eastAsia" w:ascii="宋体" w:hAnsi="宋体" w:eastAsia="宋体" w:cs="宋体"/>
                <w:color w:val="auto"/>
                <w:sz w:val="24"/>
                <w:highlight w:val="none"/>
              </w:rPr>
            </w:pPr>
            <w:r>
              <w:rPr>
                <w:rFonts w:hint="eastAsia" w:ascii="宋体" w:hAnsi="宋体" w:eastAsia="宋体" w:cs="宋体"/>
                <w:b/>
                <w:color w:val="auto"/>
                <w:sz w:val="24"/>
                <w:szCs w:val="22"/>
                <w:highlight w:val="none"/>
              </w:rPr>
              <w:t>初审表</w:t>
            </w:r>
          </w:p>
        </w:tc>
      </w:tr>
      <w:tr w14:paraId="76035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dxa"/>
            <w:tcBorders>
              <w:bottom w:val="single" w:color="auto" w:sz="4" w:space="0"/>
            </w:tcBorders>
            <w:vAlign w:val="center"/>
          </w:tcPr>
          <w:p w14:paraId="393E5CD6">
            <w:pPr>
              <w:adjustRightInd w:val="0"/>
              <w:snapToGrid w:val="0"/>
              <w:spacing w:line="360" w:lineRule="auto"/>
              <w:ind w:right="-1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1653" w:type="dxa"/>
            <w:tcBorders>
              <w:bottom w:val="single" w:color="auto" w:sz="4" w:space="0"/>
            </w:tcBorders>
            <w:vAlign w:val="center"/>
          </w:tcPr>
          <w:p w14:paraId="287C606D">
            <w:pPr>
              <w:spacing w:after="50" w:line="360" w:lineRule="auto"/>
              <w:ind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评审指标</w:t>
            </w:r>
          </w:p>
        </w:tc>
        <w:tc>
          <w:tcPr>
            <w:tcW w:w="2260" w:type="dxa"/>
            <w:tcBorders>
              <w:bottom w:val="single" w:color="auto" w:sz="4" w:space="0"/>
            </w:tcBorders>
            <w:vAlign w:val="center"/>
          </w:tcPr>
          <w:p w14:paraId="468BF18A">
            <w:pPr>
              <w:spacing w:after="50" w:line="360" w:lineRule="auto"/>
              <w:ind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评审标准</w:t>
            </w:r>
          </w:p>
        </w:tc>
        <w:tc>
          <w:tcPr>
            <w:tcW w:w="3867" w:type="dxa"/>
            <w:tcBorders>
              <w:bottom w:val="single" w:color="auto" w:sz="4" w:space="0"/>
            </w:tcBorders>
            <w:vAlign w:val="center"/>
          </w:tcPr>
          <w:p w14:paraId="01BE20F7">
            <w:pPr>
              <w:spacing w:after="50" w:line="360" w:lineRule="auto"/>
              <w:ind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格式及材料要求</w:t>
            </w:r>
          </w:p>
        </w:tc>
      </w:tr>
      <w:tr w14:paraId="698D1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jc w:val="center"/>
        </w:trPr>
        <w:tc>
          <w:tcPr>
            <w:tcW w:w="715" w:type="dxa"/>
            <w:tcBorders>
              <w:bottom w:val="single" w:color="auto" w:sz="4" w:space="0"/>
            </w:tcBorders>
            <w:vAlign w:val="center"/>
          </w:tcPr>
          <w:p w14:paraId="785807E2">
            <w:pPr>
              <w:adjustRightInd w:val="0"/>
              <w:snapToGrid w:val="0"/>
              <w:spacing w:line="360" w:lineRule="auto"/>
              <w:ind w:right="-1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1653" w:type="dxa"/>
            <w:tcBorders>
              <w:bottom w:val="single" w:color="auto" w:sz="4" w:space="0"/>
            </w:tcBorders>
            <w:vAlign w:val="center"/>
          </w:tcPr>
          <w:p w14:paraId="643363E8">
            <w:pPr>
              <w:spacing w:after="50" w:line="360" w:lineRule="auto"/>
              <w:ind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营业执照</w:t>
            </w:r>
          </w:p>
        </w:tc>
        <w:tc>
          <w:tcPr>
            <w:tcW w:w="2260" w:type="dxa"/>
            <w:tcBorders>
              <w:bottom w:val="single" w:color="auto" w:sz="4" w:space="0"/>
            </w:tcBorders>
            <w:vAlign w:val="center"/>
          </w:tcPr>
          <w:p w14:paraId="228CB065">
            <w:pPr>
              <w:spacing w:after="50" w:line="360" w:lineRule="auto"/>
              <w:ind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合法有效</w:t>
            </w:r>
          </w:p>
        </w:tc>
        <w:tc>
          <w:tcPr>
            <w:tcW w:w="3867" w:type="dxa"/>
            <w:vMerge w:val="restart"/>
            <w:vAlign w:val="center"/>
          </w:tcPr>
          <w:p w14:paraId="0A57E8DD">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提供有效的投标人营业执照（或事业单位法人登记证书）和税务登记证的扫描件或影印件，应完整的体现出营业执照（或事业单位法人登记证书）和税务登记证的全部内容。已办理“三证合一”登记的，响应文件中提供营业执照（或事业单位法人登记证书）扫描件即可。</w:t>
            </w:r>
          </w:p>
        </w:tc>
      </w:tr>
      <w:tr w14:paraId="524C9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dxa"/>
            <w:tcBorders>
              <w:bottom w:val="single" w:color="auto" w:sz="4" w:space="0"/>
            </w:tcBorders>
            <w:vAlign w:val="center"/>
          </w:tcPr>
          <w:p w14:paraId="647B6703">
            <w:pPr>
              <w:adjustRightInd w:val="0"/>
              <w:snapToGrid w:val="0"/>
              <w:spacing w:line="360" w:lineRule="auto"/>
              <w:ind w:right="-1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c>
          <w:tcPr>
            <w:tcW w:w="1653" w:type="dxa"/>
            <w:tcBorders>
              <w:bottom w:val="single" w:color="auto" w:sz="4" w:space="0"/>
            </w:tcBorders>
            <w:vAlign w:val="center"/>
          </w:tcPr>
          <w:p w14:paraId="6D2BC052">
            <w:pPr>
              <w:spacing w:after="50" w:line="360" w:lineRule="auto"/>
              <w:ind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税务登记证</w:t>
            </w:r>
          </w:p>
        </w:tc>
        <w:tc>
          <w:tcPr>
            <w:tcW w:w="2260" w:type="dxa"/>
            <w:tcBorders>
              <w:bottom w:val="single" w:color="auto" w:sz="4" w:space="0"/>
            </w:tcBorders>
            <w:vAlign w:val="center"/>
          </w:tcPr>
          <w:p w14:paraId="427DE8A6">
            <w:pPr>
              <w:spacing w:after="50" w:line="360" w:lineRule="auto"/>
              <w:ind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合法有效</w:t>
            </w:r>
          </w:p>
        </w:tc>
        <w:tc>
          <w:tcPr>
            <w:tcW w:w="3867" w:type="dxa"/>
            <w:vMerge w:val="continue"/>
            <w:tcBorders>
              <w:bottom w:val="single" w:color="auto" w:sz="4" w:space="0"/>
            </w:tcBorders>
            <w:vAlign w:val="center"/>
          </w:tcPr>
          <w:p w14:paraId="735300A4">
            <w:pPr>
              <w:adjustRightInd w:val="0"/>
              <w:snapToGrid w:val="0"/>
              <w:spacing w:line="360" w:lineRule="auto"/>
              <w:ind w:right="-10"/>
              <w:jc w:val="left"/>
              <w:rPr>
                <w:rFonts w:hint="eastAsia" w:ascii="宋体" w:hAnsi="宋体" w:eastAsia="宋体" w:cs="宋体"/>
                <w:color w:val="auto"/>
                <w:sz w:val="24"/>
                <w:highlight w:val="none"/>
              </w:rPr>
            </w:pPr>
          </w:p>
        </w:tc>
      </w:tr>
      <w:tr w14:paraId="6987F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dxa"/>
            <w:tcBorders>
              <w:bottom w:val="single" w:color="auto" w:sz="4" w:space="0"/>
            </w:tcBorders>
            <w:vAlign w:val="center"/>
          </w:tcPr>
          <w:p w14:paraId="5FB14742">
            <w:pPr>
              <w:adjustRightInd w:val="0"/>
              <w:snapToGrid w:val="0"/>
              <w:spacing w:line="360" w:lineRule="auto"/>
              <w:ind w:right="-1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p>
        </w:tc>
        <w:tc>
          <w:tcPr>
            <w:tcW w:w="1653" w:type="dxa"/>
            <w:tcBorders>
              <w:bottom w:val="single" w:color="auto" w:sz="4" w:space="0"/>
            </w:tcBorders>
            <w:vAlign w:val="center"/>
          </w:tcPr>
          <w:p w14:paraId="2F07AA03">
            <w:pPr>
              <w:spacing w:after="50" w:line="360" w:lineRule="auto"/>
              <w:ind w:right="-10"/>
              <w:jc w:val="center"/>
              <w:rPr>
                <w:rFonts w:hint="eastAsia" w:ascii="宋体" w:hAnsi="宋体" w:eastAsia="宋体" w:cs="宋体"/>
                <w:color w:val="auto"/>
                <w:sz w:val="24"/>
                <w:szCs w:val="18"/>
                <w:highlight w:val="none"/>
              </w:rPr>
            </w:pPr>
            <w:r>
              <w:rPr>
                <w:rFonts w:hint="eastAsia" w:ascii="宋体" w:hAnsi="宋体" w:eastAsia="宋体" w:cs="宋体"/>
                <w:color w:val="auto"/>
                <w:sz w:val="24"/>
                <w:szCs w:val="28"/>
                <w:highlight w:val="none"/>
              </w:rPr>
              <w:t>无不良信用记录声明函</w:t>
            </w:r>
          </w:p>
        </w:tc>
        <w:tc>
          <w:tcPr>
            <w:tcW w:w="2260" w:type="dxa"/>
            <w:tcBorders>
              <w:bottom w:val="single" w:color="auto" w:sz="4" w:space="0"/>
            </w:tcBorders>
            <w:vAlign w:val="center"/>
          </w:tcPr>
          <w:p w14:paraId="5411F24E">
            <w:pPr>
              <w:spacing w:after="50" w:line="360" w:lineRule="auto"/>
              <w:ind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格式、填写要求符合磋商文件规定并加盖投标人公章</w:t>
            </w:r>
          </w:p>
        </w:tc>
        <w:tc>
          <w:tcPr>
            <w:tcW w:w="3867" w:type="dxa"/>
            <w:tcBorders>
              <w:bottom w:val="single" w:color="auto" w:sz="4" w:space="0"/>
            </w:tcBorders>
            <w:vAlign w:val="center"/>
          </w:tcPr>
          <w:p w14:paraId="4F898389">
            <w:pPr>
              <w:adjustRightInd w:val="0"/>
              <w:snapToGrid w:val="0"/>
              <w:spacing w:line="360" w:lineRule="auto"/>
              <w:ind w:right="-1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详见第六章响应文件格式三</w:t>
            </w:r>
          </w:p>
        </w:tc>
      </w:tr>
      <w:tr w14:paraId="65A2D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dxa"/>
            <w:tcBorders>
              <w:bottom w:val="single" w:color="auto" w:sz="4" w:space="0"/>
            </w:tcBorders>
            <w:vAlign w:val="center"/>
          </w:tcPr>
          <w:p w14:paraId="207BC8CB">
            <w:pPr>
              <w:adjustRightInd w:val="0"/>
              <w:snapToGrid w:val="0"/>
              <w:spacing w:line="360" w:lineRule="auto"/>
              <w:ind w:right="-1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4</w:t>
            </w:r>
          </w:p>
        </w:tc>
        <w:tc>
          <w:tcPr>
            <w:tcW w:w="1653" w:type="dxa"/>
            <w:tcBorders>
              <w:bottom w:val="single" w:color="auto" w:sz="4" w:space="0"/>
            </w:tcBorders>
            <w:vAlign w:val="center"/>
          </w:tcPr>
          <w:p w14:paraId="47D2E20C">
            <w:pPr>
              <w:spacing w:after="50" w:line="360" w:lineRule="auto"/>
              <w:ind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磋商响应函</w:t>
            </w:r>
          </w:p>
        </w:tc>
        <w:tc>
          <w:tcPr>
            <w:tcW w:w="2260" w:type="dxa"/>
            <w:tcBorders>
              <w:bottom w:val="single" w:color="auto" w:sz="4" w:space="0"/>
            </w:tcBorders>
            <w:vAlign w:val="center"/>
          </w:tcPr>
          <w:p w14:paraId="0036B916">
            <w:pPr>
              <w:spacing w:after="50" w:line="360" w:lineRule="auto"/>
              <w:ind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格式、填写要求符合磋商文件规定并加盖投标人公章</w:t>
            </w:r>
          </w:p>
        </w:tc>
        <w:tc>
          <w:tcPr>
            <w:tcW w:w="3867" w:type="dxa"/>
            <w:tcBorders>
              <w:bottom w:val="single" w:color="auto" w:sz="4" w:space="0"/>
            </w:tcBorders>
            <w:vAlign w:val="center"/>
          </w:tcPr>
          <w:p w14:paraId="4E67227C">
            <w:pPr>
              <w:adjustRightInd w:val="0"/>
              <w:snapToGrid w:val="0"/>
              <w:spacing w:line="360" w:lineRule="auto"/>
              <w:ind w:right="-1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详见第六章响应文件格式二</w:t>
            </w:r>
          </w:p>
        </w:tc>
      </w:tr>
      <w:tr w14:paraId="260E0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dxa"/>
            <w:tcBorders>
              <w:bottom w:val="single" w:color="auto" w:sz="4" w:space="0"/>
            </w:tcBorders>
            <w:vAlign w:val="center"/>
          </w:tcPr>
          <w:p w14:paraId="321E1FB9">
            <w:pPr>
              <w:adjustRightInd w:val="0"/>
              <w:snapToGrid w:val="0"/>
              <w:spacing w:line="360" w:lineRule="auto"/>
              <w:ind w:right="-1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5</w:t>
            </w:r>
          </w:p>
        </w:tc>
        <w:tc>
          <w:tcPr>
            <w:tcW w:w="1653" w:type="dxa"/>
            <w:tcBorders>
              <w:bottom w:val="single" w:color="auto" w:sz="4" w:space="0"/>
            </w:tcBorders>
            <w:vAlign w:val="center"/>
          </w:tcPr>
          <w:p w14:paraId="48B3B873">
            <w:pPr>
              <w:spacing w:after="50" w:line="360" w:lineRule="auto"/>
              <w:ind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磋商授权书</w:t>
            </w:r>
          </w:p>
        </w:tc>
        <w:tc>
          <w:tcPr>
            <w:tcW w:w="2260" w:type="dxa"/>
            <w:tcBorders>
              <w:bottom w:val="single" w:color="auto" w:sz="4" w:space="0"/>
            </w:tcBorders>
            <w:vAlign w:val="center"/>
          </w:tcPr>
          <w:p w14:paraId="31B7EF1E">
            <w:pPr>
              <w:spacing w:after="50" w:line="360" w:lineRule="auto"/>
              <w:ind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格式、填写要求符合磋商文件规定并加盖投标人公章</w:t>
            </w:r>
          </w:p>
        </w:tc>
        <w:tc>
          <w:tcPr>
            <w:tcW w:w="3867" w:type="dxa"/>
            <w:tcBorders>
              <w:bottom w:val="single" w:color="auto" w:sz="4" w:space="0"/>
            </w:tcBorders>
            <w:vAlign w:val="center"/>
          </w:tcPr>
          <w:p w14:paraId="785D157B">
            <w:pPr>
              <w:adjustRightInd w:val="0"/>
              <w:snapToGrid w:val="0"/>
              <w:spacing w:line="360" w:lineRule="auto"/>
              <w:ind w:right="-1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法定代表人参加磋商的无需此件，提供身份证明即可。详见第六章响应文件格式四</w:t>
            </w:r>
          </w:p>
        </w:tc>
      </w:tr>
      <w:tr w14:paraId="50CAB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dxa"/>
            <w:vAlign w:val="center"/>
          </w:tcPr>
          <w:p w14:paraId="039893D2">
            <w:pPr>
              <w:adjustRightInd w:val="0"/>
              <w:snapToGrid w:val="0"/>
              <w:spacing w:line="360" w:lineRule="auto"/>
              <w:ind w:right="-1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6</w:t>
            </w:r>
          </w:p>
        </w:tc>
        <w:tc>
          <w:tcPr>
            <w:tcW w:w="1653" w:type="dxa"/>
            <w:vAlign w:val="center"/>
          </w:tcPr>
          <w:p w14:paraId="0F6B91F2">
            <w:pPr>
              <w:spacing w:after="50" w:line="360" w:lineRule="auto"/>
              <w:ind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投标人资质</w:t>
            </w:r>
          </w:p>
          <w:p w14:paraId="2CCA9C4D">
            <w:pPr>
              <w:spacing w:after="50" w:line="360" w:lineRule="auto"/>
              <w:ind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highlight w:val="none"/>
              </w:rPr>
              <w:t>（可编辑）</w:t>
            </w:r>
          </w:p>
        </w:tc>
        <w:tc>
          <w:tcPr>
            <w:tcW w:w="2260" w:type="dxa"/>
            <w:vAlign w:val="center"/>
          </w:tcPr>
          <w:p w14:paraId="73DAEFF7">
            <w:pPr>
              <w:spacing w:after="50" w:line="360" w:lineRule="auto"/>
              <w:ind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符合投标人资格中的资质要求</w:t>
            </w:r>
          </w:p>
        </w:tc>
        <w:tc>
          <w:tcPr>
            <w:tcW w:w="3867" w:type="dxa"/>
            <w:vAlign w:val="center"/>
          </w:tcPr>
          <w:p w14:paraId="3134C733">
            <w:pPr>
              <w:adjustRightInd w:val="0"/>
              <w:snapToGrid w:val="0"/>
              <w:spacing w:line="360" w:lineRule="auto"/>
              <w:ind w:right="-1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提供</w:t>
            </w:r>
            <w:r>
              <w:rPr>
                <w:rFonts w:hint="eastAsia" w:ascii="宋体" w:hAnsi="宋体" w:eastAsia="宋体" w:cs="宋体"/>
                <w:color w:val="auto"/>
                <w:sz w:val="24"/>
                <w:szCs w:val="28"/>
                <w:highlight w:val="none"/>
              </w:rPr>
              <w:t>符合投标人资格中要求的</w:t>
            </w:r>
            <w:r>
              <w:rPr>
                <w:rFonts w:hint="eastAsia" w:ascii="宋体" w:hAnsi="宋体" w:eastAsia="宋体" w:cs="宋体"/>
                <w:color w:val="auto"/>
                <w:sz w:val="24"/>
                <w:highlight w:val="none"/>
              </w:rPr>
              <w:t>资质证书扫描件（可编辑）</w:t>
            </w:r>
          </w:p>
        </w:tc>
      </w:tr>
      <w:tr w14:paraId="58527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dxa"/>
            <w:vAlign w:val="center"/>
          </w:tcPr>
          <w:p w14:paraId="0C90C45C">
            <w:pPr>
              <w:adjustRightInd w:val="0"/>
              <w:snapToGrid w:val="0"/>
              <w:spacing w:line="360" w:lineRule="auto"/>
              <w:ind w:right="-1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7</w:t>
            </w:r>
          </w:p>
        </w:tc>
        <w:tc>
          <w:tcPr>
            <w:tcW w:w="1653" w:type="dxa"/>
            <w:vAlign w:val="center"/>
          </w:tcPr>
          <w:p w14:paraId="28C9C594">
            <w:pPr>
              <w:spacing w:after="50" w:line="360" w:lineRule="auto"/>
              <w:ind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初审业绩</w:t>
            </w:r>
          </w:p>
          <w:p w14:paraId="5FAD9588">
            <w:pPr>
              <w:spacing w:after="50" w:line="360" w:lineRule="auto"/>
              <w:ind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highlight w:val="none"/>
              </w:rPr>
              <w:t>（可编辑）</w:t>
            </w:r>
          </w:p>
        </w:tc>
        <w:tc>
          <w:tcPr>
            <w:tcW w:w="2260" w:type="dxa"/>
            <w:vAlign w:val="center"/>
          </w:tcPr>
          <w:p w14:paraId="214E6949">
            <w:pPr>
              <w:spacing w:after="50" w:line="360" w:lineRule="auto"/>
              <w:ind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符合投标人资格中的业绩要求</w:t>
            </w:r>
          </w:p>
        </w:tc>
        <w:tc>
          <w:tcPr>
            <w:tcW w:w="3867" w:type="dxa"/>
            <w:vAlign w:val="center"/>
          </w:tcPr>
          <w:p w14:paraId="5829D80E">
            <w:pPr>
              <w:adjustRightInd w:val="0"/>
              <w:snapToGrid w:val="0"/>
              <w:spacing w:line="360" w:lineRule="auto"/>
              <w:ind w:right="-1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提供符合</w:t>
            </w:r>
            <w:r>
              <w:rPr>
                <w:rFonts w:hint="eastAsia" w:ascii="宋体" w:hAnsi="宋体" w:eastAsia="宋体" w:cs="宋体"/>
                <w:color w:val="auto"/>
                <w:sz w:val="24"/>
                <w:szCs w:val="28"/>
                <w:highlight w:val="none"/>
              </w:rPr>
              <w:t>投标人资格中</w:t>
            </w:r>
            <w:r>
              <w:rPr>
                <w:rFonts w:hint="eastAsia" w:ascii="宋体" w:hAnsi="宋体" w:eastAsia="宋体" w:cs="宋体"/>
                <w:color w:val="auto"/>
                <w:sz w:val="24"/>
                <w:highlight w:val="none"/>
              </w:rPr>
              <w:t>业绩要求的合同扫描件（可编辑）</w:t>
            </w:r>
          </w:p>
        </w:tc>
      </w:tr>
      <w:tr w14:paraId="5AA13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dxa"/>
            <w:vAlign w:val="center"/>
          </w:tcPr>
          <w:p w14:paraId="23116F65">
            <w:pPr>
              <w:adjustRightInd w:val="0"/>
              <w:snapToGrid w:val="0"/>
              <w:spacing w:line="360" w:lineRule="auto"/>
              <w:ind w:right="-1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8</w:t>
            </w:r>
          </w:p>
        </w:tc>
        <w:tc>
          <w:tcPr>
            <w:tcW w:w="1653" w:type="dxa"/>
            <w:vAlign w:val="center"/>
          </w:tcPr>
          <w:p w14:paraId="6EEB3E98">
            <w:pPr>
              <w:spacing w:after="50" w:line="360" w:lineRule="auto"/>
              <w:ind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磋商报价</w:t>
            </w:r>
          </w:p>
        </w:tc>
        <w:tc>
          <w:tcPr>
            <w:tcW w:w="2260" w:type="dxa"/>
            <w:vAlign w:val="center"/>
          </w:tcPr>
          <w:p w14:paraId="51CD434E">
            <w:pPr>
              <w:spacing w:after="50" w:line="360" w:lineRule="auto"/>
              <w:ind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符合磋商</w:t>
            </w:r>
            <w:r>
              <w:rPr>
                <w:rFonts w:hint="eastAsia" w:ascii="宋体" w:hAnsi="宋体" w:eastAsia="宋体" w:cs="宋体"/>
                <w:color w:val="auto"/>
                <w:sz w:val="24"/>
                <w:highlight w:val="none"/>
              </w:rPr>
              <w:t>文件投标人须知正文第12、22条要求</w:t>
            </w:r>
          </w:p>
        </w:tc>
        <w:tc>
          <w:tcPr>
            <w:tcW w:w="3867" w:type="dxa"/>
            <w:vAlign w:val="center"/>
          </w:tcPr>
          <w:p w14:paraId="4A9BEB5D">
            <w:pPr>
              <w:adjustRightInd w:val="0"/>
              <w:snapToGrid w:val="0"/>
              <w:spacing w:line="360" w:lineRule="auto"/>
              <w:ind w:right="-1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详见第六章响应文件格式一</w:t>
            </w:r>
          </w:p>
        </w:tc>
      </w:tr>
      <w:tr w14:paraId="5767A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dxa"/>
            <w:vAlign w:val="center"/>
          </w:tcPr>
          <w:p w14:paraId="7671D355">
            <w:pPr>
              <w:adjustRightInd w:val="0"/>
              <w:snapToGrid w:val="0"/>
              <w:spacing w:line="360" w:lineRule="auto"/>
              <w:ind w:right="-1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9</w:t>
            </w:r>
          </w:p>
        </w:tc>
        <w:tc>
          <w:tcPr>
            <w:tcW w:w="1653" w:type="dxa"/>
            <w:vAlign w:val="center"/>
          </w:tcPr>
          <w:p w14:paraId="07C5650F">
            <w:pPr>
              <w:spacing w:after="50" w:line="360" w:lineRule="auto"/>
              <w:ind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商务响应情况</w:t>
            </w:r>
          </w:p>
        </w:tc>
        <w:tc>
          <w:tcPr>
            <w:tcW w:w="2260" w:type="dxa"/>
            <w:vAlign w:val="center"/>
          </w:tcPr>
          <w:p w14:paraId="3AC2A99F">
            <w:pPr>
              <w:spacing w:after="50" w:line="360" w:lineRule="auto"/>
              <w:ind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符合磋商文件招标需求中付款方式、服务期限、服务地点的要求（可编辑）</w:t>
            </w:r>
          </w:p>
        </w:tc>
        <w:tc>
          <w:tcPr>
            <w:tcW w:w="3867" w:type="dxa"/>
            <w:vAlign w:val="center"/>
          </w:tcPr>
          <w:p w14:paraId="58F202F1">
            <w:pPr>
              <w:adjustRightInd w:val="0"/>
              <w:snapToGrid w:val="0"/>
              <w:spacing w:line="360" w:lineRule="auto"/>
              <w:ind w:right="-1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详见第六章响应文件格式五</w:t>
            </w:r>
          </w:p>
        </w:tc>
      </w:tr>
      <w:tr w14:paraId="2975C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dxa"/>
            <w:vAlign w:val="center"/>
          </w:tcPr>
          <w:p w14:paraId="57ACCB9A">
            <w:pPr>
              <w:adjustRightInd w:val="0"/>
              <w:snapToGrid w:val="0"/>
              <w:spacing w:line="360" w:lineRule="auto"/>
              <w:ind w:right="-1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10</w:t>
            </w:r>
          </w:p>
        </w:tc>
        <w:tc>
          <w:tcPr>
            <w:tcW w:w="1653" w:type="dxa"/>
            <w:vAlign w:val="center"/>
          </w:tcPr>
          <w:p w14:paraId="1B0BCA62">
            <w:pPr>
              <w:spacing w:after="50" w:line="360" w:lineRule="auto"/>
              <w:ind w:right="-10"/>
              <w:jc w:val="center"/>
              <w:rPr>
                <w:rFonts w:hint="eastAsia" w:ascii="宋体" w:hAnsi="宋体" w:eastAsia="宋体" w:cs="宋体"/>
                <w:color w:val="auto"/>
                <w:sz w:val="24"/>
                <w:highlight w:val="none"/>
              </w:rPr>
            </w:pPr>
            <w:r>
              <w:rPr>
                <w:rFonts w:hint="eastAsia" w:ascii="宋体" w:hAnsi="宋体" w:eastAsia="宋体" w:cs="宋体"/>
                <w:color w:val="auto"/>
                <w:sz w:val="24"/>
                <w:szCs w:val="28"/>
                <w:highlight w:val="none"/>
              </w:rPr>
              <w:t>文件获取情况</w:t>
            </w:r>
          </w:p>
        </w:tc>
        <w:tc>
          <w:tcPr>
            <w:tcW w:w="2260" w:type="dxa"/>
            <w:vAlign w:val="center"/>
          </w:tcPr>
          <w:p w14:paraId="2E5FD99C">
            <w:pPr>
              <w:spacing w:after="50" w:line="360" w:lineRule="auto"/>
              <w:ind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 xml:space="preserve">在磋商文件获取截 </w:t>
            </w:r>
          </w:p>
          <w:p w14:paraId="2E2BFE81">
            <w:pPr>
              <w:spacing w:after="50" w:line="360" w:lineRule="auto"/>
              <w:ind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 xml:space="preserve">止时间前完成磋商 </w:t>
            </w:r>
          </w:p>
          <w:p w14:paraId="68CF639E">
            <w:pPr>
              <w:spacing w:after="50" w:line="360" w:lineRule="auto"/>
              <w:ind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文件获取</w:t>
            </w:r>
          </w:p>
        </w:tc>
        <w:tc>
          <w:tcPr>
            <w:tcW w:w="3867" w:type="dxa"/>
            <w:vAlign w:val="center"/>
          </w:tcPr>
          <w:p w14:paraId="772D8C8C">
            <w:pPr>
              <w:adjustRightInd w:val="0"/>
              <w:snapToGrid w:val="0"/>
              <w:spacing w:line="360" w:lineRule="auto"/>
              <w:ind w:right="-10"/>
              <w:jc w:val="left"/>
              <w:rPr>
                <w:rFonts w:hint="eastAsia" w:ascii="宋体" w:hAnsi="宋体" w:eastAsia="宋体" w:cs="宋体"/>
                <w:color w:val="auto"/>
                <w:sz w:val="24"/>
                <w:highlight w:val="none"/>
              </w:rPr>
            </w:pPr>
          </w:p>
        </w:tc>
      </w:tr>
      <w:tr w14:paraId="49BED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dxa"/>
            <w:vAlign w:val="center"/>
          </w:tcPr>
          <w:p w14:paraId="5738A2B4">
            <w:pPr>
              <w:adjustRightInd w:val="0"/>
              <w:snapToGrid w:val="0"/>
              <w:spacing w:line="360" w:lineRule="auto"/>
              <w:ind w:right="-1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11</w:t>
            </w:r>
          </w:p>
        </w:tc>
        <w:tc>
          <w:tcPr>
            <w:tcW w:w="1653" w:type="dxa"/>
            <w:vAlign w:val="center"/>
          </w:tcPr>
          <w:p w14:paraId="32C6B433">
            <w:pPr>
              <w:spacing w:after="50" w:line="360" w:lineRule="auto"/>
              <w:ind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其他要求</w:t>
            </w:r>
          </w:p>
        </w:tc>
        <w:tc>
          <w:tcPr>
            <w:tcW w:w="2260" w:type="dxa"/>
            <w:vAlign w:val="center"/>
          </w:tcPr>
          <w:p w14:paraId="0BFBD615">
            <w:pPr>
              <w:spacing w:after="50" w:line="360" w:lineRule="auto"/>
              <w:ind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符合法律、行政法规规定的其他条件或磋商文件列明的其他要求</w:t>
            </w:r>
          </w:p>
        </w:tc>
        <w:tc>
          <w:tcPr>
            <w:tcW w:w="3867" w:type="dxa"/>
            <w:vAlign w:val="center"/>
          </w:tcPr>
          <w:p w14:paraId="57509707">
            <w:pPr>
              <w:adjustRightInd w:val="0"/>
              <w:snapToGrid w:val="0"/>
              <w:spacing w:line="360" w:lineRule="auto"/>
              <w:ind w:right="-10"/>
              <w:jc w:val="left"/>
              <w:rPr>
                <w:rFonts w:hint="eastAsia" w:ascii="宋体" w:hAnsi="宋体" w:eastAsia="宋体" w:cs="宋体"/>
                <w:color w:val="auto"/>
                <w:sz w:val="24"/>
                <w:highlight w:val="none"/>
              </w:rPr>
            </w:pPr>
          </w:p>
        </w:tc>
      </w:tr>
    </w:tbl>
    <w:p w14:paraId="3988B62F">
      <w:pPr>
        <w:spacing w:line="360" w:lineRule="auto"/>
        <w:ind w:firstLine="435"/>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初审指标通过标准：</w:t>
      </w:r>
      <w:r>
        <w:rPr>
          <w:rFonts w:hint="eastAsia" w:ascii="宋体" w:hAnsi="宋体" w:eastAsia="宋体" w:cs="宋体"/>
          <w:color w:val="auto"/>
          <w:sz w:val="24"/>
          <w:highlight w:val="none"/>
        </w:rPr>
        <w:t>投标人必须通过初审表中的全部评审指标。</w:t>
      </w:r>
    </w:p>
    <w:p w14:paraId="4CC1F6ED">
      <w:pPr>
        <w:spacing w:line="360" w:lineRule="auto"/>
        <w:ind w:firstLine="435"/>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2.2综合评分</w:t>
      </w:r>
    </w:p>
    <w:p w14:paraId="482AB15F">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2.2.1磋商小组按照下表对进入综合评分的所有投标人的响应文件进行综合评分。</w:t>
      </w:r>
    </w:p>
    <w:p w14:paraId="28E36A19">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2.2.2本项目综合评分满分为100分，其中：技术资信分值占总分值的权重为</w:t>
      </w:r>
      <w:r>
        <w:rPr>
          <w:rFonts w:hint="eastAsia" w:ascii="宋体" w:hAnsi="宋体" w:eastAsia="宋体" w:cs="宋体"/>
          <w:color w:val="auto"/>
          <w:sz w:val="24"/>
          <w:highlight w:val="none"/>
          <w:u w:val="single"/>
          <w:lang w:val="en-US" w:eastAsia="zh-CN"/>
        </w:rPr>
        <w:t>60</w:t>
      </w:r>
      <w:r>
        <w:rPr>
          <w:rFonts w:hint="eastAsia" w:ascii="宋体" w:hAnsi="宋体" w:eastAsia="宋体" w:cs="宋体"/>
          <w:color w:val="auto"/>
          <w:sz w:val="24"/>
          <w:highlight w:val="none"/>
        </w:rPr>
        <w:t>%，价格分值占总分值的权重为</w:t>
      </w:r>
      <w:r>
        <w:rPr>
          <w:rFonts w:hint="eastAsia" w:ascii="宋体" w:hAnsi="宋体" w:eastAsia="宋体" w:cs="宋体"/>
          <w:color w:val="auto"/>
          <w:sz w:val="24"/>
          <w:highlight w:val="none"/>
          <w:u w:val="single"/>
          <w:lang w:val="en-US" w:eastAsia="zh-CN"/>
        </w:rPr>
        <w:t>40</w:t>
      </w:r>
      <w:r>
        <w:rPr>
          <w:rFonts w:hint="eastAsia" w:ascii="宋体" w:hAnsi="宋体" w:eastAsia="宋体" w:cs="宋体"/>
          <w:color w:val="auto"/>
          <w:sz w:val="24"/>
          <w:highlight w:val="none"/>
        </w:rPr>
        <w:t>%。具体评分细则如下：</w:t>
      </w:r>
    </w:p>
    <w:tbl>
      <w:tblPr>
        <w:tblStyle w:val="23"/>
        <w:tblW w:w="86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3"/>
        <w:gridCol w:w="1714"/>
        <w:gridCol w:w="4421"/>
        <w:gridCol w:w="992"/>
      </w:tblGrid>
      <w:tr w14:paraId="44E80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473" w:type="dxa"/>
            <w:tcBorders>
              <w:top w:val="single" w:color="auto" w:sz="4" w:space="0"/>
              <w:left w:val="single" w:color="auto" w:sz="4" w:space="0"/>
              <w:bottom w:val="single" w:color="auto" w:sz="4" w:space="0"/>
              <w:right w:val="single" w:color="auto" w:sz="4" w:space="0"/>
            </w:tcBorders>
            <w:vAlign w:val="center"/>
          </w:tcPr>
          <w:p w14:paraId="3AFB17AC">
            <w:pPr>
              <w:spacing w:line="360" w:lineRule="auto"/>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类别</w:t>
            </w:r>
          </w:p>
        </w:tc>
        <w:tc>
          <w:tcPr>
            <w:tcW w:w="1714" w:type="dxa"/>
            <w:tcBorders>
              <w:top w:val="single" w:color="auto" w:sz="4" w:space="0"/>
              <w:left w:val="single" w:color="auto" w:sz="4" w:space="0"/>
              <w:bottom w:val="single" w:color="auto" w:sz="4" w:space="0"/>
              <w:right w:val="single" w:color="auto" w:sz="4" w:space="0"/>
            </w:tcBorders>
            <w:vAlign w:val="center"/>
          </w:tcPr>
          <w:p w14:paraId="412E8064">
            <w:pPr>
              <w:spacing w:line="360" w:lineRule="auto"/>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评分内容</w:t>
            </w:r>
          </w:p>
        </w:tc>
        <w:tc>
          <w:tcPr>
            <w:tcW w:w="4421" w:type="dxa"/>
            <w:tcBorders>
              <w:top w:val="single" w:color="auto" w:sz="4" w:space="0"/>
              <w:left w:val="single" w:color="auto" w:sz="4" w:space="0"/>
              <w:bottom w:val="single" w:color="auto" w:sz="4" w:space="0"/>
              <w:right w:val="single" w:color="auto" w:sz="4" w:space="0"/>
            </w:tcBorders>
            <w:vAlign w:val="center"/>
          </w:tcPr>
          <w:p w14:paraId="463D2053">
            <w:pPr>
              <w:spacing w:line="360" w:lineRule="auto"/>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评分标准</w:t>
            </w:r>
          </w:p>
        </w:tc>
        <w:tc>
          <w:tcPr>
            <w:tcW w:w="992" w:type="dxa"/>
            <w:tcBorders>
              <w:top w:val="single" w:color="auto" w:sz="4" w:space="0"/>
              <w:left w:val="single" w:color="auto" w:sz="4" w:space="0"/>
              <w:bottom w:val="single" w:color="auto" w:sz="4" w:space="0"/>
              <w:right w:val="single" w:color="auto" w:sz="4" w:space="0"/>
            </w:tcBorders>
            <w:vAlign w:val="center"/>
          </w:tcPr>
          <w:p w14:paraId="741C5352">
            <w:pPr>
              <w:spacing w:line="360" w:lineRule="auto"/>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分值范围</w:t>
            </w:r>
          </w:p>
        </w:tc>
      </w:tr>
      <w:tr w14:paraId="6F55A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3" w:type="dxa"/>
            <w:tcBorders>
              <w:left w:val="single" w:color="auto" w:sz="4" w:space="0"/>
              <w:right w:val="single" w:color="auto" w:sz="4" w:space="0"/>
            </w:tcBorders>
            <w:vAlign w:val="center"/>
          </w:tcPr>
          <w:p w14:paraId="09614B48">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技术资信分</w:t>
            </w:r>
          </w:p>
          <w:p w14:paraId="4D90A9E6">
            <w:pPr>
              <w:spacing w:line="596" w:lineRule="exact"/>
              <w:rPr>
                <w:rFonts w:eastAsia="仿宋_GB2312"/>
                <w:color w:val="auto"/>
                <w:spacing w:val="-20"/>
                <w:sz w:val="32"/>
                <w:szCs w:val="32"/>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lang w:val="en-US" w:eastAsia="zh-CN"/>
              </w:rPr>
              <w:t>60</w:t>
            </w:r>
            <w:r>
              <w:rPr>
                <w:rFonts w:hint="eastAsia" w:ascii="宋体" w:hAnsi="宋体" w:eastAsia="宋体" w:cs="宋体"/>
                <w:color w:val="auto"/>
                <w:sz w:val="24"/>
                <w:highlight w:val="none"/>
              </w:rPr>
              <w:t>分）</w:t>
            </w:r>
          </w:p>
          <w:p w14:paraId="53F3C5C9">
            <w:pPr>
              <w:spacing w:line="360" w:lineRule="auto"/>
              <w:ind w:firstLine="435"/>
              <w:jc w:val="center"/>
              <w:rPr>
                <w:rFonts w:hint="eastAsia" w:ascii="宋体" w:hAnsi="宋体" w:eastAsia="宋体" w:cs="宋体"/>
                <w:b/>
                <w:bCs/>
                <w:color w:val="auto"/>
                <w:sz w:val="24"/>
                <w:highlight w:val="none"/>
              </w:rPr>
            </w:pPr>
          </w:p>
        </w:tc>
        <w:tc>
          <w:tcPr>
            <w:tcW w:w="1714" w:type="dxa"/>
            <w:tcBorders>
              <w:top w:val="single" w:color="auto" w:sz="4" w:space="0"/>
              <w:left w:val="single" w:color="auto" w:sz="4" w:space="0"/>
              <w:bottom w:val="single" w:color="auto" w:sz="4" w:space="0"/>
              <w:right w:val="single" w:color="auto" w:sz="4" w:space="0"/>
            </w:tcBorders>
            <w:shd w:val="clear" w:color="auto" w:fill="auto"/>
            <w:vAlign w:val="center"/>
          </w:tcPr>
          <w:p w14:paraId="15FFF70F">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w:t>
            </w:r>
          </w:p>
          <w:p w14:paraId="5D88652A">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服务经验</w:t>
            </w:r>
          </w:p>
        </w:tc>
        <w:tc>
          <w:tcPr>
            <w:tcW w:w="4421" w:type="dxa"/>
            <w:tcBorders>
              <w:top w:val="single" w:color="auto" w:sz="4" w:space="0"/>
              <w:left w:val="single" w:color="auto" w:sz="4" w:space="0"/>
              <w:bottom w:val="single" w:color="auto" w:sz="4" w:space="0"/>
              <w:right w:val="single" w:color="auto" w:sz="4" w:space="0"/>
            </w:tcBorders>
            <w:shd w:val="clear" w:color="auto" w:fill="auto"/>
            <w:vAlign w:val="center"/>
          </w:tcPr>
          <w:p w14:paraId="0728361A">
            <w:pPr>
              <w:spacing w:line="400" w:lineRule="atLeast"/>
              <w:ind w:right="-1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自2019年1月1日以来（以合同签订时间为准），投标人或投标人分公司或投标人全资子公司或投标人控股子公司（持股比例高于50%）</w:t>
            </w:r>
            <w:r>
              <w:rPr>
                <w:rFonts w:hint="eastAsia" w:ascii="宋体" w:hAnsi="宋体" w:eastAsia="宋体" w:cs="宋体"/>
                <w:color w:val="auto"/>
                <w:sz w:val="24"/>
                <w:szCs w:val="24"/>
                <w:highlight w:val="none"/>
                <w:lang w:val="en-US" w:eastAsia="zh-CN"/>
              </w:rPr>
              <w:t>每运营一个场地，每提供1个合同，得10分。</w:t>
            </w:r>
          </w:p>
          <w:p w14:paraId="13D35701">
            <w:pPr>
              <w:spacing w:line="400" w:lineRule="atLeast"/>
              <w:ind w:right="-11"/>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注：</w:t>
            </w:r>
          </w:p>
          <w:p w14:paraId="6E3EDB9F">
            <w:pPr>
              <w:numPr>
                <w:ilvl w:val="0"/>
                <w:numId w:val="0"/>
              </w:numPr>
              <w:spacing w:line="400" w:lineRule="atLeast"/>
              <w:ind w:right="-11" w:rightChars="0"/>
              <w:rPr>
                <w:rFonts w:hint="eastAsia" w:ascii="宋体" w:hAnsi="宋体" w:eastAsia="宋体" w:cs="宋体"/>
                <w:b/>
                <w:bCs/>
                <w:color w:val="auto"/>
                <w:sz w:val="24"/>
                <w:szCs w:val="24"/>
                <w:highlight w:val="none"/>
              </w:rPr>
            </w:pPr>
            <w:r>
              <w:rPr>
                <w:rFonts w:hint="eastAsia" w:ascii="宋体" w:hAnsi="宋体" w:eastAsia="宋体" w:cs="宋体"/>
                <w:b/>
                <w:bCs/>
                <w:color w:val="auto"/>
                <w:kern w:val="2"/>
                <w:sz w:val="24"/>
                <w:szCs w:val="24"/>
                <w:highlight w:val="none"/>
                <w:lang w:val="en-US" w:eastAsia="zh-CN" w:bidi="ar-SA"/>
              </w:rPr>
              <w:t>（1）</w:t>
            </w:r>
            <w:r>
              <w:rPr>
                <w:rFonts w:hint="eastAsia" w:ascii="宋体" w:hAnsi="宋体" w:eastAsia="宋体" w:cs="宋体"/>
                <w:b/>
                <w:bCs/>
                <w:color w:val="auto"/>
                <w:sz w:val="24"/>
                <w:szCs w:val="24"/>
                <w:highlight w:val="none"/>
              </w:rPr>
              <w:t>本项满分</w:t>
            </w:r>
            <w:r>
              <w:rPr>
                <w:rFonts w:hint="eastAsia" w:ascii="宋体" w:hAnsi="宋体" w:eastAsia="宋体" w:cs="宋体"/>
                <w:b/>
                <w:bCs/>
                <w:color w:val="auto"/>
                <w:sz w:val="24"/>
                <w:szCs w:val="24"/>
                <w:highlight w:val="none"/>
                <w:lang w:val="en-US" w:eastAsia="zh-CN"/>
              </w:rPr>
              <w:t>40</w:t>
            </w:r>
            <w:r>
              <w:rPr>
                <w:rFonts w:hint="eastAsia" w:ascii="宋体" w:hAnsi="宋体" w:eastAsia="宋体" w:cs="宋体"/>
                <w:b/>
                <w:bCs/>
                <w:color w:val="auto"/>
                <w:sz w:val="24"/>
                <w:szCs w:val="24"/>
                <w:highlight w:val="none"/>
              </w:rPr>
              <w:t>分。</w:t>
            </w:r>
          </w:p>
          <w:p w14:paraId="577769F9">
            <w:pPr>
              <w:numPr>
                <w:ilvl w:val="0"/>
                <w:numId w:val="0"/>
              </w:numPr>
              <w:spacing w:line="400" w:lineRule="atLeast"/>
              <w:ind w:right="-11" w:rightChars="0"/>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kern w:val="2"/>
                <w:sz w:val="24"/>
                <w:szCs w:val="24"/>
                <w:highlight w:val="none"/>
                <w:lang w:val="en-US" w:eastAsia="zh-CN" w:bidi="ar-SA"/>
              </w:rPr>
              <w:t>（2）</w:t>
            </w:r>
            <w:r>
              <w:rPr>
                <w:rFonts w:hint="eastAsia" w:ascii="宋体" w:hAnsi="宋体" w:eastAsia="宋体" w:cs="宋体"/>
                <w:b/>
                <w:bCs/>
                <w:color w:val="auto"/>
                <w:sz w:val="24"/>
                <w:szCs w:val="24"/>
                <w:highlight w:val="none"/>
                <w:lang w:eastAsia="zh-CN"/>
              </w:rPr>
              <w:t>投标方需有</w:t>
            </w:r>
            <w:r>
              <w:rPr>
                <w:rFonts w:hint="eastAsia" w:ascii="宋体" w:hAnsi="宋体" w:eastAsia="宋体" w:cs="宋体"/>
                <w:b/>
                <w:bCs/>
                <w:color w:val="auto"/>
                <w:sz w:val="24"/>
                <w:szCs w:val="24"/>
                <w:highlight w:val="none"/>
                <w:lang w:val="en-US" w:eastAsia="zh-CN"/>
              </w:rPr>
              <w:t>书店等相关经营文创展销经验</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需</w:t>
            </w:r>
            <w:r>
              <w:rPr>
                <w:rFonts w:hint="eastAsia" w:ascii="宋体" w:hAnsi="宋体" w:eastAsia="宋体" w:cs="宋体"/>
                <w:b/>
                <w:bCs/>
                <w:color w:val="auto"/>
                <w:sz w:val="24"/>
                <w:szCs w:val="24"/>
                <w:highlight w:val="none"/>
                <w:lang w:eastAsia="zh-CN"/>
              </w:rPr>
              <w:t>提供相关证明）</w:t>
            </w:r>
          </w:p>
          <w:p w14:paraId="171F90E7">
            <w:pPr>
              <w:numPr>
                <w:ilvl w:val="0"/>
                <w:numId w:val="0"/>
              </w:numPr>
              <w:spacing w:line="400" w:lineRule="atLeast"/>
              <w:ind w:right="-11" w:rightChars="0"/>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3</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投标人营业执照经营范围需有文创、文具、文体、艺术工艺品、商业活动组织等经营范围。</w:t>
            </w:r>
          </w:p>
          <w:p w14:paraId="50099B91">
            <w:pPr>
              <w:numPr>
                <w:ilvl w:val="0"/>
                <w:numId w:val="0"/>
              </w:numPr>
              <w:spacing w:line="400" w:lineRule="atLeast"/>
              <w:ind w:left="0" w:leftChars="0" w:right="-11" w:rightChars="0" w:firstLine="0" w:firstLineChars="0"/>
              <w:rPr>
                <w:rFonts w:hint="eastAsia" w:ascii="宋体" w:hAnsi="宋体" w:eastAsia="宋体" w:cs="宋体"/>
                <w:b/>
                <w:bCs/>
                <w:color w:val="auto"/>
                <w:sz w:val="24"/>
                <w:szCs w:val="24"/>
                <w:highlight w:val="none"/>
              </w:rPr>
            </w:pPr>
            <w:r>
              <w:rPr>
                <w:rFonts w:hint="eastAsia" w:ascii="宋体" w:hAnsi="宋体" w:eastAsia="宋体" w:cs="宋体"/>
                <w:b/>
                <w:bCs/>
                <w:color w:val="auto"/>
                <w:kern w:val="2"/>
                <w:sz w:val="24"/>
                <w:szCs w:val="24"/>
                <w:highlight w:val="none"/>
                <w:lang w:val="en-US" w:eastAsia="zh-CN" w:bidi="ar-SA"/>
              </w:rPr>
              <w:t>（3）</w:t>
            </w:r>
            <w:r>
              <w:rPr>
                <w:rFonts w:hint="eastAsia" w:ascii="宋体" w:hAnsi="宋体" w:eastAsia="宋体" w:cs="宋体"/>
                <w:b/>
                <w:bCs/>
                <w:color w:val="auto"/>
                <w:sz w:val="24"/>
                <w:szCs w:val="24"/>
                <w:highlight w:val="none"/>
                <w:lang w:val="en-US" w:eastAsia="zh-CN"/>
              </w:rPr>
              <w:t>投标文件中须提供文创产品合作服务合同复印件并加盖公章，如无法反映服务内容或合同签订时间等重要信息的，须提供合同甲方的证明文件原件</w:t>
            </w:r>
            <w:r>
              <w:rPr>
                <w:rFonts w:hint="eastAsia" w:ascii="宋体" w:hAnsi="宋体" w:eastAsia="宋体" w:cs="宋体"/>
                <w:b/>
                <w:bCs/>
                <w:color w:val="auto"/>
                <w:sz w:val="24"/>
                <w:szCs w:val="24"/>
                <w:highlight w:val="none"/>
              </w:rPr>
              <w:t>。</w:t>
            </w:r>
          </w:p>
          <w:p w14:paraId="2BDB612F">
            <w:pPr>
              <w:spacing w:line="400" w:lineRule="atLeast"/>
              <w:ind w:right="-11"/>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4</w:t>
            </w:r>
            <w:r>
              <w:rPr>
                <w:rFonts w:hint="eastAsia" w:ascii="宋体" w:hAnsi="宋体" w:eastAsia="宋体" w:cs="宋体"/>
                <w:b/>
                <w:bCs/>
                <w:color w:val="auto"/>
                <w:sz w:val="24"/>
                <w:szCs w:val="24"/>
                <w:highlight w:val="none"/>
              </w:rPr>
              <w:t>）若提供的业绩为投标人分公司业绩，投标文件还须提供分公司营业执照扫描件；若为投标人全资子公司或投标人控股子公司（持股比例高于50%）业绩的，还须提供投标人持有该公司股权的证明文件（国家企业信用信息公示系统网站截图（www.gsxt.gov.cn）或行政主管部门出具的证明材料）。</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1CB876C7">
            <w:pPr>
              <w:spacing w:line="360" w:lineRule="auto"/>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0-40</w:t>
            </w:r>
            <w:r>
              <w:rPr>
                <w:rFonts w:hint="eastAsia" w:ascii="宋体" w:hAnsi="宋体" w:eastAsia="宋体" w:cs="宋体"/>
                <w:b/>
                <w:bCs/>
                <w:color w:val="auto"/>
                <w:sz w:val="24"/>
                <w:highlight w:val="none"/>
              </w:rPr>
              <w:t>分</w:t>
            </w:r>
          </w:p>
        </w:tc>
      </w:tr>
      <w:tr w14:paraId="2E91B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3" w:type="dxa"/>
            <w:tcBorders>
              <w:left w:val="single" w:color="auto" w:sz="4" w:space="0"/>
              <w:right w:val="single" w:color="auto" w:sz="4" w:space="0"/>
            </w:tcBorders>
            <w:vAlign w:val="center"/>
          </w:tcPr>
          <w:p w14:paraId="72416886">
            <w:pPr>
              <w:spacing w:line="360" w:lineRule="auto"/>
              <w:ind w:firstLine="435"/>
              <w:jc w:val="center"/>
              <w:rPr>
                <w:rFonts w:hint="eastAsia" w:ascii="宋体" w:hAnsi="宋体" w:eastAsia="宋体" w:cs="宋体"/>
                <w:b/>
                <w:bCs/>
                <w:color w:val="auto"/>
                <w:sz w:val="24"/>
                <w:highlight w:val="none"/>
              </w:rPr>
            </w:pPr>
          </w:p>
        </w:tc>
        <w:tc>
          <w:tcPr>
            <w:tcW w:w="1714" w:type="dxa"/>
            <w:tcBorders>
              <w:top w:val="single" w:color="auto" w:sz="4" w:space="0"/>
              <w:left w:val="single" w:color="auto" w:sz="4" w:space="0"/>
              <w:bottom w:val="single" w:color="auto" w:sz="4" w:space="0"/>
              <w:right w:val="single" w:color="auto" w:sz="4" w:space="0"/>
            </w:tcBorders>
            <w:shd w:val="clear" w:color="auto" w:fill="auto"/>
            <w:vAlign w:val="center"/>
          </w:tcPr>
          <w:p w14:paraId="13F37293">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创意文创</w:t>
            </w:r>
            <w:r>
              <w:rPr>
                <w:rFonts w:hint="eastAsia" w:ascii="宋体" w:hAnsi="宋体" w:eastAsia="宋体" w:cs="宋体"/>
                <w:color w:val="auto"/>
                <w:sz w:val="24"/>
                <w:highlight w:val="none"/>
              </w:rPr>
              <w:t>方案</w:t>
            </w:r>
          </w:p>
        </w:tc>
        <w:tc>
          <w:tcPr>
            <w:tcW w:w="4421" w:type="dxa"/>
            <w:tcBorders>
              <w:top w:val="single" w:color="auto" w:sz="4" w:space="0"/>
              <w:left w:val="single" w:color="auto" w:sz="4" w:space="0"/>
              <w:bottom w:val="single" w:color="auto" w:sz="4" w:space="0"/>
              <w:right w:val="single" w:color="auto" w:sz="4" w:space="0"/>
            </w:tcBorders>
            <w:shd w:val="clear" w:color="auto" w:fill="auto"/>
            <w:vAlign w:val="center"/>
          </w:tcPr>
          <w:p w14:paraId="508C63BF">
            <w:pPr>
              <w:spacing w:line="400" w:lineRule="atLeast"/>
              <w:ind w:right="-11"/>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投标方具有设计创意文创的经验，提供做过的相关案例。</w:t>
            </w:r>
            <w:r>
              <w:rPr>
                <w:rFonts w:hint="eastAsia" w:ascii="宋体" w:hAnsi="宋体" w:eastAsia="宋体" w:cs="宋体"/>
                <w:color w:val="auto"/>
                <w:sz w:val="24"/>
                <w:szCs w:val="24"/>
                <w:highlight w:val="none"/>
              </w:rPr>
              <w:t>由评标委员会进行综合评审：</w:t>
            </w:r>
          </w:p>
          <w:p w14:paraId="2F153E81">
            <w:pPr>
              <w:spacing w:line="400" w:lineRule="atLeast"/>
              <w:ind w:right="-1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（1）方案详尽准确，科学合理的，得</w:t>
            </w:r>
            <w:r>
              <w:rPr>
                <w:rFonts w:hint="eastAsia" w:ascii="宋体" w:hAnsi="宋体" w:eastAsia="宋体" w:cs="宋体"/>
                <w:color w:val="auto"/>
                <w:sz w:val="24"/>
                <w:szCs w:val="24"/>
                <w:highlight w:val="none"/>
                <w:lang w:val="en-US" w:eastAsia="zh-CN"/>
              </w:rPr>
              <w:t>14</w:t>
            </w:r>
            <w:r>
              <w:rPr>
                <w:rFonts w:hint="eastAsia" w:ascii="宋体" w:hAnsi="宋体" w:eastAsia="宋体" w:cs="宋体"/>
                <w:color w:val="auto"/>
                <w:sz w:val="24"/>
                <w:szCs w:val="24"/>
                <w:highlight w:val="none"/>
              </w:rPr>
              <w:t>＜F≤</w:t>
            </w: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rPr>
              <w:t>分；</w:t>
            </w:r>
          </w:p>
          <w:p w14:paraId="291828B2">
            <w:pPr>
              <w:spacing w:line="400" w:lineRule="atLeast"/>
              <w:ind w:right="-1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（2）方案较详尽准确，较科学合理的，得</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＜F≤</w:t>
            </w:r>
            <w:r>
              <w:rPr>
                <w:rFonts w:hint="eastAsia" w:ascii="宋体" w:hAnsi="宋体" w:eastAsia="宋体" w:cs="宋体"/>
                <w:color w:val="auto"/>
                <w:sz w:val="24"/>
                <w:szCs w:val="24"/>
                <w:highlight w:val="none"/>
                <w:lang w:val="en-US" w:eastAsia="zh-CN"/>
              </w:rPr>
              <w:t>14</w:t>
            </w:r>
            <w:r>
              <w:rPr>
                <w:rFonts w:hint="eastAsia" w:ascii="宋体" w:hAnsi="宋体" w:eastAsia="宋体" w:cs="宋体"/>
                <w:color w:val="auto"/>
                <w:sz w:val="24"/>
                <w:szCs w:val="24"/>
                <w:highlight w:val="none"/>
              </w:rPr>
              <w:t>分；</w:t>
            </w:r>
          </w:p>
          <w:p w14:paraId="6C2BCBD3">
            <w:pPr>
              <w:spacing w:line="400" w:lineRule="atLeast"/>
              <w:ind w:right="-1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（3）方案详尽准确性一般，科学合理性一般的，得1≤F≤</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分。</w:t>
            </w:r>
          </w:p>
          <w:p w14:paraId="02A54F50">
            <w:pPr>
              <w:spacing w:line="400" w:lineRule="atLeast"/>
              <w:ind w:right="-1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其他或未提供的不得分。</w:t>
            </w:r>
          </w:p>
          <w:p w14:paraId="537A226F">
            <w:pPr>
              <w:spacing w:line="400" w:lineRule="atLeast"/>
              <w:ind w:right="-11"/>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注：F为本项得分。</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06FF8A78">
            <w:pPr>
              <w:spacing w:line="360" w:lineRule="auto"/>
              <w:jc w:val="center"/>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rPr>
              <w:t>0-</w:t>
            </w:r>
            <w:r>
              <w:rPr>
                <w:rFonts w:hint="eastAsia" w:ascii="宋体" w:hAnsi="宋体" w:eastAsia="宋体" w:cs="宋体"/>
                <w:b/>
                <w:bCs/>
                <w:color w:val="auto"/>
                <w:sz w:val="24"/>
                <w:highlight w:val="none"/>
                <w:lang w:val="en-US" w:eastAsia="zh-CN"/>
              </w:rPr>
              <w:t>20</w:t>
            </w:r>
            <w:r>
              <w:rPr>
                <w:rFonts w:hint="eastAsia" w:ascii="宋体" w:hAnsi="宋体" w:eastAsia="宋体" w:cs="宋体"/>
                <w:b/>
                <w:bCs/>
                <w:color w:val="auto"/>
                <w:sz w:val="24"/>
                <w:highlight w:val="none"/>
              </w:rPr>
              <w:t>分</w:t>
            </w:r>
          </w:p>
        </w:tc>
      </w:tr>
      <w:tr w14:paraId="1CC2B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3" w:type="dxa"/>
            <w:tcBorders>
              <w:left w:val="single" w:color="auto" w:sz="4" w:space="0"/>
              <w:right w:val="single" w:color="auto" w:sz="4" w:space="0"/>
            </w:tcBorders>
            <w:vAlign w:val="center"/>
          </w:tcPr>
          <w:p w14:paraId="5D67F422">
            <w:pPr>
              <w:spacing w:line="360" w:lineRule="auto"/>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价格分</w:t>
            </w:r>
          </w:p>
          <w:p w14:paraId="7FBDD3A8">
            <w:pPr>
              <w:spacing w:line="360" w:lineRule="auto"/>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w:t>
            </w:r>
            <w:r>
              <w:rPr>
                <w:rFonts w:hint="eastAsia" w:ascii="宋体" w:hAnsi="宋体" w:eastAsia="宋体" w:cs="宋体"/>
                <w:b/>
                <w:bCs/>
                <w:color w:val="auto"/>
                <w:sz w:val="24"/>
                <w:highlight w:val="none"/>
                <w:u w:val="single"/>
              </w:rPr>
              <w:t xml:space="preserve"> </w:t>
            </w:r>
            <w:r>
              <w:rPr>
                <w:rFonts w:hint="eastAsia" w:ascii="宋体" w:hAnsi="宋体" w:eastAsia="宋体" w:cs="宋体"/>
                <w:b/>
                <w:bCs/>
                <w:color w:val="auto"/>
                <w:sz w:val="24"/>
                <w:highlight w:val="none"/>
                <w:u w:val="single"/>
                <w:lang w:val="en-US" w:eastAsia="zh-CN"/>
              </w:rPr>
              <w:t>40</w:t>
            </w:r>
            <w:r>
              <w:rPr>
                <w:rFonts w:hint="eastAsia" w:ascii="宋体" w:hAnsi="宋体" w:eastAsia="宋体" w:cs="宋体"/>
                <w:b/>
                <w:bCs/>
                <w:color w:val="auto"/>
                <w:sz w:val="24"/>
                <w:highlight w:val="none"/>
                <w:u w:val="single"/>
              </w:rPr>
              <w:t xml:space="preserve"> </w:t>
            </w:r>
            <w:r>
              <w:rPr>
                <w:rFonts w:hint="eastAsia" w:ascii="宋体" w:hAnsi="宋体" w:eastAsia="宋体" w:cs="宋体"/>
                <w:b/>
                <w:bCs/>
                <w:color w:val="auto"/>
                <w:sz w:val="24"/>
                <w:highlight w:val="none"/>
              </w:rPr>
              <w:t>分）</w:t>
            </w:r>
          </w:p>
        </w:tc>
        <w:tc>
          <w:tcPr>
            <w:tcW w:w="7127" w:type="dxa"/>
            <w:gridSpan w:val="3"/>
            <w:tcBorders>
              <w:top w:val="single" w:color="auto" w:sz="4" w:space="0"/>
              <w:left w:val="single" w:color="auto" w:sz="4" w:space="0"/>
              <w:bottom w:val="single" w:color="auto" w:sz="4" w:space="0"/>
              <w:right w:val="single" w:color="auto" w:sz="4" w:space="0"/>
            </w:tcBorders>
            <w:vAlign w:val="center"/>
          </w:tcPr>
          <w:p w14:paraId="41773531">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价格分统一采用低价优先法（投标人分成比例报价越</w:t>
            </w:r>
            <w:r>
              <w:rPr>
                <w:rFonts w:hint="eastAsia" w:ascii="宋体" w:hAnsi="宋体" w:eastAsia="宋体" w:cs="宋体"/>
                <w:color w:val="auto"/>
                <w:sz w:val="24"/>
                <w:highlight w:val="none"/>
                <w:lang w:val="en-US" w:eastAsia="zh-CN"/>
              </w:rPr>
              <w:t>低</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价格分</w:t>
            </w:r>
            <w:r>
              <w:rPr>
                <w:rFonts w:hint="eastAsia" w:ascii="宋体" w:hAnsi="宋体" w:eastAsia="宋体" w:cs="宋体"/>
                <w:color w:val="auto"/>
                <w:sz w:val="24"/>
                <w:highlight w:val="none"/>
              </w:rPr>
              <w:t>越高），按照营业额收入分成比例报价，即满足磋商文件要求且投标人分成比例最</w:t>
            </w:r>
            <w:r>
              <w:rPr>
                <w:rFonts w:hint="eastAsia" w:ascii="宋体" w:hAnsi="宋体" w:eastAsia="宋体" w:cs="宋体"/>
                <w:color w:val="auto"/>
                <w:sz w:val="24"/>
                <w:highlight w:val="none"/>
                <w:lang w:val="en-US" w:eastAsia="zh-CN"/>
              </w:rPr>
              <w:t>低</w:t>
            </w:r>
            <w:r>
              <w:rPr>
                <w:rFonts w:hint="eastAsia" w:ascii="宋体" w:hAnsi="宋体" w:eastAsia="宋体" w:cs="宋体"/>
                <w:color w:val="auto"/>
                <w:sz w:val="24"/>
                <w:highlight w:val="none"/>
              </w:rPr>
              <w:t>的最后报价为评标基准价，其价格分为满分</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40</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分。其他投标人的价格分统一按照下列公式计算(计算结果保留两位小数)：</w:t>
            </w:r>
          </w:p>
          <w:p w14:paraId="31B9F021">
            <w:pPr>
              <w:spacing w:line="360" w:lineRule="auto"/>
              <w:rPr>
                <w:rFonts w:hint="default" w:ascii="宋体" w:hAnsi="宋体" w:eastAsia="宋体" w:cs="宋体"/>
                <w:color w:val="auto"/>
                <w:sz w:val="24"/>
                <w:highlight w:val="none"/>
                <w:lang w:val="en-US"/>
              </w:rPr>
            </w:pPr>
            <w:r>
              <w:rPr>
                <w:rFonts w:hint="eastAsia" w:ascii="宋体" w:hAnsi="宋体" w:eastAsia="宋体" w:cs="宋体"/>
                <w:color w:val="auto"/>
                <w:sz w:val="24"/>
                <w:highlight w:val="none"/>
              </w:rPr>
              <w:t>报价得分＝（评标基准价/报价）×100%×</w:t>
            </w:r>
            <w:r>
              <w:rPr>
                <w:rFonts w:hint="eastAsia" w:ascii="宋体" w:hAnsi="宋体" w:eastAsia="宋体" w:cs="宋体"/>
                <w:color w:val="auto"/>
                <w:sz w:val="24"/>
                <w:highlight w:val="none"/>
                <w:lang w:val="en-US" w:eastAsia="zh-CN"/>
              </w:rPr>
              <w:t>40</w:t>
            </w:r>
          </w:p>
        </w:tc>
      </w:tr>
    </w:tbl>
    <w:p w14:paraId="76133363">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2.2.3分值汇总</w:t>
      </w:r>
    </w:p>
    <w:p w14:paraId="59A75F90">
      <w:pPr>
        <w:spacing w:line="360" w:lineRule="auto"/>
        <w:ind w:firstLine="435"/>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1）磋商小组各成员应当独立对每个有效响应的文件进行评价、打分，然后汇总每个投标人每项评分因素的得分（四舍五入保留至小数点后两位数），再取各位评委评分之平均值，四舍五入保留至小数点后两位数，得到该投标人的技术资信分。</w:t>
      </w:r>
    </w:p>
    <w:p w14:paraId="7DBEDAF3">
      <w:pPr>
        <w:spacing w:line="360" w:lineRule="auto"/>
        <w:ind w:firstLine="435"/>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rPr>
        <w:t>（2）将每个投标人的技术资信分加上根据上述标准计算出的价格分，即为该投标人的综合总得分</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综合总得分最高的，作为第一中标候选人，综合总得分相同的，按价格分高的作为中标候选人,如价格分仍相同的，由磋商小组成员采用投票方式决定中标候选人。</w:t>
      </w:r>
    </w:p>
    <w:p w14:paraId="6CEA8F01">
      <w:pPr>
        <w:widowControl/>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p>
    <w:p w14:paraId="7D7D15D1">
      <w:pPr>
        <w:spacing w:line="360" w:lineRule="auto"/>
        <w:jc w:val="center"/>
        <w:outlineLvl w:val="1"/>
        <w:rPr>
          <w:rFonts w:hint="eastAsia" w:ascii="宋体" w:hAnsi="宋体" w:eastAsia="宋体" w:cs="宋体"/>
          <w:b/>
          <w:color w:val="auto"/>
          <w:sz w:val="28"/>
          <w:highlight w:val="none"/>
        </w:rPr>
      </w:pPr>
      <w:bookmarkStart w:id="17" w:name="_Toc47026336"/>
      <w:r>
        <w:rPr>
          <w:rFonts w:hint="eastAsia" w:ascii="宋体" w:hAnsi="宋体" w:eastAsia="宋体" w:cs="宋体"/>
          <w:b/>
          <w:color w:val="auto"/>
          <w:sz w:val="28"/>
          <w:highlight w:val="none"/>
        </w:rPr>
        <w:t>第五章  合同模板</w:t>
      </w:r>
      <w:bookmarkEnd w:id="17"/>
    </w:p>
    <w:p w14:paraId="42BAE7E4">
      <w:pPr>
        <w:spacing w:line="480" w:lineRule="auto"/>
        <w:jc w:val="center"/>
        <w:rPr>
          <w:rFonts w:hint="eastAsia" w:ascii="宋体" w:hAnsi="宋体" w:eastAsia="宋体" w:cs="宋体"/>
          <w:b/>
          <w:color w:val="auto"/>
          <w:sz w:val="24"/>
          <w:highlight w:val="none"/>
        </w:rPr>
      </w:pPr>
    </w:p>
    <w:p w14:paraId="175EDE23">
      <w:pPr>
        <w:spacing w:line="480" w:lineRule="auto"/>
        <w:jc w:val="center"/>
        <w:rPr>
          <w:rFonts w:hint="eastAsia" w:ascii="宋体" w:hAnsi="宋体" w:eastAsia="宋体" w:cs="宋体"/>
          <w:b/>
          <w:color w:val="auto"/>
          <w:sz w:val="24"/>
          <w:highlight w:val="none"/>
        </w:rPr>
      </w:pPr>
    </w:p>
    <w:p w14:paraId="2D7CA30F">
      <w:pPr>
        <w:spacing w:line="480" w:lineRule="auto"/>
        <w:jc w:val="center"/>
        <w:rPr>
          <w:rFonts w:hint="eastAsia" w:ascii="宋体" w:hAnsi="宋体" w:eastAsia="宋体" w:cs="宋体"/>
          <w:b/>
          <w:color w:val="auto"/>
          <w:sz w:val="24"/>
          <w:highlight w:val="none"/>
        </w:rPr>
      </w:pPr>
    </w:p>
    <w:p w14:paraId="21882EB9">
      <w:pPr>
        <w:spacing w:line="480" w:lineRule="auto"/>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合同参考范本</w:t>
      </w:r>
    </w:p>
    <w:p w14:paraId="0075327F">
      <w:pPr>
        <w:spacing w:line="480" w:lineRule="auto"/>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（服务类）</w:t>
      </w:r>
    </w:p>
    <w:p w14:paraId="2B1EE9F6">
      <w:pPr>
        <w:spacing w:line="480" w:lineRule="auto"/>
        <w:jc w:val="center"/>
        <w:rPr>
          <w:rFonts w:hint="eastAsia" w:ascii="宋体" w:hAnsi="宋体" w:eastAsia="宋体" w:cs="宋体"/>
          <w:b/>
          <w:color w:val="auto"/>
          <w:sz w:val="24"/>
          <w:highlight w:val="none"/>
        </w:rPr>
      </w:pPr>
    </w:p>
    <w:p w14:paraId="5C024235">
      <w:pPr>
        <w:spacing w:line="480" w:lineRule="auto"/>
        <w:jc w:val="center"/>
        <w:rPr>
          <w:rFonts w:hint="eastAsia" w:ascii="宋体" w:hAnsi="宋体" w:eastAsia="宋体" w:cs="宋体"/>
          <w:b/>
          <w:color w:val="auto"/>
          <w:sz w:val="24"/>
          <w:highlight w:val="none"/>
        </w:rPr>
      </w:pPr>
    </w:p>
    <w:p w14:paraId="5DB2C74D">
      <w:pPr>
        <w:spacing w:line="480" w:lineRule="auto"/>
        <w:jc w:val="center"/>
        <w:rPr>
          <w:rFonts w:hint="eastAsia" w:ascii="宋体" w:hAnsi="宋体" w:eastAsia="宋体" w:cs="宋体"/>
          <w:b/>
          <w:color w:val="auto"/>
          <w:sz w:val="24"/>
          <w:highlight w:val="none"/>
        </w:rPr>
      </w:pPr>
    </w:p>
    <w:p w14:paraId="2E94C79D">
      <w:pPr>
        <w:spacing w:line="360" w:lineRule="auto"/>
        <w:jc w:val="center"/>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第一部分 合同书</w:t>
      </w:r>
    </w:p>
    <w:p w14:paraId="1CBAA86E">
      <w:pPr>
        <w:spacing w:line="480" w:lineRule="auto"/>
        <w:jc w:val="center"/>
        <w:rPr>
          <w:rFonts w:hint="eastAsia" w:ascii="宋体" w:hAnsi="宋体" w:eastAsia="宋体" w:cs="宋体"/>
          <w:b/>
          <w:color w:val="auto"/>
          <w:sz w:val="24"/>
          <w:highlight w:val="none"/>
        </w:rPr>
      </w:pPr>
    </w:p>
    <w:p w14:paraId="3FDC47FF">
      <w:pPr>
        <w:spacing w:line="480" w:lineRule="auto"/>
        <w:jc w:val="center"/>
        <w:rPr>
          <w:rFonts w:hint="eastAsia" w:ascii="宋体" w:hAnsi="宋体" w:eastAsia="宋体" w:cs="宋体"/>
          <w:b/>
          <w:color w:val="auto"/>
          <w:sz w:val="24"/>
          <w:highlight w:val="none"/>
        </w:rPr>
      </w:pPr>
    </w:p>
    <w:p w14:paraId="00C2D8C8">
      <w:pPr>
        <w:spacing w:line="480" w:lineRule="auto"/>
        <w:jc w:val="center"/>
        <w:rPr>
          <w:rFonts w:hint="eastAsia" w:ascii="宋体" w:hAnsi="宋体" w:eastAsia="宋体" w:cs="宋体"/>
          <w:b/>
          <w:color w:val="auto"/>
          <w:sz w:val="24"/>
          <w:highlight w:val="none"/>
        </w:rPr>
      </w:pPr>
    </w:p>
    <w:p w14:paraId="4E032DA6">
      <w:pPr>
        <w:spacing w:before="120" w:line="480" w:lineRule="auto"/>
        <w:ind w:left="96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项目名称：</w:t>
      </w:r>
      <w:r>
        <w:rPr>
          <w:rFonts w:hint="eastAsia" w:ascii="宋体" w:hAnsi="宋体" w:eastAsia="宋体" w:cs="宋体"/>
          <w:color w:val="auto"/>
          <w:sz w:val="24"/>
          <w:highlight w:val="none"/>
          <w:u w:val="single"/>
        </w:rPr>
        <w:t>包河区公共阅读空间罍街悦书房文创采购招标</w:t>
      </w:r>
      <w:r>
        <w:rPr>
          <w:rFonts w:hint="eastAsia" w:ascii="宋体" w:hAnsi="宋体" w:eastAsia="宋体" w:cs="宋体"/>
          <w:i/>
          <w:iCs/>
          <w:color w:val="auto"/>
          <w:sz w:val="24"/>
          <w:highlight w:val="none"/>
        </w:rPr>
        <w:t>（分标段项目须填写完整的标段号及标段名称）</w:t>
      </w:r>
    </w:p>
    <w:p w14:paraId="6AFB0D99">
      <w:pPr>
        <w:spacing w:before="120" w:line="480" w:lineRule="auto"/>
        <w:ind w:left="960"/>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rPr>
        <w:t>项目编号：</w:t>
      </w:r>
      <w:r>
        <w:rPr>
          <w:rFonts w:hint="eastAsia" w:ascii="宋体" w:hAnsi="宋体" w:eastAsia="宋体" w:cs="宋体"/>
          <w:color w:val="auto"/>
          <w:sz w:val="24"/>
          <w:highlight w:val="none"/>
          <w:u w:val="single"/>
        </w:rPr>
        <w:t>BHSG-ZTB-2025-11</w:t>
      </w:r>
      <w:r>
        <w:rPr>
          <w:rFonts w:hint="eastAsia" w:ascii="宋体" w:hAnsi="宋体" w:eastAsia="宋体" w:cs="宋体"/>
          <w:b/>
          <w:bCs/>
          <w:color w:val="auto"/>
          <w:sz w:val="24"/>
          <w:szCs w:val="18"/>
          <w:highlight w:val="none"/>
          <w:u w:val="single"/>
          <w:lang w:val="en-US" w:eastAsia="zh-CN"/>
        </w:rPr>
        <w:t xml:space="preserve">                   </w:t>
      </w:r>
    </w:p>
    <w:p w14:paraId="3C459926">
      <w:pPr>
        <w:spacing w:before="120" w:line="480" w:lineRule="auto"/>
        <w:ind w:left="96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甲方（招标人）：</w:t>
      </w:r>
      <w:r>
        <w:rPr>
          <w:rFonts w:hint="eastAsia" w:ascii="宋体" w:hAnsi="宋体" w:eastAsia="宋体" w:cs="宋体"/>
          <w:color w:val="auto"/>
          <w:sz w:val="24"/>
          <w:highlight w:val="none"/>
          <w:u w:val="single"/>
        </w:rPr>
        <w:t xml:space="preserve">                              </w:t>
      </w:r>
    </w:p>
    <w:p w14:paraId="5511164D">
      <w:pPr>
        <w:spacing w:before="120" w:line="480" w:lineRule="auto"/>
        <w:ind w:left="96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乙方（中标人）：</w:t>
      </w:r>
      <w:r>
        <w:rPr>
          <w:rFonts w:hint="eastAsia" w:ascii="宋体" w:hAnsi="宋体" w:eastAsia="宋体" w:cs="宋体"/>
          <w:color w:val="auto"/>
          <w:sz w:val="24"/>
          <w:highlight w:val="none"/>
          <w:u w:val="single"/>
        </w:rPr>
        <w:t xml:space="preserve">                              </w:t>
      </w:r>
    </w:p>
    <w:p w14:paraId="0B917D77">
      <w:pPr>
        <w:spacing w:before="120" w:line="480" w:lineRule="auto"/>
        <w:ind w:firstLine="960" w:firstLineChars="4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签订地：</w:t>
      </w:r>
      <w:r>
        <w:rPr>
          <w:rFonts w:hint="eastAsia" w:ascii="宋体" w:hAnsi="宋体" w:eastAsia="宋体" w:cs="宋体"/>
          <w:color w:val="auto"/>
          <w:sz w:val="24"/>
          <w:highlight w:val="none"/>
          <w:u w:val="single"/>
        </w:rPr>
        <w:t xml:space="preserve">                                     </w:t>
      </w:r>
    </w:p>
    <w:p w14:paraId="6786EA83">
      <w:pPr>
        <w:spacing w:before="120" w:line="480" w:lineRule="auto"/>
        <w:ind w:firstLine="960" w:firstLineChars="4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签订日期：</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p>
    <w:p w14:paraId="28A3FB2C">
      <w:pPr>
        <w:autoSpaceDE w:val="0"/>
        <w:autoSpaceDN w:val="0"/>
        <w:adjustRightInd w:val="0"/>
        <w:spacing w:line="600" w:lineRule="exact"/>
        <w:ind w:firstLine="640"/>
        <w:jc w:val="center"/>
        <w:rPr>
          <w:rFonts w:hint="eastAsia" w:ascii="宋体" w:hAnsi="宋体" w:eastAsia="宋体" w:cs="宋体"/>
          <w:color w:val="auto"/>
          <w:sz w:val="24"/>
          <w:highlight w:val="none"/>
        </w:rPr>
        <w:sectPr>
          <w:footerReference r:id="rId5" w:type="default"/>
          <w:pgSz w:w="11907" w:h="16840"/>
          <w:pgMar w:top="1474" w:right="1814" w:bottom="1474" w:left="1814" w:header="851" w:footer="992" w:gutter="0"/>
          <w:cols w:space="720" w:num="1"/>
          <w:docGrid w:linePitch="462" w:charSpace="0"/>
        </w:sectPr>
      </w:pPr>
    </w:p>
    <w:p w14:paraId="7660E8DD">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合肥滨湖时光空间运营管理有限公司</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zh-CN"/>
        </w:rPr>
        <w:t>以下简称：甲方</w:t>
      </w:r>
      <w:r>
        <w:rPr>
          <w:rFonts w:hint="eastAsia" w:ascii="宋体" w:hAnsi="宋体" w:eastAsia="宋体" w:cs="宋体"/>
          <w:color w:val="auto"/>
          <w:sz w:val="24"/>
          <w:highlight w:val="none"/>
        </w:rPr>
        <w:t>）组织的</w:t>
      </w:r>
      <w:r>
        <w:rPr>
          <w:rFonts w:hint="eastAsia" w:ascii="宋体" w:hAnsi="宋体" w:eastAsia="宋体" w:cs="宋体"/>
          <w:color w:val="auto"/>
          <w:sz w:val="24"/>
          <w:highlight w:val="none"/>
          <w:u w:val="single"/>
        </w:rPr>
        <w:t>竞争性磋商</w:t>
      </w:r>
      <w:r>
        <w:rPr>
          <w:rFonts w:hint="eastAsia" w:ascii="宋体" w:hAnsi="宋体" w:eastAsia="宋体" w:cs="宋体"/>
          <w:color w:val="auto"/>
          <w:sz w:val="24"/>
          <w:highlight w:val="none"/>
        </w:rPr>
        <w:t>方式招标活动，经</w:t>
      </w:r>
      <w:r>
        <w:rPr>
          <w:rFonts w:hint="eastAsia" w:ascii="宋体" w:hAnsi="宋体" w:eastAsia="宋体" w:cs="宋体"/>
          <w:color w:val="auto"/>
          <w:sz w:val="24"/>
          <w:highlight w:val="none"/>
          <w:u w:val="single"/>
        </w:rPr>
        <w:t>磋商小组</w:t>
      </w:r>
      <w:r>
        <w:rPr>
          <w:rFonts w:hint="eastAsia" w:ascii="宋体" w:hAnsi="宋体" w:eastAsia="宋体" w:cs="宋体"/>
          <w:color w:val="auto"/>
          <w:sz w:val="24"/>
          <w:highlight w:val="none"/>
        </w:rPr>
        <w:t>评定，</w:t>
      </w:r>
      <w:r>
        <w:rPr>
          <w:rFonts w:hint="eastAsia" w:ascii="宋体" w:hAnsi="宋体" w:eastAsia="宋体" w:cs="宋体"/>
          <w:i/>
          <w:iCs/>
          <w:color w:val="auto"/>
          <w:sz w:val="24"/>
          <w:highlight w:val="none"/>
          <w:u w:val="single"/>
        </w:rPr>
        <w:t>（中标人名称）</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zh-CN"/>
        </w:rPr>
        <w:t>以下简称：乙方</w:t>
      </w:r>
      <w:r>
        <w:rPr>
          <w:rFonts w:hint="eastAsia" w:ascii="宋体" w:hAnsi="宋体" w:eastAsia="宋体" w:cs="宋体"/>
          <w:color w:val="auto"/>
          <w:sz w:val="24"/>
          <w:highlight w:val="none"/>
        </w:rPr>
        <w:t>）为本项目中标人，现按照磋商文件确定的事项签订本合同。</w:t>
      </w:r>
    </w:p>
    <w:p w14:paraId="7ED25A58">
      <w:pPr>
        <w:spacing w:line="360" w:lineRule="auto"/>
        <w:ind w:firstLine="435"/>
        <w:rPr>
          <w:rFonts w:hint="eastAsia" w:ascii="宋体" w:hAnsi="宋体" w:eastAsia="宋体" w:cs="宋体"/>
          <w:color w:val="auto"/>
          <w:sz w:val="24"/>
          <w:highlight w:val="none"/>
          <w:lang w:val="zh-CN"/>
        </w:rPr>
      </w:pPr>
      <w:bookmarkStart w:id="18" w:name="_Toc2232"/>
      <w:bookmarkStart w:id="19" w:name="_Toc24059"/>
      <w:bookmarkStart w:id="20" w:name="_Toc3029"/>
      <w:r>
        <w:rPr>
          <w:rFonts w:hint="eastAsia" w:ascii="宋体" w:hAnsi="宋体" w:eastAsia="宋体" w:cs="宋体"/>
          <w:color w:val="auto"/>
          <w:sz w:val="24"/>
          <w:highlight w:val="none"/>
        </w:rPr>
        <w:t>根据《中华人民共和国民法典》、《中华人民共和国招标投标法》等相关法律法规之规定，按照平等、自愿、公平和诚实信用的原则，经甲方和乙方协商一致，约定以下合同条款，以兹共同遵守、全面履行。</w:t>
      </w:r>
    </w:p>
    <w:p w14:paraId="66E0F01B">
      <w:pPr>
        <w:spacing w:line="360" w:lineRule="auto"/>
        <w:ind w:firstLine="437"/>
        <w:outlineLvl w:val="3"/>
        <w:rPr>
          <w:rFonts w:hint="eastAsia" w:ascii="宋体" w:hAnsi="宋体" w:eastAsia="宋体" w:cs="宋体"/>
          <w:b/>
          <w:bCs/>
          <w:color w:val="auto"/>
          <w:sz w:val="24"/>
          <w:highlight w:val="none"/>
          <w:lang w:val="zh-CN"/>
        </w:rPr>
      </w:pPr>
      <w:r>
        <w:rPr>
          <w:rFonts w:hint="eastAsia" w:ascii="宋体" w:hAnsi="宋体" w:eastAsia="宋体" w:cs="宋体"/>
          <w:b/>
          <w:bCs/>
          <w:color w:val="auto"/>
          <w:sz w:val="24"/>
          <w:highlight w:val="none"/>
          <w:lang w:val="zh-CN"/>
        </w:rPr>
        <w:t>1.1 合同组成部分</w:t>
      </w:r>
      <w:bookmarkEnd w:id="18"/>
      <w:bookmarkEnd w:id="19"/>
      <w:bookmarkEnd w:id="20"/>
    </w:p>
    <w:p w14:paraId="5E682BAD">
      <w:pPr>
        <w:spacing w:line="360" w:lineRule="auto"/>
        <w:ind w:firstLine="435"/>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下列文件为本合同的组成部分，并构成一个整体，需综合解释、相互补充。如果下列文件内容出现不一致的情形，那么在保证按照采购文件确定的事项前提下，组成本合同的多个文件的优先适用顺序如下：</w:t>
      </w:r>
    </w:p>
    <w:p w14:paraId="5D606CF4">
      <w:pPr>
        <w:spacing w:line="360" w:lineRule="auto"/>
        <w:ind w:firstLine="435"/>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1.1.1本合同及其补充合同、变更协议；</w:t>
      </w:r>
    </w:p>
    <w:p w14:paraId="5740B610">
      <w:pPr>
        <w:spacing w:line="360" w:lineRule="auto"/>
        <w:ind w:firstLine="435"/>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1.1.2中标通知书；</w:t>
      </w:r>
    </w:p>
    <w:p w14:paraId="68957374">
      <w:pPr>
        <w:spacing w:line="360" w:lineRule="auto"/>
        <w:ind w:firstLine="435"/>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1.1.3响应文件（含澄清或者说明文件）；</w:t>
      </w:r>
    </w:p>
    <w:p w14:paraId="487B1BB5">
      <w:pPr>
        <w:spacing w:line="360" w:lineRule="auto"/>
        <w:ind w:firstLine="435"/>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1.1.4磋商文件（含澄清或者修改文件）；</w:t>
      </w:r>
    </w:p>
    <w:p w14:paraId="35E2BE2E">
      <w:pPr>
        <w:spacing w:line="360" w:lineRule="auto"/>
        <w:ind w:firstLine="435"/>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1.1.5其他相关采购文件。</w:t>
      </w:r>
    </w:p>
    <w:p w14:paraId="56A6B2DE">
      <w:pPr>
        <w:spacing w:line="360" w:lineRule="auto"/>
        <w:ind w:firstLine="437"/>
        <w:outlineLvl w:val="3"/>
        <w:rPr>
          <w:rFonts w:hint="eastAsia" w:ascii="宋体" w:hAnsi="宋体" w:eastAsia="宋体" w:cs="宋体"/>
          <w:b/>
          <w:bCs/>
          <w:color w:val="auto"/>
          <w:sz w:val="24"/>
          <w:highlight w:val="none"/>
          <w:lang w:val="zh-CN"/>
        </w:rPr>
      </w:pPr>
      <w:bookmarkStart w:id="21" w:name="_Toc2918"/>
      <w:bookmarkStart w:id="22" w:name="_Toc18585"/>
      <w:bookmarkStart w:id="23" w:name="_Toc22185"/>
      <w:bookmarkStart w:id="24" w:name="_Toc6311"/>
      <w:bookmarkStart w:id="25" w:name="_Toc6773"/>
      <w:r>
        <w:rPr>
          <w:rFonts w:hint="eastAsia" w:ascii="宋体" w:hAnsi="宋体" w:eastAsia="宋体" w:cs="宋体"/>
          <w:b/>
          <w:bCs/>
          <w:color w:val="auto"/>
          <w:sz w:val="24"/>
          <w:highlight w:val="none"/>
          <w:lang w:val="zh-CN"/>
        </w:rPr>
        <w:t xml:space="preserve">1.2 </w:t>
      </w:r>
      <w:bookmarkEnd w:id="21"/>
      <w:bookmarkEnd w:id="22"/>
      <w:bookmarkEnd w:id="23"/>
      <w:bookmarkEnd w:id="24"/>
      <w:bookmarkEnd w:id="25"/>
      <w:r>
        <w:rPr>
          <w:rFonts w:hint="eastAsia" w:ascii="宋体" w:hAnsi="宋体" w:eastAsia="宋体" w:cs="宋体"/>
          <w:b/>
          <w:bCs/>
          <w:color w:val="auto"/>
          <w:sz w:val="24"/>
          <w:highlight w:val="none"/>
          <w:lang w:val="zh-CN"/>
        </w:rPr>
        <w:t>服务</w:t>
      </w:r>
    </w:p>
    <w:p w14:paraId="5428C56A">
      <w:pPr>
        <w:spacing w:line="360" w:lineRule="auto"/>
        <w:ind w:firstLine="435"/>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1.2.1服务名称：</w:t>
      </w:r>
      <w:r>
        <w:rPr>
          <w:rFonts w:hint="eastAsia" w:ascii="宋体" w:hAnsi="宋体" w:eastAsia="宋体" w:cs="宋体"/>
          <w:color w:val="auto"/>
          <w:sz w:val="24"/>
          <w:highlight w:val="none"/>
          <w:u w:val="single"/>
        </w:rPr>
        <w:t xml:space="preserve"> 包河区公共阅读空间罍街悦书房文创采购招标</w:t>
      </w:r>
      <w:r>
        <w:rPr>
          <w:rFonts w:hint="eastAsia" w:ascii="宋体" w:hAnsi="宋体" w:eastAsia="宋体" w:cs="宋体"/>
          <w:color w:val="auto"/>
          <w:sz w:val="24"/>
          <w:highlight w:val="none"/>
        </w:rPr>
        <w:t>；</w:t>
      </w:r>
    </w:p>
    <w:p w14:paraId="3B2A5A63">
      <w:pPr>
        <w:spacing w:line="360" w:lineRule="auto"/>
        <w:ind w:firstLine="435"/>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1.2.2服务内容：</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62DA4A80">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1.2.3服务质量：</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6B68F5BA">
      <w:pPr>
        <w:spacing w:line="360" w:lineRule="auto"/>
        <w:ind w:firstLine="437"/>
        <w:outlineLvl w:val="3"/>
        <w:rPr>
          <w:rFonts w:hint="eastAsia" w:ascii="宋体" w:hAnsi="宋体" w:eastAsia="宋体" w:cs="宋体"/>
          <w:b/>
          <w:bCs/>
          <w:color w:val="auto"/>
          <w:sz w:val="24"/>
          <w:highlight w:val="none"/>
          <w:lang w:val="zh-CN"/>
        </w:rPr>
      </w:pPr>
      <w:bookmarkStart w:id="26" w:name="_Toc21551"/>
      <w:bookmarkStart w:id="27" w:name="_Toc21631"/>
      <w:bookmarkStart w:id="28" w:name="_Toc23292"/>
      <w:r>
        <w:rPr>
          <w:rFonts w:hint="eastAsia" w:ascii="宋体" w:hAnsi="宋体" w:eastAsia="宋体" w:cs="宋体"/>
          <w:b/>
          <w:bCs/>
          <w:color w:val="auto"/>
          <w:sz w:val="24"/>
          <w:highlight w:val="none"/>
          <w:lang w:val="zh-CN"/>
        </w:rPr>
        <w:t>1.3 价款</w:t>
      </w:r>
      <w:bookmarkEnd w:id="26"/>
      <w:bookmarkEnd w:id="27"/>
      <w:bookmarkEnd w:id="28"/>
    </w:p>
    <w:p w14:paraId="34A7C99F">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本合同总价为：￥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元（大写：人民币</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元）。</w:t>
      </w:r>
    </w:p>
    <w:p w14:paraId="23EEA5B7">
      <w:pPr>
        <w:spacing w:line="360" w:lineRule="auto"/>
        <w:ind w:firstLine="435"/>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分项价格：</w:t>
      </w:r>
    </w:p>
    <w:tbl>
      <w:tblPr>
        <w:tblStyle w:val="23"/>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7"/>
        <w:gridCol w:w="4316"/>
        <w:gridCol w:w="12"/>
        <w:gridCol w:w="3225"/>
        <w:gridCol w:w="12"/>
      </w:tblGrid>
      <w:tr w14:paraId="1C3F6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vAlign w:val="center"/>
          </w:tcPr>
          <w:p w14:paraId="155825DD">
            <w:pPr>
              <w:jc w:val="center"/>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序号</w:t>
            </w:r>
          </w:p>
        </w:tc>
        <w:tc>
          <w:tcPr>
            <w:tcW w:w="4316" w:type="dxa"/>
            <w:vAlign w:val="center"/>
          </w:tcPr>
          <w:p w14:paraId="71B15497">
            <w:pPr>
              <w:pStyle w:val="33"/>
              <w:ind w:firstLine="20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分项名称</w:t>
            </w:r>
          </w:p>
        </w:tc>
        <w:tc>
          <w:tcPr>
            <w:tcW w:w="3237" w:type="dxa"/>
            <w:gridSpan w:val="2"/>
            <w:vAlign w:val="center"/>
          </w:tcPr>
          <w:p w14:paraId="3B0725BC">
            <w:pPr>
              <w:pStyle w:val="33"/>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分项价格</w:t>
            </w:r>
          </w:p>
        </w:tc>
      </w:tr>
      <w:tr w14:paraId="4CFAA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tcPr>
          <w:p w14:paraId="467771AB">
            <w:pPr>
              <w:jc w:val="center"/>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1</w:t>
            </w:r>
          </w:p>
        </w:tc>
        <w:tc>
          <w:tcPr>
            <w:tcW w:w="4316" w:type="dxa"/>
            <w:vAlign w:val="center"/>
          </w:tcPr>
          <w:p w14:paraId="6F507EB7">
            <w:pPr>
              <w:pStyle w:val="33"/>
              <w:ind w:firstLine="200"/>
              <w:jc w:val="center"/>
              <w:rPr>
                <w:rFonts w:hint="eastAsia" w:ascii="宋体" w:hAnsi="宋体" w:eastAsia="宋体" w:cs="宋体"/>
                <w:color w:val="auto"/>
                <w:sz w:val="24"/>
                <w:szCs w:val="24"/>
                <w:highlight w:val="none"/>
              </w:rPr>
            </w:pPr>
          </w:p>
        </w:tc>
        <w:tc>
          <w:tcPr>
            <w:tcW w:w="3237" w:type="dxa"/>
            <w:gridSpan w:val="2"/>
            <w:vAlign w:val="center"/>
          </w:tcPr>
          <w:p w14:paraId="7E1A2B43">
            <w:pPr>
              <w:pStyle w:val="33"/>
              <w:ind w:firstLine="200"/>
              <w:jc w:val="center"/>
              <w:rPr>
                <w:rFonts w:hint="eastAsia" w:ascii="宋体" w:hAnsi="宋体" w:eastAsia="宋体" w:cs="宋体"/>
                <w:color w:val="auto"/>
                <w:sz w:val="24"/>
                <w:szCs w:val="24"/>
                <w:highlight w:val="none"/>
              </w:rPr>
            </w:pPr>
          </w:p>
        </w:tc>
      </w:tr>
      <w:tr w14:paraId="3E87D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tcPr>
          <w:p w14:paraId="4627982D">
            <w:pPr>
              <w:jc w:val="center"/>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2</w:t>
            </w:r>
          </w:p>
        </w:tc>
        <w:tc>
          <w:tcPr>
            <w:tcW w:w="4316" w:type="dxa"/>
            <w:vAlign w:val="center"/>
          </w:tcPr>
          <w:p w14:paraId="7805CCD0">
            <w:pPr>
              <w:pStyle w:val="33"/>
              <w:ind w:firstLine="200"/>
              <w:jc w:val="center"/>
              <w:rPr>
                <w:rFonts w:hint="eastAsia" w:ascii="宋体" w:hAnsi="宋体" w:eastAsia="宋体" w:cs="宋体"/>
                <w:color w:val="auto"/>
                <w:sz w:val="24"/>
                <w:szCs w:val="24"/>
                <w:highlight w:val="none"/>
              </w:rPr>
            </w:pPr>
          </w:p>
        </w:tc>
        <w:tc>
          <w:tcPr>
            <w:tcW w:w="3237" w:type="dxa"/>
            <w:gridSpan w:val="2"/>
            <w:vAlign w:val="center"/>
          </w:tcPr>
          <w:p w14:paraId="118F38EF">
            <w:pPr>
              <w:pStyle w:val="33"/>
              <w:ind w:firstLine="200"/>
              <w:jc w:val="center"/>
              <w:rPr>
                <w:rFonts w:hint="eastAsia" w:ascii="宋体" w:hAnsi="宋体" w:eastAsia="宋体" w:cs="宋体"/>
                <w:color w:val="auto"/>
                <w:sz w:val="24"/>
                <w:szCs w:val="24"/>
                <w:highlight w:val="none"/>
              </w:rPr>
            </w:pPr>
          </w:p>
        </w:tc>
      </w:tr>
      <w:tr w14:paraId="6A794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tcPr>
          <w:p w14:paraId="7C189348">
            <w:pPr>
              <w:jc w:val="center"/>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3</w:t>
            </w:r>
          </w:p>
        </w:tc>
        <w:tc>
          <w:tcPr>
            <w:tcW w:w="4316" w:type="dxa"/>
            <w:vAlign w:val="center"/>
          </w:tcPr>
          <w:p w14:paraId="55D7242C">
            <w:pPr>
              <w:pStyle w:val="33"/>
              <w:ind w:firstLine="200"/>
              <w:jc w:val="center"/>
              <w:rPr>
                <w:rFonts w:hint="eastAsia" w:ascii="宋体" w:hAnsi="宋体" w:eastAsia="宋体" w:cs="宋体"/>
                <w:color w:val="auto"/>
                <w:sz w:val="24"/>
                <w:szCs w:val="24"/>
                <w:highlight w:val="none"/>
              </w:rPr>
            </w:pPr>
          </w:p>
        </w:tc>
        <w:tc>
          <w:tcPr>
            <w:tcW w:w="3237" w:type="dxa"/>
            <w:gridSpan w:val="2"/>
            <w:vAlign w:val="center"/>
          </w:tcPr>
          <w:p w14:paraId="39937EEE">
            <w:pPr>
              <w:pStyle w:val="33"/>
              <w:ind w:firstLine="200"/>
              <w:jc w:val="center"/>
              <w:rPr>
                <w:rFonts w:hint="eastAsia" w:ascii="宋体" w:hAnsi="宋体" w:eastAsia="宋体" w:cs="宋体"/>
                <w:color w:val="auto"/>
                <w:sz w:val="24"/>
                <w:szCs w:val="24"/>
                <w:highlight w:val="none"/>
              </w:rPr>
            </w:pPr>
          </w:p>
        </w:tc>
      </w:tr>
      <w:tr w14:paraId="04DFC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tcPr>
          <w:p w14:paraId="4A94589A">
            <w:pPr>
              <w:jc w:val="center"/>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w:t>
            </w:r>
          </w:p>
        </w:tc>
        <w:tc>
          <w:tcPr>
            <w:tcW w:w="4316" w:type="dxa"/>
            <w:vAlign w:val="center"/>
          </w:tcPr>
          <w:p w14:paraId="3817DE11">
            <w:pPr>
              <w:pStyle w:val="33"/>
              <w:ind w:firstLine="200"/>
              <w:jc w:val="center"/>
              <w:rPr>
                <w:rFonts w:hint="eastAsia" w:ascii="宋体" w:hAnsi="宋体" w:eastAsia="宋体" w:cs="宋体"/>
                <w:color w:val="auto"/>
                <w:sz w:val="24"/>
                <w:szCs w:val="24"/>
                <w:highlight w:val="none"/>
              </w:rPr>
            </w:pPr>
          </w:p>
        </w:tc>
        <w:tc>
          <w:tcPr>
            <w:tcW w:w="3237" w:type="dxa"/>
            <w:gridSpan w:val="2"/>
            <w:vAlign w:val="center"/>
          </w:tcPr>
          <w:p w14:paraId="06AF0F04">
            <w:pPr>
              <w:pStyle w:val="33"/>
              <w:ind w:firstLine="200"/>
              <w:jc w:val="center"/>
              <w:rPr>
                <w:rFonts w:hint="eastAsia" w:ascii="宋体" w:hAnsi="宋体" w:eastAsia="宋体" w:cs="宋体"/>
                <w:color w:val="auto"/>
                <w:sz w:val="24"/>
                <w:szCs w:val="24"/>
                <w:highlight w:val="none"/>
              </w:rPr>
            </w:pPr>
          </w:p>
        </w:tc>
      </w:tr>
      <w:tr w14:paraId="6EB46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285" w:type="dxa"/>
            <w:gridSpan w:val="3"/>
            <w:vAlign w:val="center"/>
          </w:tcPr>
          <w:p w14:paraId="17207BA5">
            <w:pPr>
              <w:pStyle w:val="33"/>
              <w:ind w:firstLine="20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总价</w:t>
            </w:r>
          </w:p>
        </w:tc>
        <w:tc>
          <w:tcPr>
            <w:tcW w:w="3237" w:type="dxa"/>
            <w:gridSpan w:val="2"/>
            <w:vAlign w:val="center"/>
          </w:tcPr>
          <w:p w14:paraId="54341FCA">
            <w:pPr>
              <w:pStyle w:val="33"/>
              <w:ind w:firstLine="200"/>
              <w:jc w:val="center"/>
              <w:rPr>
                <w:rFonts w:hint="eastAsia" w:ascii="宋体" w:hAnsi="宋体" w:eastAsia="宋体" w:cs="宋体"/>
                <w:color w:val="auto"/>
                <w:sz w:val="24"/>
                <w:szCs w:val="24"/>
                <w:highlight w:val="none"/>
              </w:rPr>
            </w:pPr>
          </w:p>
        </w:tc>
      </w:tr>
    </w:tbl>
    <w:p w14:paraId="28D751CE">
      <w:pPr>
        <w:spacing w:line="360" w:lineRule="auto"/>
        <w:ind w:firstLine="437"/>
        <w:outlineLvl w:val="3"/>
        <w:rPr>
          <w:rFonts w:hint="eastAsia" w:ascii="宋体" w:hAnsi="宋体" w:eastAsia="宋体" w:cs="宋体"/>
          <w:b/>
          <w:bCs/>
          <w:color w:val="auto"/>
          <w:sz w:val="24"/>
          <w:highlight w:val="none"/>
          <w:lang w:val="zh-CN"/>
        </w:rPr>
      </w:pPr>
      <w:bookmarkStart w:id="29" w:name="_Toc10340"/>
      <w:bookmarkStart w:id="30" w:name="_Toc1814"/>
      <w:bookmarkStart w:id="31" w:name="_Toc22618"/>
      <w:bookmarkStart w:id="32" w:name="_Toc19304"/>
      <w:bookmarkStart w:id="33" w:name="_Toc32071"/>
      <w:bookmarkStart w:id="34" w:name="_Toc2846"/>
      <w:r>
        <w:rPr>
          <w:rFonts w:hint="eastAsia" w:ascii="宋体" w:hAnsi="宋体" w:eastAsia="宋体" w:cs="宋体"/>
          <w:b/>
          <w:bCs/>
          <w:color w:val="auto"/>
          <w:sz w:val="24"/>
          <w:highlight w:val="none"/>
          <w:lang w:val="zh-CN"/>
        </w:rPr>
        <w:t>1.4 付款方式和发票开具方式</w:t>
      </w:r>
      <w:bookmarkEnd w:id="29"/>
      <w:bookmarkEnd w:id="30"/>
      <w:bookmarkEnd w:id="31"/>
    </w:p>
    <w:p w14:paraId="47DECFBC">
      <w:pPr>
        <w:pStyle w:val="29"/>
        <w:ind w:firstLine="480" w:firstLineChars="200"/>
        <w:rPr>
          <w:rFonts w:hint="default" w:eastAsia="宋体"/>
          <w:color w:val="auto"/>
          <w:highlight w:val="none"/>
          <w:lang w:val="en-US" w:eastAsia="zh-CN"/>
        </w:rPr>
      </w:pPr>
      <w:r>
        <w:rPr>
          <w:rFonts w:hint="eastAsia" w:ascii="宋体" w:hAnsi="宋体" w:eastAsia="宋体" w:cs="宋体"/>
          <w:color w:val="auto"/>
          <w:sz w:val="24"/>
          <w:highlight w:val="none"/>
        </w:rPr>
        <w:t>1.4.1付款方式：</w:t>
      </w:r>
      <w:r>
        <w:rPr>
          <w:rFonts w:hint="eastAsia" w:ascii="宋体" w:hAnsi="宋体" w:eastAsia="宋体" w:cs="宋体"/>
          <w:color w:val="auto"/>
          <w:sz w:val="24"/>
          <w:highlight w:val="none"/>
          <w:u w:val="single"/>
        </w:rPr>
        <w:t>所有经营收入须由招标人统一收款，乙方不得擅自收取销售货款，次月初按中标比例与乙方进行结算，经双方确认结算金额后当月内，招标人按照比例向乙方支付结算款项，并提供相应管理费的增值税发票。</w:t>
      </w:r>
    </w:p>
    <w:p w14:paraId="46E4CACD">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1.4.2发票开具方式：</w:t>
      </w:r>
      <w:r>
        <w:rPr>
          <w:rFonts w:hint="eastAsia" w:ascii="宋体" w:hAnsi="宋体" w:eastAsia="宋体" w:cs="宋体"/>
          <w:bCs/>
          <w:color w:val="auto"/>
          <w:kern w:val="0"/>
          <w:sz w:val="24"/>
          <w:szCs w:val="28"/>
          <w:highlight w:val="none"/>
          <w:u w:val="single"/>
          <w:lang w:val="en-US" w:eastAsia="zh-CN" w:bidi="ar-SA"/>
        </w:rPr>
        <w:t>甲方向乙方提供相应管理费的增值税发票。由招标人负责向报名客户开具发票，中标人承担相应的开票税费，如中标人拒绝承担客户开票税费，招标人有权拒绝支付分成款项，由此造成一切纠纷、损失由中标人自行承担，与招标人无关。</w:t>
      </w:r>
    </w:p>
    <w:p w14:paraId="28B96EA3">
      <w:pPr>
        <w:spacing w:line="360" w:lineRule="auto"/>
        <w:ind w:firstLine="437"/>
        <w:outlineLvl w:val="3"/>
        <w:rPr>
          <w:rFonts w:hint="eastAsia" w:ascii="宋体" w:hAnsi="宋体" w:eastAsia="宋体" w:cs="宋体"/>
          <w:b/>
          <w:bCs/>
          <w:color w:val="auto"/>
          <w:sz w:val="24"/>
          <w:highlight w:val="none"/>
          <w:lang w:val="zh-CN"/>
        </w:rPr>
      </w:pPr>
      <w:r>
        <w:rPr>
          <w:rFonts w:hint="eastAsia" w:ascii="宋体" w:hAnsi="宋体" w:eastAsia="宋体" w:cs="宋体"/>
          <w:b/>
          <w:bCs/>
          <w:color w:val="auto"/>
          <w:sz w:val="24"/>
          <w:highlight w:val="none"/>
          <w:lang w:val="zh-CN"/>
        </w:rPr>
        <w:t>1.5 服务期限、地点和方式</w:t>
      </w:r>
      <w:bookmarkEnd w:id="32"/>
      <w:bookmarkEnd w:id="33"/>
      <w:bookmarkEnd w:id="34"/>
    </w:p>
    <w:p w14:paraId="6CD6260C">
      <w:pPr>
        <w:spacing w:line="360" w:lineRule="auto"/>
        <w:ind w:firstLine="435"/>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1.5.1服务期限：</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6E7E9B75">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1.5.2服务地点：</w:t>
      </w:r>
      <w:r>
        <w:rPr>
          <w:rFonts w:hint="eastAsia" w:ascii="宋体" w:hAnsi="宋体" w:eastAsia="宋体" w:cs="宋体"/>
          <w:color w:val="auto"/>
          <w:sz w:val="24"/>
          <w:highlight w:val="none"/>
          <w:u w:val="single"/>
        </w:rPr>
        <w:t>包河区宁国路与水阳江路交口罍街二期内（罍街党群服务中心旁）罍街悦书房</w:t>
      </w:r>
      <w:r>
        <w:rPr>
          <w:rFonts w:hint="eastAsia" w:ascii="宋体" w:hAnsi="宋体" w:eastAsia="宋体" w:cs="宋体"/>
          <w:color w:val="auto"/>
          <w:sz w:val="24"/>
          <w:highlight w:val="none"/>
        </w:rPr>
        <w:t>；</w:t>
      </w:r>
    </w:p>
    <w:p w14:paraId="0A1ED683">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1.5.3服务方式：</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5C180E92">
      <w:pPr>
        <w:spacing w:line="360" w:lineRule="auto"/>
        <w:ind w:firstLine="437"/>
        <w:outlineLvl w:val="3"/>
        <w:rPr>
          <w:rFonts w:hint="eastAsia" w:ascii="宋体" w:hAnsi="宋体" w:eastAsia="宋体" w:cs="宋体"/>
          <w:b/>
          <w:bCs/>
          <w:color w:val="auto"/>
          <w:sz w:val="24"/>
          <w:highlight w:val="none"/>
          <w:lang w:val="zh-CN"/>
        </w:rPr>
      </w:pPr>
      <w:bookmarkStart w:id="35" w:name="_Toc27250"/>
      <w:bookmarkStart w:id="36" w:name="_Toc19554"/>
      <w:bookmarkStart w:id="37" w:name="_Toc21423"/>
      <w:r>
        <w:rPr>
          <w:rFonts w:hint="eastAsia" w:ascii="宋体" w:hAnsi="宋体" w:eastAsia="宋体" w:cs="宋体"/>
          <w:b/>
          <w:bCs/>
          <w:color w:val="auto"/>
          <w:sz w:val="24"/>
          <w:highlight w:val="none"/>
          <w:lang w:val="zh-CN"/>
        </w:rPr>
        <w:t>1.6 违约责任</w:t>
      </w:r>
      <w:bookmarkEnd w:id="35"/>
      <w:bookmarkEnd w:id="36"/>
      <w:bookmarkEnd w:id="37"/>
    </w:p>
    <w:p w14:paraId="21F3CC9C">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1.6.1除不可抗力外，如果乙方没有按照本合同约定的期限、地点和方式履行，那么甲方可要求乙方支付违约金，违约金按每迟延履行一日的应提供而未提供服务价格的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%计算，最高限额为本合同总价的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%；迟延履行的违约金计算数额达到前述最高限额之日起，甲方有权在要求乙方支付违约金的同时，书面通知乙方解除本合同；</w:t>
      </w:r>
    </w:p>
    <w:p w14:paraId="20FD40C9">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1.6.2除不可抗力外，如果甲方没有按照本合同约定的付款方式付款，那么乙方可要求甲方支付违约金，违约金按每迟延付款一日的应付而未付款的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%计算，最高限额为本合同总价的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%；迟延付款的违约金计算数额达到前述最高限额之日起，乙方有权在要求甲方支付违约金的同时，书面通知甲方解除本合同；</w:t>
      </w:r>
    </w:p>
    <w:p w14:paraId="2EAB16C4">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1.6.3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74953C6F">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1.6.4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1C3C695C">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1.6.5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54A2ABCA">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1.6.6如果出现招标投标监督管理部门在处理投诉事项期间，书面通知甲方暂停招标活动的情形，或者询问或异议事项可能影响中标结果的，导致甲方中止履行合同的情形，均不视为甲方违约。</w:t>
      </w:r>
    </w:p>
    <w:p w14:paraId="7FA53527">
      <w:pPr>
        <w:spacing w:line="360" w:lineRule="auto"/>
        <w:ind w:firstLine="437"/>
        <w:outlineLvl w:val="3"/>
        <w:rPr>
          <w:rFonts w:hint="eastAsia" w:ascii="宋体" w:hAnsi="宋体" w:eastAsia="宋体" w:cs="宋体"/>
          <w:b/>
          <w:bCs/>
          <w:color w:val="auto"/>
          <w:sz w:val="24"/>
          <w:highlight w:val="none"/>
          <w:lang w:val="zh-CN"/>
        </w:rPr>
      </w:pPr>
      <w:bookmarkStart w:id="38" w:name="_Toc28375"/>
      <w:bookmarkStart w:id="39" w:name="_Toc16021"/>
      <w:bookmarkStart w:id="40" w:name="_Toc15583"/>
      <w:r>
        <w:rPr>
          <w:rFonts w:hint="eastAsia" w:ascii="宋体" w:hAnsi="宋体" w:eastAsia="宋体" w:cs="宋体"/>
          <w:b/>
          <w:bCs/>
          <w:color w:val="auto"/>
          <w:sz w:val="24"/>
          <w:highlight w:val="none"/>
          <w:lang w:val="zh-CN"/>
        </w:rPr>
        <w:t>1.7 合同争议的解决</w:t>
      </w:r>
      <w:bookmarkEnd w:id="38"/>
      <w:bookmarkEnd w:id="39"/>
      <w:bookmarkEnd w:id="40"/>
    </w:p>
    <w:p w14:paraId="7FF51206">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本合同履行过程中发生的任何争议，双方当事人均可通过和解或者调解解决；不愿和解、调解或者和解、调解不成的，可以选择下列第</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种方式解决：</w:t>
      </w:r>
    </w:p>
    <w:p w14:paraId="77C16FEE">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1.7.1将争议提交</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仲裁委员会依申请仲裁时其现行有效的仲裁规则裁决；</w:t>
      </w:r>
    </w:p>
    <w:p w14:paraId="52EFF220">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1.7.2向</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人民法院起诉。</w:t>
      </w:r>
    </w:p>
    <w:p w14:paraId="5A28886B">
      <w:pPr>
        <w:spacing w:line="360" w:lineRule="auto"/>
        <w:ind w:firstLine="437"/>
        <w:outlineLvl w:val="3"/>
        <w:rPr>
          <w:rFonts w:hint="eastAsia" w:ascii="宋体" w:hAnsi="宋体" w:eastAsia="宋体" w:cs="宋体"/>
          <w:b/>
          <w:bCs/>
          <w:color w:val="auto"/>
          <w:sz w:val="24"/>
          <w:highlight w:val="none"/>
          <w:lang w:val="zh-CN"/>
        </w:rPr>
      </w:pPr>
      <w:bookmarkStart w:id="41" w:name="_Toc11173"/>
      <w:bookmarkStart w:id="42" w:name="_Toc7245"/>
      <w:bookmarkStart w:id="43" w:name="_Toc15322"/>
      <w:r>
        <w:rPr>
          <w:rFonts w:hint="eastAsia" w:ascii="宋体" w:hAnsi="宋体" w:eastAsia="宋体" w:cs="宋体"/>
          <w:b/>
          <w:bCs/>
          <w:color w:val="auto"/>
          <w:sz w:val="24"/>
          <w:highlight w:val="none"/>
          <w:lang w:val="zh-CN"/>
        </w:rPr>
        <w:t>1.8 合同生效</w:t>
      </w:r>
      <w:bookmarkEnd w:id="41"/>
      <w:bookmarkEnd w:id="42"/>
      <w:bookmarkEnd w:id="43"/>
    </w:p>
    <w:p w14:paraId="6006660F">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本合同自双方当事人公章时生效。</w:t>
      </w:r>
    </w:p>
    <w:p w14:paraId="70862A95">
      <w:pPr>
        <w:autoSpaceDE w:val="0"/>
        <w:autoSpaceDN w:val="0"/>
        <w:adjustRightInd w:val="0"/>
        <w:spacing w:line="560" w:lineRule="exact"/>
        <w:rPr>
          <w:rFonts w:hint="eastAsia" w:ascii="宋体" w:hAnsi="宋体" w:eastAsia="宋体" w:cs="宋体"/>
          <w:color w:val="auto"/>
          <w:sz w:val="24"/>
          <w:highlight w:val="none"/>
          <w:lang w:val="zh-CN"/>
        </w:rPr>
      </w:pPr>
    </w:p>
    <w:p w14:paraId="661C8DDD">
      <w:pPr>
        <w:autoSpaceDE w:val="0"/>
        <w:autoSpaceDN w:val="0"/>
        <w:adjustRightInd w:val="0"/>
        <w:spacing w:line="560" w:lineRule="exact"/>
        <w:rPr>
          <w:rFonts w:hint="eastAsia" w:ascii="宋体" w:hAnsi="宋体" w:eastAsia="宋体" w:cs="宋体"/>
          <w:color w:val="auto"/>
          <w:sz w:val="24"/>
          <w:highlight w:val="none"/>
          <w:lang w:val="zh-CN"/>
        </w:rPr>
      </w:pPr>
    </w:p>
    <w:p w14:paraId="707B3B50">
      <w:pPr>
        <w:autoSpaceDE w:val="0"/>
        <w:autoSpaceDN w:val="0"/>
        <w:adjustRightInd w:val="0"/>
        <w:spacing w:line="560" w:lineRule="exact"/>
        <w:rPr>
          <w:rFonts w:hint="eastAsia" w:ascii="宋体" w:hAnsi="宋体" w:eastAsia="宋体" w:cs="宋体"/>
          <w:color w:val="auto"/>
          <w:sz w:val="24"/>
          <w:highlight w:val="none"/>
          <w:lang w:val="zh-CN"/>
        </w:rPr>
      </w:pPr>
    </w:p>
    <w:p w14:paraId="429F58B5">
      <w:pPr>
        <w:autoSpaceDE w:val="0"/>
        <w:autoSpaceDN w:val="0"/>
        <w:adjustRightInd w:val="0"/>
        <w:spacing w:line="560" w:lineRule="exact"/>
        <w:rPr>
          <w:rFonts w:hint="eastAsia" w:ascii="宋体" w:hAnsi="宋体" w:eastAsia="宋体" w:cs="宋体"/>
          <w:bCs/>
          <w:color w:val="auto"/>
          <w:sz w:val="24"/>
          <w:highlight w:val="none"/>
          <w:lang w:val="zh-CN"/>
        </w:rPr>
      </w:pPr>
      <w:r>
        <w:rPr>
          <w:rFonts w:hint="eastAsia" w:ascii="宋体" w:hAnsi="宋体" w:eastAsia="宋体" w:cs="宋体"/>
          <w:bCs/>
          <w:color w:val="auto"/>
          <w:sz w:val="24"/>
          <w:highlight w:val="none"/>
          <w:lang w:val="zh-CN"/>
        </w:rPr>
        <w:t>甲    方：</w:t>
      </w:r>
      <w:r>
        <w:rPr>
          <w:rFonts w:hint="eastAsia" w:ascii="宋体" w:hAnsi="宋体" w:eastAsia="宋体" w:cs="宋体"/>
          <w:bCs/>
          <w:color w:val="auto"/>
          <w:sz w:val="24"/>
          <w:highlight w:val="none"/>
          <w:u w:val="single"/>
          <w:lang w:val="zh-CN"/>
        </w:rPr>
        <w:t xml:space="preserve">    （单位公章）     </w:t>
      </w:r>
      <w:r>
        <w:rPr>
          <w:rFonts w:hint="eastAsia" w:ascii="宋体" w:hAnsi="宋体" w:eastAsia="宋体" w:cs="宋体"/>
          <w:bCs/>
          <w:color w:val="auto"/>
          <w:sz w:val="24"/>
          <w:highlight w:val="none"/>
          <w:lang w:val="zh-CN"/>
        </w:rPr>
        <w:t xml:space="preserve">          乙方：</w:t>
      </w:r>
      <w:r>
        <w:rPr>
          <w:rFonts w:hint="eastAsia" w:ascii="宋体" w:hAnsi="宋体" w:eastAsia="宋体" w:cs="宋体"/>
          <w:bCs/>
          <w:color w:val="auto"/>
          <w:sz w:val="24"/>
          <w:highlight w:val="none"/>
          <w:u w:val="single"/>
          <w:lang w:val="zh-CN"/>
        </w:rPr>
        <w:t xml:space="preserve">    （单位公章）     </w:t>
      </w:r>
    </w:p>
    <w:p w14:paraId="761B0047">
      <w:pPr>
        <w:autoSpaceDE w:val="0"/>
        <w:autoSpaceDN w:val="0"/>
        <w:adjustRightInd w:val="0"/>
        <w:spacing w:line="560" w:lineRule="exac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法定代表人                               法定代表人</w:t>
      </w:r>
    </w:p>
    <w:p w14:paraId="04E68C8C">
      <w:pPr>
        <w:autoSpaceDE w:val="0"/>
        <w:autoSpaceDN w:val="0"/>
        <w:adjustRightInd w:val="0"/>
        <w:spacing w:line="560" w:lineRule="exac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或授权代表（签字）：                      或授权代表（签字）：</w:t>
      </w:r>
    </w:p>
    <w:p w14:paraId="1BAA87F1">
      <w:pPr>
        <w:widowControl/>
        <w:spacing w:line="560" w:lineRule="exact"/>
        <w:jc w:val="left"/>
        <w:rPr>
          <w:rFonts w:hint="eastAsia" w:ascii="宋体" w:hAnsi="宋体" w:eastAsia="宋体" w:cs="宋体"/>
          <w:bCs/>
          <w:color w:val="auto"/>
          <w:sz w:val="24"/>
          <w:highlight w:val="none"/>
        </w:rPr>
      </w:pPr>
      <w:bookmarkStart w:id="44" w:name="_Toc331685783"/>
      <w:r>
        <w:rPr>
          <w:rFonts w:hint="eastAsia" w:ascii="宋体" w:hAnsi="宋体" w:eastAsia="宋体" w:cs="宋体"/>
          <w:bCs/>
          <w:color w:val="auto"/>
          <w:sz w:val="24"/>
          <w:highlight w:val="none"/>
        </w:rPr>
        <w:t>时间：</w:t>
      </w:r>
      <w:r>
        <w:rPr>
          <w:rFonts w:hint="eastAsia" w:ascii="宋体" w:hAnsi="宋体" w:eastAsia="宋体" w:cs="宋体"/>
          <w:bCs/>
          <w:color w:val="auto"/>
          <w:sz w:val="24"/>
          <w:highlight w:val="none"/>
          <w:u w:val="single"/>
        </w:rPr>
        <w:t xml:space="preserve">      </w:t>
      </w:r>
      <w:r>
        <w:rPr>
          <w:rFonts w:hint="eastAsia" w:ascii="宋体" w:hAnsi="宋体" w:eastAsia="宋体" w:cs="宋体"/>
          <w:bCs/>
          <w:color w:val="auto"/>
          <w:sz w:val="24"/>
          <w:highlight w:val="none"/>
        </w:rPr>
        <w:t>年</w:t>
      </w:r>
      <w:r>
        <w:rPr>
          <w:rFonts w:hint="eastAsia" w:ascii="宋体" w:hAnsi="宋体" w:eastAsia="宋体" w:cs="宋体"/>
          <w:bCs/>
          <w:color w:val="auto"/>
          <w:sz w:val="24"/>
          <w:highlight w:val="none"/>
          <w:u w:val="single"/>
        </w:rPr>
        <w:t xml:space="preserve">    </w:t>
      </w:r>
      <w:r>
        <w:rPr>
          <w:rFonts w:hint="eastAsia" w:ascii="宋体" w:hAnsi="宋体" w:eastAsia="宋体" w:cs="宋体"/>
          <w:bCs/>
          <w:color w:val="auto"/>
          <w:sz w:val="24"/>
          <w:highlight w:val="none"/>
        </w:rPr>
        <w:t>月</w:t>
      </w:r>
      <w:r>
        <w:rPr>
          <w:rFonts w:hint="eastAsia" w:ascii="宋体" w:hAnsi="宋体" w:eastAsia="宋体" w:cs="宋体"/>
          <w:bCs/>
          <w:color w:val="auto"/>
          <w:sz w:val="24"/>
          <w:highlight w:val="none"/>
          <w:u w:val="single"/>
        </w:rPr>
        <w:t xml:space="preserve">    </w:t>
      </w:r>
      <w:r>
        <w:rPr>
          <w:rFonts w:hint="eastAsia" w:ascii="宋体" w:hAnsi="宋体" w:eastAsia="宋体" w:cs="宋体"/>
          <w:bCs/>
          <w:color w:val="auto"/>
          <w:sz w:val="24"/>
          <w:highlight w:val="none"/>
        </w:rPr>
        <w:t>日               时间：</w:t>
      </w:r>
      <w:r>
        <w:rPr>
          <w:rFonts w:hint="eastAsia" w:ascii="宋体" w:hAnsi="宋体" w:eastAsia="宋体" w:cs="宋体"/>
          <w:bCs/>
          <w:color w:val="auto"/>
          <w:sz w:val="24"/>
          <w:highlight w:val="none"/>
          <w:u w:val="single"/>
        </w:rPr>
        <w:t xml:space="preserve">      </w:t>
      </w:r>
      <w:r>
        <w:rPr>
          <w:rFonts w:hint="eastAsia" w:ascii="宋体" w:hAnsi="宋体" w:eastAsia="宋体" w:cs="宋体"/>
          <w:bCs/>
          <w:color w:val="auto"/>
          <w:sz w:val="24"/>
          <w:highlight w:val="none"/>
        </w:rPr>
        <w:t>年</w:t>
      </w:r>
      <w:r>
        <w:rPr>
          <w:rFonts w:hint="eastAsia" w:ascii="宋体" w:hAnsi="宋体" w:eastAsia="宋体" w:cs="宋体"/>
          <w:bCs/>
          <w:color w:val="auto"/>
          <w:sz w:val="24"/>
          <w:highlight w:val="none"/>
          <w:u w:val="single"/>
        </w:rPr>
        <w:t xml:space="preserve">    </w:t>
      </w:r>
      <w:r>
        <w:rPr>
          <w:rFonts w:hint="eastAsia" w:ascii="宋体" w:hAnsi="宋体" w:eastAsia="宋体" w:cs="宋体"/>
          <w:bCs/>
          <w:color w:val="auto"/>
          <w:sz w:val="24"/>
          <w:highlight w:val="none"/>
        </w:rPr>
        <w:t>月</w:t>
      </w:r>
      <w:r>
        <w:rPr>
          <w:rFonts w:hint="eastAsia" w:ascii="宋体" w:hAnsi="宋体" w:eastAsia="宋体" w:cs="宋体"/>
          <w:bCs/>
          <w:color w:val="auto"/>
          <w:sz w:val="24"/>
          <w:highlight w:val="none"/>
          <w:u w:val="single"/>
        </w:rPr>
        <w:t xml:space="preserve">    </w:t>
      </w:r>
      <w:r>
        <w:rPr>
          <w:rFonts w:hint="eastAsia" w:ascii="宋体" w:hAnsi="宋体" w:eastAsia="宋体" w:cs="宋体"/>
          <w:bCs/>
          <w:color w:val="auto"/>
          <w:sz w:val="24"/>
          <w:highlight w:val="none"/>
        </w:rPr>
        <w:t>日</w:t>
      </w:r>
    </w:p>
    <w:p w14:paraId="782DDB0D">
      <w:pPr>
        <w:widowControl/>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br w:type="page"/>
      </w:r>
    </w:p>
    <w:p w14:paraId="12396BE6">
      <w:pPr>
        <w:spacing w:line="360" w:lineRule="auto"/>
        <w:jc w:val="center"/>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第二部分 合同一般条款</w:t>
      </w:r>
      <w:bookmarkEnd w:id="44"/>
    </w:p>
    <w:p w14:paraId="3FED18DE">
      <w:pPr>
        <w:spacing w:line="360" w:lineRule="auto"/>
        <w:ind w:firstLine="437"/>
        <w:outlineLvl w:val="3"/>
        <w:rPr>
          <w:rFonts w:hint="eastAsia" w:ascii="宋体" w:hAnsi="宋体" w:eastAsia="宋体" w:cs="宋体"/>
          <w:b/>
          <w:bCs/>
          <w:color w:val="auto"/>
          <w:sz w:val="24"/>
          <w:highlight w:val="none"/>
          <w:lang w:val="zh-CN"/>
        </w:rPr>
      </w:pPr>
      <w:bookmarkStart w:id="45" w:name="_Ref467379109"/>
      <w:bookmarkStart w:id="46" w:name="_Ref467379094"/>
      <w:bookmarkStart w:id="47" w:name="_Ref467379225"/>
      <w:bookmarkStart w:id="48" w:name="_Ref467379214"/>
      <w:bookmarkStart w:id="49" w:name="_Ref467379195"/>
      <w:bookmarkStart w:id="50" w:name="_Ref467378404"/>
      <w:bookmarkStart w:id="51" w:name="_Toc259093669"/>
      <w:bookmarkStart w:id="52" w:name="_Toc19614"/>
      <w:bookmarkStart w:id="53" w:name="_Ref467379205"/>
      <w:bookmarkStart w:id="54" w:name="_Toc279701240"/>
      <w:bookmarkStart w:id="55" w:name="_Ref467378463"/>
      <w:bookmarkStart w:id="56" w:name="_Toc487900349"/>
      <w:bookmarkStart w:id="57" w:name="_Toc16917"/>
      <w:bookmarkStart w:id="58" w:name="_Ref467378499"/>
      <w:bookmarkStart w:id="59" w:name="_Toc28763"/>
      <w:bookmarkStart w:id="60" w:name="_Ref467379101"/>
      <w:r>
        <w:rPr>
          <w:rFonts w:hint="eastAsia" w:ascii="宋体" w:hAnsi="宋体" w:eastAsia="宋体" w:cs="宋体"/>
          <w:b/>
          <w:bCs/>
          <w:color w:val="auto"/>
          <w:sz w:val="24"/>
          <w:highlight w:val="none"/>
          <w:lang w:val="zh-CN"/>
        </w:rPr>
        <w:t>2.1 定义</w:t>
      </w:r>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p>
    <w:p w14:paraId="05DFCCFA">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本合同中的下列词语应按以下内容进行解释：</w:t>
      </w:r>
    </w:p>
    <w:p w14:paraId="75C73B81">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2.1.1“合同”系指招标人和中标人签订的载明双方当事人所达成的协议，并包括所有的附件、附录和构成合同的其他文件。</w:t>
      </w:r>
    </w:p>
    <w:p w14:paraId="7742B5E7">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2.1.2“合同价”系指根据合同约定，中标人在完全履行合同义务后，招标人应支付给中标人的价格。</w:t>
      </w:r>
    </w:p>
    <w:p w14:paraId="55494A70">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2.1.3“服务”系指中标人根据合同约定应向招标人履行的除货物和工程以外的其他招标对象，包括招标人自身需要的服务和向社会公众提供的公共服务。</w:t>
      </w:r>
    </w:p>
    <w:p w14:paraId="77B99DB3">
      <w:pPr>
        <w:spacing w:line="360" w:lineRule="auto"/>
        <w:ind w:firstLine="435"/>
        <w:rPr>
          <w:rFonts w:hint="eastAsia" w:ascii="宋体" w:hAnsi="宋体" w:eastAsia="宋体" w:cs="宋体"/>
          <w:color w:val="auto"/>
          <w:sz w:val="24"/>
          <w:highlight w:val="none"/>
        </w:rPr>
      </w:pPr>
      <w:bookmarkStart w:id="61" w:name="_Ref467378840"/>
      <w:r>
        <w:rPr>
          <w:rFonts w:hint="eastAsia" w:ascii="宋体" w:hAnsi="宋体" w:eastAsia="宋体" w:cs="宋体"/>
          <w:color w:val="auto"/>
          <w:sz w:val="24"/>
          <w:highlight w:val="none"/>
        </w:rPr>
        <w:t>2.1.4“甲方”系指与中标人签署合同的招标人</w:t>
      </w:r>
      <w:bookmarkEnd w:id="61"/>
      <w:r>
        <w:rPr>
          <w:rFonts w:hint="eastAsia" w:ascii="宋体" w:hAnsi="宋体" w:eastAsia="宋体" w:cs="宋体"/>
          <w:color w:val="auto"/>
          <w:sz w:val="24"/>
          <w:highlight w:val="none"/>
        </w:rPr>
        <w:t>；招标人与</w:t>
      </w:r>
      <w:r>
        <w:rPr>
          <w:rFonts w:hint="eastAsia" w:ascii="宋体" w:hAnsi="宋体" w:eastAsia="宋体" w:cs="宋体"/>
          <w:color w:val="auto"/>
          <w:sz w:val="24"/>
          <w:highlight w:val="none"/>
          <w:lang w:val="en-US" w:eastAsia="zh-CN"/>
        </w:rPr>
        <w:t>乙方</w:t>
      </w:r>
      <w:r>
        <w:rPr>
          <w:rFonts w:hint="eastAsia" w:ascii="宋体" w:hAnsi="宋体" w:eastAsia="宋体" w:cs="宋体"/>
          <w:color w:val="auto"/>
          <w:sz w:val="24"/>
          <w:highlight w:val="none"/>
        </w:rPr>
        <w:t>签订合同的，招标人的授权委托书作为合同附件。</w:t>
      </w:r>
    </w:p>
    <w:p w14:paraId="26E3D543">
      <w:pPr>
        <w:spacing w:line="360" w:lineRule="auto"/>
        <w:ind w:firstLine="435"/>
        <w:rPr>
          <w:rFonts w:hint="eastAsia" w:ascii="宋体" w:hAnsi="宋体" w:eastAsia="宋体" w:cs="宋体"/>
          <w:color w:val="auto"/>
          <w:sz w:val="24"/>
          <w:highlight w:val="none"/>
        </w:rPr>
      </w:pPr>
      <w:bookmarkStart w:id="62" w:name="_Ref467379400"/>
      <w:r>
        <w:rPr>
          <w:rFonts w:hint="eastAsia" w:ascii="宋体" w:hAnsi="宋体" w:eastAsia="宋体" w:cs="宋体"/>
          <w:color w:val="auto"/>
          <w:sz w:val="24"/>
          <w:highlight w:val="none"/>
        </w:rPr>
        <w:t>2.1.5“乙方”系指根据合同约定提供服务的中标人</w:t>
      </w:r>
      <w:bookmarkEnd w:id="62"/>
      <w:r>
        <w:rPr>
          <w:rFonts w:hint="eastAsia" w:ascii="宋体" w:hAnsi="宋体" w:eastAsia="宋体" w:cs="宋体"/>
          <w:color w:val="auto"/>
          <w:sz w:val="24"/>
          <w:highlight w:val="none"/>
        </w:rPr>
        <w:t>；两个以上的自然人、法人或者其他组织组成一个联合体，以一个投标人的身份共同参加招标代理的，联合体各方均应为乙方或者与乙方相同地位的合同当事人，并就合同约定的事项对甲方承担连带责任。</w:t>
      </w:r>
    </w:p>
    <w:p w14:paraId="0D794149">
      <w:pPr>
        <w:spacing w:line="360" w:lineRule="auto"/>
        <w:ind w:firstLine="435"/>
        <w:rPr>
          <w:rFonts w:hint="eastAsia" w:ascii="宋体" w:hAnsi="宋体" w:eastAsia="宋体" w:cs="宋体"/>
          <w:color w:val="auto"/>
          <w:sz w:val="24"/>
          <w:highlight w:val="none"/>
        </w:rPr>
      </w:pPr>
      <w:bookmarkStart w:id="63" w:name="_Ref467379436"/>
      <w:r>
        <w:rPr>
          <w:rFonts w:hint="eastAsia" w:ascii="宋体" w:hAnsi="宋体" w:eastAsia="宋体" w:cs="宋体"/>
          <w:color w:val="auto"/>
          <w:sz w:val="24"/>
          <w:highlight w:val="none"/>
        </w:rPr>
        <w:t>2.1.6“现场”系指合同约定提供服务的地点。</w:t>
      </w:r>
      <w:bookmarkEnd w:id="63"/>
    </w:p>
    <w:p w14:paraId="7FCA4E1B">
      <w:pPr>
        <w:spacing w:line="360" w:lineRule="auto"/>
        <w:ind w:firstLine="437"/>
        <w:outlineLvl w:val="3"/>
        <w:rPr>
          <w:rFonts w:hint="eastAsia" w:ascii="宋体" w:hAnsi="宋体" w:eastAsia="宋体" w:cs="宋体"/>
          <w:b/>
          <w:bCs/>
          <w:color w:val="auto"/>
          <w:sz w:val="24"/>
          <w:highlight w:val="none"/>
          <w:lang w:val="zh-CN"/>
        </w:rPr>
      </w:pPr>
      <w:bookmarkStart w:id="64" w:name="_Toc259093670"/>
      <w:bookmarkStart w:id="65" w:name="_Toc487900350"/>
      <w:bookmarkStart w:id="66" w:name="_Toc27635"/>
      <w:bookmarkStart w:id="67" w:name="_Toc13336"/>
      <w:bookmarkStart w:id="68" w:name="_Toc279701241"/>
      <w:bookmarkStart w:id="69" w:name="_Toc32504"/>
      <w:r>
        <w:rPr>
          <w:rFonts w:hint="eastAsia" w:ascii="宋体" w:hAnsi="宋体" w:eastAsia="宋体" w:cs="宋体"/>
          <w:b/>
          <w:bCs/>
          <w:color w:val="auto"/>
          <w:sz w:val="24"/>
          <w:highlight w:val="none"/>
          <w:lang w:val="zh-CN"/>
        </w:rPr>
        <w:t>2.2 技术规范</w:t>
      </w:r>
      <w:bookmarkEnd w:id="64"/>
      <w:bookmarkEnd w:id="65"/>
      <w:bookmarkEnd w:id="66"/>
      <w:bookmarkEnd w:id="67"/>
      <w:bookmarkEnd w:id="68"/>
      <w:bookmarkEnd w:id="69"/>
    </w:p>
    <w:p w14:paraId="0F2351AE">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59013B07">
      <w:pPr>
        <w:spacing w:line="360" w:lineRule="auto"/>
        <w:ind w:firstLine="437"/>
        <w:outlineLvl w:val="3"/>
        <w:rPr>
          <w:rFonts w:hint="eastAsia" w:ascii="宋体" w:hAnsi="宋体" w:eastAsia="宋体" w:cs="宋体"/>
          <w:b/>
          <w:bCs/>
          <w:color w:val="auto"/>
          <w:sz w:val="24"/>
          <w:highlight w:val="none"/>
          <w:lang w:val="zh-CN"/>
        </w:rPr>
      </w:pPr>
      <w:bookmarkStart w:id="70" w:name="_Toc487900351"/>
      <w:bookmarkStart w:id="71" w:name="_Toc27853"/>
      <w:bookmarkStart w:id="72" w:name="_Toc9829"/>
      <w:bookmarkStart w:id="73" w:name="_Toc31634"/>
      <w:bookmarkStart w:id="74" w:name="_Toc259093671"/>
      <w:bookmarkStart w:id="75" w:name="_Toc279701242"/>
      <w:r>
        <w:rPr>
          <w:rFonts w:hint="eastAsia" w:ascii="宋体" w:hAnsi="宋体" w:eastAsia="宋体" w:cs="宋体"/>
          <w:b/>
          <w:bCs/>
          <w:color w:val="auto"/>
          <w:sz w:val="24"/>
          <w:highlight w:val="none"/>
          <w:lang w:val="zh-CN"/>
        </w:rPr>
        <w:t>2.3 知识产权</w:t>
      </w:r>
      <w:bookmarkEnd w:id="70"/>
      <w:bookmarkEnd w:id="71"/>
      <w:bookmarkEnd w:id="72"/>
      <w:bookmarkEnd w:id="73"/>
      <w:bookmarkEnd w:id="74"/>
      <w:bookmarkEnd w:id="75"/>
    </w:p>
    <w:p w14:paraId="1F426BF0">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2.3.1乙方应保证其提供的服务不受任何第三方提出的侵犯其著作权、商标权、专利权等知识产权方面的起诉；如果任何第三方提出侵权指控，那么乙方须与该第三方交涉并承担由此发生的一切责任、费用和赔偿；</w:t>
      </w:r>
    </w:p>
    <w:p w14:paraId="52339B58">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2.3.2具有知识产权的计算机软件等货物的知识产权归属，详见</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w:t>
      </w:r>
    </w:p>
    <w:p w14:paraId="20DB71E9">
      <w:pPr>
        <w:spacing w:line="360" w:lineRule="auto"/>
        <w:ind w:firstLine="437"/>
        <w:outlineLvl w:val="3"/>
        <w:rPr>
          <w:rFonts w:hint="eastAsia" w:ascii="宋体" w:hAnsi="宋体" w:eastAsia="宋体" w:cs="宋体"/>
          <w:b/>
          <w:bCs/>
          <w:color w:val="auto"/>
          <w:sz w:val="24"/>
          <w:highlight w:val="none"/>
          <w:lang w:val="zh-CN"/>
        </w:rPr>
      </w:pPr>
      <w:bookmarkStart w:id="76" w:name="_Ref467379542"/>
      <w:bookmarkStart w:id="77" w:name="_Toc259093674"/>
      <w:bookmarkStart w:id="78" w:name="_Ref467378541"/>
      <w:bookmarkStart w:id="79" w:name="_Ref467379527"/>
      <w:bookmarkStart w:id="80" w:name="_Ref467378591"/>
      <w:bookmarkStart w:id="81" w:name="_Ref467379536"/>
      <w:bookmarkStart w:id="82" w:name="_Toc279701245"/>
      <w:bookmarkStart w:id="83" w:name="_Toc487900354"/>
      <w:bookmarkStart w:id="84" w:name="_Toc30272"/>
      <w:bookmarkStart w:id="85" w:name="_Toc26182"/>
      <w:bookmarkStart w:id="86" w:name="_Toc19074"/>
      <w:r>
        <w:rPr>
          <w:rFonts w:hint="eastAsia" w:ascii="宋体" w:hAnsi="宋体" w:eastAsia="宋体" w:cs="宋体"/>
          <w:b/>
          <w:bCs/>
          <w:color w:val="auto"/>
          <w:sz w:val="24"/>
          <w:highlight w:val="none"/>
          <w:lang w:val="zh-CN"/>
        </w:rPr>
        <w:t>2.</w:t>
      </w:r>
      <w:bookmarkEnd w:id="76"/>
      <w:bookmarkEnd w:id="77"/>
      <w:bookmarkEnd w:id="78"/>
      <w:bookmarkEnd w:id="79"/>
      <w:bookmarkEnd w:id="80"/>
      <w:bookmarkEnd w:id="81"/>
      <w:bookmarkEnd w:id="82"/>
      <w:bookmarkEnd w:id="83"/>
      <w:r>
        <w:rPr>
          <w:rFonts w:hint="eastAsia" w:ascii="宋体" w:hAnsi="宋体" w:eastAsia="宋体" w:cs="宋体"/>
          <w:b/>
          <w:bCs/>
          <w:color w:val="auto"/>
          <w:sz w:val="24"/>
          <w:highlight w:val="none"/>
          <w:lang w:val="zh-CN"/>
        </w:rPr>
        <w:t>4 履约检查和问题反馈</w:t>
      </w:r>
      <w:bookmarkEnd w:id="84"/>
      <w:bookmarkEnd w:id="85"/>
      <w:bookmarkEnd w:id="86"/>
    </w:p>
    <w:p w14:paraId="1DADC38D">
      <w:pPr>
        <w:spacing w:line="360" w:lineRule="auto"/>
        <w:ind w:firstLine="435"/>
        <w:rPr>
          <w:rFonts w:hint="eastAsia" w:ascii="宋体" w:hAnsi="宋体" w:eastAsia="宋体" w:cs="宋体"/>
          <w:color w:val="auto"/>
          <w:sz w:val="24"/>
          <w:highlight w:val="none"/>
        </w:rPr>
      </w:pPr>
      <w:bookmarkStart w:id="87" w:name="_Toc186431854"/>
      <w:bookmarkStart w:id="88" w:name="_Toc259093676"/>
      <w:bookmarkStart w:id="89" w:name="_Ref467379807"/>
      <w:bookmarkStart w:id="90" w:name="_Toc279701247"/>
      <w:bookmarkStart w:id="91" w:name="_Ref467379793"/>
      <w:bookmarkStart w:id="92" w:name="_Toc487900357"/>
      <w:r>
        <w:rPr>
          <w:rFonts w:hint="eastAsia" w:ascii="宋体" w:hAnsi="宋体" w:eastAsia="宋体" w:cs="宋体"/>
          <w:color w:val="auto"/>
          <w:sz w:val="24"/>
          <w:highlight w:val="none"/>
        </w:rPr>
        <w:t>2.4.1甲方有权在其认为必要时，对乙方是否能够按照合同约定提供服务进行履约检查，以确保乙方所提供的服务能够依约满足甲方项目需求，但不得因履约检查妨碍乙方的正常工作，乙方应予积极配合；</w:t>
      </w:r>
    </w:p>
    <w:p w14:paraId="2E33ABC6">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2.4.2合同履行期间，甲方有权将履行过程中出现的问题反馈给乙方，双方当事人应以书面形式约定需要完善和改进的内容</w:t>
      </w:r>
      <w:bookmarkEnd w:id="87"/>
      <w:bookmarkStart w:id="93" w:name="_Toc186431855"/>
      <w:r>
        <w:rPr>
          <w:rFonts w:hint="eastAsia" w:ascii="宋体" w:hAnsi="宋体" w:eastAsia="宋体" w:cs="宋体"/>
          <w:color w:val="auto"/>
          <w:sz w:val="24"/>
          <w:highlight w:val="none"/>
        </w:rPr>
        <w:t>。</w:t>
      </w:r>
    </w:p>
    <w:bookmarkEnd w:id="93"/>
    <w:p w14:paraId="0F51A393">
      <w:pPr>
        <w:spacing w:line="360" w:lineRule="auto"/>
        <w:ind w:firstLine="437"/>
        <w:outlineLvl w:val="3"/>
        <w:rPr>
          <w:rFonts w:hint="eastAsia" w:ascii="宋体" w:hAnsi="宋体" w:eastAsia="宋体" w:cs="宋体"/>
          <w:b/>
          <w:bCs/>
          <w:color w:val="auto"/>
          <w:sz w:val="24"/>
          <w:highlight w:val="none"/>
          <w:lang w:val="zh-CN"/>
        </w:rPr>
      </w:pPr>
      <w:bookmarkStart w:id="94" w:name="_Toc7836"/>
      <w:bookmarkStart w:id="95" w:name="_Toc28451"/>
      <w:bookmarkStart w:id="96" w:name="_Toc19219"/>
      <w:r>
        <w:rPr>
          <w:rFonts w:hint="eastAsia" w:ascii="宋体" w:hAnsi="宋体" w:eastAsia="宋体" w:cs="宋体"/>
          <w:b/>
          <w:bCs/>
          <w:color w:val="auto"/>
          <w:sz w:val="24"/>
          <w:highlight w:val="none"/>
          <w:lang w:val="zh-CN"/>
        </w:rPr>
        <w:t>2.5 结算方式和付款条件</w:t>
      </w:r>
      <w:bookmarkEnd w:id="88"/>
      <w:bookmarkEnd w:id="89"/>
      <w:bookmarkEnd w:id="90"/>
      <w:bookmarkEnd w:id="91"/>
      <w:bookmarkEnd w:id="92"/>
      <w:bookmarkEnd w:id="94"/>
      <w:bookmarkEnd w:id="95"/>
      <w:bookmarkEnd w:id="96"/>
    </w:p>
    <w:p w14:paraId="49FCED4F">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详见</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w:t>
      </w:r>
    </w:p>
    <w:p w14:paraId="0728BE4E">
      <w:pPr>
        <w:spacing w:line="360" w:lineRule="auto"/>
        <w:ind w:firstLine="437"/>
        <w:outlineLvl w:val="3"/>
        <w:rPr>
          <w:rFonts w:hint="eastAsia" w:ascii="宋体" w:hAnsi="宋体" w:eastAsia="宋体" w:cs="宋体"/>
          <w:b/>
          <w:bCs/>
          <w:color w:val="auto"/>
          <w:sz w:val="24"/>
          <w:highlight w:val="none"/>
          <w:lang w:val="zh-CN"/>
        </w:rPr>
      </w:pPr>
      <w:bookmarkStart w:id="97" w:name="_Ref467379923"/>
      <w:bookmarkStart w:id="98" w:name="_Toc487900358"/>
      <w:bookmarkStart w:id="99" w:name="_Toc279701248"/>
      <w:bookmarkStart w:id="100" w:name="_Ref467379852"/>
      <w:bookmarkStart w:id="101" w:name="_Toc259093677"/>
      <w:bookmarkStart w:id="102" w:name="_Ref467379863"/>
      <w:bookmarkStart w:id="103" w:name="_Toc16110"/>
      <w:bookmarkStart w:id="104" w:name="_Toc3225"/>
      <w:bookmarkStart w:id="105" w:name="_Toc774"/>
      <w:r>
        <w:rPr>
          <w:rFonts w:hint="eastAsia" w:ascii="宋体" w:hAnsi="宋体" w:eastAsia="宋体" w:cs="宋体"/>
          <w:b/>
          <w:bCs/>
          <w:color w:val="auto"/>
          <w:sz w:val="24"/>
          <w:highlight w:val="none"/>
          <w:lang w:val="zh-CN"/>
        </w:rPr>
        <w:t>2.6 技术资料</w:t>
      </w:r>
      <w:bookmarkEnd w:id="97"/>
      <w:bookmarkEnd w:id="98"/>
      <w:bookmarkEnd w:id="99"/>
      <w:bookmarkEnd w:id="100"/>
      <w:bookmarkEnd w:id="101"/>
      <w:bookmarkEnd w:id="102"/>
      <w:r>
        <w:rPr>
          <w:rFonts w:hint="eastAsia" w:ascii="宋体" w:hAnsi="宋体" w:eastAsia="宋体" w:cs="宋体"/>
          <w:b/>
          <w:bCs/>
          <w:color w:val="auto"/>
          <w:sz w:val="24"/>
          <w:highlight w:val="none"/>
          <w:lang w:val="zh-CN"/>
        </w:rPr>
        <w:t>和保密义务</w:t>
      </w:r>
      <w:bookmarkEnd w:id="103"/>
      <w:bookmarkEnd w:id="104"/>
      <w:bookmarkEnd w:id="105"/>
    </w:p>
    <w:p w14:paraId="41195834">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2.6.1乙方有权依据合同约定和项目需要，向甲方了解有关情况，调阅有关资料等，甲方应予积极配合；</w:t>
      </w:r>
    </w:p>
    <w:p w14:paraId="0459A0A1">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2.6.2乙方有义务妥善保管和保护由甲方提供的前款信息和资料等；</w:t>
      </w:r>
    </w:p>
    <w:p w14:paraId="7D73FCE1">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2.6.3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65B92D03">
      <w:pPr>
        <w:spacing w:line="360" w:lineRule="auto"/>
        <w:ind w:firstLine="437"/>
        <w:outlineLvl w:val="3"/>
        <w:rPr>
          <w:rFonts w:hint="eastAsia" w:ascii="宋体" w:hAnsi="宋体" w:eastAsia="宋体" w:cs="宋体"/>
          <w:b/>
          <w:bCs/>
          <w:color w:val="auto"/>
          <w:sz w:val="24"/>
          <w:highlight w:val="none"/>
          <w:lang w:val="zh-CN"/>
        </w:rPr>
      </w:pPr>
      <w:bookmarkStart w:id="106" w:name="_Toc7860"/>
      <w:r>
        <w:rPr>
          <w:rFonts w:hint="eastAsia" w:ascii="宋体" w:hAnsi="宋体" w:eastAsia="宋体" w:cs="宋体"/>
          <w:b/>
          <w:bCs/>
          <w:color w:val="auto"/>
          <w:sz w:val="24"/>
          <w:highlight w:val="none"/>
          <w:lang w:val="zh-CN"/>
        </w:rPr>
        <w:t>2.7 质量保证</w:t>
      </w:r>
      <w:bookmarkEnd w:id="106"/>
    </w:p>
    <w:p w14:paraId="0C00ADE0">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2.7.1乙方应建立和完善履行合同的内部质量保证体系，并提供相关内部规章制度给甲方，以便甲方进行监督检查；</w:t>
      </w:r>
    </w:p>
    <w:p w14:paraId="111B1F6D">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2.7.2乙方应保证履行合同的人员数量和素质、软件和硬件设备的配置、场地、环境和设施等满足全面履行合同的要求，并应接受甲方的监督检查。</w:t>
      </w:r>
    </w:p>
    <w:p w14:paraId="58916326">
      <w:pPr>
        <w:spacing w:line="360" w:lineRule="auto"/>
        <w:ind w:firstLine="437"/>
        <w:outlineLvl w:val="3"/>
        <w:rPr>
          <w:rFonts w:hint="eastAsia" w:ascii="宋体" w:hAnsi="宋体" w:eastAsia="宋体" w:cs="宋体"/>
          <w:b/>
          <w:color w:val="auto"/>
          <w:sz w:val="24"/>
          <w:highlight w:val="none"/>
        </w:rPr>
      </w:pPr>
      <w:bookmarkStart w:id="107" w:name="_Toc22267"/>
      <w:r>
        <w:rPr>
          <w:rFonts w:hint="eastAsia" w:ascii="宋体" w:hAnsi="宋体" w:eastAsia="宋体" w:cs="宋体"/>
          <w:b/>
          <w:color w:val="auto"/>
          <w:sz w:val="24"/>
          <w:highlight w:val="none"/>
        </w:rPr>
        <w:t>2.8 延迟履行</w:t>
      </w:r>
      <w:bookmarkEnd w:id="107"/>
    </w:p>
    <w:p w14:paraId="5C959EBE">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在合同履行过程中，如果乙方遇到不能按时提供服务的情况，应及时以书面形式将不能按时提供服务的理由、预期延误时间通知甲方；甲方收到乙方通知后，认为其理由正当的，可以书面形式酌情同意乙方可以延长履行的具体时间。</w:t>
      </w:r>
    </w:p>
    <w:p w14:paraId="72F7B51D">
      <w:pPr>
        <w:spacing w:line="360" w:lineRule="auto"/>
        <w:ind w:firstLine="437"/>
        <w:outlineLvl w:val="3"/>
        <w:rPr>
          <w:rFonts w:hint="eastAsia" w:ascii="宋体" w:hAnsi="宋体" w:eastAsia="宋体" w:cs="宋体"/>
          <w:b/>
          <w:bCs/>
          <w:color w:val="auto"/>
          <w:sz w:val="24"/>
          <w:highlight w:val="none"/>
          <w:lang w:val="zh-CN"/>
        </w:rPr>
      </w:pPr>
      <w:bookmarkStart w:id="108" w:name="_Toc7502"/>
      <w:bookmarkStart w:id="109" w:name="_Ref467378121"/>
      <w:bookmarkStart w:id="110" w:name="_Toc279701254"/>
      <w:bookmarkStart w:id="111" w:name="_Toc487900364"/>
      <w:bookmarkStart w:id="112" w:name="_Toc259093683"/>
      <w:r>
        <w:rPr>
          <w:rFonts w:hint="eastAsia" w:ascii="宋体" w:hAnsi="宋体" w:eastAsia="宋体" w:cs="宋体"/>
          <w:b/>
          <w:bCs/>
          <w:color w:val="auto"/>
          <w:sz w:val="24"/>
          <w:highlight w:val="none"/>
          <w:lang w:val="zh-CN"/>
        </w:rPr>
        <w:t>2.9 合同变更</w:t>
      </w:r>
      <w:bookmarkEnd w:id="108"/>
    </w:p>
    <w:p w14:paraId="23EC0E6D">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2.9.1双方当事人协商一致，可以签订书面补充合同的形式变更合同，但不得违背采购文件确定的事项；</w:t>
      </w:r>
    </w:p>
    <w:p w14:paraId="31F22CDD">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2.9.2合同继续履行将损害国家利益和社会公共利益的，双方当事人应当以书面形式变更合同。有过错的一方应当承担赔偿责任，双方当事人都有过错的，各自承担相应的责任。</w:t>
      </w:r>
      <w:bookmarkStart w:id="113" w:name="_Toc279701259"/>
      <w:bookmarkStart w:id="114" w:name="_Toc259093688"/>
      <w:bookmarkStart w:id="115" w:name="_Toc487900369"/>
    </w:p>
    <w:p w14:paraId="32AFD5C8">
      <w:pPr>
        <w:spacing w:line="360" w:lineRule="auto"/>
        <w:ind w:firstLine="437"/>
        <w:outlineLvl w:val="3"/>
        <w:rPr>
          <w:rFonts w:hint="eastAsia" w:ascii="宋体" w:hAnsi="宋体" w:eastAsia="宋体" w:cs="宋体"/>
          <w:b/>
          <w:bCs/>
          <w:color w:val="auto"/>
          <w:sz w:val="24"/>
          <w:highlight w:val="none"/>
          <w:lang w:val="zh-CN"/>
        </w:rPr>
      </w:pPr>
      <w:bookmarkStart w:id="116" w:name="_Toc10366"/>
      <w:bookmarkStart w:id="117" w:name="_Toc22955"/>
      <w:bookmarkStart w:id="118" w:name="_Toc15237"/>
      <w:r>
        <w:rPr>
          <w:rFonts w:hint="eastAsia" w:ascii="宋体" w:hAnsi="宋体" w:eastAsia="宋体" w:cs="宋体"/>
          <w:b/>
          <w:bCs/>
          <w:color w:val="auto"/>
          <w:sz w:val="24"/>
          <w:highlight w:val="none"/>
          <w:lang w:val="zh-CN"/>
        </w:rPr>
        <w:t>2.10 合同转让</w:t>
      </w:r>
      <w:bookmarkEnd w:id="113"/>
      <w:bookmarkEnd w:id="114"/>
      <w:bookmarkEnd w:id="115"/>
      <w:r>
        <w:rPr>
          <w:rFonts w:hint="eastAsia" w:ascii="宋体" w:hAnsi="宋体" w:eastAsia="宋体" w:cs="宋体"/>
          <w:b/>
          <w:bCs/>
          <w:color w:val="auto"/>
          <w:sz w:val="24"/>
          <w:highlight w:val="none"/>
          <w:lang w:val="zh-CN"/>
        </w:rPr>
        <w:t>和分包</w:t>
      </w:r>
      <w:bookmarkEnd w:id="116"/>
      <w:bookmarkEnd w:id="117"/>
      <w:bookmarkEnd w:id="118"/>
    </w:p>
    <w:p w14:paraId="1EA915AD">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投标人就分包项目向甲方承担连带责任。</w:t>
      </w:r>
    </w:p>
    <w:p w14:paraId="57B15447">
      <w:pPr>
        <w:spacing w:line="360" w:lineRule="auto"/>
        <w:ind w:firstLine="437"/>
        <w:outlineLvl w:val="3"/>
        <w:rPr>
          <w:rFonts w:hint="eastAsia" w:ascii="宋体" w:hAnsi="宋体" w:eastAsia="宋体" w:cs="宋体"/>
          <w:b/>
          <w:bCs/>
          <w:color w:val="auto"/>
          <w:sz w:val="24"/>
          <w:highlight w:val="none"/>
          <w:lang w:val="zh-CN"/>
        </w:rPr>
      </w:pPr>
      <w:bookmarkStart w:id="119" w:name="_Toc13566"/>
      <w:bookmarkStart w:id="120" w:name="_Toc16508"/>
      <w:bookmarkStart w:id="121" w:name="_Toc14066"/>
      <w:r>
        <w:rPr>
          <w:rFonts w:hint="eastAsia" w:ascii="宋体" w:hAnsi="宋体" w:eastAsia="宋体" w:cs="宋体"/>
          <w:b/>
          <w:bCs/>
          <w:color w:val="auto"/>
          <w:sz w:val="24"/>
          <w:highlight w:val="none"/>
          <w:lang w:val="zh-CN"/>
        </w:rPr>
        <w:t>2.11 不可抗力</w:t>
      </w:r>
      <w:bookmarkEnd w:id="119"/>
      <w:bookmarkEnd w:id="120"/>
      <w:bookmarkEnd w:id="121"/>
    </w:p>
    <w:p w14:paraId="48FB1E1B">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2.11.1如果任何一方遭遇法律规定的不可抗力，致使合同履行受阻时，履行合同的期限应予延长，延长的期限应相当于不可抗力所影响的时间；</w:t>
      </w:r>
    </w:p>
    <w:p w14:paraId="64BEC461">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2.11.2因不可抗力致使不能实现合同目的的，当事人可以解除合同；</w:t>
      </w:r>
    </w:p>
    <w:p w14:paraId="05809D86">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2.11.3因不可抗力致使合同有变更必要的，双方当事人应在</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约定时间内以书面形式变更合同；</w:t>
      </w:r>
    </w:p>
    <w:p w14:paraId="3227E0D1">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2.11.4受不可抗力影响的一方在不可抗力发生后，应在</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约定时间内以书面形式通知对方当事人，并在</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约定时间内，将有关部门出具的证明文件送达对方当事人。</w:t>
      </w:r>
    </w:p>
    <w:p w14:paraId="3EE8822D">
      <w:pPr>
        <w:spacing w:line="360" w:lineRule="auto"/>
        <w:ind w:firstLine="437"/>
        <w:outlineLvl w:val="3"/>
        <w:rPr>
          <w:rFonts w:hint="eastAsia" w:ascii="宋体" w:hAnsi="宋体" w:eastAsia="宋体" w:cs="宋体"/>
          <w:b/>
          <w:bCs/>
          <w:color w:val="auto"/>
          <w:sz w:val="24"/>
          <w:highlight w:val="none"/>
          <w:lang w:val="zh-CN"/>
        </w:rPr>
      </w:pPr>
      <w:bookmarkStart w:id="122" w:name="_Toc6969"/>
      <w:bookmarkStart w:id="123" w:name="_Toc259093684"/>
      <w:bookmarkStart w:id="124" w:name="_Toc689"/>
      <w:bookmarkStart w:id="125" w:name="_Toc487900365"/>
      <w:bookmarkStart w:id="126" w:name="_Toc30676"/>
      <w:bookmarkStart w:id="127" w:name="_Toc279701255"/>
      <w:r>
        <w:rPr>
          <w:rFonts w:hint="eastAsia" w:ascii="宋体" w:hAnsi="宋体" w:eastAsia="宋体" w:cs="宋体"/>
          <w:b/>
          <w:bCs/>
          <w:color w:val="auto"/>
          <w:sz w:val="24"/>
          <w:highlight w:val="none"/>
          <w:lang w:val="zh-CN"/>
        </w:rPr>
        <w:t>2.12 税费</w:t>
      </w:r>
      <w:bookmarkEnd w:id="122"/>
      <w:bookmarkEnd w:id="123"/>
      <w:bookmarkEnd w:id="124"/>
      <w:bookmarkEnd w:id="125"/>
      <w:bookmarkEnd w:id="126"/>
      <w:bookmarkEnd w:id="127"/>
    </w:p>
    <w:p w14:paraId="78D6C06D">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与合同有关的一切税费，均按照中华人民共和国法律的相关规定缴纳。</w:t>
      </w:r>
    </w:p>
    <w:p w14:paraId="61A10BC2">
      <w:pPr>
        <w:spacing w:line="360" w:lineRule="auto"/>
        <w:ind w:firstLine="437"/>
        <w:outlineLvl w:val="3"/>
        <w:rPr>
          <w:rFonts w:hint="eastAsia" w:ascii="宋体" w:hAnsi="宋体" w:eastAsia="宋体" w:cs="宋体"/>
          <w:b/>
          <w:bCs/>
          <w:color w:val="auto"/>
          <w:sz w:val="24"/>
          <w:highlight w:val="none"/>
          <w:lang w:val="zh-CN"/>
        </w:rPr>
      </w:pPr>
      <w:bookmarkStart w:id="128" w:name="_Toc16959"/>
      <w:bookmarkStart w:id="129" w:name="_Toc279701258"/>
      <w:bookmarkStart w:id="130" w:name="_Toc7102"/>
      <w:bookmarkStart w:id="131" w:name="_Toc8298"/>
      <w:bookmarkStart w:id="132" w:name="_Toc487900368"/>
      <w:bookmarkStart w:id="133" w:name="_Toc259093687"/>
      <w:r>
        <w:rPr>
          <w:rFonts w:hint="eastAsia" w:ascii="宋体" w:hAnsi="宋体" w:eastAsia="宋体" w:cs="宋体"/>
          <w:b/>
          <w:bCs/>
          <w:color w:val="auto"/>
          <w:sz w:val="24"/>
          <w:highlight w:val="none"/>
          <w:lang w:val="zh-CN"/>
        </w:rPr>
        <w:t>2.13 乙方破产</w:t>
      </w:r>
      <w:bookmarkEnd w:id="128"/>
      <w:bookmarkEnd w:id="129"/>
      <w:bookmarkEnd w:id="130"/>
      <w:bookmarkEnd w:id="131"/>
      <w:bookmarkEnd w:id="132"/>
      <w:bookmarkEnd w:id="133"/>
    </w:p>
    <w:p w14:paraId="7A4CFC8C">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7681765A">
      <w:pPr>
        <w:spacing w:line="360" w:lineRule="auto"/>
        <w:ind w:firstLine="437"/>
        <w:outlineLvl w:val="3"/>
        <w:rPr>
          <w:rFonts w:hint="eastAsia" w:ascii="宋体" w:hAnsi="宋体" w:eastAsia="宋体" w:cs="宋体"/>
          <w:b/>
          <w:color w:val="auto"/>
          <w:sz w:val="24"/>
          <w:highlight w:val="none"/>
        </w:rPr>
      </w:pPr>
      <w:bookmarkStart w:id="134" w:name="_Toc15387"/>
      <w:bookmarkStart w:id="135" w:name="_Toc6134"/>
      <w:bookmarkStart w:id="136" w:name="_Toc29333"/>
      <w:r>
        <w:rPr>
          <w:rFonts w:hint="eastAsia" w:ascii="宋体" w:hAnsi="宋体" w:eastAsia="宋体" w:cs="宋体"/>
          <w:b/>
          <w:bCs/>
          <w:color w:val="auto"/>
          <w:sz w:val="24"/>
          <w:highlight w:val="none"/>
          <w:lang w:val="zh-CN"/>
        </w:rPr>
        <w:t>2.14 合同中止、终止</w:t>
      </w:r>
      <w:bookmarkEnd w:id="134"/>
      <w:bookmarkEnd w:id="135"/>
      <w:bookmarkEnd w:id="136"/>
    </w:p>
    <w:p w14:paraId="5FA63F53">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2.14.1双方当事人不得擅自中止或者终止合同；</w:t>
      </w:r>
    </w:p>
    <w:p w14:paraId="07D82AE6">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2.14.2合同继续履行将损害国家利益和社会公共利益的，双方当事人应当中止或者终止合同。有过错的一方应当承担赔偿责任，双方当事人都有过错的，各自承担相应的责任。</w:t>
      </w:r>
    </w:p>
    <w:p w14:paraId="0AF26192">
      <w:pPr>
        <w:spacing w:line="360" w:lineRule="auto"/>
        <w:ind w:firstLine="437"/>
        <w:outlineLvl w:val="3"/>
        <w:rPr>
          <w:rFonts w:hint="eastAsia" w:ascii="宋体" w:hAnsi="宋体" w:eastAsia="宋体" w:cs="宋体"/>
          <w:b/>
          <w:bCs/>
          <w:color w:val="auto"/>
          <w:sz w:val="24"/>
          <w:highlight w:val="none"/>
          <w:lang w:val="zh-CN"/>
        </w:rPr>
      </w:pPr>
      <w:bookmarkStart w:id="137" w:name="_Toc14563"/>
      <w:bookmarkStart w:id="138" w:name="_Toc6596"/>
      <w:bookmarkStart w:id="139" w:name="_Toc1125"/>
      <w:r>
        <w:rPr>
          <w:rFonts w:hint="eastAsia" w:ascii="宋体" w:hAnsi="宋体" w:eastAsia="宋体" w:cs="宋体"/>
          <w:b/>
          <w:bCs/>
          <w:color w:val="auto"/>
          <w:sz w:val="24"/>
          <w:highlight w:val="none"/>
          <w:lang w:val="zh-CN"/>
        </w:rPr>
        <w:t>2.15 检验和验收</w:t>
      </w:r>
      <w:bookmarkEnd w:id="137"/>
      <w:bookmarkEnd w:id="138"/>
      <w:bookmarkEnd w:id="139"/>
    </w:p>
    <w:p w14:paraId="0F95D15E">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2.15.1乙方按照</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的约定，定期提交服务报告，甲方按照</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的约定进行定期验收；</w:t>
      </w:r>
    </w:p>
    <w:p w14:paraId="018DC6E3">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2.15.2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14:paraId="3713ADBC">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2.15.3检验和验收标准、程序等具体内容以及前述验收书的效力详见</w:t>
      </w:r>
      <w:r>
        <w:rPr>
          <w:rFonts w:hint="eastAsia" w:ascii="宋体" w:hAnsi="宋体" w:eastAsia="宋体" w:cs="宋体"/>
          <w:b/>
          <w:i/>
          <w:color w:val="auto"/>
          <w:sz w:val="24"/>
          <w:highlight w:val="none"/>
          <w:u w:val="single"/>
        </w:rPr>
        <w:t>合同专用条款</w:t>
      </w:r>
      <w:r>
        <w:rPr>
          <w:rFonts w:hint="eastAsia" w:ascii="宋体" w:hAnsi="宋体" w:eastAsia="宋体" w:cs="宋体"/>
          <w:i/>
          <w:color w:val="auto"/>
          <w:sz w:val="24"/>
          <w:highlight w:val="none"/>
        </w:rPr>
        <w:t>。</w:t>
      </w:r>
    </w:p>
    <w:bookmarkEnd w:id="109"/>
    <w:bookmarkEnd w:id="110"/>
    <w:bookmarkEnd w:id="111"/>
    <w:bookmarkEnd w:id="112"/>
    <w:p w14:paraId="08FCD2C7">
      <w:pPr>
        <w:spacing w:line="360" w:lineRule="auto"/>
        <w:ind w:firstLine="437"/>
        <w:outlineLvl w:val="3"/>
        <w:rPr>
          <w:rFonts w:hint="eastAsia" w:ascii="宋体" w:hAnsi="宋体" w:eastAsia="宋体" w:cs="宋体"/>
          <w:b/>
          <w:bCs/>
          <w:color w:val="auto"/>
          <w:sz w:val="24"/>
          <w:highlight w:val="none"/>
        </w:rPr>
      </w:pPr>
      <w:bookmarkStart w:id="140" w:name="_Toc279701263"/>
      <w:bookmarkStart w:id="141" w:name="_Toc259093692"/>
      <w:bookmarkStart w:id="142" w:name="_Toc12773"/>
      <w:bookmarkStart w:id="143" w:name="_Toc10330"/>
      <w:bookmarkStart w:id="144" w:name="_Toc487900373"/>
      <w:bookmarkStart w:id="145" w:name="_Toc18567"/>
      <w:r>
        <w:rPr>
          <w:rFonts w:hint="eastAsia" w:ascii="宋体" w:hAnsi="宋体" w:eastAsia="宋体" w:cs="宋体"/>
          <w:b/>
          <w:bCs/>
          <w:color w:val="auto"/>
          <w:sz w:val="24"/>
          <w:highlight w:val="none"/>
        </w:rPr>
        <w:t xml:space="preserve">2.16 </w:t>
      </w:r>
      <w:r>
        <w:rPr>
          <w:rFonts w:hint="eastAsia" w:ascii="宋体" w:hAnsi="宋体" w:eastAsia="宋体" w:cs="宋体"/>
          <w:b/>
          <w:bCs/>
          <w:color w:val="auto"/>
          <w:sz w:val="24"/>
          <w:highlight w:val="none"/>
          <w:lang w:val="zh-CN"/>
        </w:rPr>
        <w:t>合同使用的文字和适用的法律</w:t>
      </w:r>
      <w:bookmarkEnd w:id="140"/>
      <w:bookmarkEnd w:id="141"/>
      <w:bookmarkEnd w:id="142"/>
      <w:bookmarkEnd w:id="143"/>
      <w:bookmarkEnd w:id="144"/>
      <w:bookmarkEnd w:id="145"/>
    </w:p>
    <w:p w14:paraId="662ED430">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2.16.1合同使用汉语书就、变更和解释；</w:t>
      </w:r>
    </w:p>
    <w:p w14:paraId="2D8F229C">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2.16.2合同适用中华人民共和国法律。</w:t>
      </w:r>
    </w:p>
    <w:p w14:paraId="672F8719">
      <w:pPr>
        <w:spacing w:line="360" w:lineRule="auto"/>
        <w:ind w:firstLine="437"/>
        <w:outlineLvl w:val="3"/>
        <w:rPr>
          <w:rFonts w:hint="eastAsia" w:ascii="宋体" w:hAnsi="宋体" w:eastAsia="宋体" w:cs="宋体"/>
          <w:b/>
          <w:color w:val="auto"/>
          <w:sz w:val="24"/>
          <w:highlight w:val="none"/>
        </w:rPr>
      </w:pPr>
      <w:bookmarkStart w:id="146" w:name="_Toc16673"/>
      <w:bookmarkStart w:id="147" w:name="_Toc3148"/>
      <w:bookmarkStart w:id="148" w:name="_Toc279701264"/>
      <w:bookmarkStart w:id="149" w:name="_Toc12004"/>
      <w:bookmarkStart w:id="150" w:name="_Toc259093693"/>
      <w:bookmarkStart w:id="151" w:name="_Toc487900374"/>
      <w:r>
        <w:rPr>
          <w:rFonts w:hint="eastAsia" w:ascii="宋体" w:hAnsi="宋体" w:eastAsia="宋体" w:cs="宋体"/>
          <w:b/>
          <w:bCs/>
          <w:color w:val="auto"/>
          <w:sz w:val="24"/>
          <w:highlight w:val="none"/>
          <w:lang w:val="zh-CN"/>
        </w:rPr>
        <w:t>2.17 履约保证金</w:t>
      </w:r>
      <w:bookmarkEnd w:id="146"/>
      <w:bookmarkEnd w:id="147"/>
      <w:bookmarkEnd w:id="148"/>
      <w:bookmarkEnd w:id="149"/>
      <w:bookmarkEnd w:id="150"/>
    </w:p>
    <w:p w14:paraId="255EAE6A">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2.17.1磋商文件要求乙方提交履约保证金（如有）的，乙方应按</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约定的方式，以支票、汇票、本票或者金融机构、担保机构出具的保函等非现金形式，提交不超过合同价10%的履约保证金；</w:t>
      </w:r>
    </w:p>
    <w:p w14:paraId="3C55D44D">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2.17.2履约保证金（如有）在</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约定期间内不予退还或者应完全有效，前述约定期间届满之日起</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个工作日内，甲方应将履约保证金退还乙方；</w:t>
      </w:r>
    </w:p>
    <w:p w14:paraId="43BE65DD">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2.17.3如果乙方不履行合同，履约保证金不予退还；如果乙方未能按合同约定全面履行义务，那么甲方有权从履约保证金中取得补偿或赔偿，同时不影响甲方要求乙方承担合同约定的超过履约保证金的违约责任的权利。</w:t>
      </w:r>
    </w:p>
    <w:bookmarkEnd w:id="151"/>
    <w:p w14:paraId="7A56AB98">
      <w:pPr>
        <w:spacing w:line="360" w:lineRule="auto"/>
        <w:ind w:firstLine="437"/>
        <w:outlineLvl w:val="3"/>
        <w:rPr>
          <w:rFonts w:hint="eastAsia" w:ascii="宋体" w:hAnsi="宋体" w:eastAsia="宋体" w:cs="宋体"/>
          <w:b/>
          <w:color w:val="auto"/>
          <w:sz w:val="24"/>
          <w:highlight w:val="none"/>
        </w:rPr>
      </w:pPr>
      <w:bookmarkStart w:id="152" w:name="_Toc6885"/>
      <w:bookmarkStart w:id="153" w:name="_Toc14001"/>
      <w:bookmarkStart w:id="154" w:name="_Toc19890"/>
      <w:r>
        <w:rPr>
          <w:rFonts w:hint="eastAsia" w:ascii="宋体" w:hAnsi="宋体" w:eastAsia="宋体" w:cs="宋体"/>
          <w:b/>
          <w:bCs/>
          <w:color w:val="auto"/>
          <w:sz w:val="24"/>
          <w:highlight w:val="none"/>
          <w:lang w:val="zh-CN"/>
        </w:rPr>
        <w:t>2.18 合同份数</w:t>
      </w:r>
      <w:bookmarkEnd w:id="152"/>
      <w:bookmarkEnd w:id="153"/>
      <w:bookmarkEnd w:id="154"/>
    </w:p>
    <w:p w14:paraId="6A01DE07">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合同份数按</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规定，每份均具有同等法律效力。</w:t>
      </w:r>
    </w:p>
    <w:p w14:paraId="64AF9D77">
      <w:pPr>
        <w:spacing w:line="360" w:lineRule="auto"/>
        <w:jc w:val="center"/>
        <w:outlineLvl w:val="2"/>
        <w:rPr>
          <w:rFonts w:hint="eastAsia" w:ascii="宋体" w:hAnsi="宋体" w:eastAsia="宋体" w:cs="宋体"/>
          <w:b/>
          <w:color w:val="auto"/>
          <w:sz w:val="24"/>
          <w:highlight w:val="none"/>
        </w:rPr>
      </w:pPr>
      <w:r>
        <w:rPr>
          <w:rFonts w:hint="eastAsia" w:ascii="宋体" w:hAnsi="宋体" w:eastAsia="宋体" w:cs="宋体"/>
          <w:color w:val="auto"/>
          <w:sz w:val="24"/>
          <w:highlight w:val="none"/>
        </w:rPr>
        <w:br w:type="page"/>
      </w:r>
      <w:bookmarkStart w:id="155" w:name="_Toc331685784"/>
      <w:r>
        <w:rPr>
          <w:rFonts w:hint="eastAsia" w:ascii="宋体" w:hAnsi="宋体" w:eastAsia="宋体" w:cs="宋体"/>
          <w:b/>
          <w:color w:val="auto"/>
          <w:sz w:val="24"/>
          <w:highlight w:val="none"/>
        </w:rPr>
        <w:t>第三部分 合同专用条款</w:t>
      </w:r>
      <w:bookmarkEnd w:id="155"/>
    </w:p>
    <w:p w14:paraId="4038BFCA">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23"/>
        <w:tblW w:w="8362"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794"/>
        <w:gridCol w:w="7568"/>
      </w:tblGrid>
      <w:tr w14:paraId="49A128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jc w:val="center"/>
        </w:trPr>
        <w:tc>
          <w:tcPr>
            <w:tcW w:w="794" w:type="dxa"/>
            <w:tcBorders>
              <w:left w:val="single" w:color="auto" w:sz="4" w:space="0"/>
            </w:tcBorders>
            <w:vAlign w:val="center"/>
          </w:tcPr>
          <w:p w14:paraId="5C226EE4">
            <w:pPr>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条款号</w:t>
            </w:r>
          </w:p>
        </w:tc>
        <w:tc>
          <w:tcPr>
            <w:tcW w:w="7568" w:type="dxa"/>
            <w:vAlign w:val="center"/>
          </w:tcPr>
          <w:p w14:paraId="3004F7BF">
            <w:pPr>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约定内容</w:t>
            </w:r>
          </w:p>
        </w:tc>
      </w:tr>
      <w:tr w14:paraId="059EF1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jc w:val="center"/>
        </w:trPr>
        <w:tc>
          <w:tcPr>
            <w:tcW w:w="794" w:type="dxa"/>
            <w:tcBorders>
              <w:left w:val="single" w:color="auto" w:sz="4" w:space="0"/>
            </w:tcBorders>
            <w:vAlign w:val="center"/>
          </w:tcPr>
          <w:p w14:paraId="46A87A66">
            <w:pPr>
              <w:spacing w:line="560" w:lineRule="exact"/>
              <w:rPr>
                <w:rFonts w:hint="eastAsia" w:ascii="宋体" w:hAnsi="宋体" w:eastAsia="宋体" w:cs="宋体"/>
                <w:color w:val="auto"/>
                <w:sz w:val="24"/>
                <w:highlight w:val="none"/>
              </w:rPr>
            </w:pPr>
          </w:p>
        </w:tc>
        <w:tc>
          <w:tcPr>
            <w:tcW w:w="7568" w:type="dxa"/>
            <w:vAlign w:val="center"/>
          </w:tcPr>
          <w:p w14:paraId="486C8108">
            <w:pPr>
              <w:spacing w:line="560" w:lineRule="exact"/>
              <w:rPr>
                <w:rFonts w:hint="eastAsia" w:ascii="宋体" w:hAnsi="宋体" w:eastAsia="宋体" w:cs="宋体"/>
                <w:color w:val="auto"/>
                <w:sz w:val="24"/>
                <w:highlight w:val="none"/>
              </w:rPr>
            </w:pPr>
          </w:p>
        </w:tc>
      </w:tr>
      <w:tr w14:paraId="1CD02A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vAlign w:val="center"/>
          </w:tcPr>
          <w:p w14:paraId="3DB367F6">
            <w:pPr>
              <w:spacing w:line="560" w:lineRule="exact"/>
              <w:rPr>
                <w:rFonts w:hint="eastAsia" w:ascii="宋体" w:hAnsi="宋体" w:eastAsia="宋体" w:cs="宋体"/>
                <w:color w:val="auto"/>
                <w:sz w:val="24"/>
                <w:highlight w:val="none"/>
              </w:rPr>
            </w:pPr>
          </w:p>
        </w:tc>
        <w:tc>
          <w:tcPr>
            <w:tcW w:w="7568" w:type="dxa"/>
            <w:vAlign w:val="center"/>
          </w:tcPr>
          <w:p w14:paraId="26A82CEC">
            <w:pPr>
              <w:spacing w:line="560" w:lineRule="exact"/>
              <w:rPr>
                <w:rFonts w:hint="eastAsia" w:ascii="宋体" w:hAnsi="宋体" w:eastAsia="宋体" w:cs="宋体"/>
                <w:color w:val="auto"/>
                <w:sz w:val="24"/>
                <w:highlight w:val="none"/>
              </w:rPr>
            </w:pPr>
          </w:p>
        </w:tc>
      </w:tr>
      <w:tr w14:paraId="6253DC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vAlign w:val="center"/>
          </w:tcPr>
          <w:p w14:paraId="78F8AFD9">
            <w:pPr>
              <w:spacing w:line="560" w:lineRule="exact"/>
              <w:rPr>
                <w:rFonts w:hint="eastAsia" w:ascii="宋体" w:hAnsi="宋体" w:eastAsia="宋体" w:cs="宋体"/>
                <w:color w:val="auto"/>
                <w:sz w:val="24"/>
                <w:highlight w:val="none"/>
              </w:rPr>
            </w:pPr>
          </w:p>
        </w:tc>
        <w:tc>
          <w:tcPr>
            <w:tcW w:w="7568" w:type="dxa"/>
            <w:vAlign w:val="center"/>
          </w:tcPr>
          <w:p w14:paraId="777F1BA1">
            <w:pPr>
              <w:spacing w:line="560" w:lineRule="exact"/>
              <w:rPr>
                <w:rFonts w:hint="eastAsia" w:ascii="宋体" w:hAnsi="宋体" w:eastAsia="宋体" w:cs="宋体"/>
                <w:color w:val="auto"/>
                <w:sz w:val="24"/>
                <w:highlight w:val="none"/>
              </w:rPr>
            </w:pPr>
          </w:p>
        </w:tc>
      </w:tr>
      <w:tr w14:paraId="5F1DA8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vAlign w:val="center"/>
          </w:tcPr>
          <w:p w14:paraId="464ACBA3">
            <w:pPr>
              <w:spacing w:line="560" w:lineRule="exact"/>
              <w:rPr>
                <w:rFonts w:hint="eastAsia" w:ascii="宋体" w:hAnsi="宋体" w:eastAsia="宋体" w:cs="宋体"/>
                <w:color w:val="auto"/>
                <w:sz w:val="24"/>
                <w:highlight w:val="none"/>
              </w:rPr>
            </w:pPr>
          </w:p>
        </w:tc>
        <w:tc>
          <w:tcPr>
            <w:tcW w:w="7568" w:type="dxa"/>
            <w:vAlign w:val="center"/>
          </w:tcPr>
          <w:p w14:paraId="3E730F45">
            <w:pPr>
              <w:spacing w:line="560" w:lineRule="exact"/>
              <w:rPr>
                <w:rFonts w:hint="eastAsia" w:ascii="宋体" w:hAnsi="宋体" w:eastAsia="宋体" w:cs="宋体"/>
                <w:color w:val="auto"/>
                <w:sz w:val="24"/>
                <w:highlight w:val="none"/>
              </w:rPr>
            </w:pPr>
          </w:p>
        </w:tc>
      </w:tr>
      <w:tr w14:paraId="2BB35C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0FE3846C">
            <w:pPr>
              <w:spacing w:line="560" w:lineRule="exact"/>
              <w:rPr>
                <w:rFonts w:hint="eastAsia" w:ascii="宋体" w:hAnsi="宋体" w:eastAsia="宋体" w:cs="宋体"/>
                <w:color w:val="auto"/>
                <w:sz w:val="24"/>
                <w:highlight w:val="none"/>
              </w:rPr>
            </w:pPr>
          </w:p>
        </w:tc>
        <w:tc>
          <w:tcPr>
            <w:tcW w:w="7568" w:type="dxa"/>
            <w:vAlign w:val="center"/>
          </w:tcPr>
          <w:p w14:paraId="265BD2D1">
            <w:pPr>
              <w:spacing w:line="560" w:lineRule="exact"/>
              <w:rPr>
                <w:rFonts w:hint="eastAsia" w:ascii="宋体" w:hAnsi="宋体" w:eastAsia="宋体" w:cs="宋体"/>
                <w:color w:val="auto"/>
                <w:sz w:val="24"/>
                <w:highlight w:val="none"/>
                <w:u w:val="single"/>
              </w:rPr>
            </w:pPr>
          </w:p>
        </w:tc>
      </w:tr>
      <w:tr w14:paraId="4DC614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1AF0FD76">
            <w:pPr>
              <w:spacing w:line="560" w:lineRule="exact"/>
              <w:rPr>
                <w:rFonts w:hint="eastAsia" w:ascii="宋体" w:hAnsi="宋体" w:eastAsia="宋体" w:cs="宋体"/>
                <w:color w:val="auto"/>
                <w:sz w:val="24"/>
                <w:highlight w:val="none"/>
              </w:rPr>
            </w:pPr>
          </w:p>
        </w:tc>
        <w:tc>
          <w:tcPr>
            <w:tcW w:w="7568" w:type="dxa"/>
            <w:vAlign w:val="center"/>
          </w:tcPr>
          <w:p w14:paraId="2A38529D">
            <w:pPr>
              <w:spacing w:line="560" w:lineRule="exact"/>
              <w:rPr>
                <w:rFonts w:hint="eastAsia" w:ascii="宋体" w:hAnsi="宋体" w:eastAsia="宋体" w:cs="宋体"/>
                <w:color w:val="auto"/>
                <w:sz w:val="24"/>
                <w:highlight w:val="none"/>
              </w:rPr>
            </w:pPr>
          </w:p>
        </w:tc>
      </w:tr>
      <w:tr w14:paraId="188BD4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vAlign w:val="center"/>
          </w:tcPr>
          <w:p w14:paraId="42FDCC5D">
            <w:pPr>
              <w:spacing w:line="560" w:lineRule="exact"/>
              <w:rPr>
                <w:rFonts w:hint="eastAsia" w:ascii="宋体" w:hAnsi="宋体" w:eastAsia="宋体" w:cs="宋体"/>
                <w:color w:val="auto"/>
                <w:sz w:val="24"/>
                <w:highlight w:val="none"/>
              </w:rPr>
            </w:pPr>
          </w:p>
        </w:tc>
        <w:tc>
          <w:tcPr>
            <w:tcW w:w="7568" w:type="dxa"/>
            <w:vAlign w:val="center"/>
          </w:tcPr>
          <w:p w14:paraId="1D95D7FD">
            <w:pPr>
              <w:spacing w:line="560" w:lineRule="exact"/>
              <w:rPr>
                <w:rFonts w:hint="eastAsia" w:ascii="宋体" w:hAnsi="宋体" w:eastAsia="宋体" w:cs="宋体"/>
                <w:color w:val="auto"/>
                <w:sz w:val="24"/>
                <w:highlight w:val="none"/>
                <w:u w:val="single"/>
              </w:rPr>
            </w:pPr>
          </w:p>
        </w:tc>
      </w:tr>
      <w:tr w14:paraId="64BF09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475DAF66">
            <w:pPr>
              <w:spacing w:line="560" w:lineRule="exact"/>
              <w:rPr>
                <w:rFonts w:hint="eastAsia" w:ascii="宋体" w:hAnsi="宋体" w:eastAsia="宋体" w:cs="宋体"/>
                <w:color w:val="auto"/>
                <w:sz w:val="24"/>
                <w:highlight w:val="none"/>
              </w:rPr>
            </w:pPr>
          </w:p>
        </w:tc>
        <w:tc>
          <w:tcPr>
            <w:tcW w:w="7568" w:type="dxa"/>
            <w:vAlign w:val="center"/>
          </w:tcPr>
          <w:p w14:paraId="701EB2D2">
            <w:pPr>
              <w:spacing w:line="560" w:lineRule="exact"/>
              <w:rPr>
                <w:rFonts w:hint="eastAsia" w:ascii="宋体" w:hAnsi="宋体" w:eastAsia="宋体" w:cs="宋体"/>
                <w:color w:val="auto"/>
                <w:sz w:val="24"/>
                <w:highlight w:val="none"/>
              </w:rPr>
            </w:pPr>
          </w:p>
        </w:tc>
      </w:tr>
      <w:tr w14:paraId="0A39DD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0FCF793C">
            <w:pPr>
              <w:spacing w:line="560" w:lineRule="exact"/>
              <w:rPr>
                <w:rFonts w:hint="eastAsia" w:ascii="宋体" w:hAnsi="宋体" w:eastAsia="宋体" w:cs="宋体"/>
                <w:color w:val="auto"/>
                <w:sz w:val="24"/>
                <w:highlight w:val="none"/>
              </w:rPr>
            </w:pPr>
          </w:p>
        </w:tc>
        <w:tc>
          <w:tcPr>
            <w:tcW w:w="7568" w:type="dxa"/>
            <w:vAlign w:val="center"/>
          </w:tcPr>
          <w:p w14:paraId="256AB8A2">
            <w:pPr>
              <w:spacing w:line="560" w:lineRule="exact"/>
              <w:rPr>
                <w:rFonts w:hint="eastAsia" w:ascii="宋体" w:hAnsi="宋体" w:eastAsia="宋体" w:cs="宋体"/>
                <w:color w:val="auto"/>
                <w:sz w:val="24"/>
                <w:highlight w:val="none"/>
              </w:rPr>
            </w:pPr>
          </w:p>
        </w:tc>
      </w:tr>
      <w:tr w14:paraId="68FA55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68F01F0C">
            <w:pPr>
              <w:spacing w:line="560" w:lineRule="exact"/>
              <w:rPr>
                <w:rFonts w:hint="eastAsia" w:ascii="宋体" w:hAnsi="宋体" w:eastAsia="宋体" w:cs="宋体"/>
                <w:color w:val="auto"/>
                <w:sz w:val="24"/>
                <w:highlight w:val="none"/>
              </w:rPr>
            </w:pPr>
          </w:p>
        </w:tc>
        <w:tc>
          <w:tcPr>
            <w:tcW w:w="7568" w:type="dxa"/>
            <w:vAlign w:val="center"/>
          </w:tcPr>
          <w:p w14:paraId="5EE3ECA5">
            <w:pPr>
              <w:spacing w:line="560" w:lineRule="exact"/>
              <w:rPr>
                <w:rFonts w:hint="eastAsia" w:ascii="宋体" w:hAnsi="宋体" w:eastAsia="宋体" w:cs="宋体"/>
                <w:color w:val="auto"/>
                <w:sz w:val="24"/>
                <w:highlight w:val="none"/>
              </w:rPr>
            </w:pPr>
          </w:p>
        </w:tc>
      </w:tr>
      <w:tr w14:paraId="03FFE9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top w:val="single" w:color="auto" w:sz="6" w:space="0"/>
              <w:left w:val="single" w:color="auto" w:sz="4" w:space="0"/>
              <w:bottom w:val="single" w:color="auto" w:sz="6" w:space="0"/>
              <w:right w:val="single" w:color="auto" w:sz="6" w:space="0"/>
            </w:tcBorders>
            <w:vAlign w:val="center"/>
          </w:tcPr>
          <w:p w14:paraId="66A553E3">
            <w:pPr>
              <w:spacing w:line="560" w:lineRule="exact"/>
              <w:rPr>
                <w:rFonts w:hint="eastAsia" w:ascii="宋体" w:hAnsi="宋体" w:eastAsia="宋体" w:cs="宋体"/>
                <w:color w:val="auto"/>
                <w:sz w:val="24"/>
                <w:highlight w:val="none"/>
              </w:rPr>
            </w:pPr>
          </w:p>
        </w:tc>
        <w:tc>
          <w:tcPr>
            <w:tcW w:w="7568" w:type="dxa"/>
            <w:tcBorders>
              <w:top w:val="single" w:color="auto" w:sz="6" w:space="0"/>
              <w:left w:val="single" w:color="auto" w:sz="6" w:space="0"/>
              <w:bottom w:val="single" w:color="auto" w:sz="6" w:space="0"/>
              <w:right w:val="single" w:color="auto" w:sz="6" w:space="0"/>
            </w:tcBorders>
            <w:vAlign w:val="center"/>
          </w:tcPr>
          <w:p w14:paraId="6F900AEC">
            <w:pPr>
              <w:spacing w:line="560" w:lineRule="exact"/>
              <w:rPr>
                <w:rFonts w:hint="eastAsia" w:ascii="宋体" w:hAnsi="宋体" w:eastAsia="宋体" w:cs="宋体"/>
                <w:color w:val="auto"/>
                <w:sz w:val="24"/>
                <w:highlight w:val="none"/>
              </w:rPr>
            </w:pPr>
          </w:p>
        </w:tc>
      </w:tr>
      <w:tr w14:paraId="273087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top w:val="single" w:color="auto" w:sz="6" w:space="0"/>
              <w:left w:val="single" w:color="auto" w:sz="4" w:space="0"/>
              <w:bottom w:val="single" w:color="auto" w:sz="6" w:space="0"/>
              <w:right w:val="single" w:color="auto" w:sz="6" w:space="0"/>
            </w:tcBorders>
            <w:vAlign w:val="center"/>
          </w:tcPr>
          <w:p w14:paraId="0BA652FF">
            <w:pPr>
              <w:spacing w:line="560" w:lineRule="exact"/>
              <w:rPr>
                <w:rFonts w:hint="eastAsia" w:ascii="宋体" w:hAnsi="宋体" w:eastAsia="宋体" w:cs="宋体"/>
                <w:color w:val="auto"/>
                <w:sz w:val="24"/>
                <w:highlight w:val="none"/>
              </w:rPr>
            </w:pPr>
          </w:p>
        </w:tc>
        <w:tc>
          <w:tcPr>
            <w:tcW w:w="7568" w:type="dxa"/>
            <w:tcBorders>
              <w:top w:val="single" w:color="auto" w:sz="6" w:space="0"/>
              <w:left w:val="single" w:color="auto" w:sz="6" w:space="0"/>
              <w:bottom w:val="single" w:color="auto" w:sz="6" w:space="0"/>
              <w:right w:val="single" w:color="auto" w:sz="6" w:space="0"/>
            </w:tcBorders>
            <w:vAlign w:val="center"/>
          </w:tcPr>
          <w:p w14:paraId="06CAA535">
            <w:pPr>
              <w:spacing w:line="560" w:lineRule="exact"/>
              <w:rPr>
                <w:rFonts w:hint="eastAsia" w:ascii="宋体" w:hAnsi="宋体" w:eastAsia="宋体" w:cs="宋体"/>
                <w:color w:val="auto"/>
                <w:sz w:val="24"/>
                <w:highlight w:val="none"/>
              </w:rPr>
            </w:pPr>
          </w:p>
        </w:tc>
      </w:tr>
    </w:tbl>
    <w:p w14:paraId="6C5CE197">
      <w:pPr>
        <w:spacing w:before="240" w:beforeLines="100" w:after="120" w:afterLines="50"/>
        <w:outlineLvl w:val="3"/>
        <w:rPr>
          <w:rFonts w:hint="eastAsia" w:ascii="宋体" w:hAnsi="宋体" w:eastAsia="宋体" w:cs="Times New Roman"/>
          <w:b/>
          <w:bCs/>
          <w:color w:val="auto"/>
          <w:spacing w:val="-1"/>
          <w:sz w:val="28"/>
          <w:szCs w:val="28"/>
          <w:highlight w:val="none"/>
        </w:rPr>
      </w:pPr>
      <w:r>
        <w:rPr>
          <w:rFonts w:hint="eastAsia" w:ascii="宋体" w:hAnsi="宋体" w:eastAsia="宋体" w:cs="宋体"/>
          <w:color w:val="auto"/>
          <w:sz w:val="24"/>
          <w:highlight w:val="none"/>
        </w:rPr>
        <w:br w:type="page"/>
      </w:r>
      <w:r>
        <w:rPr>
          <w:rFonts w:hint="eastAsia" w:ascii="宋体" w:hAnsi="宋体" w:eastAsia="宋体" w:cs="Times New Roman"/>
          <w:b/>
          <w:bCs/>
          <w:color w:val="auto"/>
          <w:spacing w:val="-1"/>
          <w:sz w:val="28"/>
          <w:szCs w:val="28"/>
          <w:highlight w:val="none"/>
        </w:rPr>
        <w:t>合同附件1</w:t>
      </w:r>
    </w:p>
    <w:p w14:paraId="424750F2">
      <w:pPr>
        <w:adjustRightInd w:val="0"/>
        <w:snapToGrid w:val="0"/>
        <w:spacing w:before="240" w:beforeLines="100" w:after="120" w:afterLines="50" w:line="360" w:lineRule="auto"/>
        <w:jc w:val="center"/>
        <w:rPr>
          <w:rFonts w:hint="eastAsia" w:ascii="宋体" w:hAnsi="宋体" w:eastAsia="宋体" w:cs="黑体"/>
          <w:b/>
          <w:color w:val="auto"/>
          <w:spacing w:val="-1"/>
          <w:sz w:val="32"/>
          <w:szCs w:val="32"/>
          <w:highlight w:val="none"/>
          <w:lang w:eastAsia="zh-Hans"/>
        </w:rPr>
      </w:pPr>
      <w:r>
        <w:rPr>
          <w:rFonts w:hint="eastAsia" w:ascii="宋体" w:hAnsi="宋体" w:eastAsia="宋体" w:cs="黑体"/>
          <w:b/>
          <w:color w:val="auto"/>
          <w:spacing w:val="-1"/>
          <w:sz w:val="32"/>
          <w:szCs w:val="32"/>
          <w:highlight w:val="none"/>
          <w:lang w:eastAsia="zh-Hans"/>
        </w:rPr>
        <w:t>规范运营承诺书</w:t>
      </w:r>
    </w:p>
    <w:p w14:paraId="44F92DC1">
      <w:pPr>
        <w:spacing w:line="360" w:lineRule="auto"/>
        <w:ind w:firstLine="480" w:firstLineChars="200"/>
        <w:rPr>
          <w:rFonts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本公司作为</w:t>
      </w:r>
      <w:r>
        <w:rPr>
          <w:rFonts w:hint="eastAsia" w:ascii="Times New Roman" w:hAnsi="Times New Roman" w:eastAsia="宋体" w:cs="Times New Roman"/>
          <w:color w:val="auto"/>
          <w:sz w:val="24"/>
          <w:szCs w:val="24"/>
          <w:highlight w:val="none"/>
          <w:u w:val="single"/>
        </w:rPr>
        <w:t xml:space="preserve"> 包河区公共阅读空间罍街悦书房文创采购招标</w:t>
      </w:r>
      <w:r>
        <w:rPr>
          <w:rFonts w:hint="eastAsia" w:ascii="Times New Roman" w:hAnsi="Times New Roman" w:eastAsia="宋体" w:cs="Times New Roman"/>
          <w:color w:val="auto"/>
          <w:sz w:val="24"/>
          <w:szCs w:val="24"/>
          <w:highlight w:val="none"/>
        </w:rPr>
        <w:t>的委托运营主体，郑重作出以下承诺：</w:t>
      </w:r>
    </w:p>
    <w:p w14:paraId="265D16C9">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1.严守社会主义核心价值观，维护国家荣誉，遵守社会公德，坚持以</w:t>
      </w:r>
      <w:r>
        <w:rPr>
          <w:rFonts w:hint="eastAsia" w:ascii="宋体" w:hAnsi="宋体" w:eastAsia="宋体" w:cs="宋体"/>
          <w:color w:val="auto"/>
          <w:sz w:val="24"/>
          <w:szCs w:val="24"/>
          <w:highlight w:val="none"/>
          <w:lang w:val="en-US" w:eastAsia="zh-CN"/>
        </w:rPr>
        <w:t>消费者</w:t>
      </w:r>
      <w:r>
        <w:rPr>
          <w:rFonts w:hint="eastAsia" w:ascii="宋体" w:hAnsi="宋体" w:eastAsia="宋体" w:cs="宋体"/>
          <w:color w:val="auto"/>
          <w:sz w:val="24"/>
          <w:szCs w:val="24"/>
          <w:highlight w:val="none"/>
        </w:rPr>
        <w:t>为核心，诚信经营，提供优质的</w:t>
      </w:r>
      <w:r>
        <w:rPr>
          <w:rFonts w:hint="eastAsia" w:ascii="宋体" w:hAnsi="宋体" w:eastAsia="宋体" w:cs="宋体"/>
          <w:color w:val="auto"/>
          <w:sz w:val="24"/>
          <w:szCs w:val="24"/>
          <w:highlight w:val="none"/>
          <w:lang w:val="en-US" w:eastAsia="zh-CN"/>
        </w:rPr>
        <w:t>文创产品</w:t>
      </w:r>
      <w:r>
        <w:rPr>
          <w:rFonts w:hint="eastAsia" w:ascii="宋体" w:hAnsi="宋体" w:eastAsia="宋体" w:cs="宋体"/>
          <w:color w:val="auto"/>
          <w:sz w:val="24"/>
          <w:szCs w:val="24"/>
          <w:highlight w:val="none"/>
        </w:rPr>
        <w:t>服务。</w:t>
      </w:r>
    </w:p>
    <w:p w14:paraId="5C3FF668">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2.严格遵守宪法法律及其他相关管理规定，积极接受广大</w:t>
      </w:r>
      <w:r>
        <w:rPr>
          <w:rFonts w:hint="eastAsia" w:ascii="宋体" w:hAnsi="宋体" w:eastAsia="宋体" w:cs="宋体"/>
          <w:color w:val="auto"/>
          <w:sz w:val="24"/>
          <w:szCs w:val="24"/>
          <w:highlight w:val="none"/>
          <w:lang w:val="en-US" w:eastAsia="zh-CN"/>
        </w:rPr>
        <w:t>读者、消费者</w:t>
      </w:r>
      <w:r>
        <w:rPr>
          <w:rFonts w:hint="eastAsia" w:ascii="宋体" w:hAnsi="宋体" w:eastAsia="宋体" w:cs="宋体"/>
          <w:color w:val="auto"/>
          <w:sz w:val="24"/>
          <w:szCs w:val="24"/>
          <w:highlight w:val="none"/>
        </w:rPr>
        <w:t>的监督。</w:t>
      </w:r>
    </w:p>
    <w:p w14:paraId="1CDCE85F">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3.知晓包河区公共阅读空间规范运营的各项规定，积极协助</w:t>
      </w:r>
      <w:r>
        <w:rPr>
          <w:rFonts w:hint="eastAsia" w:ascii="宋体" w:hAnsi="宋体" w:eastAsia="宋体" w:cs="宋体"/>
          <w:color w:val="auto"/>
          <w:sz w:val="24"/>
          <w:szCs w:val="24"/>
          <w:highlight w:val="none"/>
          <w:lang w:val="en-US" w:eastAsia="zh-CN"/>
        </w:rPr>
        <w:t>场馆</w:t>
      </w:r>
      <w:r>
        <w:rPr>
          <w:rFonts w:hint="eastAsia" w:ascii="宋体" w:hAnsi="宋体" w:eastAsia="宋体" w:cs="宋体"/>
          <w:color w:val="auto"/>
          <w:sz w:val="24"/>
          <w:szCs w:val="24"/>
          <w:highlight w:val="none"/>
        </w:rPr>
        <w:t>的各项活动，完全遵守、服从包河区公共阅读空间的各项规定、要求。</w:t>
      </w:r>
    </w:p>
    <w:p w14:paraId="61CB5043">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不通过场馆显示屏、宣传海报等渠道，宣传散布违背党和人民利益、不利于国家民族团结以及违反社会主义核心价值观的思想言论；不为破坏民族团结、煽动民族分裂，危害社会稳定、国家安全和祖国统一等非法行为及非法社会组织提供活动场所等条件。</w:t>
      </w:r>
    </w:p>
    <w:p w14:paraId="6E9A5017">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5.加强数据安全管理，严格遵守个人信息保护相关规定，不非法收集和滥用个人信息。不泄露、篡改、损毁已收集的个人信息，未经同意不向他人提供个人信息。</w:t>
      </w:r>
    </w:p>
    <w:p w14:paraId="3C3F55F0">
      <w:pPr>
        <w:wordWrap w:val="0"/>
        <w:spacing w:line="360" w:lineRule="auto"/>
        <w:jc w:val="right"/>
        <w:rPr>
          <w:rFonts w:hint="eastAsia" w:ascii="Times New Roman" w:hAnsi="Times New Roman" w:eastAsia="宋体" w:cs="Times New Roman"/>
          <w:color w:val="auto"/>
          <w:sz w:val="24"/>
          <w:szCs w:val="24"/>
          <w:highlight w:val="none"/>
        </w:rPr>
      </w:pPr>
      <w:r>
        <w:rPr>
          <w:rFonts w:hint="eastAsia" w:ascii="宋体" w:hAnsi="宋体" w:eastAsia="宋体" w:cs="宋体"/>
          <w:color w:val="auto"/>
          <w:sz w:val="24"/>
          <w:szCs w:val="24"/>
          <w:highlight w:val="none"/>
        </w:rPr>
        <w:t xml:space="preserve">公司名称： </w:t>
      </w:r>
      <w:r>
        <w:rPr>
          <w:rFonts w:hint="eastAsia" w:ascii="Times New Roman" w:hAnsi="Times New Roman" w:eastAsia="宋体" w:cs="Times New Roman"/>
          <w:color w:val="auto"/>
          <w:sz w:val="24"/>
          <w:szCs w:val="24"/>
          <w:highlight w:val="none"/>
        </w:rPr>
        <w:t xml:space="preserve">          </w:t>
      </w:r>
    </w:p>
    <w:p w14:paraId="72A44CF4">
      <w:pPr>
        <w:wordWrap w:val="0"/>
        <w:spacing w:line="360" w:lineRule="auto"/>
        <w:jc w:val="right"/>
        <w:rPr>
          <w:rFonts w:ascii="Times New Roman" w:hAnsi="Times New Roman" w:eastAsia="宋体" w:cs="Times New Roman"/>
          <w:color w:val="auto"/>
          <w:highlight w:val="none"/>
        </w:rPr>
        <w:sectPr>
          <w:footerReference r:id="rId6" w:type="default"/>
          <w:pgSz w:w="11910" w:h="16840"/>
          <w:pgMar w:top="1580" w:right="1520" w:bottom="1080" w:left="1540" w:header="0" w:footer="894" w:gutter="0"/>
          <w:pgNumType w:start="20"/>
          <w:cols w:space="720" w:num="1"/>
          <w:docGrid w:linePitch="381" w:charSpace="0"/>
        </w:sectPr>
      </w:pPr>
      <w:r>
        <w:rPr>
          <w:rFonts w:hint="eastAsia" w:ascii="Times New Roman" w:hAnsi="Times New Roman" w:eastAsia="宋体" w:cs="Times New Roman"/>
          <w:color w:val="auto"/>
          <w:sz w:val="24"/>
          <w:szCs w:val="24"/>
          <w:highlight w:val="none"/>
        </w:rPr>
        <w:t xml:space="preserve">日期：           </w:t>
      </w:r>
    </w:p>
    <w:p w14:paraId="1939B33F">
      <w:pPr>
        <w:spacing w:before="240" w:beforeLines="100" w:after="120" w:afterLines="50"/>
        <w:outlineLvl w:val="3"/>
        <w:rPr>
          <w:rFonts w:hint="eastAsia" w:ascii="宋体" w:hAnsi="宋体" w:eastAsia="宋体" w:cs="Times New Roman"/>
          <w:b/>
          <w:bCs/>
          <w:color w:val="auto"/>
          <w:spacing w:val="-1"/>
          <w:sz w:val="28"/>
          <w:szCs w:val="28"/>
          <w:highlight w:val="none"/>
        </w:rPr>
      </w:pPr>
      <w:r>
        <w:rPr>
          <w:rFonts w:hint="eastAsia" w:ascii="宋体" w:hAnsi="宋体" w:eastAsia="宋体" w:cs="Times New Roman"/>
          <w:b/>
          <w:bCs/>
          <w:color w:val="auto"/>
          <w:spacing w:val="-1"/>
          <w:sz w:val="28"/>
          <w:szCs w:val="28"/>
          <w:highlight w:val="none"/>
        </w:rPr>
        <w:t>合同附件2</w:t>
      </w:r>
    </w:p>
    <w:p w14:paraId="559E4908">
      <w:pPr>
        <w:adjustRightInd w:val="0"/>
        <w:snapToGrid w:val="0"/>
        <w:spacing w:before="240" w:beforeLines="100" w:after="120" w:afterLines="50" w:line="360" w:lineRule="auto"/>
        <w:jc w:val="center"/>
        <w:rPr>
          <w:rFonts w:hint="eastAsia" w:ascii="宋体" w:hAnsi="宋体" w:eastAsia="宋体" w:cs="黑体"/>
          <w:b/>
          <w:color w:val="auto"/>
          <w:spacing w:val="-1"/>
          <w:sz w:val="32"/>
          <w:szCs w:val="32"/>
          <w:highlight w:val="none"/>
          <w:lang w:eastAsia="zh-Hans"/>
        </w:rPr>
      </w:pPr>
      <w:r>
        <w:rPr>
          <w:rFonts w:hint="eastAsia" w:ascii="宋体" w:hAnsi="宋体" w:eastAsia="宋体" w:cs="黑体"/>
          <w:b/>
          <w:color w:val="auto"/>
          <w:spacing w:val="-1"/>
          <w:sz w:val="32"/>
          <w:szCs w:val="32"/>
          <w:highlight w:val="none"/>
          <w:lang w:eastAsia="zh-Hans"/>
        </w:rPr>
        <w:t>安全运营责任承诺书</w:t>
      </w:r>
    </w:p>
    <w:p w14:paraId="3464AD3F">
      <w:pPr>
        <w:spacing w:line="360" w:lineRule="auto"/>
        <w:ind w:firstLine="480" w:firstLineChars="200"/>
        <w:rPr>
          <w:rFonts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为强化安全经营意识，明确安全责任，防止重大事故发生，维护健康经营和发展，根据《中华人民共和国安全生产法》，本单位就安全经营责任作出如下承诺：</w:t>
      </w:r>
    </w:p>
    <w:p w14:paraId="15570E99">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1.按照有关法律法规规定办理证照，合法经营。</w:t>
      </w:r>
    </w:p>
    <w:p w14:paraId="47D7CCB6">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2.坚持“安全第一、预防为主”的安全经营方针和“谁主管、谁负责；谁使用，谁负责”的原则，严格执行各项安全生产法规，建立安全经营秩序和运行机制，强化安全经营意识，加大安全管理力度。</w:t>
      </w:r>
    </w:p>
    <w:p w14:paraId="3CD546BF">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加强本单位的安全工作。以教育、检查、分析、除患等多种方式，全面落实《突发事件应急处理预案》和经营场所内的各项安全保障措施，从安全大局出发，督促和要求员工切实做好各项安全生产工作。定期开展突发事件灭火、救护、疏散演练，并在演练中不断增强危机处理能力。 </w:t>
      </w:r>
    </w:p>
    <w:p w14:paraId="5D07E50D">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强化消防安全管理。根据《中华人民共和国消防法》的相关法律、法规的规定，本单位承诺为所属区域消防安全责任人。严格履行消防安全责任，积极采取有效措施消除安全隐患，防止火灾发生，并对消防安全负全面责任。场所内严禁实施私搭乱接电线、堆放易燃、易爆物品和危险品等行为。严禁设备超负荷运行及带病作业；安装和修理用电设备、仪器时，由专业人员进行操作并认真检验。未经消防、电力部门允许，不实施使用大功率电器和私拉电力线路等存在消防隐患的行为，以防火灾。服从安全生产、消防主管部门及甲方的统一监督和管理，按规定定期对场馆进行例行安全检查，对消防设施、特种设备进行检修维护，保证疏散通道和安全出口畅通，积极配合完成各项安全、消防工作任务。</w:t>
      </w:r>
    </w:p>
    <w:p w14:paraId="12EB117F">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5.坚决实现“四无一杜绝”：无重大火灾、无安全事故、无重大人身伤害事故及无重大资产损害事故，杜绝恶性人为责任事故并有效控制意外突发事件。</w:t>
      </w:r>
    </w:p>
    <w:p w14:paraId="5F0AEC95">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6.在经营过程中如发生安全责任事故，本单位自愿承担一切安全事故责任。</w:t>
      </w:r>
    </w:p>
    <w:p w14:paraId="4122F9DA">
      <w:pPr>
        <w:spacing w:line="360" w:lineRule="auto"/>
        <w:ind w:left="3570" w:leftChars="1700" w:firstLine="480" w:firstLineChars="200"/>
        <w:rPr>
          <w:rFonts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承诺单位（盖章）：</w:t>
      </w:r>
    </w:p>
    <w:p w14:paraId="75D80558">
      <w:pPr>
        <w:spacing w:line="360" w:lineRule="auto"/>
        <w:ind w:left="3570" w:leftChars="1700" w:firstLine="480" w:firstLineChars="200"/>
        <w:rPr>
          <w:rFonts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 xml:space="preserve">承诺单位法人或授权代表（签字）：         </w:t>
      </w:r>
    </w:p>
    <w:p w14:paraId="7D329F4D">
      <w:pPr>
        <w:spacing w:line="360" w:lineRule="auto"/>
        <w:ind w:left="3570" w:leftChars="1700" w:firstLine="480" w:firstLineChars="200"/>
        <w:rPr>
          <w:rFonts w:hint="eastAsia" w:ascii="宋体" w:hAnsi="宋体" w:eastAsia="宋体" w:cs="宋体"/>
          <w:b/>
          <w:bCs/>
          <w:color w:val="auto"/>
          <w:sz w:val="24"/>
          <w:szCs w:val="24"/>
          <w:highlight w:val="none"/>
        </w:rPr>
      </w:pPr>
      <w:r>
        <w:rPr>
          <w:rFonts w:hint="eastAsia" w:ascii="Times New Roman" w:hAnsi="Times New Roman" w:eastAsia="宋体" w:cs="Times New Roman"/>
          <w:color w:val="auto"/>
          <w:sz w:val="24"/>
          <w:szCs w:val="24"/>
          <w:highlight w:val="none"/>
        </w:rPr>
        <w:t>签订日期：     年    月    日</w:t>
      </w:r>
    </w:p>
    <w:p w14:paraId="1CF82AFD">
      <w:pPr>
        <w:spacing w:before="312" w:beforeLines="100" w:after="156" w:afterLines="50"/>
        <w:outlineLvl w:val="3"/>
        <w:rPr>
          <w:rFonts w:hint="eastAsia" w:ascii="宋体" w:hAnsi="宋体" w:eastAsia="宋体" w:cs="宋体"/>
          <w:b/>
          <w:bCs/>
          <w:color w:val="auto"/>
          <w:spacing w:val="-1"/>
          <w:sz w:val="28"/>
          <w:szCs w:val="28"/>
          <w:highlight w:val="none"/>
          <w:lang w:val="en-US" w:eastAsia="zh-CN"/>
        </w:rPr>
      </w:pPr>
      <w:r>
        <w:rPr>
          <w:rFonts w:hint="eastAsia" w:ascii="宋体" w:hAnsi="宋体" w:eastAsia="宋体" w:cs="宋体"/>
          <w:b/>
          <w:bCs/>
          <w:color w:val="auto"/>
          <w:spacing w:val="-1"/>
          <w:sz w:val="28"/>
          <w:szCs w:val="28"/>
          <w:highlight w:val="none"/>
        </w:rPr>
        <w:t>合同附件</w:t>
      </w:r>
      <w:r>
        <w:rPr>
          <w:rFonts w:hint="eastAsia" w:ascii="宋体" w:hAnsi="宋体" w:eastAsia="宋体" w:cs="宋体"/>
          <w:b/>
          <w:bCs/>
          <w:color w:val="auto"/>
          <w:spacing w:val="-1"/>
          <w:sz w:val="28"/>
          <w:szCs w:val="28"/>
          <w:highlight w:val="none"/>
          <w:lang w:val="en-US" w:eastAsia="zh-CN"/>
        </w:rPr>
        <w:t>4</w:t>
      </w:r>
    </w:p>
    <w:p w14:paraId="7795E514">
      <w:pPr>
        <w:adjustRightInd w:val="0"/>
        <w:snapToGrid w:val="0"/>
        <w:spacing w:before="312" w:beforeLines="100" w:after="156" w:afterLines="50" w:line="360" w:lineRule="auto"/>
        <w:jc w:val="center"/>
        <w:rPr>
          <w:rFonts w:hint="eastAsia" w:ascii="宋体" w:hAnsi="宋体" w:eastAsia="宋体" w:cs="宋体"/>
          <w:b/>
          <w:color w:val="auto"/>
          <w:spacing w:val="-1"/>
          <w:sz w:val="32"/>
          <w:szCs w:val="32"/>
          <w:highlight w:val="none"/>
          <w:lang w:eastAsia="zh-Hans"/>
        </w:rPr>
      </w:pPr>
      <w:r>
        <w:rPr>
          <w:rFonts w:hint="eastAsia" w:ascii="宋体" w:hAnsi="宋体" w:eastAsia="宋体" w:cs="宋体"/>
          <w:b/>
          <w:color w:val="auto"/>
          <w:spacing w:val="-1"/>
          <w:sz w:val="32"/>
          <w:szCs w:val="32"/>
          <w:highlight w:val="none"/>
          <w:lang w:eastAsia="zh-Hans"/>
        </w:rPr>
        <w:t>廉政协议书</w:t>
      </w:r>
    </w:p>
    <w:p w14:paraId="4C8220CF">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甲方：                                                        </w:t>
      </w:r>
    </w:p>
    <w:p w14:paraId="37317872">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乙方：                                                         </w:t>
      </w:r>
    </w:p>
    <w:p w14:paraId="7FE67FAF">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为认真贯彻廉洁、高效的工作原则，建立有效的反商业贿赂机制，加强党风廉政建设，防止经营活动中不正之风和腐败现象的发生，经双方协商同意，签订本协议。</w:t>
      </w:r>
    </w:p>
    <w:p w14:paraId="48BD4759">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第一条协议双方须严格遵守国家法律和廉政建设各项规定及协议。双方有相互监督、遵纪守法、履行协议的义务和权利。</w:t>
      </w:r>
    </w:p>
    <w:p w14:paraId="2066F507">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条甲方及有关工作人员不得利用职务便利以任何理由向乙方索要回扣、佣金、礼金礼券、礼卡及各种有价证券；不得向乙方报销应由甲方及个人支付的费用；不得参加可能对公正执行公务有影响的宴请、资助旅游和各种营业性娱乐活动；不得对乙方无理刁难或设卡。</w:t>
      </w:r>
    </w:p>
    <w:p w14:paraId="28D2E343">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三条乙方在经营活动中必须遵守法律法规和协议规定，不得为获取自身利益而向甲方及有关工作人员赠送现金、礼金礼券、礼卡及各种有价证券；不得与甲方及有关工作人员就协议的有关事宜进行任何不正当的私下交易；不得以洽谈业务、签订协议等为借口邀请甲方及有关工作人员参加宴请、旅游和其他营业性娱乐活动。</w:t>
      </w:r>
    </w:p>
    <w:p w14:paraId="3D655363">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第四条乙方对甲方及有关工作人员的违法违纪行为和不正当要求，可及时据实向甲方纪检、监察部门投诉和举报。</w:t>
      </w:r>
    </w:p>
    <w:p w14:paraId="733CD2D4">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第五条对违反本协议者，根据其后果和违纪程度，可以做出以下处理：批评、诫勉；党纪政纪处分；追究法律责任；追究违约方经济责任；中止协议。</w:t>
      </w:r>
    </w:p>
    <w:p w14:paraId="7F71155C">
      <w:pPr>
        <w:spacing w:line="360" w:lineRule="auto"/>
        <w:ind w:firstLine="480" w:firstLineChars="200"/>
        <w:rPr>
          <w:rFonts w:hint="eastAsia" w:ascii="宋体" w:hAnsi="宋体" w:eastAsia="宋体" w:cs="宋体"/>
          <w:color w:val="auto"/>
          <w:sz w:val="24"/>
          <w:szCs w:val="24"/>
          <w:highlight w:val="none"/>
        </w:rPr>
      </w:pPr>
    </w:p>
    <w:p w14:paraId="304D5E7D">
      <w:pPr>
        <w:spacing w:line="360" w:lineRule="auto"/>
        <w:ind w:firstLine="480" w:firstLineChars="200"/>
        <w:rPr>
          <w:rFonts w:hint="eastAsia" w:ascii="宋体" w:hAnsi="宋体" w:eastAsia="宋体" w:cs="宋体"/>
          <w:color w:val="auto"/>
          <w:sz w:val="24"/>
          <w:szCs w:val="24"/>
          <w:highlight w:val="none"/>
          <w:lang w:eastAsia="zh-Hans"/>
        </w:rPr>
      </w:pPr>
      <w:r>
        <w:rPr>
          <w:rFonts w:hint="eastAsia" w:ascii="宋体" w:hAnsi="宋体" w:eastAsia="宋体" w:cs="宋体"/>
          <w:color w:val="auto"/>
          <w:sz w:val="24"/>
          <w:szCs w:val="24"/>
          <w:highlight w:val="none"/>
          <w:lang w:eastAsia="zh-Hans"/>
        </w:rPr>
        <w:t>甲方(盖章)：</w:t>
      </w:r>
    </w:p>
    <w:p w14:paraId="232EA2D3">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Hans"/>
        </w:rPr>
        <w:t>乙方(盖章)：</w:t>
      </w:r>
    </w:p>
    <w:p w14:paraId="0BDC1068">
      <w:pPr>
        <w:widowControl/>
        <w:jc w:val="left"/>
        <w:rPr>
          <w:rFonts w:hint="eastAsia" w:ascii="宋体" w:hAnsi="宋体" w:eastAsia="宋体" w:cs="宋体"/>
          <w:color w:val="auto"/>
          <w:sz w:val="24"/>
          <w:highlight w:val="none"/>
        </w:rPr>
      </w:pPr>
    </w:p>
    <w:p w14:paraId="2918B72E">
      <w:pPr>
        <w:pStyle w:val="2"/>
        <w:rPr>
          <w:rFonts w:hint="eastAsia"/>
          <w:color w:val="auto"/>
          <w:highlight w:val="none"/>
        </w:rPr>
      </w:pPr>
    </w:p>
    <w:p w14:paraId="146E0FD2">
      <w:pPr>
        <w:spacing w:line="360" w:lineRule="auto"/>
        <w:jc w:val="center"/>
        <w:outlineLvl w:val="1"/>
        <w:rPr>
          <w:rFonts w:hint="eastAsia" w:ascii="宋体" w:hAnsi="宋体" w:eastAsia="宋体" w:cs="宋体"/>
          <w:b/>
          <w:color w:val="auto"/>
          <w:sz w:val="28"/>
          <w:highlight w:val="none"/>
        </w:rPr>
      </w:pPr>
      <w:bookmarkStart w:id="156" w:name="_Toc47026337"/>
      <w:r>
        <w:rPr>
          <w:rFonts w:hint="eastAsia" w:ascii="宋体" w:hAnsi="宋体" w:eastAsia="宋体" w:cs="宋体"/>
          <w:b/>
          <w:color w:val="auto"/>
          <w:sz w:val="28"/>
          <w:highlight w:val="none"/>
        </w:rPr>
        <w:t>第六章  响应文件格式</w:t>
      </w:r>
      <w:bookmarkEnd w:id="156"/>
    </w:p>
    <w:p w14:paraId="6F643376">
      <w:pPr>
        <w:snapToGrid w:val="0"/>
        <w:spacing w:line="640" w:lineRule="exact"/>
        <w:jc w:val="center"/>
        <w:rPr>
          <w:rFonts w:eastAsia="黑体"/>
          <w:b/>
          <w:bCs/>
          <w:color w:val="auto"/>
          <w:spacing w:val="-20"/>
          <w:sz w:val="40"/>
          <w:szCs w:val="40"/>
          <w:highlight w:val="none"/>
        </w:rPr>
      </w:pPr>
      <w:r>
        <w:rPr>
          <w:rFonts w:hint="eastAsia" w:ascii="宋体" w:hAnsi="宋体" w:eastAsia="宋体" w:cs="宋体"/>
          <w:color w:val="auto"/>
          <w:sz w:val="24"/>
          <w:szCs w:val="18"/>
          <w:highlight w:val="none"/>
          <w:u w:val="single"/>
          <w:lang w:eastAsia="zh-CN"/>
        </w:rPr>
        <w:t>包河区公共阅读空间罍街悦书房文创采购招标</w:t>
      </w:r>
    </w:p>
    <w:p w14:paraId="48263B8C">
      <w:pPr>
        <w:spacing w:line="900" w:lineRule="exact"/>
        <w:jc w:val="center"/>
        <w:rPr>
          <w:rFonts w:hint="default" w:ascii="宋体" w:hAnsi="宋体" w:eastAsia="宋体" w:cs="宋体"/>
          <w:b/>
          <w:color w:val="auto"/>
          <w:sz w:val="72"/>
          <w:highlight w:val="none"/>
          <w:lang w:val="en-US" w:eastAsia="zh-CN"/>
        </w:rPr>
      </w:pPr>
    </w:p>
    <w:p w14:paraId="09E5D058">
      <w:pPr>
        <w:spacing w:line="900" w:lineRule="exact"/>
        <w:jc w:val="center"/>
        <w:rPr>
          <w:rFonts w:hint="eastAsia" w:ascii="宋体" w:hAnsi="宋体" w:eastAsia="宋体" w:cs="宋体"/>
          <w:b/>
          <w:color w:val="auto"/>
          <w:sz w:val="72"/>
          <w:highlight w:val="none"/>
        </w:rPr>
      </w:pPr>
      <w:r>
        <w:rPr>
          <w:rFonts w:hint="eastAsia" w:ascii="宋体" w:hAnsi="宋体" w:eastAsia="宋体" w:cs="宋体"/>
          <w:b/>
          <w:color w:val="auto"/>
          <w:sz w:val="72"/>
          <w:highlight w:val="none"/>
        </w:rPr>
        <w:t>响</w:t>
      </w:r>
    </w:p>
    <w:p w14:paraId="50767B16">
      <w:pPr>
        <w:spacing w:line="900" w:lineRule="exact"/>
        <w:jc w:val="center"/>
        <w:rPr>
          <w:rFonts w:hint="eastAsia" w:ascii="宋体" w:hAnsi="宋体" w:eastAsia="宋体" w:cs="宋体"/>
          <w:b/>
          <w:color w:val="auto"/>
          <w:sz w:val="72"/>
          <w:highlight w:val="none"/>
        </w:rPr>
      </w:pPr>
    </w:p>
    <w:p w14:paraId="6C5CE0E4">
      <w:pPr>
        <w:spacing w:line="900" w:lineRule="exact"/>
        <w:jc w:val="center"/>
        <w:rPr>
          <w:rFonts w:hint="eastAsia" w:ascii="宋体" w:hAnsi="宋体" w:eastAsia="宋体" w:cs="宋体"/>
          <w:b/>
          <w:color w:val="auto"/>
          <w:sz w:val="72"/>
          <w:highlight w:val="none"/>
        </w:rPr>
      </w:pPr>
      <w:r>
        <w:rPr>
          <w:rFonts w:hint="eastAsia" w:ascii="宋体" w:hAnsi="宋体" w:eastAsia="宋体" w:cs="宋体"/>
          <w:b/>
          <w:color w:val="auto"/>
          <w:sz w:val="72"/>
          <w:highlight w:val="none"/>
        </w:rPr>
        <w:t>应</w:t>
      </w:r>
    </w:p>
    <w:p w14:paraId="422C8C3B">
      <w:pPr>
        <w:spacing w:line="900" w:lineRule="exact"/>
        <w:jc w:val="center"/>
        <w:rPr>
          <w:rFonts w:hint="eastAsia" w:ascii="宋体" w:hAnsi="宋体" w:eastAsia="宋体" w:cs="宋体"/>
          <w:b/>
          <w:color w:val="auto"/>
          <w:sz w:val="72"/>
          <w:highlight w:val="none"/>
        </w:rPr>
      </w:pPr>
    </w:p>
    <w:p w14:paraId="420C8196">
      <w:pPr>
        <w:spacing w:line="900" w:lineRule="exact"/>
        <w:jc w:val="center"/>
        <w:rPr>
          <w:rFonts w:hint="eastAsia" w:ascii="宋体" w:hAnsi="宋体" w:eastAsia="宋体" w:cs="宋体"/>
          <w:b/>
          <w:color w:val="auto"/>
          <w:sz w:val="72"/>
          <w:highlight w:val="none"/>
        </w:rPr>
      </w:pPr>
      <w:r>
        <w:rPr>
          <w:rFonts w:hint="eastAsia" w:ascii="宋体" w:hAnsi="宋体" w:eastAsia="宋体" w:cs="宋体"/>
          <w:b/>
          <w:color w:val="auto"/>
          <w:sz w:val="72"/>
          <w:highlight w:val="none"/>
        </w:rPr>
        <w:t>文</w:t>
      </w:r>
    </w:p>
    <w:p w14:paraId="74D41C46">
      <w:pPr>
        <w:spacing w:line="900" w:lineRule="exact"/>
        <w:jc w:val="center"/>
        <w:rPr>
          <w:rFonts w:hint="eastAsia" w:ascii="宋体" w:hAnsi="宋体" w:eastAsia="宋体" w:cs="宋体"/>
          <w:b/>
          <w:color w:val="auto"/>
          <w:sz w:val="72"/>
          <w:highlight w:val="none"/>
        </w:rPr>
      </w:pPr>
    </w:p>
    <w:p w14:paraId="084D9FE5">
      <w:pPr>
        <w:jc w:val="center"/>
        <w:rPr>
          <w:rFonts w:hint="eastAsia" w:ascii="宋体" w:hAnsi="宋体" w:eastAsia="宋体" w:cs="宋体"/>
          <w:b/>
          <w:color w:val="auto"/>
          <w:sz w:val="72"/>
          <w:highlight w:val="none"/>
        </w:rPr>
      </w:pPr>
      <w:r>
        <w:rPr>
          <w:rFonts w:hint="eastAsia" w:ascii="宋体" w:hAnsi="宋体" w:eastAsia="宋体" w:cs="宋体"/>
          <w:b/>
          <w:color w:val="auto"/>
          <w:sz w:val="72"/>
          <w:highlight w:val="none"/>
        </w:rPr>
        <w:t>件</w:t>
      </w:r>
    </w:p>
    <w:p w14:paraId="24FBCE6A">
      <w:pPr>
        <w:spacing w:after="156" w:afterLines="50"/>
        <w:jc w:val="center"/>
        <w:rPr>
          <w:rFonts w:hint="eastAsia" w:ascii="宋体" w:hAnsi="宋体" w:eastAsia="宋体" w:cs="宋体"/>
          <w:b/>
          <w:color w:val="auto"/>
          <w:sz w:val="72"/>
          <w:highlight w:val="none"/>
        </w:rPr>
      </w:pPr>
    </w:p>
    <w:p w14:paraId="5643CB4B">
      <w:pPr>
        <w:spacing w:after="156" w:afterLines="50" w:line="500" w:lineRule="exact"/>
        <w:jc w:val="center"/>
        <w:rPr>
          <w:rFonts w:hint="eastAsia" w:ascii="宋体" w:hAnsi="宋体" w:eastAsia="宋体" w:cs="宋体"/>
          <w:b/>
          <w:color w:val="auto"/>
          <w:sz w:val="28"/>
          <w:szCs w:val="28"/>
          <w:highlight w:val="none"/>
        </w:rPr>
      </w:pPr>
    </w:p>
    <w:p w14:paraId="01DAEC45">
      <w:pPr>
        <w:spacing w:after="156" w:afterLines="50" w:line="500" w:lineRule="exact"/>
        <w:jc w:val="center"/>
        <w:rPr>
          <w:rFonts w:hint="eastAsia" w:ascii="宋体" w:hAnsi="宋体" w:eastAsia="宋体" w:cs="宋体"/>
          <w:b/>
          <w:color w:val="auto"/>
          <w:sz w:val="72"/>
          <w:highlight w:val="none"/>
        </w:rPr>
      </w:pPr>
    </w:p>
    <w:p w14:paraId="46A6B562">
      <w:pPr>
        <w:spacing w:after="156" w:afterLines="50" w:line="500" w:lineRule="exact"/>
        <w:ind w:firstLine="2522" w:firstLineChars="785"/>
        <w:rPr>
          <w:rFonts w:hint="eastAsia" w:ascii="宋体" w:hAnsi="宋体" w:eastAsia="宋体" w:cs="宋体"/>
          <w:b/>
          <w:color w:val="auto"/>
          <w:sz w:val="32"/>
          <w:highlight w:val="none"/>
          <w:u w:val="single"/>
        </w:rPr>
      </w:pPr>
      <w:r>
        <w:rPr>
          <w:rFonts w:hint="eastAsia" w:ascii="宋体" w:hAnsi="宋体" w:eastAsia="宋体" w:cs="宋体"/>
          <w:b/>
          <w:color w:val="auto"/>
          <w:sz w:val="32"/>
          <w:highlight w:val="none"/>
        </w:rPr>
        <w:t>投标人：</w:t>
      </w:r>
      <w:r>
        <w:rPr>
          <w:rFonts w:hint="eastAsia" w:ascii="宋体" w:hAnsi="宋体" w:eastAsia="宋体" w:cs="宋体"/>
          <w:b/>
          <w:color w:val="auto"/>
          <w:sz w:val="32"/>
          <w:highlight w:val="none"/>
          <w:u w:val="single"/>
        </w:rPr>
        <w:t xml:space="preserve">               </w:t>
      </w:r>
    </w:p>
    <w:p w14:paraId="048951CA">
      <w:pPr>
        <w:spacing w:after="156" w:afterLines="50" w:line="500" w:lineRule="exact"/>
        <w:jc w:val="center"/>
        <w:rPr>
          <w:rFonts w:hint="eastAsia" w:ascii="宋体" w:hAnsi="宋体" w:eastAsia="宋体" w:cs="宋体"/>
          <w:b/>
          <w:color w:val="auto"/>
          <w:sz w:val="32"/>
          <w:highlight w:val="none"/>
        </w:rPr>
      </w:pPr>
      <w:r>
        <w:rPr>
          <w:rFonts w:hint="eastAsia" w:ascii="宋体" w:hAnsi="宋体" w:eastAsia="宋体" w:cs="宋体"/>
          <w:b/>
          <w:color w:val="auto"/>
          <w:sz w:val="32"/>
          <w:highlight w:val="none"/>
          <w:u w:val="single"/>
        </w:rPr>
        <w:t xml:space="preserve">    </w:t>
      </w:r>
      <w:r>
        <w:rPr>
          <w:rFonts w:hint="eastAsia" w:ascii="宋体" w:hAnsi="宋体" w:eastAsia="宋体" w:cs="宋体"/>
          <w:b/>
          <w:color w:val="auto"/>
          <w:sz w:val="32"/>
          <w:highlight w:val="none"/>
        </w:rPr>
        <w:t>年</w:t>
      </w:r>
      <w:r>
        <w:rPr>
          <w:rFonts w:hint="eastAsia" w:ascii="宋体" w:hAnsi="宋体" w:eastAsia="宋体" w:cs="宋体"/>
          <w:b/>
          <w:color w:val="auto"/>
          <w:sz w:val="32"/>
          <w:highlight w:val="none"/>
          <w:u w:val="single"/>
        </w:rPr>
        <w:t xml:space="preserve">  </w:t>
      </w:r>
      <w:r>
        <w:rPr>
          <w:rFonts w:hint="eastAsia" w:ascii="宋体" w:hAnsi="宋体" w:eastAsia="宋体" w:cs="宋体"/>
          <w:b/>
          <w:color w:val="auto"/>
          <w:sz w:val="32"/>
          <w:highlight w:val="none"/>
        </w:rPr>
        <w:t>月</w:t>
      </w:r>
      <w:r>
        <w:rPr>
          <w:rFonts w:hint="eastAsia" w:ascii="宋体" w:hAnsi="宋体" w:eastAsia="宋体" w:cs="宋体"/>
          <w:b/>
          <w:color w:val="auto"/>
          <w:sz w:val="32"/>
          <w:highlight w:val="none"/>
          <w:u w:val="single"/>
        </w:rPr>
        <w:t xml:space="preserve">  </w:t>
      </w:r>
      <w:r>
        <w:rPr>
          <w:rFonts w:hint="eastAsia" w:ascii="宋体" w:hAnsi="宋体" w:eastAsia="宋体" w:cs="宋体"/>
          <w:b/>
          <w:color w:val="auto"/>
          <w:sz w:val="32"/>
          <w:highlight w:val="none"/>
        </w:rPr>
        <w:t>日</w:t>
      </w:r>
    </w:p>
    <w:p w14:paraId="23136D0E">
      <w:pPr>
        <w:widowControl/>
        <w:jc w:val="left"/>
        <w:rPr>
          <w:rFonts w:hint="eastAsia" w:ascii="宋体" w:hAnsi="宋体" w:eastAsia="宋体" w:cs="宋体"/>
          <w:b/>
          <w:color w:val="auto"/>
          <w:sz w:val="28"/>
          <w:highlight w:val="none"/>
        </w:rPr>
      </w:pPr>
      <w:r>
        <w:rPr>
          <w:rFonts w:hint="eastAsia" w:ascii="宋体" w:hAnsi="宋体" w:eastAsia="宋体" w:cs="宋体"/>
          <w:b/>
          <w:color w:val="auto"/>
          <w:sz w:val="28"/>
          <w:highlight w:val="none"/>
        </w:rPr>
        <w:br w:type="page"/>
      </w:r>
    </w:p>
    <w:p w14:paraId="3B4B6E2E">
      <w:pPr>
        <w:spacing w:line="360" w:lineRule="auto"/>
        <w:jc w:val="center"/>
        <w:outlineLvl w:val="2"/>
        <w:rPr>
          <w:rFonts w:hint="eastAsia" w:ascii="宋体" w:hAnsi="宋体" w:eastAsia="宋体" w:cs="宋体"/>
          <w:b/>
          <w:color w:val="auto"/>
          <w:sz w:val="24"/>
          <w:highlight w:val="none"/>
        </w:rPr>
      </w:pPr>
      <w:bookmarkStart w:id="157" w:name="_Toc461053086"/>
      <w:bookmarkStart w:id="158" w:name="_Toc461056631"/>
      <w:bookmarkStart w:id="159" w:name="_Toc520983587"/>
      <w:r>
        <w:rPr>
          <w:rFonts w:hint="eastAsia" w:ascii="宋体" w:hAnsi="宋体" w:eastAsia="宋体" w:cs="宋体"/>
          <w:b/>
          <w:color w:val="auto"/>
          <w:sz w:val="24"/>
          <w:highlight w:val="none"/>
        </w:rPr>
        <w:t>一</w:t>
      </w:r>
      <w:bookmarkEnd w:id="157"/>
      <w:bookmarkEnd w:id="158"/>
      <w:r>
        <w:rPr>
          <w:rFonts w:hint="eastAsia" w:ascii="宋体" w:hAnsi="宋体" w:eastAsia="宋体" w:cs="宋体"/>
          <w:b/>
          <w:color w:val="auto"/>
          <w:sz w:val="24"/>
          <w:highlight w:val="none"/>
        </w:rPr>
        <w:t>、报价表格式</w:t>
      </w:r>
      <w:bookmarkEnd w:id="159"/>
    </w:p>
    <w:p w14:paraId="57CEA81C">
      <w:pPr>
        <w:spacing w:before="156" w:beforeLines="50" w:after="156" w:afterLines="50" w:line="360" w:lineRule="auto"/>
        <w:jc w:val="left"/>
        <w:rPr>
          <w:rFonts w:hint="eastAsia" w:ascii="宋体" w:hAnsi="宋体" w:eastAsia="宋体" w:cs="宋体"/>
          <w:b/>
          <w:color w:val="auto"/>
          <w:sz w:val="24"/>
          <w:szCs w:val="28"/>
          <w:highlight w:val="none"/>
        </w:rPr>
      </w:pPr>
      <w:r>
        <w:rPr>
          <w:rFonts w:hint="eastAsia" w:ascii="宋体" w:hAnsi="宋体" w:eastAsia="宋体" w:cs="宋体"/>
          <w:b/>
          <w:color w:val="auto"/>
          <w:sz w:val="24"/>
          <w:szCs w:val="28"/>
          <w:highlight w:val="none"/>
        </w:rPr>
        <w:t>1-1 报价表</w:t>
      </w:r>
    </w:p>
    <w:p w14:paraId="2E142C5D">
      <w:pPr>
        <w:snapToGrid w:val="0"/>
        <w:spacing w:line="360" w:lineRule="auto"/>
        <w:jc w:val="left"/>
        <w:rPr>
          <w:rFonts w:hint="eastAsia" w:ascii="宋体" w:hAnsi="宋体" w:eastAsia="宋体" w:cs="宋体"/>
          <w:b/>
          <w:color w:val="auto"/>
          <w:sz w:val="24"/>
          <w:szCs w:val="28"/>
          <w:highlight w:val="none"/>
        </w:rPr>
      </w:pPr>
      <w:r>
        <w:rPr>
          <w:rFonts w:hint="eastAsia" w:ascii="宋体" w:hAnsi="宋体" w:eastAsia="宋体" w:cs="宋体"/>
          <w:b/>
          <w:color w:val="auto"/>
          <w:sz w:val="24"/>
          <w:szCs w:val="28"/>
          <w:highlight w:val="none"/>
        </w:rPr>
        <w:t>项目名称：</w:t>
      </w:r>
      <w:r>
        <w:rPr>
          <w:rFonts w:hint="eastAsia" w:ascii="宋体" w:hAnsi="宋体" w:eastAsia="宋体" w:cs="宋体"/>
          <w:b/>
          <w:color w:val="auto"/>
          <w:sz w:val="24"/>
          <w:szCs w:val="28"/>
          <w:highlight w:val="none"/>
          <w:u w:val="single"/>
        </w:rPr>
        <w:t xml:space="preserve"> 包河区公共阅读空间罍街悦书房文创采购招标 </w:t>
      </w:r>
    </w:p>
    <w:p w14:paraId="56F6BEBB">
      <w:pPr>
        <w:snapToGrid w:val="0"/>
        <w:spacing w:after="156" w:afterLines="50" w:line="360" w:lineRule="auto"/>
        <w:jc w:val="left"/>
        <w:rPr>
          <w:rFonts w:hint="eastAsia" w:ascii="宋体" w:hAnsi="宋体" w:eastAsia="宋体" w:cs="宋体"/>
          <w:b/>
          <w:bCs/>
          <w:color w:val="auto"/>
          <w:sz w:val="24"/>
          <w:szCs w:val="28"/>
          <w:highlight w:val="none"/>
          <w:u w:val="single"/>
        </w:rPr>
      </w:pPr>
      <w:r>
        <w:rPr>
          <w:rFonts w:hint="eastAsia" w:ascii="宋体" w:hAnsi="宋体" w:eastAsia="宋体" w:cs="宋体"/>
          <w:b/>
          <w:color w:val="auto"/>
          <w:sz w:val="24"/>
          <w:szCs w:val="28"/>
          <w:highlight w:val="none"/>
        </w:rPr>
        <w:t>项目编号：</w:t>
      </w:r>
      <w:r>
        <w:rPr>
          <w:rFonts w:hint="eastAsia" w:ascii="宋体" w:hAnsi="宋体" w:eastAsia="宋体" w:cs="宋体"/>
          <w:b/>
          <w:color w:val="auto"/>
          <w:sz w:val="24"/>
          <w:szCs w:val="28"/>
          <w:highlight w:val="none"/>
          <w:u w:val="single"/>
          <w:lang w:val="en-US" w:eastAsia="zh-CN"/>
        </w:rPr>
        <w:t xml:space="preserve"> BHSG-ZTB-2025-11</w:t>
      </w:r>
      <w:r>
        <w:rPr>
          <w:rFonts w:hint="eastAsia" w:ascii="宋体" w:hAnsi="宋体" w:eastAsia="宋体" w:cs="宋体"/>
          <w:b/>
          <w:color w:val="auto"/>
          <w:sz w:val="24"/>
          <w:szCs w:val="28"/>
          <w:highlight w:val="none"/>
          <w:u w:val="single"/>
        </w:rPr>
        <w:t xml:space="preserve"> </w:t>
      </w:r>
    </w:p>
    <w:tbl>
      <w:tblPr>
        <w:tblStyle w:val="23"/>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59"/>
        <w:gridCol w:w="6063"/>
      </w:tblGrid>
      <w:tr w14:paraId="06D74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2459" w:type="dxa"/>
            <w:tcBorders>
              <w:top w:val="single" w:color="auto" w:sz="4" w:space="0"/>
              <w:left w:val="single" w:color="auto" w:sz="4" w:space="0"/>
              <w:bottom w:val="single" w:color="auto" w:sz="4" w:space="0"/>
              <w:right w:val="single" w:color="auto" w:sz="4" w:space="0"/>
            </w:tcBorders>
            <w:vAlign w:val="center"/>
          </w:tcPr>
          <w:p w14:paraId="52FFE8B2">
            <w:pPr>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投标人名称</w:t>
            </w:r>
          </w:p>
        </w:tc>
        <w:tc>
          <w:tcPr>
            <w:tcW w:w="6063" w:type="dxa"/>
            <w:tcBorders>
              <w:left w:val="single" w:color="auto" w:sz="4" w:space="0"/>
            </w:tcBorders>
          </w:tcPr>
          <w:p w14:paraId="3E8EC98F">
            <w:pPr>
              <w:spacing w:line="360" w:lineRule="auto"/>
              <w:rPr>
                <w:rFonts w:hint="eastAsia" w:ascii="宋体" w:hAnsi="宋体" w:eastAsia="宋体" w:cs="宋体"/>
                <w:b/>
                <w:color w:val="auto"/>
                <w:sz w:val="24"/>
                <w:highlight w:val="none"/>
              </w:rPr>
            </w:pPr>
          </w:p>
        </w:tc>
      </w:tr>
      <w:tr w14:paraId="1B294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2459" w:type="dxa"/>
            <w:tcBorders>
              <w:top w:val="single" w:color="auto" w:sz="4" w:space="0"/>
              <w:left w:val="single" w:color="auto" w:sz="4" w:space="0"/>
              <w:bottom w:val="single" w:color="auto" w:sz="4" w:space="0"/>
              <w:right w:val="single" w:color="auto" w:sz="4" w:space="0"/>
            </w:tcBorders>
            <w:vAlign w:val="center"/>
          </w:tcPr>
          <w:p w14:paraId="0B81A061">
            <w:pPr>
              <w:spacing w:line="360" w:lineRule="exact"/>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磋商范围</w:t>
            </w:r>
          </w:p>
        </w:tc>
        <w:tc>
          <w:tcPr>
            <w:tcW w:w="6063" w:type="dxa"/>
            <w:tcBorders>
              <w:left w:val="single" w:color="auto" w:sz="4" w:space="0"/>
            </w:tcBorders>
            <w:vAlign w:val="center"/>
          </w:tcPr>
          <w:p w14:paraId="1212D4D4">
            <w:pPr>
              <w:widowControl/>
              <w:spacing w:line="360" w:lineRule="exact"/>
              <w:rPr>
                <w:rFonts w:hint="eastAsia" w:ascii="宋体" w:hAnsi="宋体" w:eastAsia="宋体" w:cs="宋体"/>
                <w:b/>
                <w:color w:val="auto"/>
                <w:sz w:val="24"/>
                <w:highlight w:val="none"/>
              </w:rPr>
            </w:pPr>
            <w:r>
              <w:rPr>
                <w:rFonts w:hint="eastAsia" w:ascii="宋体" w:hAnsi="宋体" w:eastAsia="宋体" w:cs="宋体"/>
                <w:b/>
                <w:color w:val="auto"/>
                <w:sz w:val="24"/>
                <w:highlight w:val="none"/>
                <w:u w:val="single"/>
              </w:rPr>
              <w:t>包河区公共阅读空间罍街悦书房文创采购招标</w:t>
            </w:r>
          </w:p>
        </w:tc>
      </w:tr>
      <w:tr w14:paraId="4B957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2459" w:type="dxa"/>
            <w:tcBorders>
              <w:top w:val="single" w:color="auto" w:sz="4" w:space="0"/>
            </w:tcBorders>
            <w:vAlign w:val="center"/>
          </w:tcPr>
          <w:p w14:paraId="293978A7">
            <w:pPr>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报价</w:t>
            </w:r>
          </w:p>
        </w:tc>
        <w:tc>
          <w:tcPr>
            <w:tcW w:w="6063" w:type="dxa"/>
            <w:vAlign w:val="center"/>
          </w:tcPr>
          <w:p w14:paraId="1CD65811">
            <w:pPr>
              <w:snapToGrid w:val="0"/>
              <w:spacing w:line="360" w:lineRule="auto"/>
              <w:rPr>
                <w:rFonts w:hint="eastAsia" w:ascii="宋体" w:hAnsi="宋体" w:eastAsia="宋体" w:cs="宋体"/>
                <w:color w:val="auto"/>
                <w:sz w:val="24"/>
                <w:szCs w:val="28"/>
                <w:highlight w:val="none"/>
              </w:rPr>
            </w:pPr>
          </w:p>
          <w:p w14:paraId="65FD3CE5">
            <w:pPr>
              <w:snapToGrid w:val="0"/>
              <w:spacing w:line="360" w:lineRule="auto"/>
              <w:rPr>
                <w:rFonts w:hint="eastAsia" w:ascii="宋体" w:hAnsi="宋体" w:eastAsia="宋体" w:cs="宋体"/>
                <w:bCs/>
                <w:color w:val="auto"/>
                <w:sz w:val="24"/>
                <w:highlight w:val="none"/>
                <w:u w:val="single"/>
              </w:rPr>
            </w:pPr>
            <w:bookmarkStart w:id="160" w:name="OLE_LINK3"/>
            <w:r>
              <w:rPr>
                <w:rFonts w:hint="eastAsia" w:ascii="宋体" w:hAnsi="宋体" w:eastAsia="宋体" w:cs="宋体"/>
                <w:bCs/>
                <w:color w:val="auto"/>
                <w:sz w:val="24"/>
                <w:highlight w:val="none"/>
              </w:rPr>
              <w:t>投标人分成比例</w:t>
            </w:r>
            <w:bookmarkEnd w:id="160"/>
            <w:r>
              <w:rPr>
                <w:rFonts w:hint="eastAsia" w:ascii="宋体" w:hAnsi="宋体" w:eastAsia="宋体" w:cs="宋体"/>
                <w:bCs/>
                <w:color w:val="auto"/>
                <w:sz w:val="24"/>
                <w:highlight w:val="none"/>
                <w:u w:val="single"/>
              </w:rPr>
              <w:t xml:space="preserve">           %（保留两位小数）</w:t>
            </w:r>
          </w:p>
          <w:p w14:paraId="3F160A4A">
            <w:pPr>
              <w:snapToGrid w:val="0"/>
              <w:spacing w:line="360" w:lineRule="auto"/>
              <w:rPr>
                <w:rFonts w:hint="eastAsia" w:ascii="宋体" w:hAnsi="宋体" w:eastAsia="宋体" w:cs="宋体"/>
                <w:b/>
                <w:color w:val="auto"/>
                <w:sz w:val="24"/>
                <w:highlight w:val="none"/>
              </w:rPr>
            </w:pPr>
          </w:p>
        </w:tc>
      </w:tr>
      <w:tr w14:paraId="441F6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7" w:hRule="atLeast"/>
          <w:jc w:val="center"/>
        </w:trPr>
        <w:tc>
          <w:tcPr>
            <w:tcW w:w="2459" w:type="dxa"/>
            <w:vAlign w:val="center"/>
          </w:tcPr>
          <w:p w14:paraId="411CB80E">
            <w:pPr>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备注说明</w:t>
            </w:r>
          </w:p>
        </w:tc>
        <w:tc>
          <w:tcPr>
            <w:tcW w:w="6063" w:type="dxa"/>
          </w:tcPr>
          <w:p w14:paraId="05CDD2DF">
            <w:pPr>
              <w:spacing w:line="360" w:lineRule="auto"/>
              <w:rPr>
                <w:rFonts w:hint="eastAsia" w:ascii="宋体" w:hAnsi="宋体" w:eastAsia="宋体" w:cs="宋体"/>
                <w:b/>
                <w:color w:val="auto"/>
                <w:sz w:val="24"/>
                <w:highlight w:val="none"/>
              </w:rPr>
            </w:pPr>
          </w:p>
        </w:tc>
      </w:tr>
    </w:tbl>
    <w:p w14:paraId="0434B25F">
      <w:pPr>
        <w:spacing w:line="440" w:lineRule="exact"/>
        <w:ind w:firstLine="5520" w:firstLineChars="2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投标人公章：             </w:t>
      </w:r>
    </w:p>
    <w:p w14:paraId="74AB8FB8">
      <w:pPr>
        <w:spacing w:line="440" w:lineRule="exact"/>
        <w:ind w:firstLine="5520" w:firstLineChars="2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日          期：             </w:t>
      </w:r>
    </w:p>
    <w:p w14:paraId="74B5824C">
      <w:pPr>
        <w:adjustRightInd w:val="0"/>
        <w:snapToGrid w:val="0"/>
        <w:spacing w:line="360" w:lineRule="auto"/>
        <w:rPr>
          <w:rFonts w:hint="eastAsia" w:ascii="宋体" w:hAnsi="宋体" w:eastAsia="宋体" w:cs="宋体"/>
          <w:b/>
          <w:bCs/>
          <w:color w:val="auto"/>
          <w:sz w:val="24"/>
          <w:szCs w:val="28"/>
          <w:highlight w:val="none"/>
        </w:rPr>
      </w:pPr>
      <w:r>
        <w:rPr>
          <w:rFonts w:hint="eastAsia" w:ascii="宋体" w:hAnsi="宋体" w:eastAsia="宋体" w:cs="宋体"/>
          <w:b/>
          <w:bCs/>
          <w:color w:val="auto"/>
          <w:sz w:val="24"/>
          <w:szCs w:val="28"/>
          <w:highlight w:val="none"/>
        </w:rPr>
        <w:t>注：</w:t>
      </w:r>
    </w:p>
    <w:p w14:paraId="72549292">
      <w:pPr>
        <w:adjustRightInd w:val="0"/>
        <w:snapToGrid w:val="0"/>
        <w:spacing w:line="360" w:lineRule="auto"/>
        <w:ind w:firstLine="482" w:firstLineChars="200"/>
        <w:rPr>
          <w:rFonts w:hint="eastAsia" w:ascii="宋体" w:hAnsi="宋体" w:eastAsia="宋体" w:cs="宋体"/>
          <w:color w:val="auto"/>
          <w:sz w:val="24"/>
          <w:highlight w:val="none"/>
        </w:rPr>
      </w:pPr>
      <w:r>
        <w:rPr>
          <w:rFonts w:hint="eastAsia" w:ascii="宋体" w:hAnsi="宋体" w:eastAsia="宋体" w:cs="宋体"/>
          <w:b/>
          <w:bCs/>
          <w:color w:val="auto"/>
          <w:sz w:val="24"/>
          <w:szCs w:val="28"/>
          <w:highlight w:val="none"/>
        </w:rPr>
        <w:t>1.本表内容根据磋商文件要求包括了课程培训服务及现场落地、安装及设施设备耗损、调试、培训、技术服务（包括技术资料、图纸的提供）质保期内的售后服务保障等所有费用。</w:t>
      </w:r>
    </w:p>
    <w:p w14:paraId="3187D9B6">
      <w:pPr>
        <w:adjustRightInd w:val="0"/>
        <w:snapToGrid w:val="0"/>
        <w:spacing w:line="360" w:lineRule="auto"/>
        <w:ind w:firstLine="482" w:firstLineChars="200"/>
        <w:rPr>
          <w:rFonts w:hint="eastAsia" w:ascii="宋体" w:hAnsi="宋体" w:eastAsia="宋体" w:cs="宋体"/>
          <w:b/>
          <w:bCs/>
          <w:color w:val="auto"/>
          <w:sz w:val="24"/>
          <w:szCs w:val="28"/>
          <w:highlight w:val="none"/>
        </w:rPr>
      </w:pPr>
      <w:r>
        <w:rPr>
          <w:rFonts w:hint="eastAsia" w:ascii="宋体" w:hAnsi="宋体" w:eastAsia="宋体" w:cs="宋体"/>
          <w:b/>
          <w:bCs/>
          <w:color w:val="auto"/>
          <w:sz w:val="24"/>
          <w:szCs w:val="28"/>
          <w:highlight w:val="none"/>
        </w:rPr>
        <w:t>2.特殊事项在备注中注明。</w:t>
      </w:r>
    </w:p>
    <w:p w14:paraId="0A669C8F">
      <w:pPr>
        <w:adjustRightInd w:val="0"/>
        <w:snapToGrid w:val="0"/>
        <w:spacing w:line="360" w:lineRule="auto"/>
        <w:ind w:firstLine="482" w:firstLineChars="200"/>
        <w:rPr>
          <w:rFonts w:hint="eastAsia" w:ascii="宋体" w:hAnsi="宋体" w:eastAsia="宋体" w:cs="宋体"/>
          <w:b/>
          <w:bCs/>
          <w:color w:val="auto"/>
          <w:sz w:val="24"/>
          <w:szCs w:val="28"/>
          <w:highlight w:val="none"/>
        </w:rPr>
      </w:pPr>
      <w:r>
        <w:rPr>
          <w:rFonts w:hint="eastAsia" w:ascii="宋体" w:hAnsi="宋体" w:eastAsia="宋体" w:cs="宋体"/>
          <w:b/>
          <w:bCs/>
          <w:color w:val="auto"/>
          <w:sz w:val="24"/>
          <w:szCs w:val="28"/>
          <w:highlight w:val="none"/>
        </w:rPr>
        <w:t>3.投标人应根据其响应文件中报价表的内容填写唱标信息，唱标信息不作为评审的依据。唱标信息与报价表不一致的，以报价表为准。报价表报价仅需</w:t>
      </w:r>
      <w:r>
        <w:rPr>
          <w:rFonts w:hint="eastAsia" w:ascii="宋体" w:hAnsi="宋体" w:eastAsia="宋体" w:cs="宋体"/>
          <w:b/>
          <w:bCs/>
          <w:color w:val="auto"/>
          <w:sz w:val="24"/>
          <w:szCs w:val="28"/>
          <w:highlight w:val="none"/>
          <w:lang w:val="en-US" w:eastAsia="zh-CN"/>
        </w:rPr>
        <w:t>报出</w:t>
      </w:r>
      <w:r>
        <w:rPr>
          <w:rFonts w:hint="eastAsia" w:ascii="宋体" w:hAnsi="宋体" w:eastAsia="宋体" w:cs="宋体"/>
          <w:b/>
          <w:bCs/>
          <w:color w:val="auto"/>
          <w:sz w:val="24"/>
          <w:szCs w:val="28"/>
          <w:highlight w:val="none"/>
        </w:rPr>
        <w:t>投标人分成比例。</w:t>
      </w:r>
    </w:p>
    <w:p w14:paraId="3CA468C6">
      <w:pPr>
        <w:spacing w:line="360" w:lineRule="auto"/>
        <w:jc w:val="center"/>
        <w:outlineLvl w:val="2"/>
        <w:rPr>
          <w:rFonts w:hint="eastAsia" w:ascii="宋体" w:hAnsi="宋体" w:eastAsia="宋体" w:cs="宋体"/>
          <w:b/>
          <w:color w:val="auto"/>
          <w:sz w:val="24"/>
          <w:highlight w:val="none"/>
        </w:rPr>
      </w:pPr>
      <w:bookmarkStart w:id="161" w:name="_Toc520983591"/>
      <w:r>
        <w:rPr>
          <w:rFonts w:hint="eastAsia" w:ascii="宋体" w:hAnsi="宋体" w:eastAsia="宋体" w:cs="宋体"/>
          <w:b/>
          <w:color w:val="auto"/>
          <w:sz w:val="24"/>
          <w:highlight w:val="none"/>
        </w:rPr>
        <w:t>二、磋商响应函</w:t>
      </w:r>
      <w:bookmarkEnd w:id="161"/>
    </w:p>
    <w:p w14:paraId="0A543918">
      <w:pPr>
        <w:pStyle w:val="14"/>
        <w:spacing w:line="360" w:lineRule="auto"/>
        <w:rPr>
          <w:rFonts w:hint="eastAsia" w:ascii="宋体" w:hAnsi="宋体" w:cs="宋体"/>
          <w:color w:val="auto"/>
          <w:sz w:val="24"/>
          <w:highlight w:val="none"/>
        </w:rPr>
      </w:pPr>
      <w:r>
        <w:rPr>
          <w:rFonts w:hint="eastAsia" w:ascii="宋体" w:hAnsi="宋体" w:cs="宋体"/>
          <w:color w:val="auto"/>
          <w:sz w:val="24"/>
          <w:highlight w:val="none"/>
        </w:rPr>
        <w:t>致：合肥滨湖时光体育发展有限公司</w:t>
      </w:r>
    </w:p>
    <w:p w14:paraId="5C1EF3EE">
      <w:pPr>
        <w:spacing w:line="360" w:lineRule="auto"/>
        <w:ind w:firstLine="480" w:firstLineChars="200"/>
        <w:rPr>
          <w:rFonts w:hint="eastAsia" w:ascii="宋体" w:hAnsi="宋体" w:eastAsia="宋体" w:cs="宋体"/>
          <w:dstrike/>
          <w:color w:val="auto"/>
          <w:sz w:val="24"/>
          <w:highlight w:val="none"/>
        </w:rPr>
      </w:pPr>
      <w:r>
        <w:rPr>
          <w:rFonts w:hint="eastAsia" w:ascii="宋体" w:hAnsi="宋体" w:eastAsia="宋体" w:cs="宋体"/>
          <w:color w:val="auto"/>
          <w:sz w:val="24"/>
          <w:highlight w:val="none"/>
        </w:rPr>
        <w:t>根据贵方的竞争性磋商公告，我方兹宣布同意如下：</w:t>
      </w:r>
    </w:p>
    <w:p w14:paraId="2A80E3BA">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1.如我公司中标，我公司承诺愿意按磋商文件规定缴纳履约保证金。按本次磋商文件规定及报价承诺提供服务。</w:t>
      </w:r>
    </w:p>
    <w:p w14:paraId="2DAD307C">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2.我方根据本次磋商文件的规定，严格履行合同的责任和义务,并保证于买方要求的日期内完成服务，并通过买方验收。</w:t>
      </w:r>
    </w:p>
    <w:p w14:paraId="6829DDAF">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3.我方承诺报价低于同类货物和服务的市场平均价格。</w:t>
      </w:r>
    </w:p>
    <w:p w14:paraId="292A7E35">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我方已详细审核本次磋商文件，包括磋商文件附件、参考资料、磋商文件修改书或图纸（如有），我方正式认可并遵守本次磋商文件，并对磋商文件各项条款、规定及要求均无异议。我方知道必须放弃提出含糊不清或误解问题的权利。</w:t>
      </w:r>
    </w:p>
    <w:p w14:paraId="5E3885DA">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5.我方同意从投标人须知规定的磋商日期起遵循本磋商文件，并在投标人须知规定的磋商有效期之前均具有约束力。</w:t>
      </w:r>
    </w:p>
    <w:p w14:paraId="26B3D2A8">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6.我方同意按贵方要求在磋商规定时间内向贵方提供与其磋商有关的任何证据或补充资料，否则，我方的响应文件可被贵方拒绝。</w:t>
      </w:r>
    </w:p>
    <w:p w14:paraId="5BA539F1">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7.我方完全理解贵方不一定接受最低报价的磋商。</w:t>
      </w:r>
    </w:p>
    <w:p w14:paraId="6CACB441">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8.我方同意磋商文件规定的付款方式、服务期限。</w:t>
      </w:r>
    </w:p>
    <w:p w14:paraId="388C1C6C">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9.我方对响应文件中所提供资料、文件、证书及证件的真实性和有效性负责。</w:t>
      </w:r>
    </w:p>
    <w:p w14:paraId="17680820">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0</w:t>
      </w:r>
      <w:r>
        <w:rPr>
          <w:rFonts w:hint="eastAsia" w:ascii="宋体" w:hAnsi="宋体" w:eastAsia="宋体" w:cs="宋体"/>
          <w:color w:val="auto"/>
          <w:sz w:val="24"/>
          <w:highlight w:val="none"/>
        </w:rPr>
        <w:t>.我方同意磋商文件规定的付款方式及结算方式。</w:t>
      </w:r>
    </w:p>
    <w:p w14:paraId="0D0C7EC8">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在你方和我方进行合同磋商之前，我方将按照响应文件中填报人员及磋商文件提出的最低要求填报派驻本标段的其他管理和技术培训人员及主要机械设备，经你方审批后作为派驻本标段的项目管理机构主要人员和主要体育培训设备且不进行更换。我方承诺除非磋商文件另有约定，我方派驻本标段的项目负责人及项目管理机构主要人员均为我单位在职人员（不含外聘人员、返聘人员、临时聘用人员）。如我方拟派驻的人员和设备不满足合同附件要求，你方有权取消我方中标资格。</w:t>
      </w:r>
    </w:p>
    <w:p w14:paraId="33687940">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.与本磋商有关的通讯地址：</w:t>
      </w:r>
      <w:r>
        <w:rPr>
          <w:rFonts w:hint="eastAsia" w:ascii="宋体" w:hAnsi="宋体" w:eastAsia="宋体" w:cs="宋体"/>
          <w:color w:val="auto"/>
          <w:sz w:val="24"/>
          <w:highlight w:val="none"/>
          <w:u w:val="single"/>
        </w:rPr>
        <w:t xml:space="preserve">                          </w:t>
      </w:r>
    </w:p>
    <w:p w14:paraId="4A0067BD">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投标人公章：</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14:paraId="3BED6A98">
      <w:pPr>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日    期：</w:t>
      </w:r>
      <w:r>
        <w:rPr>
          <w:rFonts w:hint="eastAsia" w:ascii="宋体" w:hAnsi="宋体" w:eastAsia="宋体" w:cs="宋体"/>
          <w:color w:val="auto"/>
          <w:sz w:val="24"/>
          <w:highlight w:val="none"/>
          <w:u w:val="single"/>
        </w:rPr>
        <w:t xml:space="preserve">                      </w:t>
      </w:r>
    </w:p>
    <w:p w14:paraId="40804A54">
      <w:pPr>
        <w:spacing w:line="360" w:lineRule="auto"/>
        <w:ind w:firstLine="480" w:firstLineChars="200"/>
        <w:rPr>
          <w:rFonts w:hint="eastAsia" w:ascii="宋体" w:hAnsi="宋体" w:eastAsia="宋体" w:cs="宋体"/>
          <w:color w:val="auto"/>
          <w:sz w:val="24"/>
          <w:highlight w:val="none"/>
          <w:u w:val="single"/>
        </w:rPr>
      </w:pPr>
    </w:p>
    <w:p w14:paraId="1A678700">
      <w:pPr>
        <w:spacing w:line="360" w:lineRule="auto"/>
        <w:ind w:firstLine="480" w:firstLineChars="200"/>
        <w:rPr>
          <w:rFonts w:hint="eastAsia" w:ascii="宋体" w:hAnsi="宋体" w:eastAsia="宋体" w:cs="宋体"/>
          <w:color w:val="auto"/>
          <w:sz w:val="24"/>
          <w:highlight w:val="none"/>
          <w:u w:val="single"/>
        </w:rPr>
      </w:pPr>
    </w:p>
    <w:p w14:paraId="0E767139">
      <w:pPr>
        <w:rPr>
          <w:rFonts w:hint="eastAsia" w:ascii="宋体" w:hAnsi="宋体" w:eastAsia="宋体" w:cs="宋体"/>
          <w:b/>
          <w:color w:val="auto"/>
          <w:sz w:val="24"/>
          <w:highlight w:val="none"/>
        </w:rPr>
      </w:pPr>
    </w:p>
    <w:p w14:paraId="5050BFD0">
      <w:pPr>
        <w:spacing w:line="360" w:lineRule="auto"/>
        <w:jc w:val="center"/>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三、无不良信用记录声明函</w:t>
      </w:r>
    </w:p>
    <w:p w14:paraId="3365E4E1">
      <w:pPr>
        <w:spacing w:line="440" w:lineRule="exact"/>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1.本单位郑重声明，我单位无以下不良信用记录情形：</w:t>
      </w:r>
    </w:p>
    <w:p w14:paraId="670A6221">
      <w:pPr>
        <w:spacing w:line="360" w:lineRule="auto"/>
        <w:ind w:firstLine="435"/>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rPr>
        <w:t xml:space="preserve">（1）被责令停产停业，暂扣或者吊销许可证，暂扣或者吊销执照； </w:t>
      </w:r>
    </w:p>
    <w:p w14:paraId="14637664">
      <w:pPr>
        <w:spacing w:line="360" w:lineRule="auto"/>
        <w:ind w:firstLine="435"/>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rPr>
        <w:t xml:space="preserve">（2）进入清算程序，或被宣告破产，或其他丧失履约能力的情形； </w:t>
      </w:r>
    </w:p>
    <w:p w14:paraId="46C18B1B">
      <w:pPr>
        <w:spacing w:line="360" w:lineRule="auto"/>
        <w:ind w:firstLine="435"/>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rPr>
        <w:t xml:space="preserve">（3）在最近三年内（自投标截止之日向前追溯 3 年， 下同）有骗取中标或串通投标或严重违约或重大工程质量事故或重大生产安全事故的（以相关行业主管部门的行政处罚决定或司法机关出具的有关法律文书为准），前述行政处罚已完成信用修复的，自行政处罚作出机关或信用修复主管部门同意修复之日起满一年，不受三年期限限制； </w:t>
      </w:r>
    </w:p>
    <w:p w14:paraId="0A026E2B">
      <w:pPr>
        <w:spacing w:line="360" w:lineRule="auto"/>
        <w:ind w:firstLine="435"/>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rPr>
        <w:t xml:space="preserve">（4）被市场监督管理部门列入严重违法失信名单； </w:t>
      </w:r>
    </w:p>
    <w:p w14:paraId="1A49158E">
      <w:pPr>
        <w:spacing w:line="360" w:lineRule="auto"/>
        <w:ind w:firstLine="435"/>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rPr>
        <w:t xml:space="preserve">（5）被人民法院列为失信被执行人； </w:t>
      </w:r>
    </w:p>
    <w:p w14:paraId="00CCA954">
      <w:pPr>
        <w:spacing w:line="360" w:lineRule="auto"/>
        <w:ind w:firstLine="435"/>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rPr>
        <w:t xml:space="preserve">（6）被税务机关确定为重大税收违法失信主体； </w:t>
      </w:r>
    </w:p>
    <w:p w14:paraId="4688AC98">
      <w:pPr>
        <w:spacing w:line="360" w:lineRule="auto"/>
        <w:ind w:firstLine="435"/>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rPr>
        <w:t>（7）在近三年内投标人或其法定代表人（单位负责人）有行贿犯罪行为的；</w:t>
      </w:r>
    </w:p>
    <w:p w14:paraId="04521C17">
      <w:pPr>
        <w:spacing w:line="360" w:lineRule="auto"/>
        <w:ind w:firstLine="435"/>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rPr>
        <w:t>（8）投标人被设区的市级及以上建设行政主管部门/房屋建筑和市政基础设施工程招标投标活动的监督部门因安全生产责任事故限制本次招标项目工程所在地或公共资源交易平台所在地承接新的工程项目且在限制期内。（如不采用，删除）</w:t>
      </w:r>
    </w:p>
    <w:p w14:paraId="5D0C4744">
      <w:pPr>
        <w:spacing w:line="360" w:lineRule="auto"/>
        <w:ind w:firstLine="435"/>
        <w:rPr>
          <w:rFonts w:hint="eastAsia" w:ascii="宋体" w:hAnsi="宋体" w:eastAsia="宋体" w:cs="宋体"/>
          <w:color w:val="auto"/>
          <w:sz w:val="24"/>
          <w:szCs w:val="18"/>
          <w:highlight w:val="none"/>
        </w:rPr>
      </w:pPr>
      <w:r>
        <w:rPr>
          <w:rFonts w:hint="eastAsia" w:ascii="宋体" w:hAnsi="宋体" w:eastAsia="宋体" w:cs="宋体"/>
          <w:color w:val="auto"/>
          <w:sz w:val="24"/>
          <w:szCs w:val="24"/>
          <w:highlight w:val="none"/>
        </w:rPr>
        <w:t>2.本单位郑重声明，</w:t>
      </w:r>
      <w:r>
        <w:rPr>
          <w:rFonts w:hint="eastAsia" w:ascii="宋体" w:hAnsi="宋体" w:eastAsia="宋体" w:cs="宋体"/>
          <w:color w:val="auto"/>
          <w:sz w:val="24"/>
          <w:szCs w:val="18"/>
          <w:highlight w:val="none"/>
        </w:rPr>
        <w:t xml:space="preserve">未被合肥市及其所辖县（市）、区（开发区）公共资源交易监督管理部门记不良行为记录的；或被记不良行为记录（以公布日期为准），但同时符合下列情形的： </w:t>
      </w:r>
    </w:p>
    <w:p w14:paraId="3B16DC49">
      <w:pPr>
        <w:spacing w:line="360" w:lineRule="auto"/>
        <w:ind w:firstLine="435"/>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rPr>
        <w:t xml:space="preserve">（1）开标日前（含当日）6个月内记分累计未满10分的； </w:t>
      </w:r>
    </w:p>
    <w:p w14:paraId="770DBB87">
      <w:pPr>
        <w:spacing w:line="360" w:lineRule="auto"/>
        <w:ind w:firstLine="435"/>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rPr>
        <w:t xml:space="preserve">（2）开标日前（含当日）12个月内记分累计未满15分的； </w:t>
      </w:r>
    </w:p>
    <w:p w14:paraId="64E0102B">
      <w:pPr>
        <w:spacing w:line="360" w:lineRule="auto"/>
        <w:ind w:firstLine="435"/>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rPr>
        <w:t xml:space="preserve">（3）开标日前（含当日）18个月内记分累计未满20分的； </w:t>
      </w:r>
    </w:p>
    <w:p w14:paraId="02D931A5">
      <w:pPr>
        <w:spacing w:line="440" w:lineRule="exact"/>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18"/>
          <w:highlight w:val="none"/>
        </w:rPr>
        <w:t>（4）开标日前（含当日）24个月内记分累计未满25分的。</w:t>
      </w:r>
    </w:p>
    <w:p w14:paraId="61522942">
      <w:pPr>
        <w:spacing w:line="440" w:lineRule="exact"/>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本单位对上述声明的真实性负责。如有虚假，将依法承担相应责任。</w:t>
      </w:r>
    </w:p>
    <w:p w14:paraId="2805AA2A">
      <w:pPr>
        <w:spacing w:line="440" w:lineRule="exact"/>
        <w:ind w:firstLine="4800" w:firstLineChars="20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投标人公章：</w:t>
      </w:r>
      <w:r>
        <w:rPr>
          <w:rFonts w:hint="eastAsia" w:ascii="宋体" w:hAnsi="宋体" w:eastAsia="宋体" w:cs="宋体"/>
          <w:color w:val="auto"/>
          <w:sz w:val="24"/>
          <w:szCs w:val="24"/>
          <w:highlight w:val="none"/>
          <w:u w:val="single"/>
        </w:rPr>
        <w:t xml:space="preserve">             </w:t>
      </w:r>
    </w:p>
    <w:p w14:paraId="7C5DC7EC">
      <w:pPr>
        <w:spacing w:line="440" w:lineRule="exact"/>
        <w:ind w:firstLine="4800" w:firstLineChars="20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日          期：</w:t>
      </w:r>
      <w:r>
        <w:rPr>
          <w:rFonts w:hint="eastAsia" w:ascii="宋体" w:hAnsi="宋体" w:eastAsia="宋体" w:cs="宋体"/>
          <w:color w:val="auto"/>
          <w:sz w:val="24"/>
          <w:szCs w:val="24"/>
          <w:highlight w:val="none"/>
          <w:u w:val="single"/>
        </w:rPr>
        <w:t xml:space="preserve">             </w:t>
      </w:r>
    </w:p>
    <w:p w14:paraId="05676224">
      <w:pPr>
        <w:spacing w:line="360" w:lineRule="auto"/>
        <w:jc w:val="center"/>
        <w:outlineLvl w:val="2"/>
        <w:rPr>
          <w:rFonts w:hint="eastAsia" w:ascii="宋体" w:hAnsi="宋体" w:eastAsia="宋体" w:cs="宋体"/>
          <w:b/>
          <w:color w:val="auto"/>
          <w:sz w:val="24"/>
          <w:highlight w:val="none"/>
        </w:rPr>
      </w:pPr>
      <w:bookmarkStart w:id="162" w:name="_Toc516969106"/>
      <w:bookmarkStart w:id="163" w:name="_Toc204594911"/>
      <w:bookmarkStart w:id="164" w:name="_Toc520983594"/>
      <w:bookmarkStart w:id="165" w:name="_Toc121626298"/>
    </w:p>
    <w:p w14:paraId="6A2CB27A">
      <w:pPr>
        <w:spacing w:line="360" w:lineRule="auto"/>
        <w:jc w:val="center"/>
        <w:outlineLvl w:val="2"/>
        <w:rPr>
          <w:rFonts w:hint="eastAsia" w:ascii="宋体" w:hAnsi="宋体" w:eastAsia="宋体" w:cs="宋体"/>
          <w:b/>
          <w:color w:val="auto"/>
          <w:sz w:val="24"/>
          <w:highlight w:val="none"/>
        </w:rPr>
      </w:pPr>
    </w:p>
    <w:p w14:paraId="4FC7E363">
      <w:pPr>
        <w:spacing w:line="360" w:lineRule="auto"/>
        <w:jc w:val="center"/>
        <w:outlineLvl w:val="2"/>
        <w:rPr>
          <w:rFonts w:hint="eastAsia" w:ascii="宋体" w:hAnsi="宋体" w:eastAsia="宋体" w:cs="宋体"/>
          <w:b/>
          <w:color w:val="auto"/>
          <w:sz w:val="24"/>
          <w:highlight w:val="none"/>
        </w:rPr>
      </w:pPr>
    </w:p>
    <w:p w14:paraId="426B2A7A">
      <w:pPr>
        <w:spacing w:line="360" w:lineRule="auto"/>
        <w:jc w:val="center"/>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四、授权书</w:t>
      </w:r>
      <w:bookmarkEnd w:id="162"/>
      <w:bookmarkEnd w:id="163"/>
      <w:bookmarkEnd w:id="164"/>
      <w:bookmarkEnd w:id="165"/>
    </w:p>
    <w:p w14:paraId="2449582C">
      <w:pPr>
        <w:spacing w:line="360" w:lineRule="auto"/>
        <w:jc w:val="center"/>
        <w:rPr>
          <w:rFonts w:hint="eastAsia" w:ascii="宋体" w:hAnsi="宋体" w:eastAsia="宋体" w:cs="宋体"/>
          <w:b/>
          <w:color w:val="auto"/>
          <w:sz w:val="24"/>
          <w:highlight w:val="none"/>
        </w:rPr>
      </w:pPr>
    </w:p>
    <w:p w14:paraId="2CC85F43">
      <w:pPr>
        <w:pStyle w:val="13"/>
        <w:snapToGrid w:val="0"/>
        <w:spacing w:line="360" w:lineRule="auto"/>
        <w:ind w:firstLine="480" w:firstLineChars="200"/>
        <w:jc w:val="left"/>
        <w:rPr>
          <w:rFonts w:hint="eastAsia" w:hAnsi="宋体" w:cs="宋体"/>
          <w:color w:val="auto"/>
          <w:sz w:val="24"/>
          <w:szCs w:val="28"/>
          <w:highlight w:val="none"/>
        </w:rPr>
      </w:pPr>
      <w:r>
        <w:rPr>
          <w:rFonts w:hint="eastAsia" w:hAnsi="宋体" w:cs="宋体"/>
          <w:color w:val="auto"/>
          <w:sz w:val="24"/>
          <w:szCs w:val="28"/>
          <w:highlight w:val="none"/>
        </w:rPr>
        <w:t>本授权书声明：</w:t>
      </w:r>
      <w:r>
        <w:rPr>
          <w:rFonts w:hint="eastAsia" w:hAnsi="宋体" w:cs="宋体"/>
          <w:color w:val="auto"/>
          <w:sz w:val="24"/>
          <w:szCs w:val="28"/>
          <w:highlight w:val="none"/>
          <w:u w:val="single"/>
        </w:rPr>
        <w:t xml:space="preserve">           </w:t>
      </w:r>
      <w:r>
        <w:rPr>
          <w:rFonts w:hint="eastAsia" w:hAnsi="宋体" w:cs="宋体"/>
          <w:color w:val="auto"/>
          <w:sz w:val="24"/>
          <w:szCs w:val="28"/>
          <w:highlight w:val="none"/>
        </w:rPr>
        <w:t>（投标人名称）授权</w:t>
      </w:r>
      <w:r>
        <w:rPr>
          <w:rFonts w:hint="eastAsia" w:hAnsi="宋体" w:cs="宋体"/>
          <w:color w:val="auto"/>
          <w:sz w:val="24"/>
          <w:szCs w:val="28"/>
          <w:highlight w:val="none"/>
          <w:u w:val="single"/>
        </w:rPr>
        <w:t xml:space="preserve">       </w:t>
      </w:r>
      <w:r>
        <w:rPr>
          <w:rFonts w:hint="eastAsia" w:hAnsi="宋体" w:cs="宋体"/>
          <w:color w:val="auto"/>
          <w:sz w:val="24"/>
          <w:szCs w:val="28"/>
          <w:highlight w:val="none"/>
        </w:rPr>
        <w:t>（投标人授权代表姓名）代表我方参加本项目</w:t>
      </w:r>
      <w:r>
        <w:rPr>
          <w:rFonts w:hint="eastAsia" w:hAnsi="宋体" w:cs="宋体"/>
          <w:bCs/>
          <w:color w:val="auto"/>
          <w:sz w:val="24"/>
          <w:szCs w:val="28"/>
          <w:highlight w:val="none"/>
        </w:rPr>
        <w:t>招标活动</w:t>
      </w:r>
      <w:r>
        <w:rPr>
          <w:rFonts w:hint="eastAsia" w:hAnsi="宋体" w:cs="宋体"/>
          <w:color w:val="auto"/>
          <w:sz w:val="24"/>
          <w:szCs w:val="28"/>
          <w:highlight w:val="none"/>
        </w:rPr>
        <w:t>，全权代表我方处理磋商过程的一切事宜，包括但不限于：提交响应文件、参与磋商、签约等。投标人授权代表在招标活动过程中所签署的一切文件和处理与之有关的一切事务，本公司均予以认可并对此承担责任。投标人授权代表无转委托权。特此授权。</w:t>
      </w:r>
    </w:p>
    <w:p w14:paraId="1DFB4790">
      <w:pPr>
        <w:pStyle w:val="13"/>
        <w:snapToGrid w:val="0"/>
        <w:spacing w:line="360" w:lineRule="auto"/>
        <w:ind w:firstLine="480" w:firstLineChars="200"/>
        <w:jc w:val="left"/>
        <w:rPr>
          <w:rFonts w:hint="eastAsia" w:hAnsi="宋体" w:cs="宋体"/>
          <w:color w:val="auto"/>
          <w:sz w:val="24"/>
          <w:szCs w:val="28"/>
          <w:highlight w:val="none"/>
        </w:rPr>
      </w:pPr>
      <w:r>
        <w:rPr>
          <w:rFonts w:hint="eastAsia" w:hAnsi="宋体" w:cs="宋体"/>
          <w:color w:val="auto"/>
          <w:sz w:val="24"/>
          <w:szCs w:val="28"/>
          <w:highlight w:val="none"/>
        </w:rPr>
        <w:t>本授权书自出具之日起生效。</w:t>
      </w:r>
    </w:p>
    <w:p w14:paraId="4BF517F5">
      <w:pPr>
        <w:pStyle w:val="13"/>
        <w:snapToGrid w:val="0"/>
        <w:spacing w:line="360" w:lineRule="auto"/>
        <w:ind w:firstLine="480" w:firstLineChars="200"/>
        <w:jc w:val="left"/>
        <w:rPr>
          <w:rFonts w:hint="eastAsia" w:hAnsi="宋体" w:cs="宋体"/>
          <w:color w:val="auto"/>
          <w:sz w:val="24"/>
          <w:highlight w:val="none"/>
        </w:rPr>
      </w:pPr>
      <w:r>
        <w:rPr>
          <w:rFonts w:hint="eastAsia" w:hAnsi="宋体" w:cs="宋体"/>
          <w:color w:val="auto"/>
          <w:sz w:val="24"/>
          <w:szCs w:val="28"/>
          <w:highlight w:val="none"/>
        </w:rPr>
        <w:t>授权代表</w:t>
      </w:r>
      <w:r>
        <w:rPr>
          <w:rFonts w:hint="eastAsia" w:hAnsi="宋体" w:cs="宋体"/>
          <w:color w:val="auto"/>
          <w:sz w:val="24"/>
          <w:highlight w:val="none"/>
        </w:rPr>
        <w:t>身份证明扫描件或影印件：</w:t>
      </w:r>
    </w:p>
    <w:p w14:paraId="14A4F822">
      <w:pPr>
        <w:pStyle w:val="13"/>
        <w:snapToGrid w:val="0"/>
        <w:spacing w:line="360" w:lineRule="auto"/>
        <w:ind w:firstLine="480" w:firstLineChars="200"/>
        <w:jc w:val="left"/>
        <w:rPr>
          <w:rFonts w:hint="eastAsia" w:hAnsi="宋体" w:cs="宋体"/>
          <w:color w:val="auto"/>
          <w:sz w:val="24"/>
          <w:highlight w:val="none"/>
        </w:rPr>
      </w:pPr>
    </w:p>
    <w:p w14:paraId="17CFF9EF">
      <w:pPr>
        <w:pStyle w:val="13"/>
        <w:snapToGrid w:val="0"/>
        <w:spacing w:line="360" w:lineRule="auto"/>
        <w:ind w:firstLine="480" w:firstLineChars="200"/>
        <w:jc w:val="left"/>
        <w:rPr>
          <w:rFonts w:hint="eastAsia" w:hAnsi="宋体" w:cs="宋体"/>
          <w:color w:val="auto"/>
          <w:sz w:val="24"/>
          <w:highlight w:val="none"/>
        </w:rPr>
      </w:pPr>
    </w:p>
    <w:p w14:paraId="20B4078A">
      <w:pPr>
        <w:pStyle w:val="13"/>
        <w:snapToGrid w:val="0"/>
        <w:spacing w:line="360" w:lineRule="auto"/>
        <w:ind w:firstLine="480" w:firstLineChars="200"/>
        <w:jc w:val="left"/>
        <w:rPr>
          <w:rFonts w:hint="eastAsia" w:hAnsi="宋体" w:cs="宋体"/>
          <w:color w:val="auto"/>
          <w:sz w:val="24"/>
          <w:highlight w:val="none"/>
        </w:rPr>
      </w:pPr>
    </w:p>
    <w:p w14:paraId="3591F813">
      <w:pPr>
        <w:pStyle w:val="13"/>
        <w:snapToGrid w:val="0"/>
        <w:spacing w:line="360" w:lineRule="auto"/>
        <w:ind w:firstLine="480" w:firstLineChars="200"/>
        <w:jc w:val="left"/>
        <w:rPr>
          <w:rFonts w:hint="eastAsia" w:hAnsi="宋体" w:cs="宋体"/>
          <w:color w:val="auto"/>
          <w:sz w:val="24"/>
          <w:highlight w:val="none"/>
        </w:rPr>
      </w:pPr>
    </w:p>
    <w:p w14:paraId="3BE6BA8F">
      <w:pPr>
        <w:pStyle w:val="13"/>
        <w:snapToGrid w:val="0"/>
        <w:spacing w:line="360" w:lineRule="auto"/>
        <w:ind w:firstLine="480" w:firstLineChars="200"/>
        <w:jc w:val="left"/>
        <w:rPr>
          <w:rFonts w:hint="eastAsia" w:hAnsi="宋体" w:cs="宋体"/>
          <w:color w:val="auto"/>
          <w:sz w:val="24"/>
          <w:szCs w:val="28"/>
          <w:highlight w:val="none"/>
          <w:u w:val="single"/>
        </w:rPr>
      </w:pPr>
      <w:r>
        <w:rPr>
          <w:rFonts w:hint="eastAsia" w:hAnsi="宋体" w:cs="宋体"/>
          <w:color w:val="auto"/>
          <w:sz w:val="24"/>
          <w:szCs w:val="28"/>
          <w:highlight w:val="none"/>
        </w:rPr>
        <w:t>授权代表联系方式：</w:t>
      </w:r>
      <w:r>
        <w:rPr>
          <w:rFonts w:hint="eastAsia" w:hAnsi="宋体" w:cs="宋体"/>
          <w:color w:val="auto"/>
          <w:sz w:val="24"/>
          <w:szCs w:val="28"/>
          <w:highlight w:val="none"/>
          <w:u w:val="single"/>
        </w:rPr>
        <w:t xml:space="preserve">          （请填写手机号码）</w:t>
      </w:r>
    </w:p>
    <w:p w14:paraId="1D8FC8A2">
      <w:pPr>
        <w:pStyle w:val="13"/>
        <w:snapToGrid w:val="0"/>
        <w:spacing w:line="360" w:lineRule="auto"/>
        <w:ind w:firstLine="480" w:firstLineChars="200"/>
        <w:jc w:val="left"/>
        <w:rPr>
          <w:rFonts w:hint="eastAsia" w:hAnsi="宋体" w:cs="宋体"/>
          <w:color w:val="auto"/>
          <w:sz w:val="24"/>
          <w:szCs w:val="28"/>
          <w:highlight w:val="none"/>
        </w:rPr>
      </w:pPr>
    </w:p>
    <w:p w14:paraId="3010A9AC">
      <w:pPr>
        <w:spacing w:line="360" w:lineRule="auto"/>
        <w:ind w:firstLine="360" w:firstLineChars="15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特此声明。</w:t>
      </w:r>
    </w:p>
    <w:p w14:paraId="0A49F584">
      <w:pPr>
        <w:spacing w:line="360" w:lineRule="auto"/>
        <w:rPr>
          <w:rFonts w:hint="eastAsia" w:ascii="宋体" w:hAnsi="宋体" w:eastAsia="宋体" w:cs="宋体"/>
          <w:color w:val="auto"/>
          <w:sz w:val="24"/>
          <w:szCs w:val="28"/>
          <w:highlight w:val="none"/>
        </w:rPr>
      </w:pPr>
    </w:p>
    <w:p w14:paraId="525C8E1C">
      <w:pPr>
        <w:spacing w:line="360" w:lineRule="auto"/>
        <w:rPr>
          <w:rFonts w:hint="eastAsia" w:ascii="宋体" w:hAnsi="宋体" w:eastAsia="宋体" w:cs="宋体"/>
          <w:bCs/>
          <w:color w:val="auto"/>
          <w:sz w:val="24"/>
          <w:szCs w:val="28"/>
          <w:highlight w:val="none"/>
        </w:rPr>
      </w:pPr>
      <w:r>
        <w:rPr>
          <w:rFonts w:hint="eastAsia" w:ascii="宋体" w:hAnsi="宋体" w:eastAsia="宋体" w:cs="宋体"/>
          <w:bCs/>
          <w:color w:val="auto"/>
          <w:sz w:val="24"/>
          <w:szCs w:val="28"/>
          <w:highlight w:val="none"/>
        </w:rPr>
        <w:t>投标人公章：</w:t>
      </w:r>
      <w:r>
        <w:rPr>
          <w:rFonts w:hint="eastAsia" w:ascii="宋体" w:hAnsi="宋体" w:eastAsia="宋体" w:cs="宋体"/>
          <w:bCs/>
          <w:color w:val="auto"/>
          <w:sz w:val="24"/>
          <w:szCs w:val="28"/>
          <w:highlight w:val="none"/>
          <w:u w:val="single"/>
        </w:rPr>
        <w:t xml:space="preserve">                    </w:t>
      </w:r>
    </w:p>
    <w:p w14:paraId="43C4BB1D">
      <w:pPr>
        <w:spacing w:line="360" w:lineRule="auto"/>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日          期：</w:t>
      </w:r>
      <w:r>
        <w:rPr>
          <w:rFonts w:hint="eastAsia" w:ascii="宋体" w:hAnsi="宋体" w:eastAsia="宋体" w:cs="宋体"/>
          <w:color w:val="auto"/>
          <w:sz w:val="24"/>
          <w:szCs w:val="28"/>
          <w:highlight w:val="none"/>
          <w:u w:val="single"/>
        </w:rPr>
        <w:t xml:space="preserve">                    </w:t>
      </w:r>
    </w:p>
    <w:p w14:paraId="6D4B136F">
      <w:pPr>
        <w:spacing w:line="360" w:lineRule="auto"/>
        <w:rPr>
          <w:rFonts w:hint="eastAsia" w:ascii="宋体" w:hAnsi="宋体" w:eastAsia="宋体" w:cs="宋体"/>
          <w:color w:val="auto"/>
          <w:sz w:val="24"/>
          <w:szCs w:val="28"/>
          <w:highlight w:val="none"/>
        </w:rPr>
      </w:pPr>
    </w:p>
    <w:p w14:paraId="74358999">
      <w:pPr>
        <w:spacing w:line="360" w:lineRule="auto"/>
        <w:rPr>
          <w:rFonts w:hint="eastAsia" w:ascii="宋体" w:hAnsi="宋体" w:eastAsia="宋体" w:cs="宋体"/>
          <w:color w:val="auto"/>
          <w:sz w:val="24"/>
          <w:szCs w:val="28"/>
          <w:highlight w:val="none"/>
        </w:rPr>
      </w:pPr>
    </w:p>
    <w:p w14:paraId="44ECB196">
      <w:pPr>
        <w:pStyle w:val="13"/>
        <w:snapToGrid w:val="0"/>
        <w:spacing w:line="360" w:lineRule="auto"/>
        <w:jc w:val="left"/>
        <w:rPr>
          <w:rFonts w:hint="eastAsia" w:hAnsi="宋体" w:cs="宋体"/>
          <w:color w:val="auto"/>
          <w:sz w:val="24"/>
          <w:szCs w:val="28"/>
          <w:highlight w:val="none"/>
        </w:rPr>
      </w:pPr>
      <w:r>
        <w:rPr>
          <w:rFonts w:hint="eastAsia" w:hAnsi="宋体" w:cs="宋体"/>
          <w:color w:val="auto"/>
          <w:sz w:val="24"/>
          <w:szCs w:val="28"/>
          <w:highlight w:val="none"/>
        </w:rPr>
        <w:t>注：</w:t>
      </w:r>
    </w:p>
    <w:p w14:paraId="47659CD6">
      <w:pPr>
        <w:pStyle w:val="13"/>
        <w:snapToGrid w:val="0"/>
        <w:spacing w:line="360" w:lineRule="auto"/>
        <w:jc w:val="left"/>
        <w:rPr>
          <w:rFonts w:hint="eastAsia" w:hAnsi="宋体" w:cs="宋体"/>
          <w:color w:val="auto"/>
          <w:sz w:val="24"/>
          <w:szCs w:val="28"/>
          <w:highlight w:val="none"/>
        </w:rPr>
      </w:pPr>
      <w:r>
        <w:rPr>
          <w:rFonts w:hint="eastAsia" w:hAnsi="宋体" w:cs="宋体"/>
          <w:color w:val="auto"/>
          <w:sz w:val="24"/>
          <w:szCs w:val="28"/>
          <w:highlight w:val="none"/>
        </w:rPr>
        <w:t>1.本项目只允许有唯一的投标人授权代表，提供身份证明扫描件或影印件；</w:t>
      </w:r>
    </w:p>
    <w:p w14:paraId="203E9350">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2.法定代表人参加磋商的无需提供授权书，仅提供身份证明扫描件或影印件。</w:t>
      </w:r>
    </w:p>
    <w:p w14:paraId="1BA6282D">
      <w:pPr>
        <w:widowControl/>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p>
    <w:p w14:paraId="505FFE18">
      <w:pPr>
        <w:spacing w:line="360" w:lineRule="auto"/>
        <w:jc w:val="center"/>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五、商务响应表</w:t>
      </w:r>
    </w:p>
    <w:p w14:paraId="0DA3BDF5">
      <w:pPr>
        <w:spacing w:line="360" w:lineRule="auto"/>
        <w:ind w:firstLine="435"/>
        <w:rPr>
          <w:rFonts w:hint="eastAsia" w:ascii="宋体" w:hAnsi="宋体" w:eastAsia="宋体" w:cs="宋体"/>
          <w:b/>
          <w:color w:val="auto"/>
          <w:sz w:val="24"/>
          <w:highlight w:val="none"/>
        </w:rPr>
      </w:pPr>
    </w:p>
    <w:tbl>
      <w:tblPr>
        <w:tblStyle w:val="23"/>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1916"/>
        <w:gridCol w:w="2497"/>
        <w:gridCol w:w="2575"/>
        <w:gridCol w:w="810"/>
      </w:tblGrid>
      <w:tr w14:paraId="7AE54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724" w:type="dxa"/>
            <w:vAlign w:val="center"/>
          </w:tcPr>
          <w:p w14:paraId="5DBB0E4F">
            <w:pPr>
              <w:pStyle w:val="13"/>
              <w:jc w:val="center"/>
              <w:rPr>
                <w:rFonts w:hint="eastAsia" w:hAnsi="宋体" w:cs="宋体"/>
                <w:b/>
                <w:color w:val="auto"/>
                <w:sz w:val="24"/>
                <w:highlight w:val="none"/>
              </w:rPr>
            </w:pPr>
            <w:r>
              <w:rPr>
                <w:rFonts w:hint="eastAsia" w:hAnsi="宋体" w:cs="宋体"/>
                <w:b/>
                <w:color w:val="auto"/>
                <w:sz w:val="24"/>
                <w:highlight w:val="none"/>
              </w:rPr>
              <w:t>序号</w:t>
            </w:r>
          </w:p>
        </w:tc>
        <w:tc>
          <w:tcPr>
            <w:tcW w:w="1916" w:type="dxa"/>
            <w:vAlign w:val="center"/>
          </w:tcPr>
          <w:p w14:paraId="6C20D047">
            <w:pPr>
              <w:pStyle w:val="13"/>
              <w:jc w:val="center"/>
              <w:rPr>
                <w:rFonts w:hint="eastAsia" w:hAnsi="宋体" w:cs="宋体"/>
                <w:b/>
                <w:color w:val="auto"/>
                <w:sz w:val="24"/>
                <w:highlight w:val="none"/>
              </w:rPr>
            </w:pPr>
            <w:r>
              <w:rPr>
                <w:rFonts w:hint="eastAsia" w:hAnsi="宋体" w:cs="宋体"/>
                <w:b/>
                <w:bCs/>
                <w:color w:val="auto"/>
                <w:sz w:val="24"/>
                <w:szCs w:val="24"/>
                <w:highlight w:val="none"/>
              </w:rPr>
              <w:t>商务条款</w:t>
            </w:r>
          </w:p>
        </w:tc>
        <w:tc>
          <w:tcPr>
            <w:tcW w:w="2497" w:type="dxa"/>
            <w:vAlign w:val="center"/>
          </w:tcPr>
          <w:p w14:paraId="41E31CFE">
            <w:pPr>
              <w:pStyle w:val="13"/>
              <w:jc w:val="center"/>
              <w:rPr>
                <w:rFonts w:hint="eastAsia" w:hAnsi="宋体" w:cs="宋体"/>
                <w:b/>
                <w:color w:val="auto"/>
                <w:sz w:val="24"/>
                <w:highlight w:val="none"/>
              </w:rPr>
            </w:pPr>
            <w:r>
              <w:rPr>
                <w:rFonts w:hint="eastAsia" w:hAnsi="宋体" w:cs="宋体"/>
                <w:b/>
                <w:color w:val="auto"/>
                <w:sz w:val="24"/>
                <w:highlight w:val="none"/>
              </w:rPr>
              <w:t>磋商文件要求</w:t>
            </w:r>
          </w:p>
        </w:tc>
        <w:tc>
          <w:tcPr>
            <w:tcW w:w="2575" w:type="dxa"/>
            <w:vAlign w:val="center"/>
          </w:tcPr>
          <w:p w14:paraId="40DC1703">
            <w:pPr>
              <w:pStyle w:val="13"/>
              <w:jc w:val="center"/>
              <w:rPr>
                <w:rFonts w:hint="eastAsia" w:hAnsi="宋体" w:cs="宋体"/>
                <w:b/>
                <w:color w:val="auto"/>
                <w:sz w:val="24"/>
                <w:highlight w:val="none"/>
              </w:rPr>
            </w:pPr>
            <w:r>
              <w:rPr>
                <w:rFonts w:hint="eastAsia" w:hAnsi="宋体" w:cs="宋体"/>
                <w:b/>
                <w:color w:val="auto"/>
                <w:sz w:val="24"/>
                <w:highlight w:val="none"/>
              </w:rPr>
              <w:t>投标人承诺</w:t>
            </w:r>
          </w:p>
        </w:tc>
        <w:tc>
          <w:tcPr>
            <w:tcW w:w="810" w:type="dxa"/>
            <w:vAlign w:val="center"/>
          </w:tcPr>
          <w:p w14:paraId="566BA6A7">
            <w:pPr>
              <w:pStyle w:val="13"/>
              <w:jc w:val="center"/>
              <w:rPr>
                <w:rFonts w:hint="eastAsia" w:hAnsi="宋体" w:cs="宋体"/>
                <w:b/>
                <w:color w:val="auto"/>
                <w:sz w:val="24"/>
                <w:highlight w:val="none"/>
              </w:rPr>
            </w:pPr>
            <w:r>
              <w:rPr>
                <w:rFonts w:hint="eastAsia" w:hAnsi="宋体" w:cs="宋体"/>
                <w:b/>
                <w:color w:val="auto"/>
                <w:sz w:val="24"/>
                <w:highlight w:val="none"/>
              </w:rPr>
              <w:t>偏离说明</w:t>
            </w:r>
          </w:p>
        </w:tc>
      </w:tr>
      <w:tr w14:paraId="1F19B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4" w:type="dxa"/>
            <w:vAlign w:val="center"/>
          </w:tcPr>
          <w:p w14:paraId="493B1499">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1916" w:type="dxa"/>
            <w:vAlign w:val="center"/>
          </w:tcPr>
          <w:p w14:paraId="7A921FCC">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付款方式</w:t>
            </w:r>
          </w:p>
        </w:tc>
        <w:tc>
          <w:tcPr>
            <w:tcW w:w="2497" w:type="dxa"/>
            <w:vAlign w:val="center"/>
          </w:tcPr>
          <w:p w14:paraId="52DADCBB">
            <w:pPr>
              <w:jc w:val="center"/>
              <w:rPr>
                <w:rFonts w:hint="eastAsia" w:ascii="宋体" w:hAnsi="宋体" w:eastAsia="宋体" w:cs="宋体"/>
                <w:color w:val="auto"/>
                <w:sz w:val="24"/>
                <w:highlight w:val="none"/>
              </w:rPr>
            </w:pPr>
          </w:p>
        </w:tc>
        <w:tc>
          <w:tcPr>
            <w:tcW w:w="2575" w:type="dxa"/>
            <w:vAlign w:val="center"/>
          </w:tcPr>
          <w:p w14:paraId="3152C315">
            <w:pPr>
              <w:jc w:val="center"/>
              <w:rPr>
                <w:rFonts w:hint="eastAsia" w:ascii="宋体" w:hAnsi="宋体" w:eastAsia="宋体" w:cs="宋体"/>
                <w:color w:val="auto"/>
                <w:sz w:val="24"/>
                <w:highlight w:val="none"/>
              </w:rPr>
            </w:pPr>
          </w:p>
        </w:tc>
        <w:tc>
          <w:tcPr>
            <w:tcW w:w="810" w:type="dxa"/>
            <w:vAlign w:val="center"/>
          </w:tcPr>
          <w:p w14:paraId="4F12CB9A">
            <w:pPr>
              <w:jc w:val="center"/>
              <w:rPr>
                <w:rFonts w:hint="eastAsia" w:ascii="宋体" w:hAnsi="宋体" w:eastAsia="宋体" w:cs="宋体"/>
                <w:color w:val="auto"/>
                <w:sz w:val="24"/>
                <w:highlight w:val="none"/>
              </w:rPr>
            </w:pPr>
          </w:p>
        </w:tc>
      </w:tr>
      <w:tr w14:paraId="16C9D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4" w:type="dxa"/>
            <w:vAlign w:val="center"/>
          </w:tcPr>
          <w:p w14:paraId="399B8EF2">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c>
          <w:tcPr>
            <w:tcW w:w="1916" w:type="dxa"/>
            <w:vAlign w:val="center"/>
          </w:tcPr>
          <w:p w14:paraId="1FC7BE8C">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服务地点</w:t>
            </w:r>
          </w:p>
        </w:tc>
        <w:tc>
          <w:tcPr>
            <w:tcW w:w="2497" w:type="dxa"/>
            <w:vAlign w:val="center"/>
          </w:tcPr>
          <w:p w14:paraId="4CE5B229">
            <w:pPr>
              <w:jc w:val="center"/>
              <w:rPr>
                <w:rFonts w:hint="eastAsia" w:ascii="宋体" w:hAnsi="宋体" w:eastAsia="宋体" w:cs="宋体"/>
                <w:color w:val="auto"/>
                <w:sz w:val="24"/>
                <w:highlight w:val="none"/>
              </w:rPr>
            </w:pPr>
          </w:p>
        </w:tc>
        <w:tc>
          <w:tcPr>
            <w:tcW w:w="2575" w:type="dxa"/>
            <w:vAlign w:val="center"/>
          </w:tcPr>
          <w:p w14:paraId="22F0BCAB">
            <w:pPr>
              <w:jc w:val="center"/>
              <w:rPr>
                <w:rFonts w:hint="eastAsia" w:ascii="宋体" w:hAnsi="宋体" w:eastAsia="宋体" w:cs="宋体"/>
                <w:color w:val="auto"/>
                <w:sz w:val="24"/>
                <w:highlight w:val="none"/>
              </w:rPr>
            </w:pPr>
          </w:p>
        </w:tc>
        <w:tc>
          <w:tcPr>
            <w:tcW w:w="810" w:type="dxa"/>
            <w:vAlign w:val="center"/>
          </w:tcPr>
          <w:p w14:paraId="0882A392">
            <w:pPr>
              <w:jc w:val="center"/>
              <w:rPr>
                <w:rFonts w:hint="eastAsia" w:ascii="宋体" w:hAnsi="宋体" w:eastAsia="宋体" w:cs="宋体"/>
                <w:color w:val="auto"/>
                <w:sz w:val="24"/>
                <w:highlight w:val="none"/>
              </w:rPr>
            </w:pPr>
          </w:p>
        </w:tc>
      </w:tr>
      <w:tr w14:paraId="33A64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4" w:type="dxa"/>
            <w:vAlign w:val="center"/>
          </w:tcPr>
          <w:p w14:paraId="58F2BD35">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p>
        </w:tc>
        <w:tc>
          <w:tcPr>
            <w:tcW w:w="1916" w:type="dxa"/>
            <w:vAlign w:val="center"/>
          </w:tcPr>
          <w:p w14:paraId="73517C55">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服务期限</w:t>
            </w:r>
          </w:p>
        </w:tc>
        <w:tc>
          <w:tcPr>
            <w:tcW w:w="2497" w:type="dxa"/>
            <w:vAlign w:val="center"/>
          </w:tcPr>
          <w:p w14:paraId="181BC02B">
            <w:pPr>
              <w:jc w:val="center"/>
              <w:rPr>
                <w:rFonts w:hint="eastAsia" w:ascii="宋体" w:hAnsi="宋体" w:eastAsia="宋体" w:cs="宋体"/>
                <w:color w:val="auto"/>
                <w:sz w:val="24"/>
                <w:highlight w:val="none"/>
              </w:rPr>
            </w:pPr>
          </w:p>
        </w:tc>
        <w:tc>
          <w:tcPr>
            <w:tcW w:w="2575" w:type="dxa"/>
            <w:vAlign w:val="center"/>
          </w:tcPr>
          <w:p w14:paraId="7BA7EBB0">
            <w:pPr>
              <w:pStyle w:val="32"/>
              <w:jc w:val="center"/>
              <w:rPr>
                <w:rFonts w:hint="eastAsia" w:ascii="宋体" w:hAnsi="宋体" w:cs="宋体"/>
                <w:color w:val="auto"/>
                <w:highlight w:val="none"/>
              </w:rPr>
            </w:pPr>
          </w:p>
        </w:tc>
        <w:tc>
          <w:tcPr>
            <w:tcW w:w="810" w:type="dxa"/>
            <w:vAlign w:val="center"/>
          </w:tcPr>
          <w:p w14:paraId="7409B65F">
            <w:pPr>
              <w:jc w:val="center"/>
              <w:rPr>
                <w:rFonts w:hint="eastAsia" w:ascii="宋体" w:hAnsi="宋体" w:eastAsia="宋体" w:cs="宋体"/>
                <w:color w:val="auto"/>
                <w:sz w:val="24"/>
                <w:highlight w:val="none"/>
              </w:rPr>
            </w:pPr>
          </w:p>
        </w:tc>
      </w:tr>
      <w:tr w14:paraId="271EB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4" w:type="dxa"/>
            <w:vAlign w:val="center"/>
          </w:tcPr>
          <w:p w14:paraId="0D4C8EC0">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p>
        </w:tc>
        <w:tc>
          <w:tcPr>
            <w:tcW w:w="1916" w:type="dxa"/>
            <w:vAlign w:val="center"/>
          </w:tcPr>
          <w:p w14:paraId="4D0D233B">
            <w:pPr>
              <w:jc w:val="center"/>
              <w:rPr>
                <w:rFonts w:hint="eastAsia" w:ascii="宋体" w:hAnsi="宋体" w:eastAsia="宋体" w:cs="宋体"/>
                <w:color w:val="auto"/>
                <w:sz w:val="24"/>
                <w:highlight w:val="none"/>
              </w:rPr>
            </w:pPr>
          </w:p>
        </w:tc>
        <w:tc>
          <w:tcPr>
            <w:tcW w:w="2497" w:type="dxa"/>
            <w:vAlign w:val="center"/>
          </w:tcPr>
          <w:p w14:paraId="0C0D7337">
            <w:pPr>
              <w:jc w:val="center"/>
              <w:rPr>
                <w:rFonts w:hint="eastAsia" w:ascii="宋体" w:hAnsi="宋体" w:eastAsia="宋体" w:cs="宋体"/>
                <w:color w:val="auto"/>
                <w:sz w:val="24"/>
                <w:highlight w:val="none"/>
              </w:rPr>
            </w:pPr>
          </w:p>
        </w:tc>
        <w:tc>
          <w:tcPr>
            <w:tcW w:w="2575" w:type="dxa"/>
            <w:vAlign w:val="center"/>
          </w:tcPr>
          <w:p w14:paraId="7B09C437">
            <w:pPr>
              <w:jc w:val="center"/>
              <w:rPr>
                <w:rFonts w:hint="eastAsia" w:ascii="宋体" w:hAnsi="宋体" w:eastAsia="宋体" w:cs="宋体"/>
                <w:color w:val="auto"/>
                <w:sz w:val="24"/>
                <w:highlight w:val="none"/>
              </w:rPr>
            </w:pPr>
          </w:p>
        </w:tc>
        <w:tc>
          <w:tcPr>
            <w:tcW w:w="810" w:type="dxa"/>
            <w:vAlign w:val="center"/>
          </w:tcPr>
          <w:p w14:paraId="40B97DDF">
            <w:pPr>
              <w:jc w:val="center"/>
              <w:rPr>
                <w:rFonts w:hint="eastAsia" w:ascii="宋体" w:hAnsi="宋体" w:eastAsia="宋体" w:cs="宋体"/>
                <w:color w:val="auto"/>
                <w:sz w:val="24"/>
                <w:highlight w:val="none"/>
              </w:rPr>
            </w:pPr>
          </w:p>
        </w:tc>
      </w:tr>
    </w:tbl>
    <w:p w14:paraId="5FB84D97">
      <w:pPr>
        <w:pStyle w:val="14"/>
        <w:spacing w:line="360" w:lineRule="auto"/>
        <w:rPr>
          <w:rFonts w:hint="eastAsia" w:ascii="宋体" w:hAnsi="宋体" w:cs="宋体"/>
          <w:color w:val="auto"/>
          <w:sz w:val="24"/>
          <w:highlight w:val="none"/>
        </w:rPr>
      </w:pPr>
      <w:r>
        <w:rPr>
          <w:rFonts w:hint="eastAsia" w:ascii="宋体" w:hAnsi="宋体" w:cs="宋体"/>
          <w:color w:val="auto"/>
          <w:sz w:val="24"/>
          <w:highlight w:val="none"/>
        </w:rPr>
        <w:br w:type="page"/>
      </w:r>
    </w:p>
    <w:p w14:paraId="3C85780A">
      <w:pPr>
        <w:spacing w:line="360" w:lineRule="auto"/>
        <w:jc w:val="center"/>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六、人员配备</w:t>
      </w:r>
    </w:p>
    <w:p w14:paraId="675AFDD5">
      <w:pPr>
        <w:spacing w:line="360" w:lineRule="auto"/>
        <w:jc w:val="center"/>
        <w:rPr>
          <w:rFonts w:hint="eastAsia" w:ascii="宋体" w:hAnsi="宋体" w:eastAsia="宋体" w:cs="宋体"/>
          <w:i/>
          <w:color w:val="auto"/>
          <w:sz w:val="24"/>
          <w:highlight w:val="none"/>
        </w:rPr>
      </w:pPr>
      <w:r>
        <w:rPr>
          <w:rFonts w:hint="eastAsia" w:ascii="宋体" w:hAnsi="宋体" w:eastAsia="宋体" w:cs="宋体"/>
          <w:i/>
          <w:color w:val="auto"/>
          <w:sz w:val="24"/>
          <w:highlight w:val="none"/>
        </w:rPr>
        <w:t>(投标人可自行制作格式)</w:t>
      </w:r>
    </w:p>
    <w:p w14:paraId="28C8CB4B">
      <w:pPr>
        <w:widowControl/>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p>
    <w:p w14:paraId="3A2BB9D6">
      <w:pPr>
        <w:spacing w:line="360" w:lineRule="auto"/>
        <w:jc w:val="center"/>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七、服务方案</w:t>
      </w:r>
    </w:p>
    <w:p w14:paraId="3A852C6C">
      <w:pPr>
        <w:spacing w:line="360" w:lineRule="auto"/>
        <w:jc w:val="center"/>
        <w:rPr>
          <w:rFonts w:hint="eastAsia" w:ascii="宋体" w:hAnsi="宋体" w:eastAsia="宋体" w:cs="宋体"/>
          <w:i/>
          <w:color w:val="auto"/>
          <w:sz w:val="24"/>
          <w:highlight w:val="none"/>
        </w:rPr>
      </w:pPr>
      <w:r>
        <w:rPr>
          <w:rFonts w:hint="eastAsia" w:ascii="宋体" w:hAnsi="宋体" w:eastAsia="宋体" w:cs="宋体"/>
          <w:i/>
          <w:color w:val="auto"/>
          <w:sz w:val="24"/>
          <w:highlight w:val="none"/>
        </w:rPr>
        <w:t>(投标人可自行制作格式)</w:t>
      </w:r>
    </w:p>
    <w:p w14:paraId="2205F15F">
      <w:pPr>
        <w:spacing w:line="360" w:lineRule="auto"/>
        <w:jc w:val="center"/>
        <w:outlineLvl w:val="2"/>
        <w:rPr>
          <w:rFonts w:hint="eastAsia" w:ascii="宋体" w:hAnsi="宋体" w:eastAsia="宋体" w:cs="宋体"/>
          <w:b/>
          <w:color w:val="auto"/>
          <w:sz w:val="24"/>
          <w:highlight w:val="none"/>
        </w:rPr>
      </w:pPr>
      <w:r>
        <w:rPr>
          <w:rFonts w:hint="eastAsia" w:ascii="宋体" w:hAnsi="宋体" w:eastAsia="宋体" w:cs="宋体"/>
          <w:color w:val="auto"/>
          <w:sz w:val="24"/>
          <w:highlight w:val="none"/>
        </w:rPr>
        <w:br w:type="page"/>
      </w:r>
    </w:p>
    <w:p w14:paraId="59097D96">
      <w:pPr>
        <w:spacing w:line="360" w:lineRule="auto"/>
        <w:jc w:val="center"/>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八、服务承诺</w:t>
      </w:r>
    </w:p>
    <w:p w14:paraId="5C23C68C">
      <w:pPr>
        <w:spacing w:line="360" w:lineRule="auto"/>
        <w:jc w:val="center"/>
        <w:rPr>
          <w:rFonts w:hint="eastAsia" w:ascii="宋体" w:hAnsi="宋体" w:eastAsia="宋体" w:cs="宋体"/>
          <w:i/>
          <w:color w:val="auto"/>
          <w:sz w:val="24"/>
          <w:highlight w:val="none"/>
        </w:rPr>
      </w:pPr>
      <w:r>
        <w:rPr>
          <w:rFonts w:hint="eastAsia" w:ascii="宋体" w:hAnsi="宋体" w:eastAsia="宋体" w:cs="宋体"/>
          <w:i/>
          <w:color w:val="auto"/>
          <w:sz w:val="24"/>
          <w:highlight w:val="none"/>
        </w:rPr>
        <w:t>(投标人可自行制作格式)</w:t>
      </w:r>
    </w:p>
    <w:p w14:paraId="6384C7A4">
      <w:pPr>
        <w:widowControl/>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p>
    <w:p w14:paraId="77EBD629">
      <w:pPr>
        <w:spacing w:line="360" w:lineRule="auto"/>
        <w:jc w:val="center"/>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九、磋商业绩承诺函</w:t>
      </w:r>
    </w:p>
    <w:p w14:paraId="2D83DF34">
      <w:pPr>
        <w:spacing w:line="360" w:lineRule="auto"/>
        <w:ind w:firstLine="435"/>
        <w:rPr>
          <w:rFonts w:hint="eastAsia" w:ascii="宋体" w:hAnsi="宋体" w:eastAsia="宋体" w:cs="宋体"/>
          <w:color w:val="auto"/>
          <w:sz w:val="24"/>
          <w:highlight w:val="none"/>
        </w:rPr>
      </w:pPr>
    </w:p>
    <w:p w14:paraId="37168E8E">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我单位同意中标候选人公示中公示以下业绩并承诺：响应文件中所提供的业绩均真实有效，若被发现存在任何虚假、隐瞒情况，我单位承担由此产生的一切后果。</w:t>
      </w:r>
    </w:p>
    <w:p w14:paraId="7767AE0E">
      <w:pPr>
        <w:spacing w:line="360" w:lineRule="auto"/>
        <w:ind w:firstLine="435"/>
        <w:rPr>
          <w:rFonts w:hint="eastAsia" w:ascii="宋体" w:hAnsi="宋体" w:eastAsia="宋体" w:cs="宋体"/>
          <w:color w:val="auto"/>
          <w:sz w:val="24"/>
          <w:highlight w:val="none"/>
        </w:rPr>
      </w:pPr>
    </w:p>
    <w:p w14:paraId="5F8D526F">
      <w:pPr>
        <w:spacing w:line="360" w:lineRule="auto"/>
        <w:ind w:firstLine="4228" w:firstLineChars="1762"/>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投标人公章：</w:t>
      </w:r>
      <w:r>
        <w:rPr>
          <w:rFonts w:hint="eastAsia" w:ascii="宋体" w:hAnsi="宋体" w:eastAsia="宋体" w:cs="宋体"/>
          <w:color w:val="auto"/>
          <w:sz w:val="24"/>
          <w:highlight w:val="none"/>
          <w:u w:val="single"/>
        </w:rPr>
        <w:t xml:space="preserve">              </w:t>
      </w:r>
    </w:p>
    <w:p w14:paraId="4BA05633">
      <w:pPr>
        <w:tabs>
          <w:tab w:val="left" w:pos="630"/>
        </w:tabs>
        <w:spacing w:line="360" w:lineRule="auto"/>
        <w:ind w:firstLine="4228" w:firstLineChars="1762"/>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日          期：</w:t>
      </w:r>
      <w:r>
        <w:rPr>
          <w:rFonts w:hint="eastAsia" w:ascii="宋体" w:hAnsi="宋体" w:eastAsia="宋体" w:cs="宋体"/>
          <w:color w:val="auto"/>
          <w:sz w:val="24"/>
          <w:highlight w:val="none"/>
          <w:u w:val="single"/>
        </w:rPr>
        <w:t xml:space="preserve">              </w:t>
      </w:r>
    </w:p>
    <w:p w14:paraId="6117AF41">
      <w:pPr>
        <w:tabs>
          <w:tab w:val="left" w:pos="630"/>
        </w:tabs>
        <w:spacing w:line="360" w:lineRule="auto"/>
        <w:ind w:firstLine="3700" w:firstLineChars="1762"/>
        <w:rPr>
          <w:rFonts w:hint="eastAsia" w:ascii="宋体" w:hAnsi="宋体" w:eastAsia="宋体" w:cs="宋体"/>
          <w:color w:val="auto"/>
          <w:highlight w:val="none"/>
        </w:rPr>
      </w:pPr>
    </w:p>
    <w:tbl>
      <w:tblPr>
        <w:tblStyle w:val="23"/>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0"/>
        <w:gridCol w:w="4106"/>
        <w:gridCol w:w="2528"/>
        <w:gridCol w:w="948"/>
      </w:tblGrid>
      <w:tr w14:paraId="16A6A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940" w:type="dxa"/>
            <w:vAlign w:val="center"/>
          </w:tcPr>
          <w:p w14:paraId="64AB2A73">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4106" w:type="dxa"/>
            <w:vAlign w:val="center"/>
          </w:tcPr>
          <w:p w14:paraId="158875D1">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p>
        </w:tc>
        <w:tc>
          <w:tcPr>
            <w:tcW w:w="2528" w:type="dxa"/>
            <w:vAlign w:val="center"/>
          </w:tcPr>
          <w:p w14:paraId="2F1C85F4">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服务范围</w:t>
            </w:r>
          </w:p>
        </w:tc>
        <w:tc>
          <w:tcPr>
            <w:tcW w:w="948" w:type="dxa"/>
            <w:vAlign w:val="center"/>
          </w:tcPr>
          <w:p w14:paraId="744BAFDD">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r>
      <w:tr w14:paraId="7B83C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0" w:type="dxa"/>
            <w:vAlign w:val="center"/>
          </w:tcPr>
          <w:p w14:paraId="11D77279">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4106" w:type="dxa"/>
            <w:vAlign w:val="center"/>
          </w:tcPr>
          <w:p w14:paraId="114F4D73">
            <w:pPr>
              <w:spacing w:line="360" w:lineRule="auto"/>
              <w:rPr>
                <w:rFonts w:hint="eastAsia" w:ascii="宋体" w:hAnsi="宋体" w:eastAsia="宋体" w:cs="宋体"/>
                <w:color w:val="auto"/>
                <w:sz w:val="24"/>
                <w:szCs w:val="24"/>
                <w:highlight w:val="none"/>
              </w:rPr>
            </w:pPr>
          </w:p>
        </w:tc>
        <w:tc>
          <w:tcPr>
            <w:tcW w:w="2528" w:type="dxa"/>
            <w:vAlign w:val="center"/>
          </w:tcPr>
          <w:p w14:paraId="2A5ADED0">
            <w:pPr>
              <w:spacing w:line="360" w:lineRule="auto"/>
              <w:rPr>
                <w:rFonts w:hint="eastAsia" w:ascii="宋体" w:hAnsi="宋体" w:eastAsia="宋体" w:cs="宋体"/>
                <w:color w:val="auto"/>
                <w:sz w:val="24"/>
                <w:szCs w:val="24"/>
                <w:highlight w:val="none"/>
              </w:rPr>
            </w:pPr>
          </w:p>
        </w:tc>
        <w:tc>
          <w:tcPr>
            <w:tcW w:w="948" w:type="dxa"/>
            <w:vAlign w:val="center"/>
          </w:tcPr>
          <w:p w14:paraId="7B22A794">
            <w:pPr>
              <w:spacing w:line="360" w:lineRule="auto"/>
              <w:rPr>
                <w:rFonts w:hint="eastAsia" w:ascii="宋体" w:hAnsi="宋体" w:eastAsia="宋体" w:cs="宋体"/>
                <w:color w:val="auto"/>
                <w:sz w:val="24"/>
                <w:szCs w:val="24"/>
                <w:highlight w:val="none"/>
              </w:rPr>
            </w:pPr>
          </w:p>
        </w:tc>
      </w:tr>
      <w:tr w14:paraId="02C75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0" w:type="dxa"/>
            <w:vAlign w:val="center"/>
          </w:tcPr>
          <w:p w14:paraId="096A1366">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4106" w:type="dxa"/>
            <w:vAlign w:val="center"/>
          </w:tcPr>
          <w:p w14:paraId="4576F237">
            <w:pPr>
              <w:spacing w:line="360" w:lineRule="auto"/>
              <w:rPr>
                <w:rFonts w:hint="eastAsia" w:ascii="宋体" w:hAnsi="宋体" w:eastAsia="宋体" w:cs="宋体"/>
                <w:color w:val="auto"/>
                <w:sz w:val="24"/>
                <w:szCs w:val="24"/>
                <w:highlight w:val="none"/>
              </w:rPr>
            </w:pPr>
          </w:p>
        </w:tc>
        <w:tc>
          <w:tcPr>
            <w:tcW w:w="2528" w:type="dxa"/>
            <w:vAlign w:val="center"/>
          </w:tcPr>
          <w:p w14:paraId="7F3710BA">
            <w:pPr>
              <w:spacing w:line="360" w:lineRule="auto"/>
              <w:rPr>
                <w:rFonts w:hint="eastAsia" w:ascii="宋体" w:hAnsi="宋体" w:eastAsia="宋体" w:cs="宋体"/>
                <w:color w:val="auto"/>
                <w:sz w:val="24"/>
                <w:szCs w:val="24"/>
                <w:highlight w:val="none"/>
              </w:rPr>
            </w:pPr>
          </w:p>
        </w:tc>
        <w:tc>
          <w:tcPr>
            <w:tcW w:w="948" w:type="dxa"/>
            <w:vAlign w:val="center"/>
          </w:tcPr>
          <w:p w14:paraId="7E89AD39">
            <w:pPr>
              <w:spacing w:line="360" w:lineRule="auto"/>
              <w:rPr>
                <w:rFonts w:hint="eastAsia" w:ascii="宋体" w:hAnsi="宋体" w:eastAsia="宋体" w:cs="宋体"/>
                <w:color w:val="auto"/>
                <w:sz w:val="24"/>
                <w:szCs w:val="24"/>
                <w:highlight w:val="none"/>
              </w:rPr>
            </w:pPr>
          </w:p>
        </w:tc>
      </w:tr>
      <w:tr w14:paraId="34AAA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0" w:type="dxa"/>
            <w:vAlign w:val="center"/>
          </w:tcPr>
          <w:p w14:paraId="34178D00">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4106" w:type="dxa"/>
            <w:vAlign w:val="center"/>
          </w:tcPr>
          <w:p w14:paraId="0688FD57">
            <w:pPr>
              <w:spacing w:line="360" w:lineRule="auto"/>
              <w:rPr>
                <w:rFonts w:hint="eastAsia" w:ascii="宋体" w:hAnsi="宋体" w:eastAsia="宋体" w:cs="宋体"/>
                <w:color w:val="auto"/>
                <w:sz w:val="24"/>
                <w:szCs w:val="24"/>
                <w:highlight w:val="none"/>
              </w:rPr>
            </w:pPr>
          </w:p>
        </w:tc>
        <w:tc>
          <w:tcPr>
            <w:tcW w:w="2528" w:type="dxa"/>
            <w:vAlign w:val="center"/>
          </w:tcPr>
          <w:p w14:paraId="506BAFE5">
            <w:pPr>
              <w:spacing w:line="360" w:lineRule="auto"/>
              <w:rPr>
                <w:rFonts w:hint="eastAsia" w:ascii="宋体" w:hAnsi="宋体" w:eastAsia="宋体" w:cs="宋体"/>
                <w:color w:val="auto"/>
                <w:sz w:val="24"/>
                <w:szCs w:val="24"/>
                <w:highlight w:val="none"/>
              </w:rPr>
            </w:pPr>
          </w:p>
        </w:tc>
        <w:tc>
          <w:tcPr>
            <w:tcW w:w="948" w:type="dxa"/>
            <w:vAlign w:val="center"/>
          </w:tcPr>
          <w:p w14:paraId="4E47D45C">
            <w:pPr>
              <w:spacing w:line="360" w:lineRule="auto"/>
              <w:rPr>
                <w:rFonts w:hint="eastAsia" w:ascii="宋体" w:hAnsi="宋体" w:eastAsia="宋体" w:cs="宋体"/>
                <w:color w:val="auto"/>
                <w:sz w:val="24"/>
                <w:szCs w:val="24"/>
                <w:highlight w:val="none"/>
              </w:rPr>
            </w:pPr>
          </w:p>
        </w:tc>
      </w:tr>
      <w:tr w14:paraId="7B8AC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0" w:type="dxa"/>
            <w:vAlign w:val="center"/>
          </w:tcPr>
          <w:p w14:paraId="1163EC93">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4106" w:type="dxa"/>
            <w:vAlign w:val="center"/>
          </w:tcPr>
          <w:p w14:paraId="41778E2E">
            <w:pPr>
              <w:spacing w:line="360" w:lineRule="auto"/>
              <w:rPr>
                <w:rFonts w:hint="eastAsia" w:ascii="宋体" w:hAnsi="宋体" w:eastAsia="宋体" w:cs="宋体"/>
                <w:color w:val="auto"/>
                <w:sz w:val="24"/>
                <w:szCs w:val="24"/>
                <w:highlight w:val="none"/>
              </w:rPr>
            </w:pPr>
          </w:p>
        </w:tc>
        <w:tc>
          <w:tcPr>
            <w:tcW w:w="2528" w:type="dxa"/>
            <w:vAlign w:val="center"/>
          </w:tcPr>
          <w:p w14:paraId="22965F31">
            <w:pPr>
              <w:spacing w:line="360" w:lineRule="auto"/>
              <w:rPr>
                <w:rFonts w:hint="eastAsia" w:ascii="宋体" w:hAnsi="宋体" w:eastAsia="宋体" w:cs="宋体"/>
                <w:color w:val="auto"/>
                <w:sz w:val="24"/>
                <w:szCs w:val="24"/>
                <w:highlight w:val="none"/>
              </w:rPr>
            </w:pPr>
          </w:p>
        </w:tc>
        <w:tc>
          <w:tcPr>
            <w:tcW w:w="948" w:type="dxa"/>
            <w:vAlign w:val="center"/>
          </w:tcPr>
          <w:p w14:paraId="7DCEA487">
            <w:pPr>
              <w:spacing w:line="360" w:lineRule="auto"/>
              <w:rPr>
                <w:rFonts w:hint="eastAsia" w:ascii="宋体" w:hAnsi="宋体" w:eastAsia="宋体" w:cs="宋体"/>
                <w:color w:val="auto"/>
                <w:sz w:val="24"/>
                <w:szCs w:val="24"/>
                <w:highlight w:val="none"/>
              </w:rPr>
            </w:pPr>
          </w:p>
        </w:tc>
      </w:tr>
      <w:tr w14:paraId="1C7BB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0" w:type="dxa"/>
            <w:vAlign w:val="center"/>
          </w:tcPr>
          <w:p w14:paraId="15B6873A">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4106" w:type="dxa"/>
            <w:vAlign w:val="center"/>
          </w:tcPr>
          <w:p w14:paraId="166E6728">
            <w:pPr>
              <w:spacing w:line="360" w:lineRule="auto"/>
              <w:rPr>
                <w:rFonts w:hint="eastAsia" w:ascii="宋体" w:hAnsi="宋体" w:eastAsia="宋体" w:cs="宋体"/>
                <w:color w:val="auto"/>
                <w:sz w:val="24"/>
                <w:szCs w:val="24"/>
                <w:highlight w:val="none"/>
              </w:rPr>
            </w:pPr>
          </w:p>
        </w:tc>
        <w:tc>
          <w:tcPr>
            <w:tcW w:w="2528" w:type="dxa"/>
            <w:vAlign w:val="center"/>
          </w:tcPr>
          <w:p w14:paraId="24782E05">
            <w:pPr>
              <w:spacing w:line="360" w:lineRule="auto"/>
              <w:rPr>
                <w:rFonts w:hint="eastAsia" w:ascii="宋体" w:hAnsi="宋体" w:eastAsia="宋体" w:cs="宋体"/>
                <w:color w:val="auto"/>
                <w:sz w:val="24"/>
                <w:szCs w:val="24"/>
                <w:highlight w:val="none"/>
              </w:rPr>
            </w:pPr>
          </w:p>
        </w:tc>
        <w:tc>
          <w:tcPr>
            <w:tcW w:w="948" w:type="dxa"/>
            <w:vAlign w:val="center"/>
          </w:tcPr>
          <w:p w14:paraId="318A2A0B">
            <w:pPr>
              <w:spacing w:line="360" w:lineRule="auto"/>
              <w:rPr>
                <w:rFonts w:hint="eastAsia" w:ascii="宋体" w:hAnsi="宋体" w:eastAsia="宋体" w:cs="宋体"/>
                <w:color w:val="auto"/>
                <w:sz w:val="24"/>
                <w:szCs w:val="24"/>
                <w:highlight w:val="none"/>
              </w:rPr>
            </w:pPr>
          </w:p>
        </w:tc>
      </w:tr>
      <w:tr w14:paraId="4AA76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0" w:type="dxa"/>
            <w:vAlign w:val="center"/>
          </w:tcPr>
          <w:p w14:paraId="50807AAB">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4106" w:type="dxa"/>
            <w:vAlign w:val="center"/>
          </w:tcPr>
          <w:p w14:paraId="6BEEC417">
            <w:pPr>
              <w:spacing w:line="360" w:lineRule="auto"/>
              <w:rPr>
                <w:rFonts w:hint="eastAsia" w:ascii="宋体" w:hAnsi="宋体" w:eastAsia="宋体" w:cs="宋体"/>
                <w:color w:val="auto"/>
                <w:sz w:val="24"/>
                <w:szCs w:val="24"/>
                <w:highlight w:val="none"/>
              </w:rPr>
            </w:pPr>
          </w:p>
        </w:tc>
        <w:tc>
          <w:tcPr>
            <w:tcW w:w="2528" w:type="dxa"/>
            <w:vAlign w:val="center"/>
          </w:tcPr>
          <w:p w14:paraId="41E59B9E">
            <w:pPr>
              <w:spacing w:line="360" w:lineRule="auto"/>
              <w:rPr>
                <w:rFonts w:hint="eastAsia" w:ascii="宋体" w:hAnsi="宋体" w:eastAsia="宋体" w:cs="宋体"/>
                <w:color w:val="auto"/>
                <w:sz w:val="24"/>
                <w:szCs w:val="24"/>
                <w:highlight w:val="none"/>
              </w:rPr>
            </w:pPr>
          </w:p>
        </w:tc>
        <w:tc>
          <w:tcPr>
            <w:tcW w:w="948" w:type="dxa"/>
            <w:vAlign w:val="center"/>
          </w:tcPr>
          <w:p w14:paraId="208FE094">
            <w:pPr>
              <w:spacing w:line="360" w:lineRule="auto"/>
              <w:rPr>
                <w:rFonts w:hint="eastAsia" w:ascii="宋体" w:hAnsi="宋体" w:eastAsia="宋体" w:cs="宋体"/>
                <w:color w:val="auto"/>
                <w:sz w:val="24"/>
                <w:szCs w:val="24"/>
                <w:highlight w:val="none"/>
              </w:rPr>
            </w:pPr>
          </w:p>
        </w:tc>
      </w:tr>
    </w:tbl>
    <w:p w14:paraId="1266E0AF">
      <w:pPr>
        <w:adjustRightInd w:val="0"/>
        <w:snapToGrid w:val="0"/>
        <w:spacing w:line="360" w:lineRule="auto"/>
        <w:rPr>
          <w:rFonts w:hint="eastAsia" w:ascii="宋体" w:hAnsi="宋体" w:eastAsia="宋体" w:cs="宋体"/>
          <w:b/>
          <w:bCs/>
          <w:color w:val="auto"/>
          <w:sz w:val="24"/>
          <w:szCs w:val="28"/>
          <w:highlight w:val="none"/>
        </w:rPr>
      </w:pPr>
    </w:p>
    <w:p w14:paraId="0FC64EC7">
      <w:pPr>
        <w:adjustRightInd w:val="0"/>
        <w:snapToGrid w:val="0"/>
        <w:spacing w:line="360" w:lineRule="auto"/>
        <w:rPr>
          <w:rFonts w:hint="eastAsia" w:ascii="宋体" w:hAnsi="宋体" w:eastAsia="宋体" w:cs="宋体"/>
          <w:b/>
          <w:bCs/>
          <w:color w:val="auto"/>
          <w:sz w:val="24"/>
          <w:szCs w:val="28"/>
          <w:highlight w:val="none"/>
        </w:rPr>
      </w:pPr>
      <w:r>
        <w:rPr>
          <w:rFonts w:hint="eastAsia" w:ascii="宋体" w:hAnsi="宋体" w:eastAsia="宋体" w:cs="宋体"/>
          <w:b/>
          <w:bCs/>
          <w:color w:val="auto"/>
          <w:sz w:val="24"/>
          <w:szCs w:val="28"/>
          <w:highlight w:val="none"/>
        </w:rPr>
        <w:t>备注：</w:t>
      </w:r>
    </w:p>
    <w:p w14:paraId="45C8DA6C">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1.表中所列业绩应为投标人满足磋商文件要求的业绩；</w:t>
      </w:r>
    </w:p>
    <w:p w14:paraId="45702891">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2.中标候选人提供的以上业绩情况，如磋商文件《投标人须知前附表》有约定的，将按约定随中标候选人公示同时公告。</w:t>
      </w:r>
    </w:p>
    <w:p w14:paraId="70863D12">
      <w:pPr>
        <w:widowControl/>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68E1CE67">
      <w:pPr>
        <w:spacing w:line="360" w:lineRule="auto"/>
        <w:ind w:right="480" w:firstLine="4680" w:firstLineChars="1950"/>
        <w:rPr>
          <w:rFonts w:hint="eastAsia" w:ascii="宋体" w:hAnsi="宋体" w:eastAsia="宋体" w:cs="宋体"/>
          <w:color w:val="auto"/>
          <w:sz w:val="24"/>
          <w:highlight w:val="none"/>
        </w:rPr>
      </w:pPr>
    </w:p>
    <w:p w14:paraId="39B830CA">
      <w:pPr>
        <w:spacing w:line="360" w:lineRule="auto"/>
        <w:ind w:right="480" w:firstLine="5460" w:firstLineChars="1950"/>
        <w:rPr>
          <w:rFonts w:hint="eastAsia" w:ascii="宋体" w:hAnsi="宋体" w:eastAsia="宋体" w:cs="宋体"/>
          <w:color w:val="auto"/>
          <w:sz w:val="28"/>
          <w:highlight w:val="none"/>
        </w:rPr>
      </w:pPr>
    </w:p>
    <w:p w14:paraId="17D14B0A">
      <w:pPr>
        <w:widowControl/>
        <w:jc w:val="left"/>
        <w:rPr>
          <w:rFonts w:hint="eastAsia" w:ascii="宋体" w:hAnsi="宋体" w:eastAsia="宋体" w:cs="宋体"/>
          <w:b/>
          <w:bCs/>
          <w:color w:val="auto"/>
          <w:sz w:val="24"/>
          <w:szCs w:val="24"/>
          <w:highlight w:val="none"/>
        </w:rPr>
        <w:sectPr>
          <w:headerReference r:id="rId7" w:type="default"/>
          <w:footerReference r:id="rId8" w:type="default"/>
          <w:pgSz w:w="11906" w:h="16838"/>
          <w:pgMar w:top="1440" w:right="1800" w:bottom="1440" w:left="1800" w:header="851" w:footer="992" w:gutter="0"/>
          <w:cols w:space="720" w:num="1"/>
          <w:docGrid w:type="lines" w:linePitch="312" w:charSpace="0"/>
        </w:sectPr>
      </w:pPr>
    </w:p>
    <w:p w14:paraId="66D58D68">
      <w:pPr>
        <w:spacing w:line="360" w:lineRule="auto"/>
        <w:jc w:val="center"/>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十、其他相关证明材料</w:t>
      </w:r>
    </w:p>
    <w:p w14:paraId="299EC71F">
      <w:pPr>
        <w:tabs>
          <w:tab w:val="left" w:pos="4620"/>
        </w:tabs>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提供符合磋商邀请（磋商公告）、招标需求及评审方法和标准规定的相关证明文件。</w:t>
      </w:r>
    </w:p>
    <w:p w14:paraId="4B49A66F">
      <w:pPr>
        <w:spacing w:line="360" w:lineRule="auto"/>
        <w:ind w:firstLine="435"/>
        <w:rPr>
          <w:rFonts w:hint="eastAsia" w:ascii="宋体" w:hAnsi="宋体" w:eastAsia="宋体" w:cs="宋体"/>
          <w:color w:val="auto"/>
          <w:sz w:val="24"/>
          <w:highlight w:val="none"/>
        </w:rPr>
      </w:pPr>
    </w:p>
    <w:p w14:paraId="6382D6AD">
      <w:pPr>
        <w:spacing w:line="360" w:lineRule="auto"/>
        <w:ind w:firstLine="480" w:firstLineChars="200"/>
        <w:rPr>
          <w:rFonts w:hint="eastAsia" w:ascii="宋体" w:hAnsi="宋体" w:eastAsia="宋体" w:cs="宋体"/>
          <w:color w:val="auto"/>
          <w:sz w:val="24"/>
          <w:highlight w:val="none"/>
        </w:rPr>
      </w:pPr>
    </w:p>
    <w:p w14:paraId="2D728955">
      <w:pPr>
        <w:spacing w:line="360" w:lineRule="auto"/>
        <w:ind w:firstLine="435"/>
        <w:rPr>
          <w:rFonts w:hint="eastAsia" w:ascii="宋体" w:hAnsi="宋体" w:eastAsia="宋体" w:cs="宋体"/>
          <w:b/>
          <w:color w:val="auto"/>
          <w:sz w:val="24"/>
          <w:highlight w:val="none"/>
        </w:rPr>
      </w:pPr>
      <w:r>
        <w:rPr>
          <w:rFonts w:hint="eastAsia" w:ascii="宋体" w:hAnsi="宋体" w:eastAsia="宋体" w:cs="宋体"/>
          <w:b/>
          <w:color w:val="auto"/>
          <w:sz w:val="24"/>
          <w:highlight w:val="none"/>
        </w:rPr>
        <w:t>特别提示：</w:t>
      </w:r>
    </w:p>
    <w:p w14:paraId="1E0B5D98">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投标人在响应文件制作时可在此栏内上传磋商文件要求上传的证明资料，如营业执照、税务登记证、人员证书、资质证书、荣誉奖项等，应将上述证明材料制作成扫描件上传。</w:t>
      </w:r>
    </w:p>
    <w:p w14:paraId="35125049">
      <w:pPr>
        <w:spacing w:line="360" w:lineRule="auto"/>
        <w:jc w:val="center"/>
        <w:rPr>
          <w:rFonts w:hint="eastAsia" w:ascii="宋体" w:hAnsi="宋体" w:eastAsia="宋体" w:cs="宋体"/>
          <w:b/>
          <w:color w:val="auto"/>
          <w:sz w:val="24"/>
          <w:highlight w:val="none"/>
        </w:rPr>
      </w:pPr>
    </w:p>
    <w:p w14:paraId="1A9EBF9D">
      <w:pPr>
        <w:spacing w:line="360" w:lineRule="auto"/>
        <w:rPr>
          <w:rFonts w:hint="eastAsia" w:ascii="宋体" w:hAnsi="宋体" w:eastAsia="宋体" w:cs="宋体"/>
          <w:bCs/>
          <w:color w:val="auto"/>
          <w:sz w:val="24"/>
          <w:highlight w:val="none"/>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简标宋">
    <w:altName w:val="宋体"/>
    <w:panose1 w:val="00000000000000000000"/>
    <w:charset w:val="86"/>
    <w:family w:val="auto"/>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TimesNewRomanPSMT">
    <w:altName w:val="Times New Roman"/>
    <w:panose1 w:val="00000000000000000000"/>
    <w:charset w:val="00"/>
    <w:family w:val="auto"/>
    <w:pitch w:val="default"/>
    <w:sig w:usb0="00000000" w:usb1="00000000" w:usb2="00000000" w:usb3="00000000" w:csb0="00040001" w:csb1="00000000"/>
  </w:font>
  <w:font w:name="Sylfaen">
    <w:panose1 w:val="010A0502050306030303"/>
    <w:charset w:val="00"/>
    <w:family w:val="roman"/>
    <w:pitch w:val="default"/>
    <w:sig w:usb0="04000687" w:usb1="00000000" w:usb2="00000000" w:usb3="00000000" w:csb0="2000009F" w:csb1="00000000"/>
  </w:font>
  <w:font w:name="MingLiU">
    <w:altName w:val="PMingLiU-ExtB"/>
    <w:panose1 w:val="02010609000101010101"/>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DotumChe">
    <w:altName w:val="Malgun Gothic"/>
    <w:panose1 w:val="00000000000000000000"/>
    <w:charset w:val="81"/>
    <w:family w:val="modern"/>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21A1E0">
    <w:pPr>
      <w:pStyle w:val="16"/>
      <w:jc w:val="center"/>
      <w:rPr>
        <w:rFonts w:hint="eastAsia"/>
      </w:rPr>
    </w:pPr>
    <w:r>
      <w:rPr>
        <w:rFonts w:hint="eastAsia"/>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1EC7638">
                          <w:pPr>
                            <w:pStyle w:val="16"/>
                            <w:rPr>
                              <w:rFonts w:hint="eastAsia" w:ascii="宋体" w:hAnsi="宋体" w:eastAsia="宋体" w:cs="宋体"/>
                            </w:rPr>
                          </w:pPr>
                          <w:r>
                            <w:rPr>
                              <w:rFonts w:hint="eastAsia" w:ascii="宋体" w:hAnsi="宋体" w:eastAsia="宋体" w:cs="宋体"/>
                            </w:rPr>
                            <w:t xml:space="preserve">第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rPr>
                            <w:t xml:space="preserve"> 页 共 </w:t>
                          </w:r>
                          <w:r>
                            <w:rPr>
                              <w:rFonts w:hint="eastAsia" w:ascii="宋体" w:hAnsi="宋体" w:eastAsia="宋体" w:cs="宋体"/>
                            </w:rPr>
                            <w:fldChar w:fldCharType="begin"/>
                          </w:r>
                          <w:r>
                            <w:rPr>
                              <w:rFonts w:hint="eastAsia" w:ascii="宋体" w:hAnsi="宋体" w:eastAsia="宋体" w:cs="宋体"/>
                            </w:rPr>
                            <w:instrText xml:space="preserve"> NUMPAGES  \* MERGEFORMAT </w:instrText>
                          </w:r>
                          <w:r>
                            <w:rPr>
                              <w:rFonts w:hint="eastAsia" w:ascii="宋体" w:hAnsi="宋体" w:eastAsia="宋体" w:cs="宋体"/>
                            </w:rPr>
                            <w:fldChar w:fldCharType="separate"/>
                          </w:r>
                          <w:r>
                            <w:rPr>
                              <w:rFonts w:hint="eastAsia" w:ascii="宋体" w:hAnsi="宋体" w:eastAsia="宋体" w:cs="宋体"/>
                            </w:rPr>
                            <w:t>59</w:t>
                          </w:r>
                          <w:r>
                            <w:rPr>
                              <w:rFonts w:hint="eastAsia" w:ascii="宋体" w:hAnsi="宋体" w:eastAsia="宋体" w:cs="宋体"/>
                            </w:rPr>
                            <w:fldChar w:fldCharType="end"/>
                          </w:r>
                          <w:r>
                            <w:rPr>
                              <w:rFonts w:hint="eastAsia" w:ascii="宋体" w:hAnsi="宋体" w:eastAsia="宋体" w:cs="宋体"/>
                            </w:rPr>
                            <w:t xml:space="preserve"> 页</w:t>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LRDXfXLAQAAnAMAAA4AAAAAAAAAAQAgAAAAHgEAAGRycy9lMm9E&#10;b2MueG1sUEsFBgAAAAAGAAYAWQEAAFsFAAAAAA==&#10;">
              <v:fill on="f" focussize="0,0"/>
              <v:stroke on="f"/>
              <v:imagedata o:title=""/>
              <o:lock v:ext="edit" aspectratio="f"/>
              <v:textbox inset="0mm,0mm,0mm,0mm" style="mso-fit-shape-to-text:t;">
                <w:txbxContent>
                  <w:p w14:paraId="61EC7638">
                    <w:pPr>
                      <w:pStyle w:val="16"/>
                      <w:rPr>
                        <w:rFonts w:hint="eastAsia" w:ascii="宋体" w:hAnsi="宋体" w:eastAsia="宋体" w:cs="宋体"/>
                      </w:rPr>
                    </w:pPr>
                    <w:r>
                      <w:rPr>
                        <w:rFonts w:hint="eastAsia" w:ascii="宋体" w:hAnsi="宋体" w:eastAsia="宋体" w:cs="宋体"/>
                      </w:rPr>
                      <w:t xml:space="preserve">第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rPr>
                      <w:t xml:space="preserve"> 页 共 </w:t>
                    </w:r>
                    <w:r>
                      <w:rPr>
                        <w:rFonts w:hint="eastAsia" w:ascii="宋体" w:hAnsi="宋体" w:eastAsia="宋体" w:cs="宋体"/>
                      </w:rPr>
                      <w:fldChar w:fldCharType="begin"/>
                    </w:r>
                    <w:r>
                      <w:rPr>
                        <w:rFonts w:hint="eastAsia" w:ascii="宋体" w:hAnsi="宋体" w:eastAsia="宋体" w:cs="宋体"/>
                      </w:rPr>
                      <w:instrText xml:space="preserve"> NUMPAGES  \* MERGEFORMAT </w:instrText>
                    </w:r>
                    <w:r>
                      <w:rPr>
                        <w:rFonts w:hint="eastAsia" w:ascii="宋体" w:hAnsi="宋体" w:eastAsia="宋体" w:cs="宋体"/>
                      </w:rPr>
                      <w:fldChar w:fldCharType="separate"/>
                    </w:r>
                    <w:r>
                      <w:rPr>
                        <w:rFonts w:hint="eastAsia" w:ascii="宋体" w:hAnsi="宋体" w:eastAsia="宋体" w:cs="宋体"/>
                      </w:rPr>
                      <w:t>59</w:t>
                    </w:r>
                    <w:r>
                      <w:rPr>
                        <w:rFonts w:hint="eastAsia" w:ascii="宋体" w:hAnsi="宋体" w:eastAsia="宋体" w:cs="宋体"/>
                      </w:rPr>
                      <w:fldChar w:fldCharType="end"/>
                    </w:r>
                    <w:r>
                      <w:rPr>
                        <w:rFonts w:hint="eastAsia" w:ascii="宋体" w:hAnsi="宋体" w:eastAsia="宋体" w:cs="宋体"/>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DE3F7C">
    <w:pPr>
      <w:pStyle w:val="16"/>
      <w:jc w:val="center"/>
      <w:rPr>
        <w:rFonts w:hint="eastAsia"/>
      </w:rPr>
    </w:pPr>
    <w:r>
      <w:rPr>
        <w:rFonts w:hint="eastAsia"/>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E3DC361">
                          <w:pPr>
                            <w:pStyle w:val="16"/>
                            <w:rPr>
                              <w:rFonts w:hint="eastAsia" w:ascii="宋体" w:hAnsi="宋体" w:eastAsia="宋体" w:cs="宋体"/>
                            </w:rPr>
                          </w:pPr>
                          <w:r>
                            <w:rPr>
                              <w:rFonts w:hint="eastAsia" w:ascii="宋体" w:hAnsi="宋体" w:eastAsia="宋体" w:cs="宋体"/>
                            </w:rPr>
                            <w:t xml:space="preserve">第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rPr>
                            <w:t xml:space="preserve"> 页 共 </w:t>
                          </w:r>
                          <w:r>
                            <w:rPr>
                              <w:rFonts w:hint="eastAsia" w:ascii="宋体" w:hAnsi="宋体" w:eastAsia="宋体" w:cs="宋体"/>
                            </w:rPr>
                            <w:fldChar w:fldCharType="begin"/>
                          </w:r>
                          <w:r>
                            <w:rPr>
                              <w:rFonts w:hint="eastAsia" w:ascii="宋体" w:hAnsi="宋体" w:eastAsia="宋体" w:cs="宋体"/>
                            </w:rPr>
                            <w:instrText xml:space="preserve"> NUMPAGES  \* MERGEFORMAT </w:instrText>
                          </w:r>
                          <w:r>
                            <w:rPr>
                              <w:rFonts w:hint="eastAsia" w:ascii="宋体" w:hAnsi="宋体" w:eastAsia="宋体" w:cs="宋体"/>
                            </w:rPr>
                            <w:fldChar w:fldCharType="separate"/>
                          </w:r>
                          <w:r>
                            <w:rPr>
                              <w:rFonts w:hint="eastAsia" w:ascii="宋体" w:hAnsi="宋体" w:eastAsia="宋体" w:cs="宋体"/>
                            </w:rPr>
                            <w:t>59</w:t>
                          </w:r>
                          <w:r>
                            <w:rPr>
                              <w:rFonts w:hint="eastAsia" w:ascii="宋体" w:hAnsi="宋体" w:eastAsia="宋体" w:cs="宋体"/>
                            </w:rPr>
                            <w:fldChar w:fldCharType="end"/>
                          </w:r>
                          <w:r>
                            <w:rPr>
                              <w:rFonts w:hint="eastAsia" w:ascii="宋体" w:hAnsi="宋体" w:eastAsia="宋体" w:cs="宋体"/>
                            </w:rPr>
                            <w:t xml:space="preserve"> 页</w:t>
                          </w:r>
                        </w:p>
                      </w:txbxContent>
                    </wps:txbx>
                    <wps:bodyPr wrap="none" lIns="0" tIns="0" rIns="0" bIns="0" upright="1">
                      <a:spAutoFit/>
                    </wps:bodyPr>
                  </wps:wsp>
                </a:graphicData>
              </a:graphic>
            </wp:anchor>
          </w:drawing>
        </mc:Choice>
        <mc:Fallback>
          <w:pict>
            <v:shape id="文本框 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KtTgfXLAQAAnAMAAA4AAAAAAAAAAQAgAAAAHgEAAGRycy9lMm9E&#10;b2MueG1sUEsFBgAAAAAGAAYAWQEAAFsFAAAAAA==&#10;">
              <v:fill on="f" focussize="0,0"/>
              <v:stroke on="f"/>
              <v:imagedata o:title=""/>
              <o:lock v:ext="edit" aspectratio="f"/>
              <v:textbox inset="0mm,0mm,0mm,0mm" style="mso-fit-shape-to-text:t;">
                <w:txbxContent>
                  <w:p w14:paraId="2E3DC361">
                    <w:pPr>
                      <w:pStyle w:val="16"/>
                      <w:rPr>
                        <w:rFonts w:hint="eastAsia" w:ascii="宋体" w:hAnsi="宋体" w:eastAsia="宋体" w:cs="宋体"/>
                      </w:rPr>
                    </w:pPr>
                    <w:r>
                      <w:rPr>
                        <w:rFonts w:hint="eastAsia" w:ascii="宋体" w:hAnsi="宋体" w:eastAsia="宋体" w:cs="宋体"/>
                      </w:rPr>
                      <w:t xml:space="preserve">第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rPr>
                      <w:t xml:space="preserve"> 页 共 </w:t>
                    </w:r>
                    <w:r>
                      <w:rPr>
                        <w:rFonts w:hint="eastAsia" w:ascii="宋体" w:hAnsi="宋体" w:eastAsia="宋体" w:cs="宋体"/>
                      </w:rPr>
                      <w:fldChar w:fldCharType="begin"/>
                    </w:r>
                    <w:r>
                      <w:rPr>
                        <w:rFonts w:hint="eastAsia" w:ascii="宋体" w:hAnsi="宋体" w:eastAsia="宋体" w:cs="宋体"/>
                      </w:rPr>
                      <w:instrText xml:space="preserve"> NUMPAGES  \* MERGEFORMAT </w:instrText>
                    </w:r>
                    <w:r>
                      <w:rPr>
                        <w:rFonts w:hint="eastAsia" w:ascii="宋体" w:hAnsi="宋体" w:eastAsia="宋体" w:cs="宋体"/>
                      </w:rPr>
                      <w:fldChar w:fldCharType="separate"/>
                    </w:r>
                    <w:r>
                      <w:rPr>
                        <w:rFonts w:hint="eastAsia" w:ascii="宋体" w:hAnsi="宋体" w:eastAsia="宋体" w:cs="宋体"/>
                      </w:rPr>
                      <w:t>59</w:t>
                    </w:r>
                    <w:r>
                      <w:rPr>
                        <w:rFonts w:hint="eastAsia" w:ascii="宋体" w:hAnsi="宋体" w:eastAsia="宋体" w:cs="宋体"/>
                      </w:rPr>
                      <w:fldChar w:fldCharType="end"/>
                    </w:r>
                    <w:r>
                      <w:rPr>
                        <w:rFonts w:hint="eastAsia" w:ascii="宋体" w:hAnsi="宋体" w:eastAsia="宋体" w:cs="宋体"/>
                      </w:rP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D8F9C4">
    <w:pPr>
      <w:tabs>
        <w:tab w:val="center" w:pos="4153"/>
        <w:tab w:val="right" w:pos="8306"/>
      </w:tabs>
      <w:snapToGrid w:val="0"/>
      <w:rPr>
        <w:rFonts w:ascii="Calibri" w:hAnsi="Calibri"/>
        <w:sz w:val="18"/>
        <w:szCs w:val="18"/>
      </w:rPr>
    </w:pPr>
  </w:p>
  <w:p w14:paraId="2AF2C1C0">
    <w:pPr>
      <w:jc w:val="left"/>
      <w:rPr>
        <w:rFonts w:ascii="Calibri" w:hAnsi="Calibri"/>
        <w:kern w:val="0"/>
        <w:sz w:val="22"/>
        <w:szCs w:val="22"/>
        <w:lang w:eastAsia="en-US"/>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7E3E14">
    <w:pPr>
      <w:pStyle w:val="16"/>
      <w:jc w:val="center"/>
      <w:rPr>
        <w:rFonts w:hint="eastAsia" w:ascii="宋体" w:hAnsi="宋体" w:eastAsia="宋体"/>
        <w:sz w:val="21"/>
        <w:szCs w:val="21"/>
      </w:rPr>
    </w:pPr>
    <w:r>
      <w:rPr>
        <w:rFonts w:hint="eastAsia"/>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2A034F7">
                          <w:pPr>
                            <w:pStyle w:val="16"/>
                            <w:rPr>
                              <w:rFonts w:hint="eastAsia" w:ascii="宋体" w:hAnsi="宋体" w:eastAsia="宋体" w:cs="宋体"/>
                            </w:rPr>
                          </w:pPr>
                          <w:r>
                            <w:rPr>
                              <w:rFonts w:hint="eastAsia" w:ascii="宋体" w:hAnsi="宋体" w:eastAsia="宋体" w:cs="宋体"/>
                            </w:rPr>
                            <w:t xml:space="preserve">第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30</w:t>
                          </w:r>
                          <w:r>
                            <w:rPr>
                              <w:rFonts w:hint="eastAsia" w:ascii="宋体" w:hAnsi="宋体" w:eastAsia="宋体" w:cs="宋体"/>
                            </w:rPr>
                            <w:fldChar w:fldCharType="end"/>
                          </w:r>
                          <w:r>
                            <w:rPr>
                              <w:rFonts w:hint="eastAsia" w:ascii="宋体" w:hAnsi="宋体" w:eastAsia="宋体" w:cs="宋体"/>
                            </w:rPr>
                            <w:t xml:space="preserve"> 页 共 </w:t>
                          </w:r>
                          <w:r>
                            <w:rPr>
                              <w:rFonts w:hint="eastAsia" w:ascii="宋体" w:hAnsi="宋体" w:eastAsia="宋体" w:cs="宋体"/>
                            </w:rPr>
                            <w:fldChar w:fldCharType="begin"/>
                          </w:r>
                          <w:r>
                            <w:rPr>
                              <w:rFonts w:hint="eastAsia" w:ascii="宋体" w:hAnsi="宋体" w:eastAsia="宋体" w:cs="宋体"/>
                            </w:rPr>
                            <w:instrText xml:space="preserve"> NUMPAGES  \* MERGEFORMAT </w:instrText>
                          </w:r>
                          <w:r>
                            <w:rPr>
                              <w:rFonts w:hint="eastAsia" w:ascii="宋体" w:hAnsi="宋体" w:eastAsia="宋体" w:cs="宋体"/>
                            </w:rPr>
                            <w:fldChar w:fldCharType="separate"/>
                          </w:r>
                          <w:r>
                            <w:rPr>
                              <w:rFonts w:hint="eastAsia" w:ascii="宋体" w:hAnsi="宋体" w:eastAsia="宋体" w:cs="宋体"/>
                            </w:rPr>
                            <w:t>59</w:t>
                          </w:r>
                          <w:r>
                            <w:rPr>
                              <w:rFonts w:hint="eastAsia" w:ascii="宋体" w:hAnsi="宋体" w:eastAsia="宋体" w:cs="宋体"/>
                            </w:rPr>
                            <w:fldChar w:fldCharType="end"/>
                          </w:r>
                          <w:r>
                            <w:rPr>
                              <w:rFonts w:hint="eastAsia" w:ascii="宋体" w:hAnsi="宋体" w:eastAsia="宋体" w:cs="宋体"/>
                            </w:rPr>
                            <w:t xml:space="preserve"> 页</w:t>
                          </w:r>
                        </w:p>
                      </w:txbxContent>
                    </wps:txbx>
                    <wps:bodyPr wrap="none" lIns="0" tIns="0" rIns="0" bIns="0" upright="1">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GFeGkPLAQAAnAMAAA4AAAAAAAAAAQAgAAAAHgEAAGRycy9lMm9E&#10;b2MueG1sUEsFBgAAAAAGAAYAWQEAAFsFAAAAAA==&#10;">
              <v:fill on="f" focussize="0,0"/>
              <v:stroke on="f"/>
              <v:imagedata o:title=""/>
              <o:lock v:ext="edit" aspectratio="f"/>
              <v:textbox inset="0mm,0mm,0mm,0mm" style="mso-fit-shape-to-text:t;">
                <w:txbxContent>
                  <w:p w14:paraId="02A034F7">
                    <w:pPr>
                      <w:pStyle w:val="16"/>
                      <w:rPr>
                        <w:rFonts w:hint="eastAsia" w:ascii="宋体" w:hAnsi="宋体" w:eastAsia="宋体" w:cs="宋体"/>
                      </w:rPr>
                    </w:pPr>
                    <w:r>
                      <w:rPr>
                        <w:rFonts w:hint="eastAsia" w:ascii="宋体" w:hAnsi="宋体" w:eastAsia="宋体" w:cs="宋体"/>
                      </w:rPr>
                      <w:t xml:space="preserve">第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30</w:t>
                    </w:r>
                    <w:r>
                      <w:rPr>
                        <w:rFonts w:hint="eastAsia" w:ascii="宋体" w:hAnsi="宋体" w:eastAsia="宋体" w:cs="宋体"/>
                      </w:rPr>
                      <w:fldChar w:fldCharType="end"/>
                    </w:r>
                    <w:r>
                      <w:rPr>
                        <w:rFonts w:hint="eastAsia" w:ascii="宋体" w:hAnsi="宋体" w:eastAsia="宋体" w:cs="宋体"/>
                      </w:rPr>
                      <w:t xml:space="preserve"> 页 共 </w:t>
                    </w:r>
                    <w:r>
                      <w:rPr>
                        <w:rFonts w:hint="eastAsia" w:ascii="宋体" w:hAnsi="宋体" w:eastAsia="宋体" w:cs="宋体"/>
                      </w:rPr>
                      <w:fldChar w:fldCharType="begin"/>
                    </w:r>
                    <w:r>
                      <w:rPr>
                        <w:rFonts w:hint="eastAsia" w:ascii="宋体" w:hAnsi="宋体" w:eastAsia="宋体" w:cs="宋体"/>
                      </w:rPr>
                      <w:instrText xml:space="preserve"> NUMPAGES  \* MERGEFORMAT </w:instrText>
                    </w:r>
                    <w:r>
                      <w:rPr>
                        <w:rFonts w:hint="eastAsia" w:ascii="宋体" w:hAnsi="宋体" w:eastAsia="宋体" w:cs="宋体"/>
                      </w:rPr>
                      <w:fldChar w:fldCharType="separate"/>
                    </w:r>
                    <w:r>
                      <w:rPr>
                        <w:rFonts w:hint="eastAsia" w:ascii="宋体" w:hAnsi="宋体" w:eastAsia="宋体" w:cs="宋体"/>
                      </w:rPr>
                      <w:t>59</w:t>
                    </w:r>
                    <w:r>
                      <w:rPr>
                        <w:rFonts w:hint="eastAsia" w:ascii="宋体" w:hAnsi="宋体" w:eastAsia="宋体" w:cs="宋体"/>
                      </w:rPr>
                      <w:fldChar w:fldCharType="end"/>
                    </w:r>
                    <w:r>
                      <w:rPr>
                        <w:rFonts w:hint="eastAsia" w:ascii="宋体" w:hAnsi="宋体" w:eastAsia="宋体" w:cs="宋体"/>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A0D301">
    <w:pPr>
      <w:pStyle w:val="17"/>
      <w:jc w:val="both"/>
      <w:rPr>
        <w:rFonts w:hint="eastAsia" w:eastAsia="宋体"/>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139C1B">
    <w:pPr>
      <w:pStyle w:val="17"/>
      <w:jc w:val="both"/>
      <w:rPr>
        <w:rFonts w:hint="eastAsia"/>
      </w:rPr>
    </w:pPr>
    <w:r>
      <w:rPr>
        <w:rFonts w:hint="eastAsia" w:ascii="宋体" w:hAnsi="宋体" w:eastAsia="宋体"/>
      </w:rPr>
      <w:t>包河交易公司货物和服务范本</w:t>
    </w:r>
    <w:r>
      <w:rPr>
        <w:rFonts w:ascii="宋体" w:hAnsi="宋体" w:eastAsia="宋体"/>
      </w:rPr>
      <w:t>-竞争性</w:t>
    </w:r>
    <w:r>
      <w:rPr>
        <w:rFonts w:hint="eastAsia" w:ascii="宋体" w:hAnsi="宋体" w:eastAsia="宋体"/>
      </w:rPr>
      <w:t>磋商</w:t>
    </w:r>
    <w:r>
      <w:rPr>
        <w:rFonts w:ascii="宋体" w:hAnsi="宋体" w:eastAsia="宋体"/>
      </w:rPr>
      <w:t>文件（</w:t>
    </w:r>
    <w:r>
      <w:rPr>
        <w:rFonts w:hint="eastAsia" w:ascii="宋体" w:hAnsi="宋体" w:eastAsia="宋体"/>
      </w:rPr>
      <w:t>服务</w:t>
    </w:r>
    <w:r>
      <w:rPr>
        <w:rFonts w:ascii="宋体" w:hAnsi="宋体" w:eastAsia="宋体"/>
      </w:rPr>
      <w:t>类）</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6D939D0"/>
    <w:multiLevelType w:val="singleLevel"/>
    <w:tmpl w:val="C6D939D0"/>
    <w:lvl w:ilvl="0" w:tentative="0">
      <w:start w:val="2"/>
      <w:numFmt w:val="chineseCounting"/>
      <w:suff w:val="nothing"/>
      <w:lvlText w:val="%1、"/>
      <w:lvlJc w:val="left"/>
      <w:rPr>
        <w:rFonts w:hint="eastAsia"/>
      </w:rPr>
    </w:lvl>
  </w:abstractNum>
  <w:abstractNum w:abstractNumId="1">
    <w:nsid w:val="E70769B1"/>
    <w:multiLevelType w:val="singleLevel"/>
    <w:tmpl w:val="E70769B1"/>
    <w:lvl w:ilvl="0" w:tentative="0">
      <w:start w:val="1"/>
      <w:numFmt w:val="bullet"/>
      <w:pStyle w:val="9"/>
      <w:lvlText w:val=""/>
      <w:lvlJc w:val="left"/>
      <w:pPr>
        <w:tabs>
          <w:tab w:val="left" w:pos="2040"/>
        </w:tabs>
        <w:ind w:left="2040" w:hanging="360"/>
      </w:pPr>
      <w:rPr>
        <w:rFonts w:hint="default" w:ascii="Wingdings" w:hAnsi="Wingdings"/>
      </w:rPr>
    </w:lvl>
  </w:abstractNum>
  <w:abstractNum w:abstractNumId="2">
    <w:nsid w:val="05D151E0"/>
    <w:multiLevelType w:val="multilevel"/>
    <w:tmpl w:val="05D151E0"/>
    <w:lvl w:ilvl="0" w:tentative="0">
      <w:start w:val="3"/>
      <w:numFmt w:val="decimalEnclosedCircle"/>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3">
    <w:nsid w:val="3F555C84"/>
    <w:multiLevelType w:val="multilevel"/>
    <w:tmpl w:val="3F555C84"/>
    <w:lvl w:ilvl="0" w:tentative="0">
      <w:start w:val="1"/>
      <w:numFmt w:val="decimalEnclosedCircle"/>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4">
    <w:nsid w:val="621A2861"/>
    <w:multiLevelType w:val="singleLevel"/>
    <w:tmpl w:val="621A2861"/>
    <w:lvl w:ilvl="0" w:tentative="0">
      <w:start w:val="2"/>
      <w:numFmt w:val="decimal"/>
      <w:suff w:val="nothing"/>
      <w:lvlText w:val="（%1）"/>
      <w:lvlJc w:val="left"/>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0"/>
  <w:drawingGridVerticalSpacing w:val="156"/>
  <w:displayHorizontalDrawingGridEvery w:val="0"/>
  <w:displayVerticalDrawingGridEvery w:val="2"/>
  <w:characterSpacingControl w:val="compressPunctuation"/>
  <w:hdrShapeDefaults>
    <o:shapelayout v:ext="edit">
      <o:idmap v:ext="edit" data="1,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YxMmZlOTkzZGE4NjYwNmQ3ZDYzNGZkYzE2N2EyYTEifQ=="/>
    <w:docVar w:name="KSO_WPS_MARK_KEY" w:val="d25e825c-24a9-418a-9f6b-1060ba31a447"/>
  </w:docVars>
  <w:rsids>
    <w:rsidRoot w:val="007478F7"/>
    <w:rsid w:val="0000197E"/>
    <w:rsid w:val="00012DA2"/>
    <w:rsid w:val="00017261"/>
    <w:rsid w:val="00017A49"/>
    <w:rsid w:val="0002619C"/>
    <w:rsid w:val="00034526"/>
    <w:rsid w:val="00040076"/>
    <w:rsid w:val="00052F7F"/>
    <w:rsid w:val="00082C3F"/>
    <w:rsid w:val="00083443"/>
    <w:rsid w:val="000851E9"/>
    <w:rsid w:val="0009045A"/>
    <w:rsid w:val="000E3D6E"/>
    <w:rsid w:val="0010229B"/>
    <w:rsid w:val="00132F6E"/>
    <w:rsid w:val="001430C7"/>
    <w:rsid w:val="00144D2E"/>
    <w:rsid w:val="00151647"/>
    <w:rsid w:val="00152D99"/>
    <w:rsid w:val="00176190"/>
    <w:rsid w:val="001B7333"/>
    <w:rsid w:val="001C2BE9"/>
    <w:rsid w:val="001C773F"/>
    <w:rsid w:val="001D3F65"/>
    <w:rsid w:val="001E0211"/>
    <w:rsid w:val="001E1DE1"/>
    <w:rsid w:val="001E3758"/>
    <w:rsid w:val="001F2657"/>
    <w:rsid w:val="001F4E2A"/>
    <w:rsid w:val="00223762"/>
    <w:rsid w:val="0023318E"/>
    <w:rsid w:val="00255ACA"/>
    <w:rsid w:val="0025670F"/>
    <w:rsid w:val="002661C2"/>
    <w:rsid w:val="002743D8"/>
    <w:rsid w:val="002853F0"/>
    <w:rsid w:val="00287235"/>
    <w:rsid w:val="002947ED"/>
    <w:rsid w:val="002A5893"/>
    <w:rsid w:val="002C70D6"/>
    <w:rsid w:val="002F1E76"/>
    <w:rsid w:val="002F4567"/>
    <w:rsid w:val="00315B4D"/>
    <w:rsid w:val="003177BD"/>
    <w:rsid w:val="0032609E"/>
    <w:rsid w:val="00332C95"/>
    <w:rsid w:val="00335549"/>
    <w:rsid w:val="003436EB"/>
    <w:rsid w:val="00353735"/>
    <w:rsid w:val="0035415C"/>
    <w:rsid w:val="00354A28"/>
    <w:rsid w:val="003933D0"/>
    <w:rsid w:val="003958B5"/>
    <w:rsid w:val="003A7ABA"/>
    <w:rsid w:val="003B7832"/>
    <w:rsid w:val="003C4E32"/>
    <w:rsid w:val="003D4ECB"/>
    <w:rsid w:val="003D690F"/>
    <w:rsid w:val="003F0A55"/>
    <w:rsid w:val="003F3A02"/>
    <w:rsid w:val="0041449E"/>
    <w:rsid w:val="00422E3D"/>
    <w:rsid w:val="00424905"/>
    <w:rsid w:val="00435CBE"/>
    <w:rsid w:val="00457101"/>
    <w:rsid w:val="00482989"/>
    <w:rsid w:val="00486675"/>
    <w:rsid w:val="00497149"/>
    <w:rsid w:val="004A3C17"/>
    <w:rsid w:val="004B559B"/>
    <w:rsid w:val="004C3021"/>
    <w:rsid w:val="004D1813"/>
    <w:rsid w:val="00504FD9"/>
    <w:rsid w:val="00523CAF"/>
    <w:rsid w:val="0052673B"/>
    <w:rsid w:val="005327F1"/>
    <w:rsid w:val="0053646C"/>
    <w:rsid w:val="0054461B"/>
    <w:rsid w:val="00564DC6"/>
    <w:rsid w:val="00565841"/>
    <w:rsid w:val="00595F71"/>
    <w:rsid w:val="005B1406"/>
    <w:rsid w:val="005D6A4E"/>
    <w:rsid w:val="005F2FF9"/>
    <w:rsid w:val="00602AD4"/>
    <w:rsid w:val="00630326"/>
    <w:rsid w:val="00654777"/>
    <w:rsid w:val="0067562F"/>
    <w:rsid w:val="00677CD4"/>
    <w:rsid w:val="00686E44"/>
    <w:rsid w:val="006942A4"/>
    <w:rsid w:val="006A61A1"/>
    <w:rsid w:val="006A71C3"/>
    <w:rsid w:val="006B0994"/>
    <w:rsid w:val="006D478B"/>
    <w:rsid w:val="006E35CF"/>
    <w:rsid w:val="006E3B3C"/>
    <w:rsid w:val="006F46FC"/>
    <w:rsid w:val="006F64F1"/>
    <w:rsid w:val="00700F2C"/>
    <w:rsid w:val="007148C9"/>
    <w:rsid w:val="00726ADD"/>
    <w:rsid w:val="00731FCC"/>
    <w:rsid w:val="00732DD5"/>
    <w:rsid w:val="00744ED8"/>
    <w:rsid w:val="007478F7"/>
    <w:rsid w:val="00763ABA"/>
    <w:rsid w:val="00773A28"/>
    <w:rsid w:val="00787C41"/>
    <w:rsid w:val="007B16A6"/>
    <w:rsid w:val="007B382E"/>
    <w:rsid w:val="007F0B4C"/>
    <w:rsid w:val="008078BD"/>
    <w:rsid w:val="00810853"/>
    <w:rsid w:val="008118F8"/>
    <w:rsid w:val="00814F29"/>
    <w:rsid w:val="008328E0"/>
    <w:rsid w:val="008364C4"/>
    <w:rsid w:val="0084474C"/>
    <w:rsid w:val="00850A67"/>
    <w:rsid w:val="0086728E"/>
    <w:rsid w:val="00867936"/>
    <w:rsid w:val="008A2A4E"/>
    <w:rsid w:val="008B024B"/>
    <w:rsid w:val="008D44C9"/>
    <w:rsid w:val="008F089C"/>
    <w:rsid w:val="008F185B"/>
    <w:rsid w:val="00913014"/>
    <w:rsid w:val="009310D3"/>
    <w:rsid w:val="00932828"/>
    <w:rsid w:val="00945461"/>
    <w:rsid w:val="0095683F"/>
    <w:rsid w:val="00972764"/>
    <w:rsid w:val="00997D0C"/>
    <w:rsid w:val="009B1D89"/>
    <w:rsid w:val="009C70F5"/>
    <w:rsid w:val="009D6484"/>
    <w:rsid w:val="009E7029"/>
    <w:rsid w:val="00A04660"/>
    <w:rsid w:val="00A05EDD"/>
    <w:rsid w:val="00A1625E"/>
    <w:rsid w:val="00A30BC7"/>
    <w:rsid w:val="00A37DD4"/>
    <w:rsid w:val="00A42D90"/>
    <w:rsid w:val="00A65AFC"/>
    <w:rsid w:val="00A74ED0"/>
    <w:rsid w:val="00A77198"/>
    <w:rsid w:val="00A8581B"/>
    <w:rsid w:val="00A85E99"/>
    <w:rsid w:val="00AB2011"/>
    <w:rsid w:val="00AC192C"/>
    <w:rsid w:val="00B129AF"/>
    <w:rsid w:val="00B236B5"/>
    <w:rsid w:val="00B422B6"/>
    <w:rsid w:val="00B47FBF"/>
    <w:rsid w:val="00B57D4A"/>
    <w:rsid w:val="00B826ED"/>
    <w:rsid w:val="00BA1ADF"/>
    <w:rsid w:val="00BA2C37"/>
    <w:rsid w:val="00BB3634"/>
    <w:rsid w:val="00BC2D61"/>
    <w:rsid w:val="00BF578B"/>
    <w:rsid w:val="00C0433B"/>
    <w:rsid w:val="00C138C7"/>
    <w:rsid w:val="00C21AEE"/>
    <w:rsid w:val="00C37FCC"/>
    <w:rsid w:val="00C42C25"/>
    <w:rsid w:val="00C45F7C"/>
    <w:rsid w:val="00C51EBE"/>
    <w:rsid w:val="00C52C8B"/>
    <w:rsid w:val="00C703D7"/>
    <w:rsid w:val="00C76DA3"/>
    <w:rsid w:val="00C77C79"/>
    <w:rsid w:val="00C97CEC"/>
    <w:rsid w:val="00CB00E2"/>
    <w:rsid w:val="00CE0719"/>
    <w:rsid w:val="00D02275"/>
    <w:rsid w:val="00D10A49"/>
    <w:rsid w:val="00D11594"/>
    <w:rsid w:val="00D11EF6"/>
    <w:rsid w:val="00D268E9"/>
    <w:rsid w:val="00D36471"/>
    <w:rsid w:val="00D53149"/>
    <w:rsid w:val="00D54C5C"/>
    <w:rsid w:val="00D631AE"/>
    <w:rsid w:val="00D80436"/>
    <w:rsid w:val="00D87A8E"/>
    <w:rsid w:val="00D95A0B"/>
    <w:rsid w:val="00DB2E0B"/>
    <w:rsid w:val="00DB60B2"/>
    <w:rsid w:val="00DC1906"/>
    <w:rsid w:val="00DD0E8A"/>
    <w:rsid w:val="00DE1572"/>
    <w:rsid w:val="00DE2987"/>
    <w:rsid w:val="00E20B78"/>
    <w:rsid w:val="00E36058"/>
    <w:rsid w:val="00E42941"/>
    <w:rsid w:val="00E55F1D"/>
    <w:rsid w:val="00E56C38"/>
    <w:rsid w:val="00E60108"/>
    <w:rsid w:val="00E76433"/>
    <w:rsid w:val="00E84F66"/>
    <w:rsid w:val="00EA22C8"/>
    <w:rsid w:val="00EA6C9E"/>
    <w:rsid w:val="00EC137C"/>
    <w:rsid w:val="00ED40C7"/>
    <w:rsid w:val="00EF0BD6"/>
    <w:rsid w:val="00EF1C8B"/>
    <w:rsid w:val="00F04CCA"/>
    <w:rsid w:val="00F16D42"/>
    <w:rsid w:val="00F212FE"/>
    <w:rsid w:val="00F23A55"/>
    <w:rsid w:val="00F2460F"/>
    <w:rsid w:val="00F248B3"/>
    <w:rsid w:val="00F25E01"/>
    <w:rsid w:val="00F542C8"/>
    <w:rsid w:val="00F62024"/>
    <w:rsid w:val="00F83A76"/>
    <w:rsid w:val="00F87482"/>
    <w:rsid w:val="00F938B7"/>
    <w:rsid w:val="00FA1A5B"/>
    <w:rsid w:val="00FB0891"/>
    <w:rsid w:val="00FB4428"/>
    <w:rsid w:val="00FC751A"/>
    <w:rsid w:val="00FD0D1B"/>
    <w:rsid w:val="00FD10DA"/>
    <w:rsid w:val="00FD6EC5"/>
    <w:rsid w:val="00FF1EDC"/>
    <w:rsid w:val="010D7DD7"/>
    <w:rsid w:val="01255111"/>
    <w:rsid w:val="012A6BDB"/>
    <w:rsid w:val="02182ED7"/>
    <w:rsid w:val="022A6766"/>
    <w:rsid w:val="02313F99"/>
    <w:rsid w:val="028C11CF"/>
    <w:rsid w:val="029307AF"/>
    <w:rsid w:val="029F53A6"/>
    <w:rsid w:val="02CD5FA7"/>
    <w:rsid w:val="03595555"/>
    <w:rsid w:val="04082EC9"/>
    <w:rsid w:val="040E5A73"/>
    <w:rsid w:val="04504BAA"/>
    <w:rsid w:val="049D3B67"/>
    <w:rsid w:val="05EA06E6"/>
    <w:rsid w:val="061340E1"/>
    <w:rsid w:val="062A31D9"/>
    <w:rsid w:val="07B17031"/>
    <w:rsid w:val="07E812A9"/>
    <w:rsid w:val="084A44DB"/>
    <w:rsid w:val="099F54E4"/>
    <w:rsid w:val="0A4725AB"/>
    <w:rsid w:val="0A655FA3"/>
    <w:rsid w:val="0A6F38B0"/>
    <w:rsid w:val="0A8C4462"/>
    <w:rsid w:val="0A9D0FD4"/>
    <w:rsid w:val="0B0A5B53"/>
    <w:rsid w:val="0BC61173"/>
    <w:rsid w:val="0BF50033"/>
    <w:rsid w:val="0CA30B98"/>
    <w:rsid w:val="0CAD79AD"/>
    <w:rsid w:val="0CE353E6"/>
    <w:rsid w:val="0D4E30D1"/>
    <w:rsid w:val="0D7E611E"/>
    <w:rsid w:val="0DCB704F"/>
    <w:rsid w:val="0DFC545B"/>
    <w:rsid w:val="0FFC5BE6"/>
    <w:rsid w:val="10503F7E"/>
    <w:rsid w:val="11152FCB"/>
    <w:rsid w:val="12437AFC"/>
    <w:rsid w:val="128B51CD"/>
    <w:rsid w:val="12B837F0"/>
    <w:rsid w:val="12C55939"/>
    <w:rsid w:val="13927349"/>
    <w:rsid w:val="14294080"/>
    <w:rsid w:val="147A0A87"/>
    <w:rsid w:val="14B00D4D"/>
    <w:rsid w:val="14CC5278"/>
    <w:rsid w:val="15391894"/>
    <w:rsid w:val="156A6FD9"/>
    <w:rsid w:val="156F628E"/>
    <w:rsid w:val="16673AE2"/>
    <w:rsid w:val="167F131F"/>
    <w:rsid w:val="16CB1E6E"/>
    <w:rsid w:val="16F70B78"/>
    <w:rsid w:val="172F4AF3"/>
    <w:rsid w:val="17950107"/>
    <w:rsid w:val="17D810AE"/>
    <w:rsid w:val="17F9321A"/>
    <w:rsid w:val="18027B12"/>
    <w:rsid w:val="185B6A30"/>
    <w:rsid w:val="194E46EF"/>
    <w:rsid w:val="1A4A57A0"/>
    <w:rsid w:val="1B283D33"/>
    <w:rsid w:val="1B6E4D53"/>
    <w:rsid w:val="1BCC611E"/>
    <w:rsid w:val="1CD044C0"/>
    <w:rsid w:val="1CF76192"/>
    <w:rsid w:val="1CF81B63"/>
    <w:rsid w:val="1DA17DCD"/>
    <w:rsid w:val="1DF13E8E"/>
    <w:rsid w:val="1DF76F01"/>
    <w:rsid w:val="1E074A7C"/>
    <w:rsid w:val="1E256308"/>
    <w:rsid w:val="1E37603B"/>
    <w:rsid w:val="1E8D48B7"/>
    <w:rsid w:val="1F78690B"/>
    <w:rsid w:val="20311DDA"/>
    <w:rsid w:val="20A20B23"/>
    <w:rsid w:val="20E57FD0"/>
    <w:rsid w:val="20EA3839"/>
    <w:rsid w:val="21157F22"/>
    <w:rsid w:val="21D0078B"/>
    <w:rsid w:val="221A12F6"/>
    <w:rsid w:val="223B09D7"/>
    <w:rsid w:val="23867849"/>
    <w:rsid w:val="242A50A9"/>
    <w:rsid w:val="2430513A"/>
    <w:rsid w:val="247A36AC"/>
    <w:rsid w:val="2492046F"/>
    <w:rsid w:val="24C543A1"/>
    <w:rsid w:val="26CD578F"/>
    <w:rsid w:val="27335F39"/>
    <w:rsid w:val="27383550"/>
    <w:rsid w:val="275E2CB1"/>
    <w:rsid w:val="2786327B"/>
    <w:rsid w:val="279938C3"/>
    <w:rsid w:val="27CD7F02"/>
    <w:rsid w:val="27D176F0"/>
    <w:rsid w:val="28040092"/>
    <w:rsid w:val="284D6B87"/>
    <w:rsid w:val="2852419D"/>
    <w:rsid w:val="28546167"/>
    <w:rsid w:val="286F4EFB"/>
    <w:rsid w:val="287E1436"/>
    <w:rsid w:val="28C50E13"/>
    <w:rsid w:val="28C66939"/>
    <w:rsid w:val="29B80978"/>
    <w:rsid w:val="29BC7FB3"/>
    <w:rsid w:val="29BF22FB"/>
    <w:rsid w:val="29F01EC0"/>
    <w:rsid w:val="2AAE75CB"/>
    <w:rsid w:val="2ABC1FD1"/>
    <w:rsid w:val="2ADE61BC"/>
    <w:rsid w:val="2B08148B"/>
    <w:rsid w:val="2B852ADC"/>
    <w:rsid w:val="2BFD08C4"/>
    <w:rsid w:val="2C6170A5"/>
    <w:rsid w:val="2D0C6328"/>
    <w:rsid w:val="2D746964"/>
    <w:rsid w:val="2D906F19"/>
    <w:rsid w:val="2DAC4350"/>
    <w:rsid w:val="2E171871"/>
    <w:rsid w:val="2E1D349F"/>
    <w:rsid w:val="2EED2E72"/>
    <w:rsid w:val="2F4800A8"/>
    <w:rsid w:val="2F837038"/>
    <w:rsid w:val="2F860BD0"/>
    <w:rsid w:val="2FCF7C19"/>
    <w:rsid w:val="30006BD5"/>
    <w:rsid w:val="307155E8"/>
    <w:rsid w:val="31024A42"/>
    <w:rsid w:val="310E0E7D"/>
    <w:rsid w:val="31436D79"/>
    <w:rsid w:val="318F1FBE"/>
    <w:rsid w:val="319C2FFC"/>
    <w:rsid w:val="32E7188B"/>
    <w:rsid w:val="342C7F98"/>
    <w:rsid w:val="346C2A8B"/>
    <w:rsid w:val="350500CE"/>
    <w:rsid w:val="350C1B78"/>
    <w:rsid w:val="356A3CEF"/>
    <w:rsid w:val="37126B4F"/>
    <w:rsid w:val="371F6A93"/>
    <w:rsid w:val="37320B19"/>
    <w:rsid w:val="37A41B60"/>
    <w:rsid w:val="37BE184F"/>
    <w:rsid w:val="37CB5D1A"/>
    <w:rsid w:val="38373947"/>
    <w:rsid w:val="386341A5"/>
    <w:rsid w:val="388D68D4"/>
    <w:rsid w:val="38C75250"/>
    <w:rsid w:val="38E30E42"/>
    <w:rsid w:val="399565E0"/>
    <w:rsid w:val="3A287454"/>
    <w:rsid w:val="3A2B0CF2"/>
    <w:rsid w:val="3A571AE7"/>
    <w:rsid w:val="3B456579"/>
    <w:rsid w:val="3B9E1FFF"/>
    <w:rsid w:val="3C805325"/>
    <w:rsid w:val="3CA57EFF"/>
    <w:rsid w:val="3CCF4817"/>
    <w:rsid w:val="3D793569"/>
    <w:rsid w:val="3D7C7B72"/>
    <w:rsid w:val="3DBF7402"/>
    <w:rsid w:val="3DEB2C72"/>
    <w:rsid w:val="3E614CE2"/>
    <w:rsid w:val="3E8D5AD7"/>
    <w:rsid w:val="3E952C04"/>
    <w:rsid w:val="3FDB2873"/>
    <w:rsid w:val="40451ECE"/>
    <w:rsid w:val="404B17A6"/>
    <w:rsid w:val="40BA692C"/>
    <w:rsid w:val="42894808"/>
    <w:rsid w:val="42DB305B"/>
    <w:rsid w:val="43406C73"/>
    <w:rsid w:val="44B926F4"/>
    <w:rsid w:val="44E126D9"/>
    <w:rsid w:val="44F71EFD"/>
    <w:rsid w:val="453C68D9"/>
    <w:rsid w:val="45C2075D"/>
    <w:rsid w:val="463F28AA"/>
    <w:rsid w:val="4697F5D1"/>
    <w:rsid w:val="46CE5E0E"/>
    <w:rsid w:val="46D74157"/>
    <w:rsid w:val="47E421F2"/>
    <w:rsid w:val="48114D0B"/>
    <w:rsid w:val="484C4685"/>
    <w:rsid w:val="48E97888"/>
    <w:rsid w:val="49BF6D61"/>
    <w:rsid w:val="4A174DEF"/>
    <w:rsid w:val="4AEA064F"/>
    <w:rsid w:val="4AFA6A2A"/>
    <w:rsid w:val="4B35552D"/>
    <w:rsid w:val="4B58746D"/>
    <w:rsid w:val="4C8204F1"/>
    <w:rsid w:val="4CE65172"/>
    <w:rsid w:val="4D29302F"/>
    <w:rsid w:val="4D420F23"/>
    <w:rsid w:val="4E523562"/>
    <w:rsid w:val="4E742810"/>
    <w:rsid w:val="4EB33338"/>
    <w:rsid w:val="4ED37286"/>
    <w:rsid w:val="4F416B96"/>
    <w:rsid w:val="504F7091"/>
    <w:rsid w:val="513E2C61"/>
    <w:rsid w:val="51BF0246"/>
    <w:rsid w:val="51F53ED9"/>
    <w:rsid w:val="52214A5D"/>
    <w:rsid w:val="52946FDD"/>
    <w:rsid w:val="531243A6"/>
    <w:rsid w:val="5331648C"/>
    <w:rsid w:val="536400AE"/>
    <w:rsid w:val="54014CC7"/>
    <w:rsid w:val="54C618EB"/>
    <w:rsid w:val="54CE266B"/>
    <w:rsid w:val="54EF0E42"/>
    <w:rsid w:val="55216931"/>
    <w:rsid w:val="55534175"/>
    <w:rsid w:val="557B6411"/>
    <w:rsid w:val="560B3A5A"/>
    <w:rsid w:val="56905D0D"/>
    <w:rsid w:val="56DC5010"/>
    <w:rsid w:val="57FB5557"/>
    <w:rsid w:val="58690F0C"/>
    <w:rsid w:val="58B33F4C"/>
    <w:rsid w:val="59245B38"/>
    <w:rsid w:val="596B3634"/>
    <w:rsid w:val="59747B68"/>
    <w:rsid w:val="59A10231"/>
    <w:rsid w:val="59C1489E"/>
    <w:rsid w:val="59DA4A83"/>
    <w:rsid w:val="5AA004E9"/>
    <w:rsid w:val="5B1A473F"/>
    <w:rsid w:val="5B87516F"/>
    <w:rsid w:val="5BA313DA"/>
    <w:rsid w:val="5BF70FF6"/>
    <w:rsid w:val="5C043425"/>
    <w:rsid w:val="5C31229C"/>
    <w:rsid w:val="5D746FF5"/>
    <w:rsid w:val="5EEF6B9C"/>
    <w:rsid w:val="5F13692B"/>
    <w:rsid w:val="5F5114D9"/>
    <w:rsid w:val="5F8623A3"/>
    <w:rsid w:val="5F8D0B1A"/>
    <w:rsid w:val="5FF9313F"/>
    <w:rsid w:val="5FFA68C7"/>
    <w:rsid w:val="6005776C"/>
    <w:rsid w:val="60443CE5"/>
    <w:rsid w:val="60CC2CA1"/>
    <w:rsid w:val="60D96503"/>
    <w:rsid w:val="617E2419"/>
    <w:rsid w:val="61CF0031"/>
    <w:rsid w:val="623E6F65"/>
    <w:rsid w:val="628946EB"/>
    <w:rsid w:val="62D603FD"/>
    <w:rsid w:val="630841E4"/>
    <w:rsid w:val="631D68A2"/>
    <w:rsid w:val="63AB062A"/>
    <w:rsid w:val="63E93A50"/>
    <w:rsid w:val="657B158C"/>
    <w:rsid w:val="659C0D88"/>
    <w:rsid w:val="66061B48"/>
    <w:rsid w:val="66C43787"/>
    <w:rsid w:val="674D095E"/>
    <w:rsid w:val="67582877"/>
    <w:rsid w:val="67C72304"/>
    <w:rsid w:val="67DF08A2"/>
    <w:rsid w:val="68555008"/>
    <w:rsid w:val="689E075E"/>
    <w:rsid w:val="68AC53C7"/>
    <w:rsid w:val="68BC5088"/>
    <w:rsid w:val="690B56C7"/>
    <w:rsid w:val="691655E4"/>
    <w:rsid w:val="69E95A08"/>
    <w:rsid w:val="6A4102A6"/>
    <w:rsid w:val="6B1747F7"/>
    <w:rsid w:val="6B4F3610"/>
    <w:rsid w:val="6B9419A4"/>
    <w:rsid w:val="6BAA621F"/>
    <w:rsid w:val="6BF30DC0"/>
    <w:rsid w:val="6C737520"/>
    <w:rsid w:val="6E602011"/>
    <w:rsid w:val="6E9D5013"/>
    <w:rsid w:val="6F543924"/>
    <w:rsid w:val="70E60EF4"/>
    <w:rsid w:val="710908F8"/>
    <w:rsid w:val="7109314A"/>
    <w:rsid w:val="71E52F59"/>
    <w:rsid w:val="72414F83"/>
    <w:rsid w:val="73221F8B"/>
    <w:rsid w:val="73463ECB"/>
    <w:rsid w:val="74471CA9"/>
    <w:rsid w:val="744E128A"/>
    <w:rsid w:val="74816591"/>
    <w:rsid w:val="749B0247"/>
    <w:rsid w:val="74B975DA"/>
    <w:rsid w:val="74F6722B"/>
    <w:rsid w:val="75DE31F0"/>
    <w:rsid w:val="762A482C"/>
    <w:rsid w:val="765C73A0"/>
    <w:rsid w:val="778C3E77"/>
    <w:rsid w:val="77FE4502"/>
    <w:rsid w:val="786A41B8"/>
    <w:rsid w:val="78756A91"/>
    <w:rsid w:val="79690914"/>
    <w:rsid w:val="799C5E87"/>
    <w:rsid w:val="79B0209F"/>
    <w:rsid w:val="79B31B8F"/>
    <w:rsid w:val="79DC06E9"/>
    <w:rsid w:val="7A6C4192"/>
    <w:rsid w:val="7AC57DCC"/>
    <w:rsid w:val="7AEC6AE1"/>
    <w:rsid w:val="7B237658"/>
    <w:rsid w:val="7B9238FC"/>
    <w:rsid w:val="7C1B5475"/>
    <w:rsid w:val="7C75312C"/>
    <w:rsid w:val="7CE710FA"/>
    <w:rsid w:val="7D9D0B8C"/>
    <w:rsid w:val="7DE30C78"/>
    <w:rsid w:val="7DFF3588"/>
    <w:rsid w:val="7DFF35F5"/>
    <w:rsid w:val="7F026695"/>
    <w:rsid w:val="7F4F291E"/>
    <w:rsid w:val="9DFA004B"/>
    <w:rsid w:val="DBDDF45C"/>
    <w:rsid w:val="DE7E8A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qFormat="1"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仿宋_GB2312" w:eastAsia="@仿宋_GB2312" w:cs="@仿宋_GB2312"/>
      <w:kern w:val="2"/>
      <w:sz w:val="21"/>
      <w:lang w:val="en-US" w:eastAsia="zh-CN" w:bidi="ar-SA"/>
    </w:rPr>
  </w:style>
  <w:style w:type="paragraph" w:styleId="3">
    <w:name w:val="heading 1"/>
    <w:basedOn w:val="1"/>
    <w:next w:val="1"/>
    <w:link w:val="46"/>
    <w:qFormat/>
    <w:uiPriority w:val="9"/>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after="260" w:line="416" w:lineRule="auto"/>
      <w:outlineLvl w:val="1"/>
    </w:pPr>
    <w:rPr>
      <w:rFonts w:ascii="@微软简标宋" w:hAnsi="@微软简标宋" w:eastAsia="@微软简标宋"/>
      <w:b/>
      <w:bCs/>
      <w:sz w:val="32"/>
      <w:szCs w:val="32"/>
    </w:rPr>
  </w:style>
  <w:style w:type="paragraph" w:styleId="2">
    <w:name w:val="heading 3"/>
    <w:basedOn w:val="1"/>
    <w:next w:val="1"/>
    <w:link w:val="47"/>
    <w:autoRedefine/>
    <w:unhideWhenUsed/>
    <w:qFormat/>
    <w:uiPriority w:val="9"/>
    <w:pPr>
      <w:keepNext/>
      <w:keepLines/>
      <w:spacing w:line="360" w:lineRule="auto"/>
      <w:outlineLvl w:val="2"/>
    </w:pPr>
    <w:rPr>
      <w:rFonts w:ascii="宋体" w:hAnsi="宋体" w:eastAsia="宋体" w:cs="宋体"/>
      <w:b/>
      <w:bCs/>
      <w:color w:val="C00000"/>
      <w:sz w:val="24"/>
      <w:szCs w:val="24"/>
    </w:rPr>
  </w:style>
  <w:style w:type="paragraph" w:styleId="5">
    <w:name w:val="heading 4"/>
    <w:basedOn w:val="1"/>
    <w:next w:val="1"/>
    <w:link w:val="52"/>
    <w:autoRedefine/>
    <w:qFormat/>
    <w:uiPriority w:val="0"/>
    <w:pPr>
      <w:keepNext/>
      <w:keepLines/>
      <w:spacing w:before="280" w:after="290" w:line="376" w:lineRule="auto"/>
      <w:outlineLvl w:val="3"/>
    </w:pPr>
    <w:rPr>
      <w:b/>
      <w:bCs/>
      <w:sz w:val="28"/>
      <w:szCs w:val="28"/>
    </w:rPr>
  </w:style>
  <w:style w:type="character" w:default="1" w:styleId="24">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6">
    <w:name w:val="Normal Indent"/>
    <w:basedOn w:val="1"/>
    <w:autoRedefine/>
    <w:qFormat/>
    <w:uiPriority w:val="0"/>
    <w:pPr>
      <w:autoSpaceDE w:val="0"/>
      <w:autoSpaceDN w:val="0"/>
      <w:adjustRightInd w:val="0"/>
      <w:ind w:firstLine="420"/>
      <w:jc w:val="left"/>
    </w:pPr>
    <w:rPr>
      <w:rFonts w:ascii="宋体" w:hAnsi="Times New Roman" w:eastAsia="宋体" w:cs="Times New Roman"/>
      <w:kern w:val="0"/>
      <w:sz w:val="24"/>
    </w:rPr>
  </w:style>
  <w:style w:type="paragraph" w:styleId="7">
    <w:name w:val="annotation text"/>
    <w:basedOn w:val="1"/>
    <w:link w:val="45"/>
    <w:autoRedefine/>
    <w:qFormat/>
    <w:uiPriority w:val="0"/>
    <w:pPr>
      <w:jc w:val="left"/>
    </w:pPr>
    <w:rPr>
      <w:rFonts w:ascii="Arial" w:hAnsi="Arial" w:eastAsia="黑体" w:cs="Arial"/>
    </w:rPr>
  </w:style>
  <w:style w:type="paragraph" w:styleId="8">
    <w:name w:val="Body Text"/>
    <w:basedOn w:val="1"/>
    <w:next w:val="9"/>
    <w:link w:val="53"/>
    <w:qFormat/>
    <w:uiPriority w:val="0"/>
    <w:pPr>
      <w:spacing w:after="120"/>
    </w:pPr>
    <w:rPr>
      <w:rFonts w:ascii="@微软简标宋" w:hAnsi="@微软简标宋" w:eastAsia="@微软简标宋" w:cs="@微软简标宋"/>
      <w:szCs w:val="24"/>
      <w:lang w:val="zh-CN"/>
    </w:rPr>
  </w:style>
  <w:style w:type="paragraph" w:styleId="9">
    <w:name w:val="List Bullet 5"/>
    <w:basedOn w:val="1"/>
    <w:semiHidden/>
    <w:unhideWhenUsed/>
    <w:qFormat/>
    <w:uiPriority w:val="99"/>
    <w:pPr>
      <w:numPr>
        <w:ilvl w:val="0"/>
        <w:numId w:val="1"/>
      </w:numPr>
    </w:pPr>
  </w:style>
  <w:style w:type="paragraph" w:styleId="10">
    <w:name w:val="Body Text Indent"/>
    <w:basedOn w:val="1"/>
    <w:next w:val="11"/>
    <w:autoRedefine/>
    <w:qFormat/>
    <w:uiPriority w:val="0"/>
    <w:pPr>
      <w:ind w:firstLine="560" w:firstLineChars="200"/>
    </w:pPr>
    <w:rPr>
      <w:rFonts w:ascii="宋体" w:hAnsi="宋体"/>
      <w:bCs/>
      <w:sz w:val="28"/>
      <w:szCs w:val="32"/>
    </w:rPr>
  </w:style>
  <w:style w:type="paragraph" w:styleId="11">
    <w:name w:val="envelope return"/>
    <w:basedOn w:val="1"/>
    <w:autoRedefine/>
    <w:qFormat/>
    <w:uiPriority w:val="0"/>
    <w:pPr>
      <w:snapToGrid w:val="0"/>
    </w:pPr>
    <w:rPr>
      <w:rFonts w:ascii="Arial" w:hAnsi="Arial"/>
    </w:rPr>
  </w:style>
  <w:style w:type="paragraph" w:styleId="12">
    <w:name w:val="toc 3"/>
    <w:basedOn w:val="1"/>
    <w:next w:val="1"/>
    <w:autoRedefine/>
    <w:unhideWhenUsed/>
    <w:qFormat/>
    <w:uiPriority w:val="39"/>
    <w:pPr>
      <w:widowControl/>
      <w:spacing w:after="100" w:line="276" w:lineRule="auto"/>
      <w:ind w:left="440"/>
      <w:jc w:val="left"/>
    </w:pPr>
    <w:rPr>
      <w:rFonts w:ascii="Calibri" w:hAnsi="Calibri" w:eastAsia="宋体" w:cs="黑体"/>
      <w:kern w:val="0"/>
      <w:sz w:val="22"/>
      <w:szCs w:val="22"/>
    </w:rPr>
  </w:style>
  <w:style w:type="paragraph" w:styleId="13">
    <w:name w:val="Plain Text"/>
    <w:basedOn w:val="1"/>
    <w:link w:val="38"/>
    <w:autoRedefine/>
    <w:qFormat/>
    <w:uiPriority w:val="99"/>
    <w:rPr>
      <w:rFonts w:ascii="宋体" w:hAnsi="Courier New" w:eastAsia="宋体" w:cs="黑体"/>
      <w:szCs w:val="22"/>
    </w:rPr>
  </w:style>
  <w:style w:type="paragraph" w:styleId="14">
    <w:name w:val="Date"/>
    <w:basedOn w:val="1"/>
    <w:next w:val="1"/>
    <w:link w:val="42"/>
    <w:autoRedefine/>
    <w:qFormat/>
    <w:uiPriority w:val="0"/>
    <w:rPr>
      <w:rFonts w:ascii="Arial" w:hAnsi="Arial" w:eastAsia="宋体" w:cs="Arial"/>
      <w:b/>
      <w:sz w:val="28"/>
    </w:rPr>
  </w:style>
  <w:style w:type="paragraph" w:styleId="15">
    <w:name w:val="Balloon Text"/>
    <w:basedOn w:val="1"/>
    <w:link w:val="35"/>
    <w:autoRedefine/>
    <w:semiHidden/>
    <w:unhideWhenUsed/>
    <w:qFormat/>
    <w:uiPriority w:val="99"/>
    <w:rPr>
      <w:sz w:val="18"/>
      <w:szCs w:val="18"/>
    </w:rPr>
  </w:style>
  <w:style w:type="paragraph" w:styleId="16">
    <w:name w:val="footer"/>
    <w:basedOn w:val="1"/>
    <w:link w:val="37"/>
    <w:autoRedefine/>
    <w:unhideWhenUsed/>
    <w:qFormat/>
    <w:uiPriority w:val="99"/>
    <w:pPr>
      <w:tabs>
        <w:tab w:val="center" w:pos="4153"/>
        <w:tab w:val="right" w:pos="8306"/>
      </w:tabs>
      <w:snapToGrid w:val="0"/>
      <w:jc w:val="left"/>
    </w:pPr>
    <w:rPr>
      <w:sz w:val="18"/>
      <w:szCs w:val="18"/>
    </w:rPr>
  </w:style>
  <w:style w:type="paragraph" w:styleId="17">
    <w:name w:val="header"/>
    <w:basedOn w:val="1"/>
    <w:link w:val="36"/>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18">
    <w:name w:val="toc 1"/>
    <w:basedOn w:val="1"/>
    <w:next w:val="1"/>
    <w:autoRedefine/>
    <w:unhideWhenUsed/>
    <w:qFormat/>
    <w:uiPriority w:val="39"/>
    <w:pPr>
      <w:widowControl/>
      <w:spacing w:after="100" w:line="276" w:lineRule="auto"/>
      <w:jc w:val="left"/>
    </w:pPr>
    <w:rPr>
      <w:rFonts w:ascii="Calibri" w:hAnsi="Calibri" w:eastAsia="宋体" w:cs="黑体"/>
      <w:kern w:val="0"/>
      <w:sz w:val="22"/>
      <w:szCs w:val="22"/>
    </w:rPr>
  </w:style>
  <w:style w:type="paragraph" w:styleId="19">
    <w:name w:val="toc 2"/>
    <w:basedOn w:val="1"/>
    <w:next w:val="1"/>
    <w:autoRedefine/>
    <w:unhideWhenUsed/>
    <w:qFormat/>
    <w:uiPriority w:val="39"/>
    <w:pPr>
      <w:widowControl/>
      <w:spacing w:after="100" w:line="276" w:lineRule="auto"/>
      <w:ind w:left="220"/>
      <w:jc w:val="left"/>
    </w:pPr>
    <w:rPr>
      <w:rFonts w:ascii="Calibri" w:hAnsi="Calibri" w:eastAsia="宋体" w:cs="黑体"/>
      <w:kern w:val="0"/>
      <w:sz w:val="22"/>
      <w:szCs w:val="22"/>
    </w:rPr>
  </w:style>
  <w:style w:type="paragraph" w:styleId="20">
    <w:name w:val="index 1"/>
    <w:basedOn w:val="1"/>
    <w:next w:val="1"/>
    <w:autoRedefine/>
    <w:qFormat/>
    <w:uiPriority w:val="0"/>
    <w:pPr>
      <w:jc w:val="center"/>
    </w:pPr>
    <w:rPr>
      <w:rFonts w:ascii="Arial" w:hAnsi="Arial" w:eastAsia="Arial" w:cs="Arial"/>
      <w:b/>
      <w:bCs/>
      <w:sz w:val="28"/>
    </w:rPr>
  </w:style>
  <w:style w:type="paragraph" w:styleId="21">
    <w:name w:val="annotation subject"/>
    <w:basedOn w:val="7"/>
    <w:next w:val="7"/>
    <w:link w:val="54"/>
    <w:autoRedefine/>
    <w:semiHidden/>
    <w:unhideWhenUsed/>
    <w:qFormat/>
    <w:uiPriority w:val="99"/>
    <w:rPr>
      <w:rFonts w:ascii="@仿宋_GB2312" w:hAnsi="@仿宋_GB2312" w:eastAsia="@仿宋_GB2312" w:cs="@仿宋_GB2312"/>
      <w:b/>
      <w:bCs/>
    </w:rPr>
  </w:style>
  <w:style w:type="paragraph" w:styleId="22">
    <w:name w:val="Body Text First Indent 2"/>
    <w:basedOn w:val="10"/>
    <w:next w:val="1"/>
    <w:autoRedefine/>
    <w:qFormat/>
    <w:uiPriority w:val="0"/>
    <w:pPr>
      <w:ind w:left="420" w:firstLine="420"/>
    </w:pPr>
  </w:style>
  <w:style w:type="character" w:styleId="25">
    <w:name w:val="Strong"/>
    <w:autoRedefine/>
    <w:qFormat/>
    <w:uiPriority w:val="0"/>
    <w:rPr>
      <w:b/>
      <w:bCs/>
    </w:rPr>
  </w:style>
  <w:style w:type="character" w:styleId="26">
    <w:name w:val="Hyperlink"/>
    <w:autoRedefine/>
    <w:unhideWhenUsed/>
    <w:qFormat/>
    <w:uiPriority w:val="99"/>
    <w:rPr>
      <w:color w:val="0000FF"/>
      <w:u w:val="single"/>
    </w:rPr>
  </w:style>
  <w:style w:type="character" w:styleId="27">
    <w:name w:val="annotation reference"/>
    <w:autoRedefine/>
    <w:semiHidden/>
    <w:unhideWhenUsed/>
    <w:qFormat/>
    <w:uiPriority w:val="99"/>
    <w:rPr>
      <w:sz w:val="21"/>
      <w:szCs w:val="21"/>
    </w:rPr>
  </w:style>
  <w:style w:type="paragraph" w:customStyle="1" w:styleId="28">
    <w:name w:val="正文（缩进）"/>
    <w:basedOn w:val="1"/>
    <w:autoRedefine/>
    <w:qFormat/>
    <w:uiPriority w:val="0"/>
    <w:pPr>
      <w:widowControl/>
      <w:spacing w:before="156" w:after="156"/>
      <w:ind w:firstLine="480" w:firstLineChars="200"/>
      <w:jc w:val="left"/>
    </w:pPr>
    <w:rPr>
      <w:kern w:val="0"/>
      <w:sz w:val="24"/>
      <w:szCs w:val="24"/>
    </w:rPr>
  </w:style>
  <w:style w:type="paragraph" w:customStyle="1" w:styleId="29">
    <w:name w:val="xl31"/>
    <w:basedOn w:val="1"/>
    <w:autoRedefine/>
    <w:qFormat/>
    <w:uiPriority w:val="0"/>
    <w:pPr>
      <w:spacing w:line="360" w:lineRule="auto"/>
    </w:pPr>
    <w:rPr>
      <w:rFonts w:ascii="宋体" w:hAnsi="宋体" w:eastAsia="宋体" w:cs="宋体"/>
      <w:bCs/>
      <w:kern w:val="0"/>
      <w:sz w:val="24"/>
      <w:szCs w:val="28"/>
    </w:rPr>
  </w:style>
  <w:style w:type="paragraph" w:customStyle="1" w:styleId="30">
    <w:name w:val="D&amp;L"/>
    <w:basedOn w:val="17"/>
    <w:autoRedefine/>
    <w:qFormat/>
    <w:uiPriority w:val="0"/>
    <w:pPr>
      <w:pBdr>
        <w:bottom w:val="none" w:color="auto" w:sz="0" w:space="0"/>
      </w:pBdr>
      <w:tabs>
        <w:tab w:val="clear" w:pos="4153"/>
        <w:tab w:val="clear" w:pos="8306"/>
      </w:tabs>
      <w:snapToGrid/>
    </w:pPr>
    <w:rPr>
      <w:kern w:val="0"/>
      <w:sz w:val="24"/>
      <w:szCs w:val="20"/>
    </w:rPr>
  </w:style>
  <w:style w:type="paragraph" w:customStyle="1" w:styleId="31">
    <w:name w:val="列表段落1"/>
    <w:basedOn w:val="1"/>
    <w:autoRedefine/>
    <w:qFormat/>
    <w:uiPriority w:val="34"/>
    <w:pPr>
      <w:ind w:firstLine="420" w:firstLineChars="200"/>
    </w:pPr>
  </w:style>
  <w:style w:type="paragraph" w:customStyle="1" w:styleId="32">
    <w:name w:val="Char Char Char Char Char Char Char1 Char"/>
    <w:basedOn w:val="1"/>
    <w:autoRedefine/>
    <w:qFormat/>
    <w:uiPriority w:val="0"/>
    <w:rPr>
      <w:rFonts w:ascii="Arial" w:hAnsi="Arial" w:eastAsia="宋体" w:cs="Arial"/>
      <w:sz w:val="24"/>
    </w:rPr>
  </w:style>
  <w:style w:type="paragraph" w:customStyle="1" w:styleId="33">
    <w:name w:val="纯文本1"/>
    <w:basedOn w:val="1"/>
    <w:link w:val="43"/>
    <w:autoRedefine/>
    <w:qFormat/>
    <w:uiPriority w:val="0"/>
    <w:rPr>
      <w:rFonts w:ascii="Arial" w:hAnsi="Arial" w:eastAsia="Arial" w:cs="黑体"/>
    </w:rPr>
  </w:style>
  <w:style w:type="paragraph" w:customStyle="1" w:styleId="34">
    <w:name w:val="TOC 标题1"/>
    <w:basedOn w:val="3"/>
    <w:next w:val="1"/>
    <w:autoRedefine/>
    <w:semiHidden/>
    <w:unhideWhenUsed/>
    <w:qFormat/>
    <w:uiPriority w:val="39"/>
    <w:pPr>
      <w:widowControl/>
      <w:spacing w:before="480" w:after="0" w:line="276" w:lineRule="auto"/>
      <w:jc w:val="left"/>
      <w:outlineLvl w:val="9"/>
    </w:pPr>
    <w:rPr>
      <w:rFonts w:ascii="Cambria" w:hAnsi="Cambria" w:eastAsia="宋体" w:cs="黑体"/>
      <w:color w:val="365F90"/>
      <w:kern w:val="0"/>
      <w:sz w:val="28"/>
      <w:szCs w:val="28"/>
    </w:rPr>
  </w:style>
  <w:style w:type="character" w:customStyle="1" w:styleId="35">
    <w:name w:val="批注框文本 字符"/>
    <w:link w:val="15"/>
    <w:autoRedefine/>
    <w:semiHidden/>
    <w:qFormat/>
    <w:uiPriority w:val="99"/>
    <w:rPr>
      <w:rFonts w:ascii="@仿宋_GB2312" w:hAnsi="@仿宋_GB2312" w:eastAsia="@仿宋_GB2312" w:cs="@仿宋_GB2312"/>
      <w:sz w:val="18"/>
      <w:szCs w:val="18"/>
    </w:rPr>
  </w:style>
  <w:style w:type="character" w:customStyle="1" w:styleId="36">
    <w:name w:val="页眉 字符"/>
    <w:link w:val="17"/>
    <w:autoRedefine/>
    <w:qFormat/>
    <w:uiPriority w:val="0"/>
    <w:rPr>
      <w:rFonts w:ascii="@仿宋_GB2312" w:hAnsi="@仿宋_GB2312" w:eastAsia="@仿宋_GB2312" w:cs="@仿宋_GB2312"/>
      <w:sz w:val="18"/>
      <w:szCs w:val="18"/>
    </w:rPr>
  </w:style>
  <w:style w:type="character" w:customStyle="1" w:styleId="37">
    <w:name w:val="页脚 字符"/>
    <w:link w:val="16"/>
    <w:autoRedefine/>
    <w:qFormat/>
    <w:uiPriority w:val="99"/>
    <w:rPr>
      <w:rFonts w:ascii="@仿宋_GB2312" w:hAnsi="@仿宋_GB2312" w:eastAsia="@仿宋_GB2312" w:cs="@仿宋_GB2312"/>
      <w:sz w:val="18"/>
      <w:szCs w:val="18"/>
    </w:rPr>
  </w:style>
  <w:style w:type="character" w:customStyle="1" w:styleId="38">
    <w:name w:val="纯文本 字符"/>
    <w:link w:val="13"/>
    <w:autoRedefine/>
    <w:qFormat/>
    <w:uiPriority w:val="0"/>
    <w:rPr>
      <w:rFonts w:ascii="宋体" w:hAnsi="Courier New"/>
    </w:rPr>
  </w:style>
  <w:style w:type="character" w:customStyle="1" w:styleId="39">
    <w:name w:val="纯文本 字符1"/>
    <w:autoRedefine/>
    <w:semiHidden/>
    <w:qFormat/>
    <w:uiPriority w:val="99"/>
    <w:rPr>
      <w:rFonts w:ascii="宋体" w:hAnsi="Courier New" w:cs="Courier New"/>
      <w:szCs w:val="20"/>
    </w:rPr>
  </w:style>
  <w:style w:type="character" w:customStyle="1" w:styleId="40">
    <w:name w:val="未处理的提及1"/>
    <w:autoRedefine/>
    <w:semiHidden/>
    <w:unhideWhenUsed/>
    <w:qFormat/>
    <w:uiPriority w:val="99"/>
    <w:rPr>
      <w:color w:val="605E5C"/>
      <w:shd w:val="clear" w:color="auto" w:fill="E1DFDD"/>
    </w:rPr>
  </w:style>
  <w:style w:type="character" w:customStyle="1" w:styleId="41">
    <w:name w:val="日期 字符"/>
    <w:autoRedefine/>
    <w:semiHidden/>
    <w:qFormat/>
    <w:uiPriority w:val="99"/>
    <w:rPr>
      <w:rFonts w:ascii="@仿宋_GB2312" w:hAnsi="@仿宋_GB2312" w:eastAsia="@仿宋_GB2312" w:cs="@仿宋_GB2312"/>
      <w:szCs w:val="20"/>
    </w:rPr>
  </w:style>
  <w:style w:type="character" w:customStyle="1" w:styleId="42">
    <w:name w:val="日期 字符1"/>
    <w:link w:val="14"/>
    <w:autoRedefine/>
    <w:qFormat/>
    <w:uiPriority w:val="0"/>
    <w:rPr>
      <w:rFonts w:ascii="Arial" w:hAnsi="Arial" w:eastAsia="宋体" w:cs="Arial"/>
      <w:b/>
      <w:sz w:val="28"/>
      <w:szCs w:val="20"/>
    </w:rPr>
  </w:style>
  <w:style w:type="character" w:customStyle="1" w:styleId="43">
    <w:name w:val="纯文本 Char1"/>
    <w:link w:val="33"/>
    <w:autoRedefine/>
    <w:qFormat/>
    <w:locked/>
    <w:uiPriority w:val="0"/>
    <w:rPr>
      <w:rFonts w:ascii="Arial" w:hAnsi="Arial" w:eastAsia="Arial"/>
      <w:kern w:val="2"/>
      <w:sz w:val="21"/>
      <w:lang w:val="en-US" w:eastAsia="zh-CN" w:bidi="ar-SA"/>
    </w:rPr>
  </w:style>
  <w:style w:type="character" w:customStyle="1" w:styleId="44">
    <w:name w:val="批注文字 Char"/>
    <w:autoRedefine/>
    <w:semiHidden/>
    <w:qFormat/>
    <w:uiPriority w:val="99"/>
    <w:rPr>
      <w:rFonts w:ascii="@仿宋_GB2312" w:hAnsi="@仿宋_GB2312" w:eastAsia="@仿宋_GB2312" w:cs="@仿宋_GB2312"/>
      <w:szCs w:val="20"/>
    </w:rPr>
  </w:style>
  <w:style w:type="character" w:customStyle="1" w:styleId="45">
    <w:name w:val="批注文字 字符"/>
    <w:link w:val="7"/>
    <w:autoRedefine/>
    <w:qFormat/>
    <w:uiPriority w:val="0"/>
    <w:rPr>
      <w:rFonts w:ascii="Arial" w:hAnsi="Arial" w:eastAsia="黑体" w:cs="Arial"/>
      <w:szCs w:val="20"/>
    </w:rPr>
  </w:style>
  <w:style w:type="character" w:customStyle="1" w:styleId="46">
    <w:name w:val="标题 1 字符"/>
    <w:link w:val="3"/>
    <w:autoRedefine/>
    <w:qFormat/>
    <w:uiPriority w:val="9"/>
    <w:rPr>
      <w:rFonts w:ascii="@仿宋_GB2312" w:hAnsi="@仿宋_GB2312" w:eastAsia="@仿宋_GB2312" w:cs="@仿宋_GB2312"/>
      <w:b/>
      <w:bCs/>
      <w:kern w:val="44"/>
      <w:sz w:val="44"/>
      <w:szCs w:val="44"/>
    </w:rPr>
  </w:style>
  <w:style w:type="character" w:customStyle="1" w:styleId="47">
    <w:name w:val="标题 3 字符"/>
    <w:link w:val="2"/>
    <w:autoRedefine/>
    <w:qFormat/>
    <w:uiPriority w:val="9"/>
    <w:rPr>
      <w:rFonts w:ascii="宋体" w:hAnsi="宋体" w:cs="宋体"/>
      <w:b/>
      <w:bCs/>
      <w:color w:val="C00000"/>
      <w:kern w:val="2"/>
      <w:sz w:val="24"/>
      <w:szCs w:val="24"/>
    </w:rPr>
  </w:style>
  <w:style w:type="character" w:customStyle="1" w:styleId="48">
    <w:name w:val="fontstyle01"/>
    <w:autoRedefine/>
    <w:qFormat/>
    <w:uiPriority w:val="0"/>
    <w:rPr>
      <w:rFonts w:hint="eastAsia" w:ascii="宋体" w:hAnsi="宋体" w:eastAsia="宋体"/>
      <w:color w:val="000000"/>
      <w:sz w:val="22"/>
      <w:szCs w:val="22"/>
    </w:rPr>
  </w:style>
  <w:style w:type="character" w:customStyle="1" w:styleId="49">
    <w:name w:val="fontstyle21"/>
    <w:autoRedefine/>
    <w:qFormat/>
    <w:uiPriority w:val="0"/>
    <w:rPr>
      <w:rFonts w:hint="default" w:ascii="TimesNewRomanPSMT" w:hAnsi="TimesNewRomanPSMT"/>
      <w:color w:val="000000"/>
      <w:sz w:val="22"/>
      <w:szCs w:val="22"/>
    </w:rPr>
  </w:style>
  <w:style w:type="character" w:customStyle="1" w:styleId="50">
    <w:name w:val="正文文本 (2) + Sylfaen2"/>
    <w:autoRedefine/>
    <w:qFormat/>
    <w:uiPriority w:val="99"/>
    <w:rPr>
      <w:rFonts w:ascii="Sylfaen" w:hAnsi="Sylfaen" w:eastAsia="MingLiU" w:cs="Sylfaen"/>
      <w:spacing w:val="0"/>
      <w:sz w:val="23"/>
      <w:szCs w:val="23"/>
      <w:shd w:val="clear" w:color="auto" w:fill="FFFFFF"/>
      <w:lang w:val="en-US" w:eastAsia="en-US"/>
    </w:rPr>
  </w:style>
  <w:style w:type="character" w:customStyle="1" w:styleId="51">
    <w:name w:val="标题 4 字符"/>
    <w:autoRedefine/>
    <w:semiHidden/>
    <w:qFormat/>
    <w:uiPriority w:val="9"/>
    <w:rPr>
      <w:rFonts w:ascii="Cambria" w:hAnsi="Cambria" w:eastAsia="宋体" w:cs="黑体"/>
      <w:b/>
      <w:bCs/>
      <w:sz w:val="28"/>
      <w:szCs w:val="28"/>
    </w:rPr>
  </w:style>
  <w:style w:type="character" w:customStyle="1" w:styleId="52">
    <w:name w:val="标题 4 字符1"/>
    <w:link w:val="5"/>
    <w:autoRedefine/>
    <w:qFormat/>
    <w:uiPriority w:val="0"/>
    <w:rPr>
      <w:rFonts w:ascii="@仿宋_GB2312" w:hAnsi="@仿宋_GB2312" w:eastAsia="@仿宋_GB2312" w:cs="@仿宋_GB2312"/>
      <w:b/>
      <w:bCs/>
      <w:sz w:val="28"/>
      <w:szCs w:val="28"/>
    </w:rPr>
  </w:style>
  <w:style w:type="character" w:customStyle="1" w:styleId="53">
    <w:name w:val="正文文本 字符"/>
    <w:link w:val="8"/>
    <w:autoRedefine/>
    <w:qFormat/>
    <w:uiPriority w:val="0"/>
    <w:rPr>
      <w:rFonts w:ascii="@微软简标宋" w:hAnsi="@微软简标宋" w:eastAsia="@微软简标宋" w:cs="@微软简标宋"/>
      <w:szCs w:val="24"/>
      <w:lang w:val="zh-CN" w:eastAsia="zh-CN"/>
    </w:rPr>
  </w:style>
  <w:style w:type="character" w:customStyle="1" w:styleId="54">
    <w:name w:val="批注主题 字符"/>
    <w:link w:val="21"/>
    <w:autoRedefine/>
    <w:semiHidden/>
    <w:qFormat/>
    <w:uiPriority w:val="99"/>
    <w:rPr>
      <w:rFonts w:ascii="@仿宋_GB2312" w:hAnsi="@仿宋_GB2312" w:eastAsia="@仿宋_GB2312" w:cs="@仿宋_GB2312"/>
      <w:b/>
      <w:bCs/>
      <w:kern w:val="2"/>
      <w:sz w:val="21"/>
      <w:szCs w:val="20"/>
    </w:rPr>
  </w:style>
  <w:style w:type="paragraph" w:customStyle="1" w:styleId="55">
    <w:name w:val="标题 2_0"/>
    <w:basedOn w:val="1"/>
    <w:next w:val="56"/>
    <w:autoRedefine/>
    <w:qFormat/>
    <w:uiPriority w:val="0"/>
    <w:pPr>
      <w:keepNext/>
      <w:keepLines/>
      <w:spacing w:before="260" w:after="260" w:line="500" w:lineRule="exact"/>
      <w:jc w:val="center"/>
      <w:outlineLvl w:val="1"/>
    </w:pPr>
    <w:rPr>
      <w:rFonts w:ascii="黑体" w:hAnsi="宋体" w:eastAsia="黑体"/>
      <w:b/>
      <w:smallCaps/>
      <w:snapToGrid w:val="0"/>
      <w:kern w:val="0"/>
      <w:sz w:val="36"/>
      <w:szCs w:val="24"/>
    </w:rPr>
  </w:style>
  <w:style w:type="paragraph" w:customStyle="1" w:styleId="56">
    <w:name w:val="正文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7">
    <w:name w:val="Default"/>
    <w:qFormat/>
    <w:uiPriority w:val="99"/>
    <w:pPr>
      <w:widowControl w:val="0"/>
      <w:autoSpaceDE w:val="0"/>
      <w:autoSpaceDN w:val="0"/>
      <w:adjustRightInd w:val="0"/>
    </w:pPr>
    <w:rPr>
      <w:rFonts w:ascii="宋体" w:hAnsi="宋体" w:eastAsia="宋体" w:cs="宋体"/>
      <w:color w:val="000000"/>
      <w:sz w:val="24"/>
      <w:szCs w:val="24"/>
      <w:lang w:val="en-US" w:eastAsia="zh-CN" w:bidi="ar-SA"/>
    </w:rPr>
  </w:style>
  <w:style w:type="paragraph" w:styleId="58">
    <w:name w:val="List Paragraph"/>
    <w:basedOn w:val="1"/>
    <w:qFormat/>
    <w:uiPriority w:val="1"/>
    <w:pPr>
      <w:widowControl/>
      <w:kinsoku w:val="0"/>
      <w:autoSpaceDE w:val="0"/>
      <w:autoSpaceDN w:val="0"/>
      <w:adjustRightInd w:val="0"/>
      <w:snapToGrid w:val="0"/>
      <w:ind w:left="247" w:firstLine="550"/>
      <w:jc w:val="left"/>
      <w:textAlignment w:val="baseline"/>
    </w:pPr>
    <w:rPr>
      <w:rFonts w:ascii="Arial" w:hAnsi="Arial" w:eastAsia="Arial" w:cs="Arial"/>
      <w:snapToGrid w:val="0"/>
      <w:color w:val="000000"/>
      <w:kern w:val="0"/>
      <w:szCs w:val="21"/>
      <w:lang w:eastAsia="en-US"/>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1.png"/><Relationship Id="rId10" Type="http://schemas.openxmlformats.org/officeDocument/2006/relationships/customXml" Target="ink/ink1.xml"/><Relationship Id="rId1" Type="http://schemas.openxmlformats.org/officeDocument/2006/relationships/styles" Target="styles.xml"/></Relationships>
</file>

<file path=word/ink/ink1.xml><?xml version="1.0" encoding="utf-8"?>
<inkml:ink xmlns:inkml="http://www.w3.org/2003/InkML">
  <inkml:definitions>
    <inkml:context xml:id="ctx0">
      <inkml:inkSource xml:id="inkSrc0">
        <inkml:traceFormat>
          <inkml:channel name="X" type="integer" units="cm"/>
          <inkml:channel name="Y" type="integer" units="cm"/>
          <inkml:channel name="F" type="integer" max="1023" units="dev"/>
        </inkml:traceFormat>
        <inkml:channelProperties>
          <inkml:channelProperty channel="X" name="resolution" value="28.3464566929134" units="1/cm"/>
          <inkml:channelProperty channel="Y" name="resolution" value="28.3464566929134" units="1/cm"/>
          <inkml:channelProperty channel="F" name="resolution" value="0" units="1/dev"/>
        </inkml:channelProperties>
      </inkml:inkSource>
      <inkml:timestamp xml:id="ts0" timeString="2025-01-20T14:41:22"/>
    </inkml:context>
    <inkml:brush xml:id="br0">
      <inkml:brushProperty name="width" value="0.0529194456206428" units="cm"/>
      <inkml:brushProperty name="height" value="0.0529194456206428" units="cm"/>
      <inkml:brushProperty name="color" value="#f80600"/>
      <inkml:brushProperty name="ignorePressure" value="0"/>
    </inkml:brush>
  </inkml:definitions>
  <inkml:trace contextRef="#ctx0" brushRef="#br0">10466.000 135798.000 767</inkml:trace>
</inkml:ink>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akoosky</Company>
  <Pages>52</Pages>
  <Words>21200</Words>
  <Characters>22240</Characters>
  <Lines>218</Lines>
  <Paragraphs>61</Paragraphs>
  <TotalTime>1</TotalTime>
  <ScaleCrop>false</ScaleCrop>
  <LinksUpToDate>false</LinksUpToDate>
  <CharactersWithSpaces>23124</CharactersWithSpaces>
  <Application>WPS Office_12.1.0.20754_F1E327BC-269C-435d-A152-05C5408002CA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2019-05-07T22:32:00Z</dcterms:created>
  <dc:creator>Anakin</dc:creator>
  <cp:lastModifiedBy>ནཽཾ࿄࿆༻Cheese </cp:lastModifiedBy>
  <cp:lastPrinted>2024-10-09T16:07:00Z</cp:lastPrinted>
  <dcterms:modified xsi:type="dcterms:W3CDTF">2025-03-27T04:20:31Z</dcterms:modified>
  <dc:title>竞争性磋商文件</dc:title>
  <cp:revision>126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2052-12.1.0.20754</vt:lpwstr>
  </property>
  <property fmtid="{D5CDD505-2E9C-101B-9397-08002B2CF9AE}" pid="3" name="ICV">
    <vt:lpwstr>1DCA87116DD34CBE9A0B917B9DE76D35_13</vt:lpwstr>
  </property>
  <property fmtid="{D5CDD505-2E9C-101B-9397-08002B2CF9AE}" pid="4" name="commondata">
    <vt:lpwstr>eyJoZGlkIjoiYmI2NDUwYjViNjdjMjE3YmI2NjllZGI2ZDQxNDQxMDMifQ==</vt:lpwstr>
  </property>
  <property fmtid="{D5CDD505-2E9C-101B-9397-08002B2CF9AE}" pid="5" name="KSOTemplateDocerSaveRecord">
    <vt:lpwstr>eyJoZGlkIjoiNzliNGFmNmVjNmZhNjJjOTA0MmQ2YTYxZGI4NzBlNDgiLCJ1c2VySWQiOiI0MDg3NjE2NDMifQ==</vt:lpwstr>
  </property>
</Properties>
</file>