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3F41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highlight w:val="none"/>
        </w:rPr>
      </w:pPr>
    </w:p>
    <w:p w14:paraId="7CE8C4F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highlight w:val="none"/>
        </w:rPr>
      </w:pPr>
    </w:p>
    <w:p w14:paraId="08DA10A1">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竞争性磋商文件</w:t>
      </w:r>
    </w:p>
    <w:p w14:paraId="30BCA79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（服务类）</w:t>
      </w:r>
    </w:p>
    <w:bookmarkEnd w:id="0"/>
    <w:p w14:paraId="50750632">
      <w:pPr>
        <w:tabs>
          <w:tab w:val="left" w:pos="315"/>
          <w:tab w:val="left" w:pos="8820"/>
        </w:tabs>
        <w:spacing w:before="240" w:beforeLines="100" w:after="120" w:afterLines="50" w:line="500" w:lineRule="exact"/>
        <w:ind w:right="267" w:rightChars="127"/>
        <w:jc w:val="center"/>
        <w:rPr>
          <w:rFonts w:hint="eastAsia" w:ascii="宋体" w:hAnsi="宋体" w:eastAsia="宋体" w:cs="宋体"/>
          <w:bCs/>
          <w:color w:val="auto"/>
          <w:sz w:val="44"/>
          <w:szCs w:val="44"/>
          <w:highlight w:val="none"/>
        </w:rPr>
      </w:pPr>
    </w:p>
    <w:p w14:paraId="347B7F8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00D9712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30D6EE1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077B02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AAECE48">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2F2C822A">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包河区体艺中心合肥市华山路小学课程服务单位招标</w:t>
      </w:r>
    </w:p>
    <w:p w14:paraId="598A4F36">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招 标 人：</w:t>
      </w:r>
      <w:r>
        <w:rPr>
          <w:rFonts w:hint="eastAsia" w:ascii="宋体" w:hAnsi="宋体" w:eastAsia="宋体" w:cs="宋体"/>
          <w:b/>
          <w:color w:val="auto"/>
          <w:spacing w:val="20"/>
          <w:kern w:val="0"/>
          <w:sz w:val="32"/>
          <w:szCs w:val="32"/>
          <w:highlight w:val="none"/>
          <w:u w:val="single"/>
        </w:rPr>
        <w:t>合肥滨湖时光体育发展有限公司</w:t>
      </w:r>
    </w:p>
    <w:p w14:paraId="2ECF2D58">
      <w:pPr>
        <w:tabs>
          <w:tab w:val="left" w:pos="2410"/>
        </w:tabs>
        <w:autoSpaceDE w:val="0"/>
        <w:autoSpaceDN w:val="0"/>
        <w:adjustRightInd w:val="0"/>
        <w:snapToGrid w:val="0"/>
        <w:spacing w:line="360" w:lineRule="auto"/>
        <w:ind w:firstLine="361" w:firstLineChars="100"/>
        <w:jc w:val="left"/>
        <w:rPr>
          <w:rFonts w:hint="eastAsia" w:ascii="宋体" w:hAnsi="DotumChe" w:eastAsia="宋体" w:cs="宋体"/>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采购时间：</w:t>
      </w:r>
      <w:r>
        <w:rPr>
          <w:rFonts w:hint="eastAsia" w:ascii="宋体" w:hAnsi="宋体" w:eastAsia="宋体" w:cs="宋体"/>
          <w:b/>
          <w:color w:val="auto"/>
          <w:spacing w:val="20"/>
          <w:kern w:val="0"/>
          <w:sz w:val="32"/>
          <w:szCs w:val="32"/>
          <w:highlight w:val="none"/>
          <w:u w:val="single"/>
        </w:rPr>
        <w:t>202</w:t>
      </w:r>
      <w:r>
        <w:rPr>
          <w:rFonts w:hint="eastAsia" w:ascii="宋体" w:hAnsi="宋体" w:eastAsia="宋体" w:cs="宋体"/>
          <w:b/>
          <w:color w:val="auto"/>
          <w:spacing w:val="20"/>
          <w:kern w:val="0"/>
          <w:sz w:val="32"/>
          <w:szCs w:val="32"/>
          <w:highlight w:val="none"/>
          <w:u w:val="single"/>
          <w:lang w:val="en-US" w:eastAsia="zh-CN"/>
        </w:rPr>
        <w:t>5</w:t>
      </w:r>
      <w:r>
        <w:rPr>
          <w:rFonts w:hint="eastAsia" w:ascii="宋体" w:hAnsi="宋体" w:eastAsia="宋体" w:cs="宋体"/>
          <w:b/>
          <w:color w:val="auto"/>
          <w:spacing w:val="20"/>
          <w:kern w:val="0"/>
          <w:sz w:val="32"/>
          <w:szCs w:val="32"/>
          <w:highlight w:val="none"/>
          <w:u w:val="single"/>
        </w:rPr>
        <w:t>年</w:t>
      </w:r>
      <w:r>
        <w:rPr>
          <w:rFonts w:hint="eastAsia" w:ascii="宋体" w:hAnsi="宋体" w:eastAsia="宋体" w:cs="宋体"/>
          <w:b/>
          <w:color w:val="auto"/>
          <w:spacing w:val="20"/>
          <w:kern w:val="0"/>
          <w:sz w:val="32"/>
          <w:szCs w:val="32"/>
          <w:highlight w:val="none"/>
          <w:u w:val="single"/>
          <w:lang w:val="en-US" w:eastAsia="zh-CN"/>
        </w:rPr>
        <w:t>6</w:t>
      </w:r>
      <w:r>
        <w:rPr>
          <w:rFonts w:hint="eastAsia" w:ascii="宋体" w:hAnsi="宋体" w:eastAsia="宋体" w:cs="宋体"/>
          <w:b/>
          <w:color w:val="auto"/>
          <w:spacing w:val="20"/>
          <w:kern w:val="0"/>
          <w:sz w:val="32"/>
          <w:szCs w:val="32"/>
          <w:highlight w:val="none"/>
          <w:u w:val="single"/>
        </w:rPr>
        <w:t>月</w:t>
      </w:r>
    </w:p>
    <w:p w14:paraId="1BA8AA4E">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p>
    <w:p w14:paraId="2A0DAF2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6A05FBAE">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u w:val="single"/>
        </w:rPr>
      </w:pPr>
    </w:p>
    <w:p w14:paraId="0295341B">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202</w:t>
      </w:r>
      <w:r>
        <w:rPr>
          <w:rFonts w:hint="eastAsia" w:ascii="宋体" w:hAnsi="宋体" w:eastAsia="宋体" w:cs="宋体"/>
          <w:b/>
          <w:color w:val="auto"/>
          <w:sz w:val="36"/>
          <w:highlight w:val="none"/>
          <w:u w:val="single"/>
          <w:lang w:val="en-US" w:eastAsia="zh-CN"/>
        </w:rPr>
        <w:t>5</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lang w:val="en-US" w:eastAsia="zh-CN"/>
        </w:rPr>
        <w:t>6</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30FCA6E2">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79AF2FC">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3E6897F2">
      <w:pPr>
        <w:pStyle w:val="19"/>
        <w:tabs>
          <w:tab w:val="right" w:leader="dot" w:pos="8269"/>
        </w:tabs>
        <w:rPr>
          <w:rFonts w:hint="eastAsia" w:ascii="宋体" w:hAnsi="宋体" w:cs="宋体"/>
          <w:color w:val="auto"/>
          <w:kern w:val="2"/>
          <w:sz w:val="21"/>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"1-2" \h \z \u </w:instrText>
      </w:r>
      <w:r>
        <w:rPr>
          <w:rFonts w:hint="eastAsia" w:ascii="宋体" w:hAnsi="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"_Toc47026330" </w:instrText>
      </w:r>
      <w:r>
        <w:rPr>
          <w:color w:val="auto"/>
          <w:highlight w:val="none"/>
        </w:rPr>
        <w:fldChar w:fldCharType="separate"/>
      </w:r>
      <w:r>
        <w:rPr>
          <w:rStyle w:val="26"/>
          <w:rFonts w:hint="eastAsia" w:ascii="宋体" w:hAnsi="宋体" w:cs="宋体"/>
          <w:b/>
          <w:color w:val="auto"/>
          <w:highlight w:val="none"/>
        </w:rPr>
        <w:t>第一章  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_Toc47026330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D99F60E">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"_Toc47026333" </w:instrText>
      </w:r>
      <w:r>
        <w:rPr>
          <w:color w:val="auto"/>
          <w:highlight w:val="none"/>
        </w:rPr>
        <w:fldChar w:fldCharType="separate"/>
      </w:r>
      <w:r>
        <w:rPr>
          <w:rStyle w:val="26"/>
          <w:rFonts w:hint="eastAsia" w:ascii="宋体" w:hAnsi="宋体" w:cs="宋体"/>
          <w:b/>
          <w:color w:val="auto"/>
          <w:highlight w:val="none"/>
        </w:rPr>
        <w:t>第二章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_Toc47026333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6815A71">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"_Toc47026334" </w:instrText>
      </w:r>
      <w:r>
        <w:rPr>
          <w:color w:val="auto"/>
          <w:highlight w:val="none"/>
        </w:rPr>
        <w:fldChar w:fldCharType="separate"/>
      </w:r>
      <w:r>
        <w:rPr>
          <w:rStyle w:val="26"/>
          <w:rFonts w:hint="eastAsia" w:ascii="宋体" w:hAnsi="宋体" w:cs="宋体"/>
          <w:b/>
          <w:color w:val="auto"/>
          <w:highlight w:val="none"/>
        </w:rPr>
        <w:t>第三章  招标需求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_Toc47026334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B777558">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"_Toc47026335" </w:instrText>
      </w:r>
      <w:r>
        <w:rPr>
          <w:color w:val="auto"/>
          <w:highlight w:val="none"/>
        </w:rPr>
        <w:fldChar w:fldCharType="separate"/>
      </w:r>
      <w:r>
        <w:rPr>
          <w:rStyle w:val="26"/>
          <w:rFonts w:hint="eastAsia" w:ascii="宋体" w:hAnsi="宋体" w:cs="宋体"/>
          <w:b/>
          <w:color w:val="auto"/>
          <w:highlight w:val="none"/>
        </w:rPr>
        <w:t>第四章  评审方法和标准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_Toc47026335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0DD9812">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"_Toc47026336" </w:instrText>
      </w:r>
      <w:r>
        <w:rPr>
          <w:color w:val="auto"/>
          <w:highlight w:val="none"/>
        </w:rPr>
        <w:fldChar w:fldCharType="separate"/>
      </w:r>
      <w:r>
        <w:rPr>
          <w:rStyle w:val="26"/>
          <w:rFonts w:hint="eastAsia" w:ascii="宋体" w:hAnsi="宋体" w:cs="宋体"/>
          <w:b/>
          <w:color w:val="auto"/>
          <w:highlight w:val="none"/>
        </w:rPr>
        <w:t>第五章  合同模板</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_Toc47026336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1FC1FC">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"_Toc47026337" </w:instrText>
      </w:r>
      <w:r>
        <w:rPr>
          <w:color w:val="auto"/>
          <w:highlight w:val="none"/>
        </w:rPr>
        <w:fldChar w:fldCharType="separate"/>
      </w:r>
      <w:r>
        <w:rPr>
          <w:rStyle w:val="26"/>
          <w:rFonts w:hint="eastAsia" w:ascii="宋体" w:hAnsi="宋体" w:cs="宋体"/>
          <w:b/>
          <w:color w:val="auto"/>
          <w:highlight w:val="none"/>
        </w:rPr>
        <w:t>第六章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_Toc47026337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D61930D">
      <w:pPr>
        <w:pStyle w:val="19"/>
        <w:tabs>
          <w:tab w:val="right" w:leader="dot" w:pos="8296"/>
        </w:tabs>
        <w:rPr>
          <w:rFonts w:hint="eastAsia" w:ascii="宋体" w:hAnsi="宋体" w:cs="宋体"/>
          <w:b/>
          <w:color w:val="auto"/>
          <w:sz w:val="32"/>
          <w:highlight w:val="none"/>
        </w:rPr>
      </w:pPr>
      <w:r>
        <w:rPr>
          <w:rFonts w:hint="eastAsia" w:ascii="宋体" w:hAnsi="宋体" w:cs="宋体"/>
          <w:b/>
          <w:color w:val="auto"/>
          <w:sz w:val="24"/>
          <w:szCs w:val="24"/>
          <w:highlight w:val="none"/>
        </w:rPr>
        <w:fldChar w:fldCharType="end"/>
      </w:r>
    </w:p>
    <w:p w14:paraId="4FC91D3C">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7797B4FC">
      <w:pPr>
        <w:spacing w:line="360" w:lineRule="auto"/>
        <w:jc w:val="center"/>
        <w:outlineLvl w:val="1"/>
        <w:rPr>
          <w:rFonts w:hint="eastAsia" w:ascii="宋体" w:hAnsi="宋体" w:eastAsia="宋体" w:cs="宋体"/>
          <w:b/>
          <w:color w:val="auto"/>
          <w:sz w:val="28"/>
          <w:highlight w:val="none"/>
        </w:rPr>
      </w:pPr>
      <w:bookmarkStart w:id="1" w:name="_Toc47026330"/>
    </w:p>
    <w:p w14:paraId="2A434D97">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第一章  磋商公告</w:t>
      </w:r>
      <w:bookmarkEnd w:id="1"/>
    </w:p>
    <w:p w14:paraId="7304606F">
      <w:pPr>
        <w:spacing w:line="360" w:lineRule="auto"/>
        <w:ind w:firstLine="480" w:firstLineChars="200"/>
        <w:jc w:val="left"/>
        <w:outlineLvl w:val="1"/>
        <w:rPr>
          <w:rFonts w:hint="eastAsia" w:ascii="宋体" w:hAnsi="宋体" w:eastAsia="宋体" w:cs="宋体"/>
          <w:b/>
          <w:color w:val="auto"/>
          <w:sz w:val="24"/>
          <w:szCs w:val="24"/>
          <w:highlight w:val="none"/>
        </w:rPr>
      </w:pPr>
      <w:bookmarkStart w:id="2" w:name="_Toc44606294"/>
      <w:bookmarkStart w:id="3" w:name="_Toc47026331"/>
      <w:r>
        <w:rPr>
          <w:rFonts w:hint="eastAsia" w:ascii="宋体" w:hAnsi="宋体" w:eastAsia="宋体" w:cs="宋体"/>
          <w:color w:val="auto"/>
          <w:sz w:val="24"/>
          <w:szCs w:val="24"/>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招标人”）与</w:t>
      </w:r>
      <w:r>
        <w:rPr>
          <w:rFonts w:hint="eastAsia" w:ascii="宋体" w:hAnsi="宋体" w:eastAsia="宋体" w:cs="宋体"/>
          <w:color w:val="auto"/>
          <w:sz w:val="24"/>
          <w:szCs w:val="24"/>
          <w:highlight w:val="none"/>
          <w:lang w:eastAsia="zh-CN"/>
        </w:rPr>
        <w:t>合肥市华山路小学</w:t>
      </w:r>
      <w:r>
        <w:rPr>
          <w:rFonts w:hint="eastAsia" w:ascii="宋体" w:hAnsi="宋体" w:eastAsia="宋体" w:cs="宋体"/>
          <w:color w:val="auto"/>
          <w:sz w:val="24"/>
          <w:szCs w:val="24"/>
          <w:highlight w:val="none"/>
        </w:rPr>
        <w:t>深入合作，在校内开设“体艺特色发展中心”（以下简称“体艺中心”），为广大中小学生提供全面优质的体艺特色教育服务。现对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包河区体艺中心合肥市华山路小学课程服务单位招标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进行竞争性磋商，欢迎具备条件的</w:t>
      </w:r>
      <w:r>
        <w:rPr>
          <w:rFonts w:hint="eastAsia" w:ascii="宋体" w:hAnsi="宋体" w:eastAsia="宋体" w:cs="宋体"/>
          <w:color w:val="auto"/>
          <w:sz w:val="24"/>
          <w:szCs w:val="24"/>
          <w:highlight w:val="none"/>
          <w:lang w:val="en-US" w:eastAsia="zh-CN"/>
        </w:rPr>
        <w:t>国内</w:t>
      </w:r>
      <w:r>
        <w:rPr>
          <w:rFonts w:hint="eastAsia" w:ascii="宋体" w:hAnsi="宋体" w:eastAsia="宋体" w:cs="宋体"/>
          <w:color w:val="auto"/>
          <w:sz w:val="24"/>
          <w:szCs w:val="24"/>
          <w:highlight w:val="none"/>
        </w:rPr>
        <w:t>投标人参加磋商。</w:t>
      </w:r>
      <w:bookmarkEnd w:id="2"/>
      <w:bookmarkEnd w:id="3"/>
    </w:p>
    <w:p w14:paraId="09F4869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一、项目名称及内容</w:t>
      </w:r>
    </w:p>
    <w:p w14:paraId="04DB7FCF">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-ZTB-2025-28</w:t>
      </w:r>
    </w:p>
    <w:p w14:paraId="73C2E9D5">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2.项目名称：</w:t>
      </w:r>
      <w:r>
        <w:rPr>
          <w:rFonts w:hint="eastAsia" w:ascii="宋体" w:hAnsi="宋体" w:eastAsia="宋体" w:cs="宋体"/>
          <w:color w:val="auto"/>
          <w:sz w:val="24"/>
          <w:szCs w:val="18"/>
          <w:highlight w:val="none"/>
          <w:u w:val="single"/>
          <w:lang w:eastAsia="zh-CN"/>
        </w:rPr>
        <w:t>包河区体艺中心合肥市华山路小学课程服务单位招标</w:t>
      </w:r>
    </w:p>
    <w:p w14:paraId="17919514">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3.项目地点：</w:t>
      </w:r>
      <w:r>
        <w:rPr>
          <w:rFonts w:hint="eastAsia" w:ascii="宋体" w:hAnsi="宋体" w:eastAsia="宋体" w:cs="宋体"/>
          <w:b/>
          <w:bCs/>
          <w:color w:val="auto"/>
          <w:sz w:val="24"/>
          <w:szCs w:val="18"/>
          <w:highlight w:val="none"/>
          <w:lang w:val="en-US" w:eastAsia="zh-CN"/>
        </w:rPr>
        <w:t>合肥市包河区福州路与华山路交叉路口合肥市华山路小学</w:t>
      </w:r>
    </w:p>
    <w:p w14:paraId="4710EE1E">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4.项目单位：合肥滨湖时光体育发展有限公司</w:t>
      </w:r>
    </w:p>
    <w:p w14:paraId="6F8BC42C">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5.项目概况：</w:t>
      </w:r>
      <w:r>
        <w:rPr>
          <w:rFonts w:hint="eastAsia" w:ascii="宋体" w:hAnsi="宋体" w:eastAsia="宋体" w:cs="宋体"/>
          <w:color w:val="auto"/>
          <w:sz w:val="24"/>
          <w:szCs w:val="18"/>
          <w:highlight w:val="none"/>
          <w:u w:val="single"/>
          <w:lang w:eastAsia="zh-CN"/>
        </w:rPr>
        <w:t>包河区体艺中心合肥市华山路小学课程服务单位招标</w:t>
      </w:r>
      <w:r>
        <w:rPr>
          <w:rFonts w:hint="eastAsia" w:ascii="宋体" w:hAnsi="宋体" w:eastAsia="宋体" w:cs="宋体"/>
          <w:color w:val="auto"/>
          <w:sz w:val="24"/>
          <w:szCs w:val="18"/>
          <w:highlight w:val="none"/>
        </w:rPr>
        <w:t>，</w:t>
      </w:r>
      <w:r>
        <w:rPr>
          <w:rFonts w:hint="eastAsia" w:ascii="宋体" w:hAnsi="宋体" w:eastAsia="宋体" w:cs="宋体"/>
          <w:color w:val="auto"/>
          <w:sz w:val="24"/>
          <w:highlight w:val="none"/>
        </w:rPr>
        <w:t>详见磋商文件</w:t>
      </w:r>
    </w:p>
    <w:p w14:paraId="5FF1AC91">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6.资金来源：自筹</w:t>
      </w:r>
      <w:r>
        <w:rPr>
          <w:rFonts w:hint="eastAsia" w:ascii="宋体" w:hAnsi="宋体" w:eastAsia="宋体" w:cs="宋体"/>
          <w:color w:val="auto"/>
          <w:sz w:val="24"/>
          <w:szCs w:val="18"/>
          <w:highlight w:val="none"/>
          <w:lang w:val="en-US" w:eastAsia="zh-CN"/>
        </w:rPr>
        <w:t>资金</w:t>
      </w:r>
    </w:p>
    <w:p w14:paraId="4B6D8FA0">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7.项目预算：本项目采用营业额分成方式，投标人需严格按照招标文件要求报出投标人的分成比例作为本项目价格分计算依据和合同签订依据。</w:t>
      </w:r>
    </w:p>
    <w:p w14:paraId="2E2DA093">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8.项目类别：服务类</w:t>
      </w:r>
    </w:p>
    <w:p w14:paraId="25A0E120">
      <w:pPr>
        <w:autoSpaceDE w:val="0"/>
        <w:autoSpaceDN w:val="0"/>
        <w:adjustRightInd w:val="0"/>
        <w:spacing w:line="360" w:lineRule="auto"/>
        <w:ind w:firstLine="436" w:firstLineChars="182"/>
        <w:jc w:val="left"/>
        <w:rPr>
          <w:rFonts w:hint="default"/>
          <w:color w:val="auto"/>
          <w:highlight w:val="none"/>
          <w:lang w:val="en-US" w:eastAsia="zh-CN"/>
        </w:rPr>
      </w:pPr>
      <w:r>
        <w:rPr>
          <w:rFonts w:hint="eastAsia" w:ascii="宋体" w:hAnsi="宋体" w:eastAsia="宋体" w:cs="宋体"/>
          <w:color w:val="auto"/>
          <w:sz w:val="24"/>
          <w:szCs w:val="18"/>
          <w:highlight w:val="none"/>
        </w:rPr>
        <w:t>9.标段（包别）划分：</w:t>
      </w:r>
      <w:r>
        <w:rPr>
          <w:rFonts w:hint="eastAsia" w:ascii="宋体" w:hAnsi="宋体" w:eastAsia="宋体" w:cs="宋体"/>
          <w:b/>
          <w:bCs/>
          <w:color w:val="auto"/>
          <w:sz w:val="24"/>
          <w:szCs w:val="18"/>
          <w:highlight w:val="none"/>
        </w:rPr>
        <w:t>共分</w:t>
      </w:r>
      <w:r>
        <w:rPr>
          <w:rFonts w:hint="eastAsia" w:ascii="宋体" w:hAnsi="宋体" w:eastAsia="宋体" w:cs="宋体"/>
          <w:b/>
          <w:bCs/>
          <w:color w:val="auto"/>
          <w:sz w:val="24"/>
          <w:szCs w:val="18"/>
          <w:highlight w:val="none"/>
          <w:u w:val="single"/>
        </w:rPr>
        <w:t xml:space="preserve"> </w:t>
      </w:r>
      <w:r>
        <w:rPr>
          <w:rFonts w:hint="eastAsia" w:ascii="宋体" w:hAnsi="宋体" w:eastAsia="宋体" w:cs="宋体"/>
          <w:b/>
          <w:bCs/>
          <w:color w:val="auto"/>
          <w:sz w:val="24"/>
          <w:szCs w:val="18"/>
          <w:highlight w:val="none"/>
          <w:u w:val="single"/>
          <w:lang w:val="en-US" w:eastAsia="zh-CN"/>
        </w:rPr>
        <w:t>5</w:t>
      </w:r>
      <w:r>
        <w:rPr>
          <w:rFonts w:hint="eastAsia" w:ascii="宋体" w:hAnsi="宋体" w:eastAsia="宋体" w:cs="宋体"/>
          <w:b/>
          <w:bCs/>
          <w:color w:val="auto"/>
          <w:sz w:val="24"/>
          <w:szCs w:val="18"/>
          <w:highlight w:val="none"/>
          <w:u w:val="single"/>
        </w:rPr>
        <w:t xml:space="preserve"> </w:t>
      </w:r>
      <w:r>
        <w:rPr>
          <w:rFonts w:hint="eastAsia" w:ascii="宋体" w:hAnsi="宋体" w:eastAsia="宋体" w:cs="宋体"/>
          <w:b/>
          <w:bCs/>
          <w:color w:val="auto"/>
          <w:sz w:val="24"/>
          <w:szCs w:val="18"/>
          <w:highlight w:val="none"/>
        </w:rPr>
        <w:t>个标段</w:t>
      </w:r>
      <w:r>
        <w:rPr>
          <w:rFonts w:hint="eastAsia" w:ascii="宋体" w:hAnsi="宋体" w:eastAsia="宋体" w:cs="宋体"/>
          <w:b/>
          <w:bCs/>
          <w:color w:val="auto"/>
          <w:sz w:val="24"/>
          <w:szCs w:val="18"/>
          <w:highlight w:val="none"/>
          <w:lang w:eastAsia="zh-CN"/>
        </w:rPr>
        <w:t>，</w:t>
      </w:r>
      <w:r>
        <w:rPr>
          <w:rFonts w:hint="eastAsia" w:ascii="宋体" w:hAnsi="宋体" w:eastAsia="宋体" w:cs="宋体"/>
          <w:b/>
          <w:bCs/>
          <w:color w:val="auto"/>
          <w:sz w:val="24"/>
          <w:szCs w:val="18"/>
          <w:highlight w:val="none"/>
          <w:lang w:val="en-US" w:eastAsia="zh-CN"/>
        </w:rPr>
        <w:t>其中，</w:t>
      </w:r>
      <w:r>
        <w:rPr>
          <w:rFonts w:hint="eastAsia" w:ascii="宋体" w:hAnsi="宋体" w:eastAsia="宋体" w:cs="宋体"/>
          <w:b/>
          <w:bCs/>
          <w:color w:val="auto"/>
          <w:sz w:val="24"/>
          <w:szCs w:val="18"/>
          <w:highlight w:val="none"/>
          <w:lang w:eastAsia="zh-CN"/>
        </w:rPr>
        <w:t>第1标段为</w:t>
      </w:r>
      <w:r>
        <w:rPr>
          <w:rFonts w:hint="eastAsia" w:ascii="宋体" w:hAnsi="宋体" w:eastAsia="宋体" w:cs="宋体"/>
          <w:b/>
          <w:bCs/>
          <w:color w:val="auto"/>
          <w:sz w:val="24"/>
          <w:szCs w:val="18"/>
          <w:highlight w:val="none"/>
          <w:u w:val="single"/>
          <w:lang w:val="en-US" w:eastAsia="zh-CN"/>
        </w:rPr>
        <w:t>足球</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2</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val="en-US" w:eastAsia="zh-CN"/>
        </w:rPr>
        <w:t>篮球</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3</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val="en-US" w:eastAsia="zh-CN"/>
        </w:rPr>
        <w:t>棋类</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4</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eastAsia="zh-CN"/>
        </w:rPr>
        <w:t>轮滑</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5</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val="en-US" w:eastAsia="zh-CN"/>
        </w:rPr>
        <w:t>科技类</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color w:val="auto"/>
          <w:sz w:val="24"/>
          <w:szCs w:val="18"/>
          <w:highlight w:val="none"/>
          <w:lang w:val="en-US" w:eastAsia="zh-CN"/>
        </w:rPr>
        <w:t>评标时，按标段顺序依次开标。</w:t>
      </w:r>
    </w:p>
    <w:p w14:paraId="720C9C5F">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二</w:t>
      </w:r>
      <w:r>
        <w:rPr>
          <w:rFonts w:hint="eastAsia" w:ascii="宋体" w:hAnsi="宋体" w:eastAsia="宋体" w:cs="宋体"/>
          <w:b/>
          <w:color w:val="auto"/>
          <w:sz w:val="24"/>
          <w:highlight w:val="none"/>
        </w:rPr>
        <w:t>、投标</w:t>
      </w:r>
      <w:r>
        <w:rPr>
          <w:rFonts w:hint="eastAsia" w:ascii="宋体" w:hAnsi="宋体" w:eastAsia="宋体" w:cs="宋体"/>
          <w:b/>
          <w:bCs/>
          <w:color w:val="auto"/>
          <w:sz w:val="24"/>
          <w:szCs w:val="18"/>
          <w:highlight w:val="none"/>
        </w:rPr>
        <w:t>人资格</w:t>
      </w:r>
    </w:p>
    <w:p w14:paraId="47574957">
      <w:pPr>
        <w:spacing w:line="360" w:lineRule="auto"/>
        <w:ind w:firstLine="435"/>
        <w:rPr>
          <w:rFonts w:hint="eastAsia" w:ascii="宋体" w:hAnsi="宋体" w:eastAsia="宋体" w:cs="宋体"/>
          <w:color w:val="FF0000"/>
          <w:sz w:val="24"/>
          <w:szCs w:val="18"/>
          <w:highlight w:val="none"/>
          <w:lang w:val="en-US" w:eastAsia="zh-CN"/>
        </w:rPr>
      </w:pP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本项目只接受《包河区中小学体艺中心课程服务单位招募》已入围的企业报名，入围名单详见安徽合肥公共资源交易中心发布的《包河区中小学体艺中心课程服务单位招募结果公告》</w:t>
      </w:r>
      <w:r>
        <w:rPr>
          <w:rFonts w:hint="eastAsia" w:ascii="宋体" w:hAnsi="宋体" w:eastAsia="宋体" w:cs="宋体"/>
          <w:color w:val="auto"/>
          <w:sz w:val="24"/>
          <w:szCs w:val="18"/>
          <w:highlight w:val="none"/>
          <w:lang w:val="en-US" w:eastAsia="zh-CN"/>
        </w:rPr>
        <w:t>及本次招标公示结束前发布的补充招募结果公告。其中，参与</w:t>
      </w:r>
      <w:r>
        <w:rPr>
          <w:rFonts w:hint="eastAsia" w:ascii="宋体" w:hAnsi="宋体" w:eastAsia="宋体" w:cs="宋体"/>
          <w:b/>
          <w:bCs/>
          <w:color w:val="auto"/>
          <w:sz w:val="24"/>
          <w:szCs w:val="18"/>
          <w:highlight w:val="none"/>
          <w:lang w:val="en-US" w:eastAsia="zh-CN"/>
        </w:rPr>
        <w:t>第1标段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足球</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第2标段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篮球</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第3标段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棋类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第4标段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轮滑</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第5标段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科技类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w:t>
      </w:r>
    </w:p>
    <w:p w14:paraId="10285A62">
      <w:pPr>
        <w:pStyle w:val="2"/>
        <w:keepNext/>
        <w:keepLines/>
        <w:pageBreakBefore w:val="0"/>
        <w:widowControl w:val="0"/>
        <w:kinsoku/>
        <w:wordWrap/>
        <w:overflowPunct/>
        <w:topLinePunct w:val="0"/>
        <w:autoSpaceDE/>
        <w:autoSpaceDN/>
        <w:bidi w:val="0"/>
        <w:adjustRightInd/>
        <w:snapToGrid/>
        <w:ind w:firstLine="480" w:firstLineChars="200"/>
        <w:textAlignment w:val="auto"/>
        <w:rPr>
          <w:rFonts w:hint="default"/>
          <w:b w:val="0"/>
          <w:bCs w:val="0"/>
          <w:color w:val="auto"/>
          <w:highlight w:val="none"/>
          <w:lang w:val="en-US"/>
        </w:rPr>
      </w:pPr>
      <w:r>
        <w:rPr>
          <w:rFonts w:hint="eastAsia" w:cs="宋体"/>
          <w:b w:val="0"/>
          <w:bCs w:val="0"/>
          <w:color w:val="auto"/>
          <w:sz w:val="24"/>
          <w:szCs w:val="18"/>
          <w:highlight w:val="none"/>
          <w:lang w:val="en-US" w:eastAsia="zh-CN"/>
        </w:rPr>
        <w:t>备注：各潜在投标人可参与多个标段投标。</w:t>
      </w:r>
    </w:p>
    <w:p w14:paraId="5E094F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2.业绩要求：无；</w:t>
      </w:r>
    </w:p>
    <w:p w14:paraId="2647F6B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3.本项目不接受联合体磋商；</w:t>
      </w:r>
    </w:p>
    <w:p w14:paraId="31D1AD7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4.投标人未被合肥市及其所辖县（市）、区（开发区）公共资源交易监督管理部门记不良行为记录的；或被记不良行为记录（以公布日期为准），但同时符合下列情形的： </w:t>
      </w:r>
    </w:p>
    <w:p w14:paraId="53F985C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268DF65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2F2F3EC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4288C28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（4）开标日前（含当日）24个月内记分累计未满25分的。</w:t>
      </w:r>
    </w:p>
    <w:p w14:paraId="139B3A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.投标人存在以下不良信用记录情形之一的，不得推荐为中标候选人，不得确定为中标人：</w:t>
      </w:r>
    </w:p>
    <w:p w14:paraId="452C16E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47767CF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27A6128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（3）在最近三年内（自投标截止之日向前追溯 3 年， 下同）有骗取中标或串通投标或严重违约或重大生产安全事故的（以相关行业主管部门的行政处罚决定或司法机关出具的有关法律文书为准），前述行政处罚已完成信用修复的，自行政处罚作出机关或信用修复主管部门同意修复之日起满一年，不受三年期限限制；</w:t>
      </w:r>
    </w:p>
    <w:p w14:paraId="2920F73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70B7F73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5C936F0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1F16C04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46DC074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三</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 xml:space="preserve">磋商文件的获取 </w:t>
      </w:r>
    </w:p>
    <w:p w14:paraId="020F8583">
      <w:pPr>
        <w:spacing w:line="360" w:lineRule="auto"/>
        <w:ind w:firstLine="435"/>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磋商文件获取时间:202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6</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日至202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6</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12</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lang w:val="en-US" w:eastAsia="zh-CN"/>
        </w:rPr>
        <w:t>9时30分</w:t>
      </w:r>
    </w:p>
    <w:p w14:paraId="2881A2D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 xml:space="preserve">获取方式： </w:t>
      </w:r>
    </w:p>
    <w:p w14:paraId="1051116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（1）潜在投标人须登录</w:t>
      </w:r>
      <w:bookmarkStart w:id="4" w:name="OLE_LINK6"/>
      <w:r>
        <w:rPr>
          <w:rFonts w:hint="eastAsia" w:ascii="宋体" w:hAnsi="宋体" w:eastAsia="宋体" w:cs="宋体"/>
          <w:color w:val="auto"/>
          <w:sz w:val="24"/>
          <w:szCs w:val="24"/>
          <w:highlight w:val="none"/>
        </w:rPr>
        <w:t>合肥滨湖时光产业投资集团有限公司</w:t>
      </w:r>
      <w:bookmarkEnd w:id="4"/>
      <w:r>
        <w:rPr>
          <w:rFonts w:hint="eastAsia" w:ascii="宋体" w:hAnsi="宋体" w:eastAsia="宋体" w:cs="宋体"/>
          <w:color w:val="auto"/>
          <w:sz w:val="24"/>
          <w:szCs w:val="24"/>
          <w:highlight w:val="none"/>
        </w:rPr>
        <w:t>（以下简称“滨湖时光集团”）官网http://bhsggroup.cn/查阅磋商文件。</w:t>
      </w:r>
    </w:p>
    <w:p w14:paraId="1115CAEE">
      <w:pPr>
        <w:numPr>
          <w:ilvl w:val="0"/>
          <w:numId w:val="2"/>
        </w:num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磋商文件获取过程中有任何疑问，请在工作时间（周一至周五，上午9:00-12:00，下午1:00-5:00，节假日休息）拨打服务热线，项目咨询请拨打电话：0551-63357563。</w:t>
      </w:r>
    </w:p>
    <w:p w14:paraId="0C16C183">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磋商时间、磋商文件送达地址</w:t>
      </w:r>
    </w:p>
    <w:p w14:paraId="71CB1DE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磋商时间：</w:t>
      </w:r>
      <w:r>
        <w:rPr>
          <w:rFonts w:hint="eastAsia" w:ascii="宋体" w:hAnsi="宋体" w:eastAsia="宋体" w:cs="宋体"/>
          <w:color w:val="auto"/>
          <w:sz w:val="24"/>
          <w:szCs w:val="18"/>
          <w:highlight w:val="none"/>
          <w:u w:val="single"/>
        </w:rPr>
        <w:t xml:space="preserve"> 202</w:t>
      </w:r>
      <w:r>
        <w:rPr>
          <w:rFonts w:hint="eastAsia" w:ascii="宋体" w:hAnsi="宋体" w:eastAsia="宋体" w:cs="宋体"/>
          <w:color w:val="auto"/>
          <w:sz w:val="24"/>
          <w:szCs w:val="18"/>
          <w:highlight w:val="none"/>
          <w:u w:val="singl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 xml:space="preserve">6 </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 xml:space="preserve">12 </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u w:val="single"/>
        </w:rPr>
        <w:t xml:space="preserve"> 9</w:t>
      </w:r>
      <w:r>
        <w:rPr>
          <w:rFonts w:hint="eastAsia" w:ascii="宋体" w:hAnsi="宋体" w:eastAsia="宋体" w:cs="宋体"/>
          <w:color w:val="auto"/>
          <w:sz w:val="24"/>
          <w:szCs w:val="18"/>
          <w:highlight w:val="none"/>
        </w:rPr>
        <w:t>时</w:t>
      </w:r>
      <w:r>
        <w:rPr>
          <w:rFonts w:hint="eastAsia" w:ascii="宋体" w:hAnsi="宋体" w:eastAsia="宋体" w:cs="宋体"/>
          <w:color w:val="auto"/>
          <w:sz w:val="24"/>
          <w:szCs w:val="18"/>
          <w:highlight w:val="none"/>
          <w:u w:val="single"/>
          <w:lang w:val="en-US" w:eastAsia="zh-CN"/>
        </w:rPr>
        <w:t xml:space="preserve"> 3</w:t>
      </w:r>
      <w:r>
        <w:rPr>
          <w:rFonts w:hint="eastAsia" w:ascii="宋体" w:hAnsi="宋体" w:eastAsia="宋体" w:cs="宋体"/>
          <w:color w:val="auto"/>
          <w:sz w:val="24"/>
          <w:szCs w:val="18"/>
          <w:highlight w:val="none"/>
          <w:u w:val="single"/>
        </w:rPr>
        <w:t>0</w:t>
      </w:r>
      <w:r>
        <w:rPr>
          <w:rFonts w:hint="eastAsia" w:ascii="宋体" w:hAnsi="宋体" w:eastAsia="宋体" w:cs="宋体"/>
          <w:color w:val="auto"/>
          <w:sz w:val="24"/>
          <w:szCs w:val="18"/>
          <w:highlight w:val="none"/>
        </w:rPr>
        <w:t>分</w:t>
      </w:r>
    </w:p>
    <w:p w14:paraId="0F3C2005">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磋商文件送达地址：</w:t>
      </w:r>
      <w:r>
        <w:rPr>
          <w:rFonts w:hint="eastAsia" w:ascii="宋体" w:hAnsi="宋体" w:eastAsia="宋体"/>
          <w:color w:val="auto"/>
          <w:sz w:val="24"/>
          <w:szCs w:val="18"/>
          <w:highlight w:val="none"/>
        </w:rPr>
        <w:t>合肥市包河区大圩镇花园大道卓越城文华园一期2号楼4楼407室（收件人：</w:t>
      </w:r>
      <w:r>
        <w:rPr>
          <w:rFonts w:hint="eastAsia" w:ascii="宋体" w:hAnsi="宋体" w:eastAsia="宋体" w:cs="宋体"/>
          <w:color w:val="auto"/>
          <w:sz w:val="24"/>
          <w:szCs w:val="18"/>
          <w:highlight w:val="none"/>
          <w:lang w:eastAsia="zh-CN"/>
        </w:rPr>
        <w:t>杨工</w:t>
      </w:r>
      <w:r>
        <w:rPr>
          <w:rFonts w:hint="eastAsia" w:ascii="宋体" w:hAnsi="宋体" w:eastAsia="宋体" w:cs="宋体"/>
          <w:color w:val="auto"/>
          <w:sz w:val="24"/>
          <w:szCs w:val="18"/>
          <w:highlight w:val="none"/>
        </w:rPr>
        <w:t>，电话：</w:t>
      </w:r>
      <w:r>
        <w:rPr>
          <w:rFonts w:hint="eastAsia" w:ascii="宋体" w:hAnsi="宋体" w:eastAsia="宋体" w:cs="宋体"/>
          <w:color w:val="auto"/>
          <w:sz w:val="24"/>
          <w:szCs w:val="18"/>
          <w:highlight w:val="none"/>
          <w:lang w:val="en-US" w:eastAsia="zh-CN"/>
        </w:rPr>
        <w:t>18919738506</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rPr>
        <w:br w:type="textWrapping"/>
      </w:r>
      <w:r>
        <w:rPr>
          <w:rFonts w:hint="eastAsia" w:ascii="宋体" w:hAnsi="宋体" w:eastAsia="宋体" w:cs="宋体"/>
          <w:b/>
          <w:bCs/>
          <w:color w:val="auto"/>
          <w:sz w:val="24"/>
          <w:szCs w:val="18"/>
          <w:highlight w:val="none"/>
        </w:rPr>
        <w:t xml:space="preserve">   五</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响应文件提交截止时间</w:t>
      </w:r>
    </w:p>
    <w:p w14:paraId="10A50F8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同磋商时间</w:t>
      </w:r>
    </w:p>
    <w:p w14:paraId="27523C63">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六</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联系方法</w:t>
      </w:r>
    </w:p>
    <w:p w14:paraId="5086E46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1.项目单位：</w:t>
      </w:r>
      <w:r>
        <w:rPr>
          <w:rFonts w:hint="eastAsia" w:ascii="宋体" w:hAnsi="宋体" w:eastAsia="宋体" w:cs="宋体"/>
          <w:color w:val="auto"/>
          <w:sz w:val="24"/>
          <w:szCs w:val="18"/>
          <w:highlight w:val="none"/>
          <w:lang w:val="en-US" w:eastAsia="zh-CN"/>
        </w:rPr>
        <w:t>合肥滨湖时光体育发展有限公司</w:t>
      </w:r>
    </w:p>
    <w:p w14:paraId="08B6E37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olor w:val="auto"/>
          <w:sz w:val="24"/>
          <w:szCs w:val="18"/>
          <w:highlight w:val="none"/>
        </w:rPr>
      </w:pPr>
      <w:r>
        <w:rPr>
          <w:rFonts w:hint="eastAsia" w:ascii="宋体" w:hAnsi="宋体" w:eastAsia="宋体" w:cs="宋体"/>
          <w:color w:val="auto"/>
          <w:sz w:val="24"/>
          <w:szCs w:val="18"/>
          <w:highlight w:val="none"/>
        </w:rPr>
        <w:t>2.地址：</w:t>
      </w:r>
      <w:r>
        <w:rPr>
          <w:rFonts w:hint="eastAsia" w:ascii="宋体" w:hAnsi="宋体" w:eastAsia="宋体"/>
          <w:color w:val="auto"/>
          <w:sz w:val="24"/>
          <w:szCs w:val="18"/>
          <w:highlight w:val="none"/>
        </w:rPr>
        <w:t>合肥市包河区大圩镇花园大道卓越城文华园一期2号楼4F</w:t>
      </w:r>
    </w:p>
    <w:p w14:paraId="4E8DF2B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3.联系人：</w:t>
      </w:r>
      <w:bookmarkStart w:id="5" w:name="_Hlk179384748"/>
      <w:r>
        <w:rPr>
          <w:rFonts w:hint="eastAsia" w:ascii="宋体" w:hAnsi="宋体" w:eastAsia="宋体" w:cs="宋体"/>
          <w:color w:val="auto"/>
          <w:sz w:val="24"/>
          <w:szCs w:val="18"/>
          <w:highlight w:val="none"/>
          <w:lang w:eastAsia="zh-CN"/>
        </w:rPr>
        <w:t>杨</w:t>
      </w:r>
      <w:r>
        <w:rPr>
          <w:rFonts w:hint="eastAsia" w:ascii="宋体" w:hAnsi="宋体" w:eastAsia="宋体" w:cs="宋体"/>
          <w:color w:val="auto"/>
          <w:sz w:val="24"/>
          <w:szCs w:val="18"/>
          <w:highlight w:val="none"/>
        </w:rPr>
        <w:t>工</w:t>
      </w:r>
    </w:p>
    <w:p w14:paraId="13EACDF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4.电话：</w:t>
      </w:r>
      <w:bookmarkEnd w:id="5"/>
      <w:r>
        <w:rPr>
          <w:rFonts w:hint="eastAsia" w:ascii="宋体" w:hAnsi="宋体" w:eastAsia="宋体" w:cs="宋体"/>
          <w:color w:val="auto"/>
          <w:sz w:val="24"/>
          <w:szCs w:val="18"/>
          <w:highlight w:val="none"/>
          <w:lang w:val="en-US" w:eastAsia="zh-CN"/>
        </w:rPr>
        <w:t>18919738506</w:t>
      </w:r>
    </w:p>
    <w:p w14:paraId="18E3633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color w:val="auto"/>
          <w:sz w:val="30"/>
          <w:szCs w:val="30"/>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szCs w:val="18"/>
          <w:highlight w:val="none"/>
        </w:rPr>
        <w:t>网址:</w:t>
      </w:r>
      <w:r>
        <w:rPr>
          <w:rFonts w:hint="eastAsia"/>
          <w:color w:val="auto"/>
          <w:highlight w:val="none"/>
        </w:rPr>
        <w:t xml:space="preserve"> </w:t>
      </w:r>
      <w:r>
        <w:rPr>
          <w:rFonts w:hint="eastAsia" w:ascii="宋体" w:hAnsi="宋体" w:eastAsia="宋体" w:cs="宋体"/>
          <w:color w:val="auto"/>
          <w:sz w:val="24"/>
          <w:szCs w:val="18"/>
          <w:highlight w:val="none"/>
        </w:rPr>
        <w:t>http://bhsggroup.cn/</w:t>
      </w:r>
    </w:p>
    <w:p w14:paraId="666289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18"/>
          <w:highlight w:val="none"/>
        </w:rPr>
      </w:pPr>
      <w:bookmarkStart w:id="6" w:name="_Toc47026332"/>
      <w:bookmarkStart w:id="7" w:name="_Toc44606295"/>
      <w:r>
        <w:rPr>
          <w:rFonts w:hint="eastAsia" w:ascii="宋体" w:hAnsi="宋体" w:eastAsia="宋体" w:cs="宋体"/>
          <w:b/>
          <w:color w:val="auto"/>
          <w:sz w:val="24"/>
          <w:szCs w:val="18"/>
          <w:highlight w:val="none"/>
        </w:rPr>
        <w:t>七</w:t>
      </w:r>
      <w:r>
        <w:rPr>
          <w:rFonts w:hint="eastAsia" w:ascii="宋体" w:hAnsi="宋体" w:eastAsia="宋体" w:cs="宋体"/>
          <w:b/>
          <w:color w:val="auto"/>
          <w:sz w:val="24"/>
          <w:highlight w:val="none"/>
        </w:rPr>
        <w:t>、</w:t>
      </w:r>
      <w:r>
        <w:rPr>
          <w:rFonts w:hint="eastAsia" w:ascii="宋体" w:hAnsi="宋体" w:eastAsia="宋体" w:cs="宋体"/>
          <w:b/>
          <w:color w:val="auto"/>
          <w:sz w:val="24"/>
          <w:szCs w:val="18"/>
          <w:highlight w:val="none"/>
        </w:rPr>
        <w:t>其他事项说明</w:t>
      </w:r>
      <w:bookmarkEnd w:id="6"/>
      <w:bookmarkEnd w:id="7"/>
    </w:p>
    <w:p w14:paraId="6D522B7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szCs w:val="18"/>
          <w:highlight w:val="none"/>
        </w:rPr>
        <w:t>投标人应合理安排</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文件获取时间，如果因计算机及网络故障造成无法完成</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文件获取，责任自负。</w:t>
      </w:r>
    </w:p>
    <w:p w14:paraId="045AD41F">
      <w:pPr>
        <w:spacing w:line="360" w:lineRule="auto"/>
        <w:ind w:firstLine="435"/>
        <w:jc w:val="left"/>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2.本项目采用线下开标，投标人无需前往磋商现场。</w:t>
      </w:r>
    </w:p>
    <w:p w14:paraId="21D2C1AF">
      <w:pPr>
        <w:spacing w:line="360" w:lineRule="auto"/>
        <w:ind w:firstLine="435"/>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八、保证金缴纳账户</w:t>
      </w:r>
    </w:p>
    <w:p w14:paraId="36114CB4">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1.公司名称：</w:t>
      </w:r>
      <w:bookmarkStart w:id="8" w:name="OLE_LINK4"/>
      <w:r>
        <w:rPr>
          <w:rFonts w:hint="eastAsia" w:ascii="宋体" w:hAnsi="宋体" w:eastAsia="宋体" w:cs="宋体"/>
          <w:bCs/>
          <w:color w:val="auto"/>
          <w:sz w:val="24"/>
          <w:szCs w:val="18"/>
          <w:highlight w:val="none"/>
        </w:rPr>
        <w:t>合肥滨湖时光体育发展有限公司</w:t>
      </w:r>
      <w:bookmarkEnd w:id="8"/>
    </w:p>
    <w:p w14:paraId="50B85887">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2.社会信用代码：91340111MADXJ9C21F</w:t>
      </w:r>
    </w:p>
    <w:p w14:paraId="4B29034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3.开户行：徽商银行合肥包河支行</w:t>
      </w:r>
    </w:p>
    <w:p w14:paraId="7F701C53">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4.账号：261680629121000002</w:t>
      </w:r>
    </w:p>
    <w:p w14:paraId="7028F22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Cs/>
          <w:color w:val="auto"/>
          <w:sz w:val="24"/>
          <w:szCs w:val="18"/>
          <w:highlight w:val="none"/>
        </w:rPr>
        <w:t>5.公司地址：安徽省合肥市包河区大圩镇花园大道365号滨湖卓越城A2栋407室</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4"/>
          <w:szCs w:val="18"/>
          <w:highlight w:val="none"/>
        </w:rPr>
        <w:br w:type="page"/>
      </w:r>
    </w:p>
    <w:p w14:paraId="7693D018">
      <w:pPr>
        <w:spacing w:line="360" w:lineRule="auto"/>
        <w:jc w:val="center"/>
        <w:outlineLvl w:val="1"/>
        <w:rPr>
          <w:rFonts w:hint="eastAsia" w:ascii="宋体" w:hAnsi="宋体" w:eastAsia="宋体" w:cs="宋体"/>
          <w:b/>
          <w:color w:val="auto"/>
          <w:sz w:val="28"/>
          <w:highlight w:val="none"/>
        </w:rPr>
      </w:pPr>
      <w:bookmarkStart w:id="9" w:name="_Toc47026333"/>
      <w:r>
        <w:rPr>
          <w:rFonts w:hint="eastAsia" w:ascii="宋体" w:hAnsi="宋体" w:eastAsia="宋体" w:cs="宋体"/>
          <w:b/>
          <w:color w:val="auto"/>
          <w:sz w:val="28"/>
          <w:highlight w:val="none"/>
        </w:rPr>
        <w:t>第二章  投标人须知</w:t>
      </w:r>
      <w:bookmarkEnd w:id="9"/>
    </w:p>
    <w:p w14:paraId="1FA326D3">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一、投标人须知前附表</w:t>
      </w:r>
    </w:p>
    <w:p w14:paraId="51153B1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514F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689351B">
            <w:pPr>
              <w:pStyle w:val="29"/>
              <w:rPr>
                <w:rFonts w:hint="eastAsia"/>
                <w:color w:val="auto"/>
                <w:highlight w:val="none"/>
              </w:rPr>
            </w:pPr>
            <w:r>
              <w:rPr>
                <w:rFonts w:hint="eastAsia"/>
                <w:color w:val="auto"/>
                <w:highlight w:val="none"/>
              </w:rPr>
              <w:t>条款号</w:t>
            </w:r>
          </w:p>
        </w:tc>
        <w:tc>
          <w:tcPr>
            <w:tcW w:w="2025" w:type="dxa"/>
            <w:vAlign w:val="center"/>
          </w:tcPr>
          <w:p w14:paraId="48C70C6C">
            <w:pPr>
              <w:pStyle w:val="29"/>
              <w:rPr>
                <w:rFonts w:hint="eastAsia"/>
                <w:color w:val="auto"/>
                <w:highlight w:val="none"/>
              </w:rPr>
            </w:pPr>
            <w:r>
              <w:rPr>
                <w:rFonts w:hint="eastAsia"/>
                <w:color w:val="auto"/>
                <w:highlight w:val="none"/>
              </w:rPr>
              <w:t>条款名称</w:t>
            </w:r>
          </w:p>
        </w:tc>
        <w:tc>
          <w:tcPr>
            <w:tcW w:w="5466" w:type="dxa"/>
            <w:vAlign w:val="center"/>
          </w:tcPr>
          <w:p w14:paraId="17346D3E">
            <w:pPr>
              <w:pStyle w:val="29"/>
              <w:rPr>
                <w:rFonts w:hint="eastAsia"/>
                <w:color w:val="auto"/>
                <w:highlight w:val="none"/>
              </w:rPr>
            </w:pPr>
            <w:r>
              <w:rPr>
                <w:rFonts w:hint="eastAsia"/>
                <w:color w:val="auto"/>
                <w:highlight w:val="none"/>
              </w:rPr>
              <w:t>内容、说明与要求</w:t>
            </w:r>
          </w:p>
        </w:tc>
      </w:tr>
      <w:tr w14:paraId="2C8E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8BF05DF">
            <w:pPr>
              <w:pStyle w:val="30"/>
              <w:rPr>
                <w:rFonts w:hint="eastAsia"/>
                <w:color w:val="auto"/>
                <w:highlight w:val="none"/>
              </w:rPr>
            </w:pPr>
            <w:r>
              <w:rPr>
                <w:rFonts w:hint="eastAsia"/>
                <w:color w:val="auto"/>
                <w:highlight w:val="none"/>
              </w:rPr>
              <w:t>3.1</w:t>
            </w:r>
          </w:p>
        </w:tc>
        <w:tc>
          <w:tcPr>
            <w:tcW w:w="2025" w:type="dxa"/>
            <w:vAlign w:val="center"/>
          </w:tcPr>
          <w:p w14:paraId="53513312">
            <w:pPr>
              <w:pStyle w:val="29"/>
              <w:rPr>
                <w:rFonts w:hint="eastAsia"/>
                <w:b/>
                <w:color w:val="auto"/>
                <w:highlight w:val="none"/>
              </w:rPr>
            </w:pPr>
            <w:r>
              <w:rPr>
                <w:rFonts w:hint="eastAsia"/>
                <w:color w:val="auto"/>
                <w:highlight w:val="none"/>
              </w:rPr>
              <w:t>招标人</w:t>
            </w:r>
          </w:p>
        </w:tc>
        <w:tc>
          <w:tcPr>
            <w:tcW w:w="5466" w:type="dxa"/>
            <w:vAlign w:val="center"/>
          </w:tcPr>
          <w:p w14:paraId="6D212B81">
            <w:pPr>
              <w:pStyle w:val="29"/>
              <w:rPr>
                <w:rFonts w:hint="eastAsia"/>
                <w:b/>
                <w:color w:val="auto"/>
                <w:kern w:val="2"/>
                <w:szCs w:val="20"/>
                <w:highlight w:val="none"/>
              </w:rPr>
            </w:pPr>
            <w:r>
              <w:rPr>
                <w:rFonts w:hint="eastAsia"/>
                <w:color w:val="auto"/>
                <w:highlight w:val="none"/>
              </w:rPr>
              <w:t>合肥滨湖时光体育发展有限公司</w:t>
            </w:r>
          </w:p>
        </w:tc>
      </w:tr>
      <w:tr w14:paraId="0CCA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F0B91D3">
            <w:pPr>
              <w:pStyle w:val="30"/>
              <w:rPr>
                <w:rFonts w:hint="eastAsia"/>
                <w:color w:val="auto"/>
                <w:highlight w:val="none"/>
              </w:rPr>
            </w:pPr>
            <w:r>
              <w:rPr>
                <w:rFonts w:hint="eastAsia"/>
                <w:color w:val="auto"/>
                <w:highlight w:val="none"/>
              </w:rPr>
              <w:t>3.2</w:t>
            </w:r>
          </w:p>
        </w:tc>
        <w:tc>
          <w:tcPr>
            <w:tcW w:w="2025" w:type="dxa"/>
            <w:vAlign w:val="center"/>
          </w:tcPr>
          <w:p w14:paraId="79E645C8">
            <w:pPr>
              <w:pStyle w:val="29"/>
              <w:rPr>
                <w:rFonts w:hint="eastAsia"/>
                <w:b/>
                <w:color w:val="auto"/>
                <w:highlight w:val="none"/>
              </w:rPr>
            </w:pPr>
            <w:r>
              <w:rPr>
                <w:rFonts w:hint="eastAsia"/>
                <w:color w:val="auto"/>
                <w:highlight w:val="none"/>
              </w:rPr>
              <w:t>招标投标监督管理部门</w:t>
            </w:r>
          </w:p>
        </w:tc>
        <w:tc>
          <w:tcPr>
            <w:tcW w:w="5466" w:type="dxa"/>
            <w:vAlign w:val="center"/>
          </w:tcPr>
          <w:p w14:paraId="12100CDC">
            <w:pPr>
              <w:pStyle w:val="29"/>
              <w:rPr>
                <w:rFonts w:hint="eastAsia"/>
                <w:b/>
                <w:color w:val="auto"/>
                <w:highlight w:val="none"/>
              </w:rPr>
            </w:pPr>
            <w:r>
              <w:rPr>
                <w:rFonts w:hint="eastAsia"/>
                <w:color w:val="auto"/>
                <w:highlight w:val="none"/>
              </w:rPr>
              <w:t>合肥滨湖时光产业投资集团有限公司</w:t>
            </w:r>
          </w:p>
        </w:tc>
      </w:tr>
      <w:tr w14:paraId="4395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DDB221B">
            <w:pPr>
              <w:pStyle w:val="30"/>
              <w:rPr>
                <w:rFonts w:hint="eastAsia"/>
                <w:color w:val="auto"/>
                <w:highlight w:val="none"/>
              </w:rPr>
            </w:pPr>
            <w:r>
              <w:rPr>
                <w:rFonts w:hint="eastAsia"/>
                <w:color w:val="auto"/>
                <w:highlight w:val="none"/>
              </w:rPr>
              <w:t>3.5</w:t>
            </w:r>
          </w:p>
        </w:tc>
        <w:tc>
          <w:tcPr>
            <w:tcW w:w="2025" w:type="dxa"/>
            <w:vAlign w:val="center"/>
          </w:tcPr>
          <w:p w14:paraId="1AB83EE7">
            <w:pPr>
              <w:pStyle w:val="29"/>
              <w:rPr>
                <w:rFonts w:hint="eastAsia"/>
                <w:b/>
                <w:color w:val="auto"/>
                <w:highlight w:val="none"/>
              </w:rPr>
            </w:pPr>
            <w:r>
              <w:rPr>
                <w:rFonts w:hint="eastAsia"/>
                <w:color w:val="auto"/>
                <w:highlight w:val="none"/>
              </w:rPr>
              <w:t>是否允许联合体参加磋商</w:t>
            </w:r>
          </w:p>
        </w:tc>
        <w:tc>
          <w:tcPr>
            <w:tcW w:w="5466" w:type="dxa"/>
            <w:vAlign w:val="center"/>
          </w:tcPr>
          <w:p w14:paraId="2951D646">
            <w:pPr>
              <w:pStyle w:val="29"/>
              <w:rPr>
                <w:rFonts w:hint="eastAsia"/>
                <w:b/>
                <w:color w:val="auto"/>
                <w:highlight w:val="none"/>
              </w:rPr>
            </w:pPr>
            <w:r>
              <w:rPr>
                <w:rFonts w:hint="eastAsia"/>
                <w:color w:val="auto"/>
                <w:highlight w:val="none"/>
              </w:rPr>
              <w:t xml:space="preserve">□是  </w:t>
            </w:r>
            <w:r>
              <w:rPr>
                <w:rFonts w:hint="eastAsia"/>
                <w:color w:val="auto"/>
                <w:szCs w:val="24"/>
                <w:highlight w:val="none"/>
              </w:rPr>
              <w:sym w:font="Wingdings 2" w:char="0052"/>
            </w:r>
            <w:r>
              <w:rPr>
                <w:rFonts w:hint="eastAsia"/>
                <w:color w:val="auto"/>
                <w:highlight w:val="none"/>
              </w:rPr>
              <w:t>否</w:t>
            </w:r>
          </w:p>
        </w:tc>
      </w:tr>
      <w:tr w14:paraId="05F6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A5707D0">
            <w:pPr>
              <w:pStyle w:val="30"/>
              <w:rPr>
                <w:rFonts w:hint="eastAsia"/>
                <w:color w:val="auto"/>
                <w:highlight w:val="none"/>
              </w:rPr>
            </w:pPr>
            <w:r>
              <w:rPr>
                <w:rFonts w:hint="eastAsia"/>
                <w:color w:val="auto"/>
                <w:highlight w:val="none"/>
              </w:rPr>
              <w:t>7.3</w:t>
            </w:r>
          </w:p>
        </w:tc>
        <w:tc>
          <w:tcPr>
            <w:tcW w:w="2025" w:type="dxa"/>
            <w:vAlign w:val="center"/>
          </w:tcPr>
          <w:p w14:paraId="27D3A588">
            <w:pPr>
              <w:pStyle w:val="29"/>
              <w:rPr>
                <w:rFonts w:hint="eastAsia"/>
                <w:b/>
                <w:color w:val="auto"/>
                <w:highlight w:val="none"/>
              </w:rPr>
            </w:pPr>
            <w:r>
              <w:rPr>
                <w:rFonts w:hint="eastAsia"/>
                <w:color w:val="auto"/>
                <w:highlight w:val="none"/>
              </w:rPr>
              <w:t>现场考察</w:t>
            </w:r>
          </w:p>
        </w:tc>
        <w:tc>
          <w:tcPr>
            <w:tcW w:w="5466" w:type="dxa"/>
            <w:vAlign w:val="center"/>
          </w:tcPr>
          <w:p w14:paraId="7D822C9E">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color w:val="auto"/>
                <w:sz w:val="24"/>
                <w:highlight w:val="none"/>
              </w:rPr>
              <w:t>不组织，投标人</w:t>
            </w:r>
            <w:r>
              <w:rPr>
                <w:rFonts w:hint="eastAsia" w:ascii="宋体" w:hAnsi="宋体" w:eastAsia="宋体" w:cs="宋体"/>
                <w:bCs/>
                <w:color w:val="auto"/>
                <w:sz w:val="24"/>
                <w:highlight w:val="none"/>
              </w:rPr>
              <w:t>自行考察</w:t>
            </w:r>
          </w:p>
        </w:tc>
      </w:tr>
      <w:tr w14:paraId="5043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114DEDD">
            <w:pPr>
              <w:pStyle w:val="30"/>
              <w:rPr>
                <w:rFonts w:hint="eastAsia"/>
                <w:color w:val="auto"/>
                <w:highlight w:val="none"/>
              </w:rPr>
            </w:pPr>
            <w:r>
              <w:rPr>
                <w:rFonts w:hint="eastAsia"/>
                <w:color w:val="auto"/>
                <w:highlight w:val="none"/>
              </w:rPr>
              <w:t>8.1</w:t>
            </w:r>
          </w:p>
        </w:tc>
        <w:tc>
          <w:tcPr>
            <w:tcW w:w="2025" w:type="dxa"/>
            <w:vAlign w:val="center"/>
          </w:tcPr>
          <w:p w14:paraId="78B6C1B6">
            <w:pPr>
              <w:pStyle w:val="29"/>
              <w:rPr>
                <w:rFonts w:hint="eastAsia"/>
                <w:b/>
                <w:color w:val="auto"/>
                <w:highlight w:val="none"/>
              </w:rPr>
            </w:pPr>
            <w:r>
              <w:rPr>
                <w:rFonts w:hint="eastAsia"/>
                <w:color w:val="auto"/>
                <w:highlight w:val="none"/>
              </w:rPr>
              <w:t>答疑截止时间</w:t>
            </w:r>
          </w:p>
        </w:tc>
        <w:tc>
          <w:tcPr>
            <w:tcW w:w="5466" w:type="dxa"/>
            <w:vAlign w:val="center"/>
          </w:tcPr>
          <w:p w14:paraId="163265DF">
            <w:pPr>
              <w:pStyle w:val="29"/>
              <w:rPr>
                <w:rFonts w:hint="eastAsia"/>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11</w:t>
            </w:r>
            <w:r>
              <w:rPr>
                <w:rFonts w:hint="eastAsia"/>
                <w:color w:val="auto"/>
                <w:highlight w:val="none"/>
              </w:rPr>
              <w:t>日17:30前接受答疑（逾期不予受理）。</w:t>
            </w:r>
          </w:p>
          <w:p w14:paraId="267ACE24">
            <w:pPr>
              <w:pStyle w:val="29"/>
              <w:rPr>
                <w:rFonts w:hint="eastAsia"/>
                <w:b/>
                <w:color w:val="auto"/>
                <w:highlight w:val="none"/>
              </w:rPr>
            </w:pPr>
            <w:r>
              <w:rPr>
                <w:rFonts w:hint="eastAsia"/>
                <w:color w:val="auto"/>
                <w:highlight w:val="none"/>
              </w:rPr>
              <w:t>投标人请注意：合肥滨湖时光体育发展有限公司对磋商文件进行的澄清、更正或更改，将在网站上及时发布，该公告内容为磋商文件的组成部分，对投标人具有同样约束力。投标人应主动上网查询。合肥滨湖时光体育发展有限公司不承担投标人未及时关注相关信息引发的相关责任。</w:t>
            </w:r>
          </w:p>
        </w:tc>
      </w:tr>
      <w:tr w14:paraId="5A3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4" w:type="dxa"/>
            <w:vAlign w:val="center"/>
          </w:tcPr>
          <w:p w14:paraId="35C04CFD">
            <w:pPr>
              <w:pStyle w:val="30"/>
              <w:rPr>
                <w:rFonts w:hint="eastAsia"/>
                <w:color w:val="auto"/>
                <w:highlight w:val="none"/>
              </w:rPr>
            </w:pPr>
            <w:r>
              <w:rPr>
                <w:rFonts w:hint="eastAsia"/>
                <w:color w:val="auto"/>
                <w:highlight w:val="none"/>
              </w:rPr>
              <w:t>9.1</w:t>
            </w:r>
          </w:p>
        </w:tc>
        <w:tc>
          <w:tcPr>
            <w:tcW w:w="2025" w:type="dxa"/>
            <w:vAlign w:val="center"/>
          </w:tcPr>
          <w:p w14:paraId="2D564D65">
            <w:pPr>
              <w:pStyle w:val="29"/>
              <w:rPr>
                <w:rFonts w:hint="eastAsia"/>
                <w:b/>
                <w:color w:val="auto"/>
                <w:highlight w:val="none"/>
              </w:rPr>
            </w:pPr>
            <w:r>
              <w:rPr>
                <w:rFonts w:hint="eastAsia"/>
                <w:color w:val="auto"/>
                <w:highlight w:val="none"/>
              </w:rPr>
              <w:t>标段划分</w:t>
            </w:r>
          </w:p>
        </w:tc>
        <w:tc>
          <w:tcPr>
            <w:tcW w:w="5466" w:type="dxa"/>
            <w:vAlign w:val="center"/>
          </w:tcPr>
          <w:p w14:paraId="0FCFCD95">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宋体"/>
                <w:color w:val="auto"/>
                <w:sz w:val="24"/>
                <w:szCs w:val="18"/>
                <w:highlight w:val="none"/>
                <w:lang w:val="en-US" w:eastAsia="zh-CN"/>
              </w:rPr>
            </w:pPr>
            <w:r>
              <w:rPr>
                <w:rFonts w:hint="eastAsia" w:cs="宋体"/>
                <w:color w:val="auto"/>
                <w:sz w:val="24"/>
                <w:szCs w:val="18"/>
                <w:highlight w:val="none"/>
                <w:lang w:val="en-US" w:eastAsia="zh-CN"/>
              </w:rPr>
              <w:t>共分 5 个标段，其中，第1标段为足球课程；第2标段为篮球课程；第3标段为棋类课程；第4标段为轮滑课程；第5标段为科技类课程。</w:t>
            </w:r>
          </w:p>
          <w:p w14:paraId="1A3AD1EC">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b/>
                <w:color w:val="auto"/>
                <w:highlight w:val="none"/>
                <w:lang w:val="en-US" w:eastAsia="zh-CN"/>
              </w:rPr>
            </w:pPr>
            <w:r>
              <w:rPr>
                <w:rFonts w:hint="eastAsia" w:cs="宋体"/>
                <w:color w:val="auto"/>
                <w:sz w:val="24"/>
                <w:szCs w:val="18"/>
                <w:highlight w:val="none"/>
                <w:lang w:val="en-US" w:eastAsia="zh-CN"/>
              </w:rPr>
              <w:t>备注：各潜在投标人可参与多个标段投标。</w:t>
            </w:r>
          </w:p>
        </w:tc>
      </w:tr>
      <w:tr w14:paraId="601E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76E258AB">
            <w:pPr>
              <w:pStyle w:val="30"/>
              <w:rPr>
                <w:rFonts w:hint="eastAsia"/>
                <w:color w:val="auto"/>
                <w:highlight w:val="none"/>
              </w:rPr>
            </w:pPr>
            <w:r>
              <w:rPr>
                <w:rFonts w:hint="eastAsia"/>
                <w:color w:val="auto"/>
                <w:highlight w:val="none"/>
              </w:rPr>
              <w:t>13.1</w:t>
            </w:r>
          </w:p>
        </w:tc>
        <w:tc>
          <w:tcPr>
            <w:tcW w:w="2025" w:type="dxa"/>
            <w:vAlign w:val="center"/>
          </w:tcPr>
          <w:p w14:paraId="64709D0B">
            <w:pPr>
              <w:pStyle w:val="29"/>
              <w:rPr>
                <w:rFonts w:hint="eastAsia"/>
                <w:b/>
                <w:color w:val="auto"/>
                <w:highlight w:val="none"/>
              </w:rPr>
            </w:pPr>
            <w:r>
              <w:rPr>
                <w:rFonts w:hint="eastAsia"/>
                <w:color w:val="auto"/>
                <w:highlight w:val="none"/>
              </w:rPr>
              <w:t>磋商保证金</w:t>
            </w:r>
          </w:p>
        </w:tc>
        <w:tc>
          <w:tcPr>
            <w:tcW w:w="5466" w:type="dxa"/>
            <w:vAlign w:val="center"/>
          </w:tcPr>
          <w:p w14:paraId="4F4591D3">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是否要求投标人提交磋商保证金：</w:t>
            </w:r>
          </w:p>
          <w:p w14:paraId="3AF83BE5">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bCs/>
                <w:color w:val="auto"/>
                <w:kern w:val="0"/>
                <w:sz w:val="24"/>
                <w:szCs w:val="28"/>
                <w:highlight w:val="none"/>
              </w:rPr>
              <w:t>不要求</w:t>
            </w:r>
          </w:p>
        </w:tc>
      </w:tr>
      <w:tr w14:paraId="39B3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1197B01D">
            <w:pPr>
              <w:pStyle w:val="30"/>
              <w:rPr>
                <w:rFonts w:hint="eastAsia"/>
                <w:color w:val="auto"/>
                <w:highlight w:val="none"/>
              </w:rPr>
            </w:pPr>
            <w:r>
              <w:rPr>
                <w:rFonts w:hint="eastAsia"/>
                <w:color w:val="auto"/>
                <w:highlight w:val="none"/>
              </w:rPr>
              <w:t>13.3</w:t>
            </w:r>
          </w:p>
        </w:tc>
        <w:tc>
          <w:tcPr>
            <w:tcW w:w="2025" w:type="dxa"/>
            <w:vAlign w:val="center"/>
          </w:tcPr>
          <w:p w14:paraId="034C13B1">
            <w:pPr>
              <w:pStyle w:val="29"/>
              <w:rPr>
                <w:rFonts w:hint="eastAsia"/>
                <w:b/>
                <w:color w:val="auto"/>
                <w:highlight w:val="none"/>
              </w:rPr>
            </w:pPr>
            <w:r>
              <w:rPr>
                <w:rFonts w:hint="eastAsia"/>
                <w:color w:val="auto"/>
                <w:highlight w:val="none"/>
              </w:rPr>
              <w:t>其他不予退还磋商保证金的情形</w:t>
            </w:r>
          </w:p>
        </w:tc>
        <w:tc>
          <w:tcPr>
            <w:tcW w:w="5466" w:type="dxa"/>
            <w:vAlign w:val="center"/>
          </w:tcPr>
          <w:p w14:paraId="189C27E6">
            <w:pPr>
              <w:pStyle w:val="29"/>
              <w:rPr>
                <w:rFonts w:hint="eastAsia"/>
                <w:color w:val="auto"/>
                <w:highlight w:val="none"/>
              </w:rPr>
            </w:pPr>
            <w:r>
              <w:rPr>
                <w:rFonts w:hint="eastAsia"/>
                <w:color w:val="auto"/>
                <w:highlight w:val="none"/>
              </w:rPr>
              <w:t>/</w:t>
            </w:r>
          </w:p>
        </w:tc>
      </w:tr>
      <w:tr w14:paraId="6EB1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03796BD">
            <w:pPr>
              <w:pStyle w:val="30"/>
              <w:rPr>
                <w:rFonts w:hint="eastAsia"/>
                <w:color w:val="auto"/>
                <w:highlight w:val="none"/>
              </w:rPr>
            </w:pPr>
            <w:r>
              <w:rPr>
                <w:rFonts w:hint="eastAsia"/>
                <w:color w:val="auto"/>
                <w:highlight w:val="none"/>
              </w:rPr>
              <w:t>14.1</w:t>
            </w:r>
          </w:p>
        </w:tc>
        <w:tc>
          <w:tcPr>
            <w:tcW w:w="2025" w:type="dxa"/>
            <w:vAlign w:val="center"/>
          </w:tcPr>
          <w:p w14:paraId="5F9E930C">
            <w:pPr>
              <w:pStyle w:val="29"/>
              <w:rPr>
                <w:rFonts w:hint="eastAsia"/>
                <w:b/>
                <w:color w:val="auto"/>
                <w:highlight w:val="none"/>
              </w:rPr>
            </w:pPr>
            <w:r>
              <w:rPr>
                <w:rFonts w:hint="eastAsia"/>
                <w:color w:val="auto"/>
                <w:highlight w:val="none"/>
              </w:rPr>
              <w:t>磋商有效期</w:t>
            </w:r>
          </w:p>
        </w:tc>
        <w:tc>
          <w:tcPr>
            <w:tcW w:w="5466" w:type="dxa"/>
            <w:vAlign w:val="center"/>
          </w:tcPr>
          <w:p w14:paraId="617C0AA6">
            <w:pPr>
              <w:pStyle w:val="29"/>
              <w:rPr>
                <w:rFonts w:hint="eastAsia"/>
                <w:b/>
                <w:color w:val="auto"/>
                <w:highlight w:val="none"/>
              </w:rPr>
            </w:pPr>
            <w:r>
              <w:rPr>
                <w:rFonts w:hint="eastAsia"/>
                <w:color w:val="auto"/>
                <w:highlight w:val="none"/>
              </w:rPr>
              <w:t>120日历日</w:t>
            </w:r>
          </w:p>
        </w:tc>
      </w:tr>
      <w:tr w14:paraId="7341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8AC80A3">
            <w:pPr>
              <w:pStyle w:val="30"/>
              <w:rPr>
                <w:rFonts w:hint="eastAsia"/>
                <w:color w:val="auto"/>
                <w:highlight w:val="none"/>
              </w:rPr>
            </w:pPr>
            <w:r>
              <w:rPr>
                <w:rFonts w:hint="eastAsia"/>
                <w:color w:val="auto"/>
                <w:highlight w:val="none"/>
              </w:rPr>
              <w:t>15.1</w:t>
            </w:r>
          </w:p>
        </w:tc>
        <w:tc>
          <w:tcPr>
            <w:tcW w:w="2025" w:type="dxa"/>
            <w:vAlign w:val="center"/>
          </w:tcPr>
          <w:p w14:paraId="4EE0561A">
            <w:pPr>
              <w:pStyle w:val="29"/>
              <w:rPr>
                <w:rFonts w:hint="eastAsia"/>
                <w:b/>
                <w:color w:val="auto"/>
                <w:highlight w:val="none"/>
              </w:rPr>
            </w:pPr>
            <w:r>
              <w:rPr>
                <w:rFonts w:hint="eastAsia"/>
                <w:color w:val="auto"/>
                <w:highlight w:val="none"/>
              </w:rPr>
              <w:t>响应文件要求</w:t>
            </w:r>
          </w:p>
          <w:p w14:paraId="7CCFAEC6">
            <w:pPr>
              <w:pStyle w:val="29"/>
              <w:rPr>
                <w:rFonts w:hint="eastAsia"/>
                <w:color w:val="auto"/>
                <w:highlight w:val="none"/>
              </w:rPr>
            </w:pPr>
            <w:r>
              <w:rPr>
                <w:rFonts w:hint="eastAsia"/>
                <w:color w:val="auto"/>
                <w:highlight w:val="none"/>
              </w:rPr>
              <w:t>（纸质）</w:t>
            </w:r>
          </w:p>
        </w:tc>
        <w:tc>
          <w:tcPr>
            <w:tcW w:w="5466" w:type="dxa"/>
            <w:vAlign w:val="center"/>
          </w:tcPr>
          <w:p w14:paraId="3556E2C8">
            <w:pPr>
              <w:pStyle w:val="29"/>
              <w:rPr>
                <w:rFonts w:hint="eastAsia"/>
                <w:b/>
                <w:bCs w:val="0"/>
                <w:color w:val="auto"/>
                <w:highlight w:val="none"/>
              </w:rPr>
            </w:pPr>
            <w:bookmarkStart w:id="10" w:name="_Hlk179388000"/>
            <w:r>
              <w:rPr>
                <w:rFonts w:hint="eastAsia"/>
                <w:b/>
                <w:bCs w:val="0"/>
                <w:color w:val="auto"/>
                <w:highlight w:val="none"/>
              </w:rPr>
              <w:t>（1）纸质版投标文件（要求胶装成册）：</w:t>
            </w:r>
          </w:p>
          <w:p w14:paraId="6146F5DC">
            <w:pPr>
              <w:pStyle w:val="29"/>
              <w:rPr>
                <w:rFonts w:hint="eastAsia"/>
                <w:b/>
                <w:bCs w:val="0"/>
                <w:color w:val="auto"/>
                <w:highlight w:val="none"/>
              </w:rPr>
            </w:pPr>
            <w:r>
              <w:rPr>
                <w:rFonts w:hint="eastAsia"/>
                <w:b/>
                <w:bCs w:val="0"/>
                <w:color w:val="auto"/>
                <w:highlight w:val="none"/>
              </w:rPr>
              <w:t>正本1份；副本2份，密封提交。</w:t>
            </w:r>
          </w:p>
          <w:p w14:paraId="7A52E5A4">
            <w:pPr>
              <w:pStyle w:val="29"/>
              <w:rPr>
                <w:rFonts w:hint="eastAsia"/>
                <w:color w:val="auto"/>
                <w:highlight w:val="none"/>
              </w:rPr>
            </w:pPr>
            <w:r>
              <w:rPr>
                <w:rFonts w:hint="eastAsia"/>
                <w:color w:val="auto"/>
                <w:highlight w:val="none"/>
              </w:rPr>
              <w:t>（2）电子版投标文件（仅作为存档使用，不作为否决条款，要求与纸质版投标文件一致）：</w:t>
            </w:r>
          </w:p>
          <w:p w14:paraId="5940B3EC">
            <w:pPr>
              <w:pStyle w:val="29"/>
              <w:rPr>
                <w:rFonts w:hint="eastAsia"/>
                <w:color w:val="auto"/>
                <w:highlight w:val="none"/>
              </w:rPr>
            </w:pPr>
            <w:r>
              <w:rPr>
                <w:rFonts w:hint="eastAsia"/>
                <w:color w:val="auto"/>
                <w:highlight w:val="none"/>
              </w:rPr>
              <w:t>U盘或光盘1份（加盖公章后完整版投标文件扫件）。</w:t>
            </w:r>
          </w:p>
          <w:bookmarkEnd w:id="10"/>
          <w:p w14:paraId="4670DFA9">
            <w:pPr>
              <w:pStyle w:val="29"/>
              <w:rPr>
                <w:rFonts w:hint="eastAsia"/>
                <w:color w:val="auto"/>
                <w:highlight w:val="none"/>
              </w:rPr>
            </w:pPr>
            <w:r>
              <w:rPr>
                <w:rFonts w:hint="eastAsia"/>
                <w:b/>
                <w:bCs w:val="0"/>
                <w:color w:val="auto"/>
                <w:highlight w:val="none"/>
              </w:rPr>
              <w:t>重要提示：以上文件均须密封提交，密封档案袋封面格式由投标人自行拟定，但须至少反映出投标项目名称</w:t>
            </w:r>
            <w:r>
              <w:rPr>
                <w:rFonts w:hint="eastAsia"/>
                <w:b/>
                <w:bCs w:val="0"/>
                <w:color w:val="auto"/>
                <w:highlight w:val="none"/>
                <w:lang w:val="en-US" w:eastAsia="zh-CN"/>
              </w:rPr>
              <w:t>及标段</w:t>
            </w:r>
            <w:r>
              <w:rPr>
                <w:rFonts w:hint="eastAsia"/>
                <w:b/>
                <w:bCs w:val="0"/>
                <w:color w:val="auto"/>
                <w:highlight w:val="none"/>
              </w:rPr>
              <w:t>、项目编号、投标人名称、投标时间，并加盖投标人公章。如未注明以上信息，则视为</w:t>
            </w:r>
            <w:r>
              <w:rPr>
                <w:rFonts w:hint="eastAsia"/>
                <w:b/>
                <w:bCs w:val="0"/>
                <w:color w:val="auto"/>
                <w:highlight w:val="none"/>
                <w:lang w:eastAsia="zh-CN"/>
              </w:rPr>
              <w:t>未</w:t>
            </w:r>
            <w:r>
              <w:rPr>
                <w:rFonts w:hint="eastAsia"/>
                <w:b/>
                <w:bCs w:val="0"/>
                <w:color w:val="auto"/>
                <w:highlight w:val="none"/>
              </w:rPr>
              <w:t>响应招标文件要求，将作废标处理，由此造成的所有责任由投标人自行承担。</w:t>
            </w:r>
          </w:p>
        </w:tc>
      </w:tr>
      <w:tr w14:paraId="63AA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B94CEC">
            <w:pPr>
              <w:pStyle w:val="30"/>
              <w:rPr>
                <w:rFonts w:hint="eastAsia"/>
                <w:color w:val="auto"/>
                <w:highlight w:val="none"/>
              </w:rPr>
            </w:pPr>
            <w:r>
              <w:rPr>
                <w:rFonts w:hint="eastAsia"/>
                <w:color w:val="auto"/>
                <w:highlight w:val="none"/>
              </w:rPr>
              <w:t>15.3</w:t>
            </w:r>
          </w:p>
        </w:tc>
        <w:tc>
          <w:tcPr>
            <w:tcW w:w="2025" w:type="dxa"/>
            <w:vAlign w:val="center"/>
          </w:tcPr>
          <w:p w14:paraId="50C8B381">
            <w:pPr>
              <w:pStyle w:val="29"/>
              <w:rPr>
                <w:rFonts w:hint="eastAsia"/>
                <w:b/>
                <w:color w:val="auto"/>
                <w:highlight w:val="none"/>
              </w:rPr>
            </w:pPr>
            <w:r>
              <w:rPr>
                <w:rFonts w:hint="eastAsia"/>
                <w:color w:val="auto"/>
                <w:highlight w:val="none"/>
              </w:rPr>
              <w:t>磋商现场提交的其他材料要求</w:t>
            </w:r>
          </w:p>
        </w:tc>
        <w:tc>
          <w:tcPr>
            <w:tcW w:w="5466" w:type="dxa"/>
            <w:vAlign w:val="center"/>
          </w:tcPr>
          <w:p w14:paraId="3E9B376D">
            <w:pPr>
              <w:pStyle w:val="29"/>
              <w:rPr>
                <w:rFonts w:hint="eastAsia"/>
                <w:b/>
                <w:color w:val="auto"/>
                <w:highlight w:val="none"/>
              </w:rPr>
            </w:pPr>
            <w:r>
              <w:rPr>
                <w:rFonts w:hint="eastAsia"/>
                <w:color w:val="auto"/>
                <w:highlight w:val="none"/>
              </w:rPr>
              <w:t xml:space="preserve">无  </w:t>
            </w:r>
          </w:p>
        </w:tc>
      </w:tr>
      <w:tr w14:paraId="0404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1F71EB1">
            <w:pPr>
              <w:pStyle w:val="30"/>
              <w:rPr>
                <w:rFonts w:hint="eastAsia"/>
                <w:color w:val="auto"/>
                <w:highlight w:val="none"/>
              </w:rPr>
            </w:pPr>
            <w:r>
              <w:rPr>
                <w:rFonts w:hint="eastAsia"/>
                <w:color w:val="auto"/>
                <w:highlight w:val="none"/>
              </w:rPr>
              <w:t>16.1</w:t>
            </w:r>
          </w:p>
        </w:tc>
        <w:tc>
          <w:tcPr>
            <w:tcW w:w="2025" w:type="dxa"/>
            <w:vAlign w:val="center"/>
          </w:tcPr>
          <w:p w14:paraId="50611CC7">
            <w:pPr>
              <w:pStyle w:val="29"/>
              <w:rPr>
                <w:rFonts w:hint="eastAsia"/>
                <w:b/>
                <w:color w:val="auto"/>
                <w:highlight w:val="none"/>
              </w:rPr>
            </w:pPr>
            <w:r>
              <w:rPr>
                <w:rFonts w:hint="eastAsia"/>
                <w:color w:val="auto"/>
                <w:highlight w:val="none"/>
              </w:rPr>
              <w:t>响应文件提交截止时间</w:t>
            </w:r>
          </w:p>
        </w:tc>
        <w:tc>
          <w:tcPr>
            <w:tcW w:w="5466" w:type="dxa"/>
            <w:vAlign w:val="center"/>
          </w:tcPr>
          <w:p w14:paraId="3899EC23">
            <w:pPr>
              <w:pStyle w:val="29"/>
              <w:rPr>
                <w:rFonts w:hint="eastAsia"/>
                <w:b/>
                <w:color w:val="auto"/>
                <w:highlight w:val="none"/>
              </w:rPr>
            </w:pPr>
            <w:r>
              <w:rPr>
                <w:rFonts w:hint="eastAsia"/>
                <w:color w:val="auto"/>
                <w:highlight w:val="none"/>
              </w:rPr>
              <w:t>详见磋商公告</w:t>
            </w:r>
          </w:p>
        </w:tc>
      </w:tr>
      <w:tr w14:paraId="4A45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49FECA60">
            <w:pPr>
              <w:pStyle w:val="30"/>
              <w:rPr>
                <w:rFonts w:hint="eastAsia"/>
                <w:color w:val="auto"/>
                <w:highlight w:val="none"/>
              </w:rPr>
            </w:pPr>
            <w:r>
              <w:rPr>
                <w:rFonts w:hint="eastAsia"/>
                <w:color w:val="auto"/>
                <w:highlight w:val="none"/>
              </w:rPr>
              <w:t>19.1</w:t>
            </w:r>
          </w:p>
        </w:tc>
        <w:tc>
          <w:tcPr>
            <w:tcW w:w="2025" w:type="dxa"/>
            <w:vAlign w:val="center"/>
          </w:tcPr>
          <w:p w14:paraId="4EA6AA67">
            <w:pPr>
              <w:pStyle w:val="29"/>
              <w:rPr>
                <w:rFonts w:hint="eastAsia"/>
                <w:b/>
                <w:color w:val="auto"/>
                <w:highlight w:val="none"/>
              </w:rPr>
            </w:pPr>
            <w:r>
              <w:rPr>
                <w:rFonts w:hint="eastAsia"/>
                <w:color w:val="auto"/>
                <w:highlight w:val="none"/>
              </w:rPr>
              <w:t>磋商时间</w:t>
            </w:r>
          </w:p>
        </w:tc>
        <w:tc>
          <w:tcPr>
            <w:tcW w:w="5466" w:type="dxa"/>
            <w:vAlign w:val="center"/>
          </w:tcPr>
          <w:p w14:paraId="6AE40FFA">
            <w:pPr>
              <w:pStyle w:val="29"/>
              <w:rPr>
                <w:rFonts w:hint="eastAsia"/>
                <w:b/>
                <w:color w:val="auto"/>
                <w:highlight w:val="none"/>
              </w:rPr>
            </w:pPr>
            <w:r>
              <w:rPr>
                <w:rFonts w:hint="eastAsia"/>
                <w:color w:val="auto"/>
                <w:highlight w:val="none"/>
              </w:rPr>
              <w:t>详见磋商公告</w:t>
            </w:r>
          </w:p>
        </w:tc>
      </w:tr>
      <w:tr w14:paraId="2743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72C32CE1">
            <w:pPr>
              <w:pStyle w:val="30"/>
              <w:rPr>
                <w:rFonts w:hint="eastAsia"/>
                <w:color w:val="auto"/>
                <w:highlight w:val="none"/>
              </w:rPr>
            </w:pPr>
          </w:p>
        </w:tc>
        <w:tc>
          <w:tcPr>
            <w:tcW w:w="2025" w:type="dxa"/>
            <w:vAlign w:val="center"/>
          </w:tcPr>
          <w:p w14:paraId="449DA089">
            <w:pPr>
              <w:pStyle w:val="29"/>
              <w:rPr>
                <w:rFonts w:hint="eastAsia"/>
                <w:b/>
                <w:color w:val="auto"/>
                <w:highlight w:val="none"/>
              </w:rPr>
            </w:pPr>
            <w:r>
              <w:rPr>
                <w:rFonts w:hint="eastAsia"/>
                <w:color w:val="auto"/>
                <w:highlight w:val="none"/>
              </w:rPr>
              <w:t>磋商地点</w:t>
            </w:r>
          </w:p>
        </w:tc>
        <w:tc>
          <w:tcPr>
            <w:tcW w:w="5466" w:type="dxa"/>
            <w:vAlign w:val="center"/>
          </w:tcPr>
          <w:p w14:paraId="6E2477B7">
            <w:pPr>
              <w:pStyle w:val="29"/>
              <w:rPr>
                <w:rFonts w:hint="eastAsia"/>
                <w:b/>
                <w:color w:val="auto"/>
                <w:highlight w:val="none"/>
              </w:rPr>
            </w:pPr>
            <w:r>
              <w:rPr>
                <w:rFonts w:hint="eastAsia"/>
                <w:color w:val="auto"/>
                <w:highlight w:val="none"/>
              </w:rPr>
              <w:t>详见磋商公告</w:t>
            </w:r>
          </w:p>
          <w:p w14:paraId="0811A06B">
            <w:pPr>
              <w:pStyle w:val="29"/>
              <w:rPr>
                <w:rFonts w:hint="eastAsia"/>
                <w:b/>
                <w:color w:val="auto"/>
                <w:highlight w:val="none"/>
              </w:rPr>
            </w:pPr>
            <w:r>
              <w:rPr>
                <w:rFonts w:hint="eastAsia"/>
                <w:color w:val="auto"/>
                <w:highlight w:val="none"/>
              </w:rPr>
              <w:t>注：投标人无须现场参加磋商</w:t>
            </w:r>
          </w:p>
        </w:tc>
      </w:tr>
      <w:tr w14:paraId="534F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266089F">
            <w:pPr>
              <w:pStyle w:val="30"/>
              <w:rPr>
                <w:rFonts w:hint="eastAsia"/>
                <w:color w:val="auto"/>
                <w:highlight w:val="none"/>
              </w:rPr>
            </w:pPr>
            <w:r>
              <w:rPr>
                <w:rFonts w:hint="eastAsia"/>
                <w:color w:val="auto"/>
                <w:highlight w:val="none"/>
              </w:rPr>
              <w:t>19.3</w:t>
            </w:r>
          </w:p>
        </w:tc>
        <w:tc>
          <w:tcPr>
            <w:tcW w:w="2025" w:type="dxa"/>
            <w:vAlign w:val="center"/>
          </w:tcPr>
          <w:p w14:paraId="4F65AA21">
            <w:pPr>
              <w:pStyle w:val="29"/>
              <w:rPr>
                <w:rFonts w:hint="eastAsia"/>
                <w:b/>
                <w:color w:val="auto"/>
                <w:highlight w:val="none"/>
              </w:rPr>
            </w:pPr>
            <w:r>
              <w:rPr>
                <w:rFonts w:hint="eastAsia"/>
                <w:color w:val="auto"/>
                <w:highlight w:val="none"/>
              </w:rPr>
              <w:t>评审方法</w:t>
            </w:r>
          </w:p>
        </w:tc>
        <w:tc>
          <w:tcPr>
            <w:tcW w:w="5466" w:type="dxa"/>
            <w:vAlign w:val="center"/>
          </w:tcPr>
          <w:p w14:paraId="0A3CA343">
            <w:pPr>
              <w:pStyle w:val="29"/>
              <w:rPr>
                <w:rFonts w:hint="eastAsia"/>
                <w:b/>
                <w:color w:val="auto"/>
                <w:highlight w:val="none"/>
              </w:rPr>
            </w:pPr>
            <w:r>
              <w:rPr>
                <w:rFonts w:hint="eastAsia"/>
                <w:color w:val="auto"/>
                <w:highlight w:val="none"/>
              </w:rPr>
              <w:sym w:font="Wingdings" w:char="F0FE"/>
            </w:r>
            <w:r>
              <w:rPr>
                <w:rFonts w:hint="eastAsia"/>
                <w:color w:val="auto"/>
                <w:highlight w:val="none"/>
              </w:rPr>
              <w:t>综合评分法</w:t>
            </w:r>
          </w:p>
        </w:tc>
      </w:tr>
      <w:tr w14:paraId="7F4B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3BEBB90F">
            <w:pPr>
              <w:pStyle w:val="30"/>
              <w:rPr>
                <w:rFonts w:hint="eastAsia"/>
                <w:color w:val="auto"/>
                <w:highlight w:val="none"/>
              </w:rPr>
            </w:pPr>
            <w:r>
              <w:rPr>
                <w:rFonts w:hint="eastAsia"/>
                <w:color w:val="auto"/>
                <w:highlight w:val="none"/>
              </w:rPr>
              <w:t>24.1</w:t>
            </w:r>
          </w:p>
        </w:tc>
        <w:tc>
          <w:tcPr>
            <w:tcW w:w="2025" w:type="dxa"/>
            <w:vMerge w:val="restart"/>
            <w:vAlign w:val="center"/>
          </w:tcPr>
          <w:p w14:paraId="5D273ABB">
            <w:pPr>
              <w:pStyle w:val="29"/>
              <w:rPr>
                <w:rFonts w:hint="eastAsia"/>
                <w:b/>
                <w:color w:val="auto"/>
                <w:highlight w:val="none"/>
              </w:rPr>
            </w:pPr>
            <w:r>
              <w:rPr>
                <w:rFonts w:hint="eastAsia"/>
                <w:color w:val="auto"/>
                <w:highlight w:val="none"/>
              </w:rPr>
              <w:t>确定中标候选人和中标人</w:t>
            </w:r>
          </w:p>
        </w:tc>
        <w:tc>
          <w:tcPr>
            <w:tcW w:w="5466" w:type="dxa"/>
            <w:vAlign w:val="center"/>
          </w:tcPr>
          <w:p w14:paraId="4505004F">
            <w:pPr>
              <w:pStyle w:val="29"/>
              <w:rPr>
                <w:rFonts w:hint="default"/>
                <w:b/>
                <w:color w:val="auto"/>
                <w:highlight w:val="none"/>
                <w:lang w:val="en-US"/>
              </w:rPr>
            </w:pPr>
            <w:r>
              <w:rPr>
                <w:rFonts w:hint="eastAsia"/>
                <w:color w:val="auto"/>
                <w:highlight w:val="none"/>
              </w:rPr>
              <w:t>磋商小组推荐中标候选人的数量：</w:t>
            </w:r>
            <w:r>
              <w:rPr>
                <w:rFonts w:hint="eastAsia"/>
                <w:color w:val="auto"/>
                <w:highlight w:val="none"/>
                <w:lang w:val="en-US" w:eastAsia="zh-CN"/>
              </w:rPr>
              <w:t>每个标段推荐1家中标候选人</w:t>
            </w:r>
          </w:p>
        </w:tc>
      </w:tr>
      <w:tr w14:paraId="0EC2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1A2F6BE2">
            <w:pPr>
              <w:pStyle w:val="30"/>
              <w:rPr>
                <w:rFonts w:hint="eastAsia"/>
                <w:color w:val="auto"/>
                <w:highlight w:val="none"/>
              </w:rPr>
            </w:pPr>
          </w:p>
        </w:tc>
        <w:tc>
          <w:tcPr>
            <w:tcW w:w="2025" w:type="dxa"/>
            <w:vMerge w:val="continue"/>
            <w:vAlign w:val="center"/>
          </w:tcPr>
          <w:p w14:paraId="284A70E1">
            <w:pPr>
              <w:pStyle w:val="29"/>
              <w:rPr>
                <w:rFonts w:hint="eastAsia"/>
                <w:color w:val="auto"/>
                <w:highlight w:val="none"/>
              </w:rPr>
            </w:pPr>
          </w:p>
        </w:tc>
        <w:tc>
          <w:tcPr>
            <w:tcW w:w="5466" w:type="dxa"/>
            <w:vAlign w:val="center"/>
          </w:tcPr>
          <w:p w14:paraId="4AD92EEB">
            <w:pPr>
              <w:pStyle w:val="29"/>
              <w:rPr>
                <w:rFonts w:hint="eastAsia"/>
                <w:b/>
                <w:color w:val="auto"/>
                <w:highlight w:val="none"/>
              </w:rPr>
            </w:pPr>
            <w:r>
              <w:rPr>
                <w:rFonts w:hint="eastAsia"/>
                <w:color w:val="auto"/>
                <w:highlight w:val="none"/>
              </w:rPr>
              <w:t>确定中标人：</w:t>
            </w:r>
          </w:p>
          <w:p w14:paraId="08E9DCA5">
            <w:pPr>
              <w:pStyle w:val="29"/>
              <w:rPr>
                <w:rFonts w:hint="eastAsia"/>
                <w:b/>
                <w:color w:val="auto"/>
                <w:highlight w:val="none"/>
              </w:rPr>
            </w:pPr>
            <w:r>
              <w:rPr>
                <w:rFonts w:hint="eastAsia"/>
                <w:color w:val="auto"/>
                <w:highlight w:val="none"/>
              </w:rPr>
              <w:sym w:font="Wingdings" w:char="F0FE"/>
            </w:r>
            <w:r>
              <w:rPr>
                <w:rFonts w:hint="eastAsia"/>
                <w:color w:val="auto"/>
                <w:highlight w:val="none"/>
              </w:rPr>
              <w:t xml:space="preserve">招标人委托磋商小组确定     </w:t>
            </w:r>
            <w:r>
              <w:rPr>
                <w:rFonts w:hint="eastAsia"/>
                <w:color w:val="auto"/>
                <w:highlight w:val="none"/>
                <w:lang w:eastAsia="zh-CN"/>
              </w:rPr>
              <w:t>□</w:t>
            </w:r>
            <w:r>
              <w:rPr>
                <w:rFonts w:hint="eastAsia"/>
                <w:color w:val="auto"/>
                <w:highlight w:val="none"/>
              </w:rPr>
              <w:t>招标人确定</w:t>
            </w:r>
          </w:p>
        </w:tc>
      </w:tr>
      <w:tr w14:paraId="04C0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F692100">
            <w:pPr>
              <w:pStyle w:val="30"/>
              <w:rPr>
                <w:rFonts w:hint="eastAsia"/>
                <w:color w:val="auto"/>
                <w:highlight w:val="none"/>
              </w:rPr>
            </w:pPr>
            <w:r>
              <w:rPr>
                <w:rFonts w:hint="eastAsia"/>
                <w:color w:val="auto"/>
                <w:highlight w:val="none"/>
              </w:rPr>
              <w:t>28.1</w:t>
            </w:r>
          </w:p>
        </w:tc>
        <w:tc>
          <w:tcPr>
            <w:tcW w:w="2025" w:type="dxa"/>
            <w:vAlign w:val="center"/>
          </w:tcPr>
          <w:p w14:paraId="0F23E9A6">
            <w:pPr>
              <w:pStyle w:val="29"/>
              <w:rPr>
                <w:rFonts w:hint="eastAsia"/>
                <w:b/>
                <w:color w:val="auto"/>
                <w:highlight w:val="none"/>
              </w:rPr>
            </w:pPr>
            <w:r>
              <w:rPr>
                <w:rFonts w:hint="eastAsia"/>
                <w:color w:val="auto"/>
                <w:highlight w:val="none"/>
              </w:rPr>
              <w:t>中标通知书发出的形式</w:t>
            </w:r>
          </w:p>
        </w:tc>
        <w:tc>
          <w:tcPr>
            <w:tcW w:w="5466" w:type="dxa"/>
            <w:vAlign w:val="center"/>
          </w:tcPr>
          <w:p w14:paraId="6FC74750">
            <w:pPr>
              <w:pStyle w:val="29"/>
              <w:rPr>
                <w:rFonts w:hint="eastAsia"/>
                <w:b/>
                <w:color w:val="auto"/>
                <w:highlight w:val="none"/>
              </w:rPr>
            </w:pPr>
            <w:r>
              <w:rPr>
                <w:rFonts w:hint="eastAsia"/>
                <w:color w:val="auto"/>
                <w:highlight w:val="none"/>
              </w:rPr>
              <w:t xml:space="preserve"> </w:t>
            </w:r>
            <w:r>
              <w:rPr>
                <w:rFonts w:hint="eastAsia"/>
                <w:color w:val="auto"/>
                <w:highlight w:val="none"/>
              </w:rPr>
              <w:sym w:font="Wingdings" w:char="F0FE"/>
            </w:r>
            <w:r>
              <w:rPr>
                <w:rFonts w:hint="eastAsia"/>
                <w:color w:val="auto"/>
                <w:highlight w:val="none"/>
              </w:rPr>
              <w:t>数据电文</w:t>
            </w:r>
          </w:p>
          <w:p w14:paraId="4B07C93D">
            <w:pPr>
              <w:pStyle w:val="29"/>
              <w:rPr>
                <w:rFonts w:hint="eastAsia"/>
                <w:b/>
                <w:color w:val="auto"/>
                <w:highlight w:val="none"/>
              </w:rPr>
            </w:pPr>
            <w:r>
              <w:rPr>
                <w:rFonts w:hint="eastAsia"/>
                <w:snapToGrid w:val="0"/>
                <w:color w:val="auto"/>
                <w:highlight w:val="none"/>
              </w:rPr>
              <w:t xml:space="preserve">特别提醒：招标人确定中标人后，通过线上邮箱或通讯工具发送，中标通知书发出即视为送达。 </w:t>
            </w:r>
          </w:p>
        </w:tc>
      </w:tr>
      <w:tr w14:paraId="4DA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61A5ED8">
            <w:pPr>
              <w:pStyle w:val="30"/>
              <w:rPr>
                <w:rFonts w:hint="eastAsia"/>
                <w:color w:val="auto"/>
                <w:highlight w:val="none"/>
              </w:rPr>
            </w:pPr>
            <w:r>
              <w:rPr>
                <w:rFonts w:hint="eastAsia"/>
                <w:color w:val="auto"/>
                <w:highlight w:val="none"/>
              </w:rPr>
              <w:t>29.1</w:t>
            </w:r>
          </w:p>
        </w:tc>
        <w:tc>
          <w:tcPr>
            <w:tcW w:w="2025" w:type="dxa"/>
            <w:vAlign w:val="center"/>
          </w:tcPr>
          <w:p w14:paraId="4CB55790">
            <w:pPr>
              <w:pStyle w:val="29"/>
              <w:rPr>
                <w:rFonts w:hint="eastAsia"/>
                <w:b/>
                <w:color w:val="auto"/>
                <w:highlight w:val="none"/>
              </w:rPr>
            </w:pPr>
            <w:r>
              <w:rPr>
                <w:rFonts w:hint="eastAsia"/>
                <w:color w:val="auto"/>
                <w:highlight w:val="none"/>
              </w:rPr>
              <w:t>告知磋商结果的形式</w:t>
            </w:r>
          </w:p>
        </w:tc>
        <w:tc>
          <w:tcPr>
            <w:tcW w:w="5466" w:type="dxa"/>
            <w:vAlign w:val="center"/>
          </w:tcPr>
          <w:p w14:paraId="1A0BB1BE">
            <w:pPr>
              <w:pStyle w:val="29"/>
              <w:rPr>
                <w:rFonts w:hint="eastAsia"/>
                <w:b/>
                <w:color w:val="auto"/>
                <w:highlight w:val="none"/>
              </w:rPr>
            </w:pPr>
            <w:r>
              <w:rPr>
                <w:rFonts w:hint="eastAsia"/>
                <w:color w:val="auto"/>
                <w:highlight w:val="none"/>
              </w:rPr>
              <w:sym w:font="Wingdings" w:char="F0FE"/>
            </w:r>
            <w:r>
              <w:rPr>
                <w:rFonts w:hint="eastAsia"/>
                <w:color w:val="auto"/>
                <w:highlight w:val="none"/>
              </w:rPr>
              <w:t>投标人自行登录滨湖时光集团官网查看</w:t>
            </w:r>
          </w:p>
        </w:tc>
      </w:tr>
      <w:tr w14:paraId="7D56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E2C5EFC">
            <w:pPr>
              <w:pStyle w:val="30"/>
              <w:rPr>
                <w:rFonts w:hint="eastAsia"/>
                <w:color w:val="auto"/>
                <w:highlight w:val="none"/>
              </w:rPr>
            </w:pPr>
            <w:r>
              <w:rPr>
                <w:rFonts w:hint="eastAsia"/>
                <w:color w:val="auto"/>
                <w:highlight w:val="none"/>
              </w:rPr>
              <w:t>30.1</w:t>
            </w:r>
          </w:p>
        </w:tc>
        <w:tc>
          <w:tcPr>
            <w:tcW w:w="2025" w:type="dxa"/>
            <w:vAlign w:val="center"/>
          </w:tcPr>
          <w:p w14:paraId="4744C290">
            <w:pPr>
              <w:pStyle w:val="29"/>
              <w:rPr>
                <w:rFonts w:hint="eastAsia"/>
                <w:b/>
                <w:color w:val="auto"/>
                <w:highlight w:val="none"/>
              </w:rPr>
            </w:pPr>
            <w:r>
              <w:rPr>
                <w:rFonts w:hint="eastAsia"/>
                <w:color w:val="auto"/>
                <w:highlight w:val="none"/>
              </w:rPr>
              <w:t>履约保证金</w:t>
            </w:r>
          </w:p>
        </w:tc>
        <w:tc>
          <w:tcPr>
            <w:tcW w:w="5466" w:type="dxa"/>
            <w:vAlign w:val="center"/>
          </w:tcPr>
          <w:p w14:paraId="33E8E00F">
            <w:pPr>
              <w:pStyle w:val="29"/>
              <w:rPr>
                <w:rFonts w:hint="eastAsia"/>
                <w:b/>
                <w:color w:val="auto"/>
                <w:highlight w:val="none"/>
              </w:rPr>
            </w:pPr>
            <w:r>
              <w:rPr>
                <w:rFonts w:hint="eastAsia"/>
                <w:color w:val="auto"/>
                <w:highlight w:val="none"/>
              </w:rPr>
              <w:t>是否要求投标人递交履约保证金：</w:t>
            </w:r>
          </w:p>
          <w:p w14:paraId="4CB2AB00">
            <w:pPr>
              <w:pStyle w:val="29"/>
              <w:rPr>
                <w:rFonts w:hint="eastAsia"/>
                <w:b/>
                <w:color w:val="auto"/>
                <w:highlight w:val="none"/>
              </w:rPr>
            </w:pPr>
            <w:r>
              <w:rPr>
                <w:rFonts w:hint="eastAsia"/>
                <w:color w:val="auto"/>
                <w:highlight w:val="none"/>
              </w:rPr>
              <w:sym w:font="Wingdings 2" w:char="0052"/>
            </w:r>
            <w:r>
              <w:rPr>
                <w:rFonts w:hint="eastAsia"/>
                <w:color w:val="auto"/>
                <w:highlight w:val="none"/>
              </w:rPr>
              <w:t>不要求</w:t>
            </w:r>
          </w:p>
        </w:tc>
      </w:tr>
      <w:tr w14:paraId="35A2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CE87E08">
            <w:pPr>
              <w:pStyle w:val="30"/>
              <w:rPr>
                <w:rFonts w:hint="eastAsia"/>
                <w:color w:val="auto"/>
                <w:highlight w:val="none"/>
              </w:rPr>
            </w:pPr>
            <w:r>
              <w:rPr>
                <w:rFonts w:hint="eastAsia"/>
                <w:color w:val="auto"/>
                <w:highlight w:val="none"/>
              </w:rPr>
              <w:t>31.1</w:t>
            </w:r>
          </w:p>
        </w:tc>
        <w:tc>
          <w:tcPr>
            <w:tcW w:w="2025" w:type="dxa"/>
            <w:vAlign w:val="center"/>
          </w:tcPr>
          <w:p w14:paraId="4E37A796">
            <w:pPr>
              <w:pStyle w:val="29"/>
              <w:rPr>
                <w:rFonts w:hint="eastAsia"/>
                <w:b/>
                <w:color w:val="auto"/>
                <w:highlight w:val="none"/>
              </w:rPr>
            </w:pPr>
            <w:r>
              <w:rPr>
                <w:rFonts w:hint="eastAsia"/>
                <w:color w:val="auto"/>
                <w:highlight w:val="none"/>
              </w:rPr>
              <w:t>中标服务费</w:t>
            </w:r>
          </w:p>
        </w:tc>
        <w:tc>
          <w:tcPr>
            <w:tcW w:w="5466" w:type="dxa"/>
            <w:vAlign w:val="center"/>
          </w:tcPr>
          <w:p w14:paraId="4825058D">
            <w:pPr>
              <w:pStyle w:val="29"/>
              <w:rPr>
                <w:rFonts w:hint="eastAsia"/>
                <w:b/>
                <w:color w:val="auto"/>
                <w:highlight w:val="none"/>
              </w:rPr>
            </w:pPr>
            <w:r>
              <w:rPr>
                <w:rFonts w:hint="eastAsia"/>
                <w:color w:val="auto"/>
                <w:highlight w:val="none"/>
              </w:rPr>
              <w:t>（1）金额：</w:t>
            </w:r>
          </w:p>
          <w:p w14:paraId="4F52C6D1">
            <w:pPr>
              <w:pStyle w:val="29"/>
              <w:rPr>
                <w:rFonts w:hint="eastAsia"/>
                <w:b/>
                <w:color w:val="auto"/>
                <w:highlight w:val="none"/>
              </w:rPr>
            </w:pPr>
            <w:r>
              <w:rPr>
                <w:rFonts w:hint="eastAsia"/>
                <w:color w:val="auto"/>
                <w:highlight w:val="none"/>
              </w:rPr>
              <w:sym w:font="Wingdings 2" w:char="0052"/>
            </w:r>
            <w:r>
              <w:rPr>
                <w:rFonts w:hint="eastAsia"/>
                <w:color w:val="auto"/>
                <w:highlight w:val="none"/>
              </w:rPr>
              <w:t>免收</w:t>
            </w:r>
          </w:p>
        </w:tc>
      </w:tr>
      <w:tr w14:paraId="6573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2DA117">
            <w:pPr>
              <w:pStyle w:val="30"/>
              <w:rPr>
                <w:rFonts w:hint="eastAsia"/>
                <w:color w:val="auto"/>
                <w:highlight w:val="none"/>
              </w:rPr>
            </w:pPr>
            <w:r>
              <w:rPr>
                <w:rFonts w:hint="eastAsia"/>
                <w:color w:val="auto"/>
                <w:highlight w:val="none"/>
              </w:rPr>
              <w:t>34.3</w:t>
            </w:r>
          </w:p>
        </w:tc>
        <w:tc>
          <w:tcPr>
            <w:tcW w:w="2025" w:type="dxa"/>
            <w:vAlign w:val="center"/>
          </w:tcPr>
          <w:p w14:paraId="1C89C9B9">
            <w:pPr>
              <w:pStyle w:val="29"/>
              <w:rPr>
                <w:rFonts w:hint="eastAsia"/>
                <w:b/>
                <w:color w:val="auto"/>
                <w:highlight w:val="none"/>
              </w:rPr>
            </w:pPr>
            <w:r>
              <w:rPr>
                <w:rFonts w:hint="eastAsia"/>
                <w:color w:val="auto"/>
                <w:highlight w:val="none"/>
              </w:rPr>
              <w:t>异议函递交方式、接收部门、联系电话和通讯地址</w:t>
            </w:r>
          </w:p>
        </w:tc>
        <w:tc>
          <w:tcPr>
            <w:tcW w:w="5466" w:type="dxa"/>
            <w:vAlign w:val="center"/>
          </w:tcPr>
          <w:p w14:paraId="6D0C73EE">
            <w:pPr>
              <w:pStyle w:val="29"/>
              <w:rPr>
                <w:rFonts w:hint="eastAsia"/>
                <w:b/>
                <w:color w:val="auto"/>
                <w:highlight w:val="none"/>
              </w:rPr>
            </w:pPr>
            <w:r>
              <w:rPr>
                <w:rFonts w:hint="eastAsia"/>
                <w:color w:val="auto"/>
                <w:highlight w:val="none"/>
              </w:rPr>
              <w:t>递交方式：书面形式</w:t>
            </w:r>
          </w:p>
          <w:p w14:paraId="11C8545F">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bCs/>
                <w:color w:val="auto"/>
                <w:kern w:val="0"/>
                <w:sz w:val="24"/>
                <w:szCs w:val="28"/>
                <w:highlight w:val="none"/>
              </w:rPr>
              <w:t>接收部门：</w:t>
            </w:r>
            <w:r>
              <w:rPr>
                <w:rFonts w:hint="eastAsia" w:ascii="宋体" w:hAnsi="宋体" w:eastAsia="宋体" w:cs="宋体"/>
                <w:color w:val="auto"/>
                <w:sz w:val="24"/>
                <w:highlight w:val="none"/>
                <w:u w:val="single"/>
              </w:rPr>
              <w:t>合肥滨湖时光产业投资集团有限公司公共事业部</w:t>
            </w:r>
          </w:p>
          <w:p w14:paraId="42AAF639">
            <w:pPr>
              <w:spacing w:line="360" w:lineRule="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联系人：贾工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电话： 0551-63357563</w:t>
            </w:r>
          </w:p>
          <w:p w14:paraId="7A6A9219">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szCs w:val="18"/>
                <w:highlight w:val="none"/>
              </w:rPr>
              <w:t>合肥市包河区花园大道与吉林路交口以南滨湖卓越城 A2栋404室</w:t>
            </w:r>
          </w:p>
        </w:tc>
      </w:tr>
      <w:tr w14:paraId="17D0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4B8F49">
            <w:pPr>
              <w:pStyle w:val="30"/>
              <w:rPr>
                <w:rFonts w:hint="eastAsia"/>
                <w:color w:val="auto"/>
                <w:highlight w:val="none"/>
              </w:rPr>
            </w:pPr>
            <w:r>
              <w:rPr>
                <w:rFonts w:hint="eastAsia"/>
                <w:color w:val="auto"/>
                <w:highlight w:val="none"/>
              </w:rPr>
              <w:t>35</w:t>
            </w:r>
          </w:p>
        </w:tc>
        <w:tc>
          <w:tcPr>
            <w:tcW w:w="2025" w:type="dxa"/>
            <w:vAlign w:val="center"/>
          </w:tcPr>
          <w:p w14:paraId="5EC4B6D7">
            <w:pPr>
              <w:pStyle w:val="29"/>
              <w:rPr>
                <w:rFonts w:hint="eastAsia"/>
                <w:b/>
                <w:color w:val="auto"/>
                <w:highlight w:val="none"/>
              </w:rPr>
            </w:pPr>
            <w:r>
              <w:rPr>
                <w:rFonts w:hint="eastAsia"/>
                <w:color w:val="auto"/>
                <w:highlight w:val="none"/>
              </w:rPr>
              <w:t>其他内容</w:t>
            </w:r>
          </w:p>
        </w:tc>
        <w:tc>
          <w:tcPr>
            <w:tcW w:w="5466" w:type="dxa"/>
            <w:vAlign w:val="center"/>
          </w:tcPr>
          <w:p w14:paraId="3BA72F58">
            <w:pPr>
              <w:pStyle w:val="29"/>
              <w:rPr>
                <w:rFonts w:hint="eastAsia"/>
                <w:color w:val="auto"/>
                <w:highlight w:val="none"/>
              </w:rPr>
            </w:pPr>
          </w:p>
        </w:tc>
      </w:tr>
      <w:tr w14:paraId="5B40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D98CC2">
            <w:pPr>
              <w:pStyle w:val="30"/>
              <w:rPr>
                <w:rFonts w:hint="eastAsia"/>
                <w:color w:val="auto"/>
                <w:highlight w:val="none"/>
              </w:rPr>
            </w:pPr>
            <w:r>
              <w:rPr>
                <w:rFonts w:hint="eastAsia"/>
                <w:color w:val="auto"/>
                <w:highlight w:val="none"/>
              </w:rPr>
              <w:t>35.2</w:t>
            </w:r>
          </w:p>
        </w:tc>
        <w:tc>
          <w:tcPr>
            <w:tcW w:w="2025" w:type="dxa"/>
            <w:vAlign w:val="center"/>
          </w:tcPr>
          <w:p w14:paraId="5FF9B9B4">
            <w:pPr>
              <w:pStyle w:val="29"/>
              <w:rPr>
                <w:rFonts w:hint="eastAsia"/>
                <w:b/>
                <w:snapToGrid w:val="0"/>
                <w:color w:val="auto"/>
                <w:highlight w:val="none"/>
              </w:rPr>
            </w:pPr>
            <w:r>
              <w:rPr>
                <w:rFonts w:hint="eastAsia"/>
                <w:color w:val="auto"/>
                <w:highlight w:val="none"/>
              </w:rPr>
              <w:t>中标候选人公示内容</w:t>
            </w:r>
          </w:p>
        </w:tc>
        <w:tc>
          <w:tcPr>
            <w:tcW w:w="5466" w:type="dxa"/>
            <w:vAlign w:val="center"/>
          </w:tcPr>
          <w:p w14:paraId="0A56165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本项目中标候选人公示中将对中标候选人经磋商小组评审认可的以下内容进行公示：</w:t>
            </w:r>
          </w:p>
          <w:p w14:paraId="23A2F8C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（1）拟任项目负责人（如有）：项目负责人姓名；</w:t>
            </w:r>
          </w:p>
          <w:p w14:paraId="3E2F55A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（2）项目负责人业绩（如有）：项目名称；</w:t>
            </w:r>
          </w:p>
          <w:p w14:paraId="38F562E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（3）投标人业绩（如有）：项目名称；</w:t>
            </w:r>
          </w:p>
          <w:p w14:paraId="38DEED3D">
            <w:pPr>
              <w:widowControl/>
              <w:snapToGrid w:val="0"/>
              <w:spacing w:line="360" w:lineRule="auto"/>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（4）银行保函或担保机构担保或保证保险形式的磋商保证金扫描件（如采用）。</w:t>
            </w:r>
          </w:p>
        </w:tc>
      </w:tr>
      <w:tr w14:paraId="3082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2CDE30C">
            <w:pPr>
              <w:pStyle w:val="30"/>
              <w:rPr>
                <w:rFonts w:hint="eastAsia"/>
                <w:color w:val="auto"/>
                <w:highlight w:val="none"/>
              </w:rPr>
            </w:pPr>
            <w:r>
              <w:rPr>
                <w:rFonts w:hint="eastAsia"/>
                <w:color w:val="auto"/>
                <w:highlight w:val="none"/>
              </w:rPr>
              <w:t>35.4</w:t>
            </w:r>
          </w:p>
        </w:tc>
        <w:tc>
          <w:tcPr>
            <w:tcW w:w="2025" w:type="dxa"/>
            <w:vAlign w:val="center"/>
          </w:tcPr>
          <w:p w14:paraId="6F8C0CC9">
            <w:pPr>
              <w:pStyle w:val="29"/>
              <w:rPr>
                <w:rFonts w:hint="eastAsia"/>
                <w:b/>
                <w:color w:val="auto"/>
                <w:highlight w:val="none"/>
              </w:rPr>
            </w:pPr>
            <w:r>
              <w:rPr>
                <w:rFonts w:hint="eastAsia"/>
                <w:color w:val="auto"/>
                <w:highlight w:val="none"/>
              </w:rPr>
              <w:t>社保证明材料</w:t>
            </w:r>
          </w:p>
          <w:p w14:paraId="6AD37B85">
            <w:pPr>
              <w:pStyle w:val="29"/>
              <w:rPr>
                <w:rFonts w:hint="eastAsia"/>
                <w:b/>
                <w:color w:val="auto"/>
                <w:highlight w:val="none"/>
              </w:rPr>
            </w:pPr>
            <w:r>
              <w:rPr>
                <w:rFonts w:hint="eastAsia"/>
                <w:color w:val="auto"/>
                <w:highlight w:val="none"/>
              </w:rPr>
              <w:t>（如有）</w:t>
            </w:r>
          </w:p>
        </w:tc>
        <w:tc>
          <w:tcPr>
            <w:tcW w:w="5466" w:type="dxa"/>
            <w:vAlign w:val="center"/>
          </w:tcPr>
          <w:p w14:paraId="4E368AF0">
            <w:pPr>
              <w:pStyle w:val="29"/>
              <w:rPr>
                <w:rFonts w:hint="eastAsia"/>
                <w:b/>
                <w:color w:val="auto"/>
                <w:highlight w:val="none"/>
              </w:rPr>
            </w:pPr>
            <w:r>
              <w:rPr>
                <w:rFonts w:hint="eastAsia"/>
                <w:color w:val="auto"/>
                <w:highlight w:val="none"/>
              </w:rPr>
              <w:t>本项目磋商文件中要求提供的社保证明材料为下述形式之一（响应文件中须提供扫描件）：</w:t>
            </w:r>
          </w:p>
          <w:p w14:paraId="1D7CE923">
            <w:pPr>
              <w:pStyle w:val="29"/>
              <w:rPr>
                <w:rFonts w:hint="eastAsia"/>
                <w:b/>
                <w:color w:val="auto"/>
                <w:highlight w:val="none"/>
              </w:rPr>
            </w:pPr>
            <w:r>
              <w:rPr>
                <w:rFonts w:hint="eastAsia"/>
                <w:color w:val="auto"/>
                <w:highlight w:val="none"/>
              </w:rPr>
              <w:t>（1）社保局官方网站查询的缴费记录截图；</w:t>
            </w:r>
          </w:p>
          <w:p w14:paraId="5C08B649">
            <w:pPr>
              <w:pStyle w:val="29"/>
              <w:rPr>
                <w:rFonts w:hint="eastAsia"/>
                <w:b/>
                <w:color w:val="auto"/>
                <w:highlight w:val="none"/>
              </w:rPr>
            </w:pPr>
            <w:r>
              <w:rPr>
                <w:rFonts w:hint="eastAsia"/>
                <w:color w:val="auto"/>
                <w:highlight w:val="none"/>
              </w:rPr>
              <w:t>（2）社保局的书面证明材料；</w:t>
            </w:r>
          </w:p>
          <w:p w14:paraId="5545EECD">
            <w:pPr>
              <w:pStyle w:val="29"/>
              <w:rPr>
                <w:rFonts w:hint="eastAsia"/>
                <w:b/>
                <w:color w:val="auto"/>
                <w:highlight w:val="none"/>
              </w:rPr>
            </w:pPr>
            <w:r>
              <w:rPr>
                <w:rFonts w:hint="eastAsia"/>
                <w:color w:val="auto"/>
                <w:highlight w:val="none"/>
              </w:rPr>
              <w:t>（3）经投标人委托的第三方人力资源服务机构或与投标人有直接隶属关系的机构可以代缴社保，但须提供有关证明材料并经磋商小组确认；</w:t>
            </w:r>
          </w:p>
          <w:p w14:paraId="76E717F8">
            <w:pPr>
              <w:pStyle w:val="29"/>
              <w:rPr>
                <w:rFonts w:hint="eastAsia"/>
                <w:b/>
                <w:color w:val="auto"/>
                <w:highlight w:val="none"/>
              </w:rPr>
            </w:pPr>
            <w:r>
              <w:rPr>
                <w:rFonts w:hint="eastAsia"/>
                <w:color w:val="auto"/>
                <w:highlight w:val="none"/>
              </w:rPr>
              <w:t>（4）参与磋商的机构，社保证明可以用以下任意一种：</w:t>
            </w:r>
          </w:p>
          <w:p w14:paraId="1A8F7BB5">
            <w:pPr>
              <w:pStyle w:val="29"/>
              <w:rPr>
                <w:rFonts w:hint="eastAsia"/>
                <w:b/>
                <w:color w:val="auto"/>
                <w:highlight w:val="none"/>
              </w:rPr>
            </w:pPr>
            <w:r>
              <w:rPr>
                <w:rFonts w:hint="eastAsia"/>
                <w:color w:val="auto"/>
                <w:highlight w:val="none"/>
              </w:rPr>
              <w:t>①加盖投标人公章的教师证（须为本单位人员）；</w:t>
            </w:r>
          </w:p>
          <w:p w14:paraId="0D8996EA">
            <w:pPr>
              <w:pStyle w:val="29"/>
              <w:rPr>
                <w:rFonts w:hint="eastAsia"/>
                <w:b/>
                <w:color w:val="auto"/>
                <w:highlight w:val="none"/>
              </w:rPr>
            </w:pPr>
            <w:r>
              <w:rPr>
                <w:rFonts w:hint="eastAsia"/>
                <w:color w:val="auto"/>
                <w:highlight w:val="none"/>
              </w:rPr>
              <w:t>②医保证明材料；</w:t>
            </w:r>
          </w:p>
          <w:p w14:paraId="726F3F69">
            <w:pPr>
              <w:pStyle w:val="29"/>
              <w:rPr>
                <w:rFonts w:hint="eastAsia"/>
                <w:b/>
                <w:color w:val="auto"/>
                <w:highlight w:val="none"/>
              </w:rPr>
            </w:pPr>
            <w:r>
              <w:rPr>
                <w:rFonts w:hint="eastAsia"/>
                <w:color w:val="auto"/>
                <w:highlight w:val="none"/>
              </w:rPr>
              <w:t>（5）其他经磋商小组认可的证明材料；</w:t>
            </w:r>
          </w:p>
          <w:p w14:paraId="30E08606">
            <w:pPr>
              <w:pStyle w:val="29"/>
              <w:rPr>
                <w:rFonts w:hint="eastAsia"/>
                <w:b/>
                <w:color w:val="auto"/>
                <w:highlight w:val="none"/>
              </w:rPr>
            </w:pPr>
            <w:r>
              <w:rPr>
                <w:rFonts w:hint="eastAsia"/>
                <w:color w:val="auto"/>
                <w:highlight w:val="none"/>
              </w:rPr>
              <w:t>（6）法定代表人参与项目的，无需提供社保证明材料，提供身份证明材料即可。</w:t>
            </w:r>
          </w:p>
        </w:tc>
      </w:tr>
      <w:tr w14:paraId="7F1B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3486F95">
            <w:pPr>
              <w:pStyle w:val="30"/>
              <w:rPr>
                <w:rFonts w:hint="eastAsia"/>
                <w:color w:val="auto"/>
                <w:highlight w:val="none"/>
              </w:rPr>
            </w:pPr>
            <w:r>
              <w:rPr>
                <w:rFonts w:hint="eastAsia"/>
                <w:color w:val="auto"/>
                <w:highlight w:val="none"/>
              </w:rPr>
              <w:t>35.6</w:t>
            </w:r>
          </w:p>
        </w:tc>
        <w:tc>
          <w:tcPr>
            <w:tcW w:w="2025" w:type="dxa"/>
            <w:vAlign w:val="center"/>
          </w:tcPr>
          <w:p w14:paraId="5CED65B1">
            <w:pPr>
              <w:pStyle w:val="29"/>
              <w:rPr>
                <w:rFonts w:hint="eastAsia"/>
                <w:b/>
                <w:color w:val="auto"/>
                <w:highlight w:val="none"/>
              </w:rPr>
            </w:pPr>
            <w:r>
              <w:rPr>
                <w:rFonts w:hint="eastAsia"/>
                <w:color w:val="auto"/>
                <w:highlight w:val="none"/>
              </w:rPr>
              <w:t>重要提示</w:t>
            </w:r>
          </w:p>
        </w:tc>
        <w:tc>
          <w:tcPr>
            <w:tcW w:w="5466" w:type="dxa"/>
            <w:vAlign w:val="center"/>
          </w:tcPr>
          <w:p w14:paraId="1A632AD8">
            <w:pPr>
              <w:numPr>
                <w:ilvl w:val="0"/>
                <w:numId w:val="0"/>
              </w:numPr>
              <w:spacing w:line="360" w:lineRule="auto"/>
              <w:ind w:left="0" w:leftChars="0" w:firstLine="0" w:firstLineChars="0"/>
              <w:rPr>
                <w:rFonts w:hint="eastAsia" w:ascii="宋体" w:hAnsi="宋体" w:eastAsia="宋体" w:cs="宋体"/>
                <w:bCs/>
                <w:color w:val="auto"/>
                <w:sz w:val="24"/>
                <w:szCs w:val="24"/>
                <w:highlight w:val="none"/>
              </w:rPr>
            </w:pPr>
            <w:r>
              <w:rPr>
                <w:rFonts w:hint="default" w:ascii="宋体" w:hAnsi="宋体" w:eastAsia="宋体" w:cs="宋体"/>
                <w:bCs/>
                <w:color w:val="auto"/>
                <w:kern w:val="2"/>
                <w:sz w:val="24"/>
                <w:szCs w:val="24"/>
                <w:highlight w:val="none"/>
                <w:lang w:val="en-US" w:eastAsia="zh-CN" w:bidi="ar-SA"/>
              </w:rPr>
              <w:t>①</w:t>
            </w:r>
            <w:r>
              <w:rPr>
                <w:rFonts w:hint="eastAsia" w:ascii="宋体" w:hAnsi="宋体" w:eastAsia="宋体" w:cs="宋体"/>
                <w:bCs/>
                <w:color w:val="auto"/>
                <w:sz w:val="24"/>
                <w:szCs w:val="24"/>
                <w:highlight w:val="none"/>
              </w:rPr>
              <w:t>中标人应在规定期限内提交履约保证金（如有）并与招标人签订合同，若中标人未能在规定期限内提交履约保证金（如有）或签订合同，招标人有权取消中标人中标资格，并将相关违约行为报送监管部门，实施信用惩戒；</w:t>
            </w:r>
          </w:p>
          <w:p w14:paraId="696F576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②合同签订后，中标人存在规定时间内不组织人员进场、不履行服务义务等情况，招标人有权解除合同，并追究违约责任，同时将相关违约行为报送监管部门处理；</w:t>
            </w:r>
          </w:p>
          <w:p w14:paraId="6F7876A2">
            <w:pPr>
              <w:numPr>
                <w:ilvl w:val="0"/>
                <w:numId w:val="0"/>
              </w:numPr>
              <w:spacing w:line="360" w:lineRule="auto"/>
              <w:ind w:left="0" w:leftChars="0" w:firstLine="0" w:firstLineChars="0"/>
              <w:rPr>
                <w:rFonts w:hint="eastAsia" w:ascii="宋体" w:hAnsi="宋体" w:eastAsia="宋体" w:cs="宋体"/>
                <w:bCs/>
                <w:color w:val="auto"/>
                <w:sz w:val="24"/>
                <w:szCs w:val="24"/>
                <w:highlight w:val="none"/>
              </w:rPr>
            </w:pPr>
            <w:r>
              <w:rPr>
                <w:rFonts w:hint="default" w:ascii="宋体" w:hAnsi="宋体" w:eastAsia="宋体" w:cs="宋体"/>
                <w:bCs/>
                <w:color w:val="auto"/>
                <w:kern w:val="2"/>
                <w:sz w:val="24"/>
                <w:szCs w:val="24"/>
                <w:highlight w:val="none"/>
                <w:lang w:val="en-US" w:eastAsia="zh-CN" w:bidi="ar-SA"/>
              </w:rPr>
              <w:t>③</w:t>
            </w:r>
            <w:r>
              <w:rPr>
                <w:rFonts w:hint="eastAsia" w:ascii="宋体" w:hAnsi="宋体" w:eastAsia="宋体" w:cs="宋体"/>
                <w:bCs/>
                <w:color w:val="auto"/>
                <w:sz w:val="24"/>
                <w:szCs w:val="24"/>
                <w:highlight w:val="none"/>
              </w:rPr>
              <w:t>中标人中标后被监管部门查实存在违法行为，不满足中标条件的，招标人直接取消中标资格；</w:t>
            </w:r>
          </w:p>
          <w:p w14:paraId="7B6C26D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④中标人在中标项目发生投诉、信访举报案件、履约存在争议时，拒绝协助配合执法部门调查案件的，招标人可以取消其中标资格或解除合同，并追究其违约责任。</w:t>
            </w:r>
          </w:p>
        </w:tc>
      </w:tr>
      <w:tr w14:paraId="666F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727C830">
            <w:pPr>
              <w:pStyle w:val="30"/>
              <w:rPr>
                <w:rFonts w:hint="eastAsia"/>
                <w:color w:val="auto"/>
                <w:highlight w:val="none"/>
              </w:rPr>
            </w:pPr>
            <w:r>
              <w:rPr>
                <w:rFonts w:hint="eastAsia"/>
                <w:color w:val="auto"/>
                <w:highlight w:val="none"/>
              </w:rPr>
              <w:t>35.7</w:t>
            </w:r>
          </w:p>
        </w:tc>
        <w:tc>
          <w:tcPr>
            <w:tcW w:w="2025" w:type="dxa"/>
            <w:vAlign w:val="center"/>
          </w:tcPr>
          <w:p w14:paraId="2C37B394">
            <w:pPr>
              <w:pStyle w:val="29"/>
              <w:rPr>
                <w:rFonts w:hint="eastAsia"/>
                <w:b/>
                <w:color w:val="auto"/>
                <w:highlight w:val="none"/>
              </w:rPr>
            </w:pPr>
            <w:r>
              <w:rPr>
                <w:rFonts w:hint="eastAsia"/>
                <w:color w:val="auto"/>
                <w:highlight w:val="none"/>
              </w:rPr>
              <w:t>解释权</w:t>
            </w:r>
          </w:p>
        </w:tc>
        <w:tc>
          <w:tcPr>
            <w:tcW w:w="5466" w:type="dxa"/>
            <w:vAlign w:val="center"/>
          </w:tcPr>
          <w:p w14:paraId="6FF0FBF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0AFE623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5C0974D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1D57A0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（4）除磋商文件中有特别规定外，仅适用于磋商及响应文件提交阶段的规定，按磋商公告、投标人须知、评审方法和标准、响应文件格式的先后顺序解释；</w:t>
            </w:r>
          </w:p>
          <w:p w14:paraId="25B6874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（5）按本款前述规定仍不能形成结论的，由招标人负责解释。</w:t>
            </w:r>
          </w:p>
        </w:tc>
      </w:tr>
      <w:tr w14:paraId="004E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0373629">
            <w:pPr>
              <w:pStyle w:val="30"/>
              <w:rPr>
                <w:rFonts w:hint="eastAsia"/>
                <w:color w:val="auto"/>
                <w:highlight w:val="none"/>
              </w:rPr>
            </w:pPr>
            <w:r>
              <w:rPr>
                <w:rFonts w:hint="eastAsia"/>
                <w:color w:val="auto"/>
                <w:highlight w:val="none"/>
              </w:rPr>
              <w:t>35.8</w:t>
            </w:r>
          </w:p>
        </w:tc>
        <w:tc>
          <w:tcPr>
            <w:tcW w:w="2025" w:type="dxa"/>
            <w:vAlign w:val="center"/>
          </w:tcPr>
          <w:p w14:paraId="4125B011">
            <w:pPr>
              <w:pStyle w:val="29"/>
              <w:rPr>
                <w:rFonts w:hint="eastAsia"/>
                <w:b/>
                <w:color w:val="auto"/>
                <w:highlight w:val="none"/>
              </w:rPr>
            </w:pPr>
            <w:r>
              <w:rPr>
                <w:rFonts w:hint="eastAsia"/>
                <w:color w:val="auto"/>
                <w:highlight w:val="none"/>
              </w:rPr>
              <w:t>特别提醒</w:t>
            </w:r>
          </w:p>
        </w:tc>
        <w:tc>
          <w:tcPr>
            <w:tcW w:w="5466" w:type="dxa"/>
            <w:vAlign w:val="center"/>
          </w:tcPr>
          <w:p w14:paraId="5DE0489A">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本项目响应文件可由投标人在磋商时间前送至招标人指定的接收地点，或在磋商时间前邮寄至招标人指定的接收地点。</w:t>
            </w:r>
          </w:p>
        </w:tc>
      </w:tr>
      <w:tr w14:paraId="6295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038FF96">
            <w:pPr>
              <w:pStyle w:val="30"/>
              <w:rPr>
                <w:rFonts w:hint="eastAsia"/>
                <w:color w:val="auto"/>
                <w:highlight w:val="none"/>
              </w:rPr>
            </w:pPr>
            <w:r>
              <w:rPr>
                <w:rFonts w:hint="eastAsia"/>
                <w:color w:val="auto"/>
                <w:highlight w:val="none"/>
              </w:rPr>
              <w:t>35.9</w:t>
            </w:r>
          </w:p>
        </w:tc>
        <w:tc>
          <w:tcPr>
            <w:tcW w:w="2025" w:type="dxa"/>
            <w:vAlign w:val="center"/>
          </w:tcPr>
          <w:p w14:paraId="35B1F563">
            <w:pPr>
              <w:pStyle w:val="29"/>
              <w:rPr>
                <w:rFonts w:hint="eastAsia"/>
                <w:b/>
                <w:color w:val="auto"/>
                <w:highlight w:val="none"/>
              </w:rPr>
            </w:pPr>
            <w:r>
              <w:rPr>
                <w:rFonts w:hint="eastAsia"/>
                <w:color w:val="auto"/>
                <w:highlight w:val="none"/>
              </w:rPr>
              <w:t>其他补充说明</w:t>
            </w:r>
          </w:p>
        </w:tc>
        <w:tc>
          <w:tcPr>
            <w:tcW w:w="5466" w:type="dxa"/>
            <w:vAlign w:val="center"/>
          </w:tcPr>
          <w:p w14:paraId="071F9B4E">
            <w:pPr>
              <w:pStyle w:val="29"/>
              <w:rPr>
                <w:rFonts w:hint="eastAsia"/>
                <w:b/>
                <w:color w:val="auto"/>
                <w:highlight w:val="none"/>
              </w:rPr>
            </w:pPr>
            <w:r>
              <w:rPr>
                <w:rFonts w:hint="eastAsia"/>
                <w:color w:val="auto"/>
                <w:highlight w:val="none"/>
              </w:rPr>
              <w:t xml:space="preserve"> 无   </w:t>
            </w:r>
          </w:p>
        </w:tc>
      </w:tr>
    </w:tbl>
    <w:p w14:paraId="21FFBDFF">
      <w:pPr>
        <w:numPr>
          <w:ilvl w:val="0"/>
          <w:numId w:val="3"/>
        </w:num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4"/>
          <w:highlight w:val="none"/>
        </w:rPr>
        <w:t>投标人须知正文</w:t>
      </w:r>
    </w:p>
    <w:p w14:paraId="6B28B56D">
      <w:pPr>
        <w:pStyle w:val="8"/>
        <w:rPr>
          <w:rFonts w:hint="eastAsia" w:ascii="宋体" w:hAnsi="宋体" w:eastAsia="宋体" w:cs="宋体"/>
          <w:color w:val="auto"/>
          <w:highlight w:val="none"/>
        </w:rPr>
      </w:pPr>
    </w:p>
    <w:p w14:paraId="13C515F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0AE8E9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1.1本磋商文件仅适用于本次磋商所述的服务项目招标。</w:t>
      </w:r>
    </w:p>
    <w:p w14:paraId="2455400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758663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2.1服务：系指除货物和工程以外的其他招标对象，包括咨询、调研、评估、规划、设计、监理、审计、保险、租赁、印刷、维修、物业管理等。</w:t>
      </w:r>
    </w:p>
    <w:p w14:paraId="3F9F26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2.2时限（年份、月份等）计算：系指从磋商之日向前追溯X年/月（“X”为“一”及以后整数）起算。</w:t>
      </w:r>
    </w:p>
    <w:p w14:paraId="5781BC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业绩：业绩系指符合本磋商文件规定的与最终用户签订的合同或磋商文件要求的相关证明。投标人与其关联公司（如母公司、控股公司、分公司、子公司、同一法定代表人的公司等）之间签订的合同，均不予认可。</w:t>
      </w:r>
    </w:p>
    <w:p w14:paraId="273590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除非本磋商文件中另有规定，否则业绩均为已服务完毕的业绩，业绩时间均以合同签订之日为追溯节点。</w:t>
      </w:r>
    </w:p>
    <w:p w14:paraId="4CF7E11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3.招标人、招标代理机构及投标人</w:t>
      </w:r>
    </w:p>
    <w:p w14:paraId="5C8233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3.1招标人：是指依法开展招标活动的法人或者其他组织。本项目的招标人见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A0165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3.2招标代理机构：是指从事招标代理业务的社会中介机构。本项目无招标代理机构。</w:t>
      </w:r>
    </w:p>
    <w:p w14:paraId="72A168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3.3招标投标监督管理部门：各级人民政府指定的有关部门依法履行与招标投标活动有关的监督管理职责。本项目的招标投标监督管理部门见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54047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3.4投标人：是指向招标人提供货物、工程或者服务的法人、非法人组织或者自然人。分支机构不得参加招标投标活动，但银行、保险、石油石化、电力、电信等特殊行业除外。本项目的投标人须满足以下条件：</w:t>
      </w:r>
    </w:p>
    <w:p w14:paraId="7E036D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3.4.1在中华人民共和国境内注册，能够独立承担民事责任，有生产或供应能力的本国投标人。</w:t>
      </w:r>
    </w:p>
    <w:p w14:paraId="648FF1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3.4.2具备《中华人民共和国招标投标法》关于投标人条件的规定。</w:t>
      </w:r>
    </w:p>
    <w:p w14:paraId="013FFFA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4.资金来源</w:t>
      </w:r>
    </w:p>
    <w:p w14:paraId="0F3FE0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4.1本项目的招标人已获得足以支付本次磋商后所签订的合同项下的资金。</w:t>
      </w:r>
    </w:p>
    <w:p w14:paraId="20A562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4.2项目预算金额或分项（或分标段）预算金额见磋商公告。</w:t>
      </w:r>
    </w:p>
    <w:p w14:paraId="03C5A11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5.磋商费用</w:t>
      </w:r>
    </w:p>
    <w:p w14:paraId="4FC24623">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不论磋商的结果如何，投标人应承担其所有与准备和参加磋商有关的费用。</w:t>
      </w:r>
    </w:p>
    <w:p w14:paraId="6B098D2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6.适用法律</w:t>
      </w:r>
    </w:p>
    <w:p w14:paraId="687A2B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本项目招标人、投标人、磋商小组的相关行为均受《中华人民共和国招标投标法》、《中华人民共和国招标投标法实施条例》及本项目招标投标监督管理部门的有关规定约束，其权利受到上述法律法规的保护。</w:t>
      </w:r>
    </w:p>
    <w:p w14:paraId="31EE33C1">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7.磋商文件构成</w:t>
      </w:r>
    </w:p>
    <w:p w14:paraId="1A4451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7.1磋商文件包括下列内容：</w:t>
      </w:r>
    </w:p>
    <w:p w14:paraId="49F296A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磋商公告</w:t>
      </w:r>
    </w:p>
    <w:p w14:paraId="7A8B83F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553D854">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招标需求</w:t>
      </w:r>
    </w:p>
    <w:p w14:paraId="0C9EF0C0">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4886AE3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合同模板</w:t>
      </w:r>
    </w:p>
    <w:p w14:paraId="71D77F13">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7332F41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7.2磋商文件中有不一致的，有澄清的部分以最终的澄清更正内容为准。</w:t>
      </w:r>
    </w:p>
    <w:p w14:paraId="04CAD7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7.3现场考察及相关事项见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4B32A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7.4投标人应认真阅读磋商文件所有的事项、格式、条款和技术规范等。</w:t>
      </w:r>
    </w:p>
    <w:p w14:paraId="187F9A4E">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8.磋商文件的澄清与修改</w:t>
      </w:r>
    </w:p>
    <w:p w14:paraId="724F63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8.1投标人如对磋商文件内容有疑问，必须在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规定的截止时间前以电话咨询形式进行咨询。</w:t>
      </w:r>
    </w:p>
    <w:p w14:paraId="58E28C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8.2招标人可主动或在解答投标人提出的问题时对磋商文件进行澄清或者修改。招标人将在</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highlight w:val="none"/>
        </w:rPr>
        <w:t>网站以发布公告的方式澄清或者修改磋商文件，澄清或修改的内容作为磋商文件的组成部分，与磋商文件具有同等效用，投标人应主动上网查询。招标人不承担投标人未及时关注相关信息引发的相关责任。</w:t>
      </w:r>
    </w:p>
    <w:p w14:paraId="383434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8.3任何人或任何组织向投标人提供的任何书面或口头资料，未经招标人在网上发布或书面通知，均作无效处理，不得作为磋商文件的组成部分。</w:t>
      </w:r>
    </w:p>
    <w:p w14:paraId="45BF8371">
      <w:pPr>
        <w:spacing w:line="360" w:lineRule="auto"/>
        <w:ind w:firstLine="435"/>
        <w:rPr>
          <w:rFonts w:hint="eastAsia" w:ascii="宋体" w:hAnsi="宋体" w:eastAsia="宋体" w:cs="宋体"/>
          <w:iCs/>
          <w:color w:val="auto"/>
          <w:sz w:val="24"/>
          <w:highlight w:val="none"/>
        </w:rPr>
      </w:pPr>
      <w:r>
        <w:rPr>
          <w:rFonts w:hint="eastAsia" w:ascii="宋体" w:hAnsi="宋体" w:eastAsia="宋体" w:cs="宋体"/>
          <w:color w:val="auto"/>
          <w:sz w:val="24"/>
          <w:highlight w:val="none"/>
        </w:rPr>
        <w:t>8.4对于没有提出询问又参与了本项目磋商的投标人将被视为完全认同本磋商文件（含澄清或修改的内容）</w:t>
      </w:r>
      <w:r>
        <w:rPr>
          <w:rFonts w:hint="eastAsia" w:ascii="宋体" w:hAnsi="宋体" w:eastAsia="宋体" w:cs="宋体"/>
          <w:i/>
          <w:color w:val="auto"/>
          <w:sz w:val="24"/>
          <w:highlight w:val="none"/>
        </w:rPr>
        <w:t>。</w:t>
      </w:r>
    </w:p>
    <w:p w14:paraId="5F2250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9.磋商范围及响应文件中标准和计量单位的使用</w:t>
      </w:r>
    </w:p>
    <w:p w14:paraId="4269DA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9.1项目有划分标段的，投标人可参与其中某一个或多个标段的磋商，中标标段数详见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w:t>
      </w:r>
    </w:p>
    <w:p w14:paraId="71F64D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9.2无论磋商文件中是否要求，投标人所投服务及伴随的货物和工程均应符合国家强制性标准。</w:t>
      </w:r>
    </w:p>
    <w:p w14:paraId="111570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投标人与招标代理机构之间与磋商有关的所有往来通知、函件和响应文件均用中文表述。投标人随响应文件提供的证明文件和资料可以为其它语言，但必须附中文译文。翻译的中文资料与外文资料如果出现差异时，以中文为准。</w:t>
      </w:r>
    </w:p>
    <w:p w14:paraId="7E88A8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9.4除磋商文件中有特殊要求外，响应文件中所使用的计量单位，应采用中华人民共和国法定计量单位。</w:t>
      </w:r>
    </w:p>
    <w:p w14:paraId="5BB5087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10.响应文件构成</w:t>
      </w:r>
    </w:p>
    <w:p w14:paraId="4B12D902">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10.1投标人应完整地按磋商文件提供的响应文件格式及要求编写响应文件，具体内容详见第六章响应文件格式的相关内容。</w:t>
      </w:r>
    </w:p>
    <w:p w14:paraId="2D1BED68">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10.2上述文件应按照磋商文件规定的格式填写、签署和公章。</w:t>
      </w:r>
    </w:p>
    <w:p w14:paraId="236F73C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11.证明标的的合格性和符合磋商文件规定的技术文件</w:t>
      </w:r>
    </w:p>
    <w:p w14:paraId="05B9F1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11.1投标人应提交磋商文件要求的证明文件，证明其响应内容符合磋商文件规定。该证明文件是响应文件的一部分。</w:t>
      </w:r>
    </w:p>
    <w:p w14:paraId="496E37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11.2上款所述的证明文件，可以是文字资料、图纸和数据</w:t>
      </w:r>
      <w:bookmarkStart w:id="11" w:name="_Hlk11703583"/>
      <w:r>
        <w:rPr>
          <w:rFonts w:hint="eastAsia" w:ascii="宋体" w:hAnsi="宋体" w:eastAsia="宋体" w:cs="宋体"/>
          <w:color w:val="auto"/>
          <w:sz w:val="24"/>
          <w:highlight w:val="none"/>
        </w:rPr>
        <w:t>。</w:t>
      </w:r>
    </w:p>
    <w:bookmarkEnd w:id="11"/>
    <w:p w14:paraId="244506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11.3本条所指证明文件不包括对磋商文件相关部分的文字、图标的复制。</w:t>
      </w:r>
    </w:p>
    <w:p w14:paraId="0710F0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11.4为保证公平公正，除非另有规定或说明，投标人对同一项目磋商时，不得同时提供备选磋商方案。</w:t>
      </w:r>
    </w:p>
    <w:p w14:paraId="2FF78C3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12.报价</w:t>
      </w:r>
    </w:p>
    <w:p w14:paraId="79B979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 报价详见第三章招标需求的第四条报价要求，按照第六章响应文件格式进行报价。</w:t>
      </w:r>
    </w:p>
    <w:p w14:paraId="5B6C0B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13.磋商保证金</w:t>
      </w:r>
    </w:p>
    <w:p w14:paraId="5AEFB4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13.1本项目不要求投标人递交磋商保证金。</w:t>
      </w:r>
    </w:p>
    <w:p w14:paraId="38F3465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14.磋商有效期</w:t>
      </w:r>
    </w:p>
    <w:p w14:paraId="67DE23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14.1磋商有效期为从响应文件提交截止之日算起的日历天数，磋商有效期详见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013A2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14.2在磋商有效期内，投标人的响应文件保持有效，投标人不得要求撤销或修改其响应文件。磋商有效期不满足要求的，其响应文件将被认定为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1C562BD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为保证有充分时间签订合同，招标人可根据实际情况，在原磋商有效期截止之前，要求投标人延长磋商有效期。接受该要求的投标人将不会被要求和允许修正其响应文件。投标人可以拒绝延长磋商有效期的要求，且不承担任何责任。上述要求和答复都应以书面形式提交。</w:t>
      </w:r>
    </w:p>
    <w:p w14:paraId="30DD678C">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15.响应文件的制作</w:t>
      </w:r>
    </w:p>
    <w:p w14:paraId="38DA2A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15.1本项目要求提供密封纸质版响应文件，响应文件的制作应满足以下规定：</w:t>
      </w:r>
    </w:p>
    <w:p w14:paraId="49A73E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（1）在第六章“响应文件格式”中要求加盖投标人签章处，投标人均应加盖投标人签章或公章。</w:t>
      </w:r>
    </w:p>
    <w:p w14:paraId="3C19B318">
      <w:pPr>
        <w:pStyle w:val="29"/>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color w:val="auto"/>
          <w:highlight w:val="none"/>
        </w:rPr>
      </w:pPr>
      <w:r>
        <w:rPr>
          <w:rFonts w:hint="eastAsia"/>
          <w:b/>
          <w:bCs/>
          <w:color w:val="auto"/>
          <w:highlight w:val="none"/>
        </w:rPr>
        <w:t>（2）响应文件制作完成后，投标人应对响应文件进行文件密封处理，形成密封的响应文件。纸质版投标文件（要求胶装成册）：正本1份；副本2份，密封提交。</w:t>
      </w:r>
    </w:p>
    <w:p w14:paraId="16DDBA50">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（3）电子版投标文件（仅作为存档使用，不作为否决条款，要求与纸质版投标文件一致）：U盘或光盘1份（加盖公章后完整版投标文件扫件）。</w:t>
      </w:r>
    </w:p>
    <w:p w14:paraId="30145883">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（4）以上文件均密封提交。</w:t>
      </w:r>
    </w:p>
    <w:p w14:paraId="4B948EE9">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bCs w:val="0"/>
          <w:color w:val="auto"/>
          <w:highlight w:val="none"/>
        </w:rPr>
      </w:pPr>
      <w:r>
        <w:rPr>
          <w:rFonts w:hint="eastAsia"/>
          <w:color w:val="auto"/>
          <w:highlight w:val="none"/>
        </w:rPr>
        <w:t>（5）</w:t>
      </w:r>
      <w:r>
        <w:rPr>
          <w:rFonts w:hint="eastAsia"/>
          <w:b/>
          <w:bCs w:val="0"/>
          <w:color w:val="auto"/>
          <w:highlight w:val="none"/>
        </w:rPr>
        <w:t>重要提示：以上文件均须密封提交，密封档案袋封面格式由投标人自行拟定，但须至少反映出投标项目名称</w:t>
      </w:r>
      <w:r>
        <w:rPr>
          <w:rFonts w:hint="eastAsia"/>
          <w:b/>
          <w:bCs w:val="0"/>
          <w:color w:val="auto"/>
          <w:highlight w:val="none"/>
          <w:lang w:val="en-US" w:eastAsia="zh-CN"/>
        </w:rPr>
        <w:t>及标段</w:t>
      </w:r>
      <w:r>
        <w:rPr>
          <w:rFonts w:hint="eastAsia"/>
          <w:b/>
          <w:bCs w:val="0"/>
          <w:color w:val="auto"/>
          <w:highlight w:val="none"/>
        </w:rPr>
        <w:t>、项目编号、投标人名称、投标时间，并加盖投标人公章。如未注明以上信息，则视为</w:t>
      </w:r>
      <w:r>
        <w:rPr>
          <w:rFonts w:hint="eastAsia"/>
          <w:b/>
          <w:bCs w:val="0"/>
          <w:color w:val="auto"/>
          <w:highlight w:val="none"/>
          <w:lang w:eastAsia="zh-CN"/>
        </w:rPr>
        <w:t>未</w:t>
      </w:r>
      <w:r>
        <w:rPr>
          <w:rFonts w:hint="eastAsia"/>
          <w:b/>
          <w:bCs w:val="0"/>
          <w:color w:val="auto"/>
          <w:highlight w:val="none"/>
        </w:rPr>
        <w:t>响应招标文件要求，将作废标处理，由此造成的所有责任由投标人自行承担。</w:t>
      </w:r>
    </w:p>
    <w:p w14:paraId="2037ED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15.2因投标人自身原因而导致响应文件无法在磋商时间前送达磋商指定地点的，该响应文件视为无效响应文件，投标人自行承担由此导致的全部责任。（该响应文件是指密封纸质版响应文件）。</w:t>
      </w:r>
    </w:p>
    <w:p w14:paraId="1C9BE0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15.3磋商现场提交的其他材料要求详见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2EF968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16.响应文件提交截止时间</w:t>
      </w:r>
    </w:p>
    <w:p w14:paraId="5C6DEB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中规定的响应文件提交截止时间前，线下提交文件，送达磋商指定地点。</w:t>
      </w:r>
    </w:p>
    <w:p w14:paraId="7FE1BB5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17.响应文件的提交、修改与撤回</w:t>
      </w:r>
    </w:p>
    <w:p w14:paraId="11DC99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17.1投标人应当在第一章“磋商公告”规定的响应文件提交截止时间前，将密封纸质版文件，送达磋商指定地点。</w:t>
      </w:r>
    </w:p>
    <w:p w14:paraId="56EB34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17.2未按规定密封或响应文件提交截止时间后送达的响应文件，招标人应当拒收。</w:t>
      </w:r>
    </w:p>
    <w:p w14:paraId="015D90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在响应文件提交截止时间之后，投标人不得对其响应文件做任何修改。但属于磋商小组在评审中发现的计算错误并进行核实的修改、按照磋商文件的变动情况和磋商小组的要求重新提交响应文件的，不在此列。</w:t>
      </w:r>
    </w:p>
    <w:p w14:paraId="7D7D06E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18.磋商小组</w:t>
      </w:r>
    </w:p>
    <w:p w14:paraId="407E3F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18.1本项目将依法组建磋商小组，磋商小组成员由3人以上单数组成，磋商小组及其成员应当依照有关规定履行相关职责和义务。</w:t>
      </w:r>
    </w:p>
    <w:p w14:paraId="466490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18.2磋商小组依法对响应文件进行评审，并根据磋商文件规定的程序、评定中标的标准等事项与实质性响应磋商文件要求的投标人进行磋商。</w:t>
      </w:r>
    </w:p>
    <w:p w14:paraId="1B0DEC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18.3磋商小组应当从质量和服务均能满足磋商文件实质性响应要求的投标人中，按照评审方法和标准推荐中标候选人，并编写磋商结论表。</w:t>
      </w:r>
    </w:p>
    <w:p w14:paraId="004411A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19.响应文件的评审与磋商</w:t>
      </w:r>
    </w:p>
    <w:p w14:paraId="4E6719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19.1招标人将在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规定的时间和地点组织磋商。</w:t>
      </w:r>
    </w:p>
    <w:p w14:paraId="6450D7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19.2竞争性磋商活动采用综合评分法评审。</w:t>
      </w:r>
    </w:p>
    <w:p w14:paraId="0C5697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综合评分法，是指响应文件满足磋商文件全部实质性要求且按评审因素的量化指标评审得分最高的投标人为中标候选人的评审方法。</w:t>
      </w:r>
    </w:p>
    <w:p w14:paraId="70EC3C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19.3磋商小组将按照磋商文件规定的评审方法和标准对投标人独立进行评审。评审程序如下：</w:t>
      </w:r>
    </w:p>
    <w:p w14:paraId="31C704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。磋商小组对投标人必须满足和实质性响应的内容进行评审，投标人未实质性响应磋商文件要求导致响应无效的，磋商小组将以询标的方式告知有关投标人。</w:t>
      </w:r>
    </w:p>
    <w:p w14:paraId="3B0377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 xml:space="preserve">。初审合格后，磋商小组将对响应文件进行磋商。 </w:t>
      </w:r>
    </w:p>
    <w:p w14:paraId="66DFF4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19.3.3</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。磋商小组只对通过初审，实质上响应磋商文件要求的响应文件进行综合评分，由磋商小组采用综合评分法对投标人的响应文件和报价进行综合评分。</w:t>
      </w:r>
    </w:p>
    <w:p w14:paraId="60F526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19.4相关说明</w:t>
      </w:r>
    </w:p>
    <w:p w14:paraId="37D773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19.4.1磋商小组根据与投标人磋商情况可能实质性变动磋商文件的内容，包括招标需求中的技术、服务要求以及合同草案条款。磋商文件有实质性变动的，经招标人代表确认作为磋商文件的有效组成部分，磋商小组将以书面形式通知所有参加磋商的投标人。</w:t>
      </w:r>
    </w:p>
    <w:p w14:paraId="5F68C3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19.4.2磋商小组发现投标人的报价或者某些分项报价明显低于其他通过初审的投标人的报价，有可能影响产品质量和不能诚信履约的，应当要求其在合理的时间内提供书面说明，必要时提交相关证明材料；投标人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1168D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19.4.3无论何种原因，即使投标人磋商时携带了证书材料的原件，但响应文件中未提供与之内容完全一致的扫描件或影印件的，磋商小组可以视同其未提供。</w:t>
      </w:r>
    </w:p>
    <w:p w14:paraId="69318E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19.4.4磋商小组决定响应文件的响应性及符合性只根据响应文件本身的内容，而不寻求其他外部证据。</w:t>
      </w:r>
    </w:p>
    <w:p w14:paraId="2D3C1CB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19.5投标人授权代表对磋商过程有疑义，以及认为招标人相关工作人员有需要回避的情形的，应当场提出询问或者回避申请，并说明理由。 </w:t>
      </w:r>
    </w:p>
    <w:p w14:paraId="7626F22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20.终止竞争性磋商</w:t>
      </w:r>
    </w:p>
    <w:p w14:paraId="4F2468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20.1出现下列情况之一时，招标人有权宣布终止竞争性磋商，并将理由通知所有投标人：</w:t>
      </w:r>
    </w:p>
    <w:p w14:paraId="42D682B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（1）有效投标人数量不足，导致本次磋商缺乏竞争的；</w:t>
      </w:r>
    </w:p>
    <w:p w14:paraId="3A6201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（2）出现影响招标公正的违法、违规行为的；</w:t>
      </w:r>
    </w:p>
    <w:p w14:paraId="5CD1DD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（3）因重大变故，招标任务取消的；</w:t>
      </w:r>
    </w:p>
    <w:p w14:paraId="7A1DE1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（4）法律法规规定的其他情形。</w:t>
      </w:r>
    </w:p>
    <w:p w14:paraId="675959C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21.响应文件的澄清、说明或更正</w:t>
      </w:r>
    </w:p>
    <w:p w14:paraId="69D53B05">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21.1磋商小组将对响应文件的有效性、完整性和响应程度进行审查，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对不同文字文本响应文件的解释发生异议的，以中文文本为准。</w:t>
      </w:r>
    </w:p>
    <w:p w14:paraId="34461CF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21.2磋商小组要求投标人澄清、说明或者更正响应文件应当以书面形式（询标）作出。投标人的澄清、说明或者更正应当由法定代表人或其授权代表签字或者加盖公章。</w:t>
      </w:r>
    </w:p>
    <w:p w14:paraId="0F1779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22.最后报价</w:t>
      </w:r>
    </w:p>
    <w:p w14:paraId="60B768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22.1磋商限定只进行一轮报价，响应文件中的报价即为最终报价，也是签订合同的依据。</w:t>
      </w:r>
    </w:p>
    <w:p w14:paraId="772A48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23.中标候选人的推荐原则及标准</w:t>
      </w:r>
    </w:p>
    <w:p w14:paraId="2C34E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磋商小组依据本项目磋商文件所约定的评审方法和标准，按照有效投标人综合总得分由高到低依次推荐中标候选人，同时对拟推荐中标候选人进行信用查询（信用查询要求如下），并将信用查询结果作为推荐中标候选人的依据，如查询存在以下情形的，不得推荐为中标候选人：</w:t>
      </w:r>
    </w:p>
    <w:p w14:paraId="0392EC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（1）被市场监督管理部门列入严重违法失信名单；</w:t>
      </w:r>
    </w:p>
    <w:p w14:paraId="368D6C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（2）被人民法院列为失信被执行人；</w:t>
      </w:r>
    </w:p>
    <w:p w14:paraId="6A876BC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（3）被税务机关确定为重大税收违法失信主体。</w:t>
      </w:r>
    </w:p>
    <w:p w14:paraId="29EBF36A">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23.2综合总得分出现两家或两家以上相同者，按报价由低到高排序推荐中标候选人；综合总得分且最后报价均相同的，由磋商小组按照技术指标优劣顺序推荐中标候选人。</w:t>
      </w:r>
    </w:p>
    <w:p w14:paraId="5BE6053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24.确定中标候选人和中标人</w:t>
      </w:r>
    </w:p>
    <w:p w14:paraId="22631BC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24.1磋商小组根据综合评分的结果和投标人须知前附表中规定确定中标候选人，并标明排列顺序。排名第一的中标候选人经招标人或招标人授权的磋商小组确定为中标人后，由招标人在指定网站上予以公告。</w:t>
      </w:r>
    </w:p>
    <w:p w14:paraId="4F2D3A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25.编写磋商结论表</w:t>
      </w:r>
    </w:p>
    <w:p w14:paraId="1517A9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25.1磋商结论表由磋商小组全体成员签字。对评审结论持有异议的磋商小组成员可以书面方式阐述其不同意见和理由。磋商小组成员拒绝在磋商结论表上签字且不陈述其不同意见和理由的，视为同意评审结论。</w:t>
      </w:r>
    </w:p>
    <w:p w14:paraId="47CAE19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26.保密要求</w:t>
      </w:r>
    </w:p>
    <w:p w14:paraId="4D3CF3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26.1评审将在严格保密的情况下进行。</w:t>
      </w:r>
    </w:p>
    <w:p w14:paraId="36456F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26.2有关人员应当遵守评审工作纪律，不得泄露评审文件、评审情况和评审中获悉的国家秘密、商业秘密。</w:t>
      </w:r>
    </w:p>
    <w:p w14:paraId="20DECDC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中标候选人和中标结果公示</w:t>
      </w:r>
    </w:p>
    <w:p w14:paraId="1E89685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27.1为体现“公开、公平、公正”的原则，磋商结束后，</w:t>
      </w:r>
      <w:r>
        <w:rPr>
          <w:rFonts w:hint="eastAsia" w:ascii="宋体" w:hAnsi="宋体" w:eastAsia="宋体" w:cs="宋体"/>
          <w:color w:val="auto"/>
          <w:sz w:val="24"/>
          <w:szCs w:val="24"/>
          <w:highlight w:val="none"/>
        </w:rPr>
        <w:t>招标人将在</w:t>
      </w:r>
      <w:r>
        <w:rPr>
          <w:rFonts w:hint="eastAsia" w:ascii="宋体" w:hAnsi="宋体" w:eastAsia="宋体" w:cs="宋体"/>
          <w:color w:val="auto"/>
          <w:sz w:val="24"/>
          <w:szCs w:val="18"/>
          <w:highlight w:val="none"/>
        </w:rPr>
        <w:t>合肥滨湖时光产业投资集团有限公司网站: http://bhsggroup.cn/</w:t>
      </w:r>
      <w:r>
        <w:rPr>
          <w:rFonts w:hint="eastAsia" w:ascii="宋体" w:hAnsi="宋体" w:eastAsia="宋体" w:cs="宋体"/>
          <w:color w:val="auto"/>
          <w:sz w:val="24"/>
          <w:szCs w:val="24"/>
          <w:highlight w:val="none"/>
        </w:rPr>
        <w:t>上发布中标</w:t>
      </w:r>
      <w:r>
        <w:rPr>
          <w:rFonts w:hint="eastAsia" w:ascii="宋体" w:hAnsi="宋体" w:eastAsia="宋体" w:cs="宋体"/>
          <w:snapToGrid w:val="0"/>
          <w:color w:val="auto"/>
          <w:sz w:val="24"/>
          <w:szCs w:val="24"/>
          <w:highlight w:val="none"/>
        </w:rPr>
        <w:t>候选人</w:t>
      </w:r>
      <w:r>
        <w:rPr>
          <w:rFonts w:hint="eastAsia" w:ascii="宋体" w:hAnsi="宋体" w:eastAsia="宋体" w:cs="宋体"/>
          <w:color w:val="auto"/>
          <w:sz w:val="24"/>
          <w:szCs w:val="24"/>
          <w:highlight w:val="none"/>
        </w:rPr>
        <w:t>公示和中标结果公示。</w:t>
      </w:r>
    </w:p>
    <w:p w14:paraId="1874C70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27.2招标人在评审结束之日起3日内，依法公示中标候选人。招标人在确定中标人之日起3日内，依法公示中标结果。</w:t>
      </w:r>
    </w:p>
    <w:p w14:paraId="5303D67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28.中标通知书</w:t>
      </w:r>
    </w:p>
    <w:p w14:paraId="55488B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28.1招标代理机构发布中标结果公示的同时以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B0EEF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28.2中标通知书对招标人和中标人具有同等法律效力。中标通知书发出以后，招标人改变中标结果或者中标人放弃中标资格，应当承担相应的法律责任。</w:t>
      </w:r>
    </w:p>
    <w:p w14:paraId="6704BC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28.3中标通知书是合同的组成部分。</w:t>
      </w:r>
    </w:p>
    <w:p w14:paraId="3BC2931D">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29.告知磋商结果</w:t>
      </w:r>
    </w:p>
    <w:p w14:paraId="32929F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29.1在公告中标结果的同时，招标人同时以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规定的形式告知未中标人本人的评审得分和排序。</w:t>
      </w:r>
    </w:p>
    <w:p w14:paraId="3DF2FF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29.2招标人对未中标的投标人不做未中标原因的解释。</w:t>
      </w:r>
    </w:p>
    <w:p w14:paraId="2E3F1C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30.履约保证金</w:t>
      </w:r>
    </w:p>
    <w:p w14:paraId="463DAA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30.1 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规定缴纳履约保证金（本项目不需要缴纳履约保证金）。</w:t>
      </w:r>
    </w:p>
    <w:p w14:paraId="061ED59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31.中标服务费</w:t>
      </w:r>
    </w:p>
    <w:p w14:paraId="67F48E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31.1本项目中标服务费的收取按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的规定执行。</w:t>
      </w:r>
    </w:p>
    <w:p w14:paraId="2C12124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32.签订合同</w:t>
      </w:r>
    </w:p>
    <w:p w14:paraId="4C543E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32.1招标人与中标人应当自发出中标通知书之日起30日内签订合同。</w:t>
      </w:r>
    </w:p>
    <w:p w14:paraId="56DC85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32.2磋商文件、中标人的响应文件及其澄清文件等，均为签订合同的依据。</w:t>
      </w:r>
    </w:p>
    <w:p w14:paraId="36B964F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33.廉洁自律规定</w:t>
      </w:r>
    </w:p>
    <w:p w14:paraId="01637D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33.1招标人工作人员不得以不正当手段获取招标代理业务，不得投标人恶意串通。</w:t>
      </w:r>
    </w:p>
    <w:p w14:paraId="023E573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34.异议的提出与接收</w:t>
      </w:r>
    </w:p>
    <w:p w14:paraId="2CA43D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34.1投标人认为磋商文件、采购过程和中标结果使自己的权益受到损害的，可以在知道或者应知其权益受到损害之日起七个工作日内，以书面形式向招标人提出异议。</w:t>
      </w:r>
    </w:p>
    <w:p w14:paraId="33D1BE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34.2上述应知其权益受到损害之日，是指：</w:t>
      </w:r>
    </w:p>
    <w:p w14:paraId="108F80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（1）对磋商文件提出异议的，为磋商文件公告期限届满之日；</w:t>
      </w:r>
    </w:p>
    <w:p w14:paraId="6C3604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（2）对采购过程提出异议的，为各采购程序环节结束之日；</w:t>
      </w:r>
    </w:p>
    <w:p w14:paraId="6F46A3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（3）对中标结果提出异议的，为中标结果公告期限届满之日。</w:t>
      </w:r>
    </w:p>
    <w:p w14:paraId="040E1A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34.3异议投标人应在法定异议期内以书面形式提出异议，超出法定异议期提交的异议将被拒绝。针对同一招标程序环节的异议应一次性提出。</w:t>
      </w:r>
    </w:p>
    <w:p w14:paraId="2C1C32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超出法定异议期的、重复提出的、分次提出的或内容、形式不符合规定的，异议投标人将依法承担不利后果。</w:t>
      </w:r>
    </w:p>
    <w:p w14:paraId="50D06F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34.4招标人异议函接收部门、联系电话和通讯地址，见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744613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35.需要补充的其他内容</w:t>
      </w:r>
    </w:p>
    <w:p w14:paraId="45524A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0F1C075">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55710964">
      <w:pPr>
        <w:spacing w:line="360" w:lineRule="auto"/>
        <w:jc w:val="center"/>
        <w:outlineLvl w:val="1"/>
        <w:rPr>
          <w:rFonts w:hint="eastAsia" w:ascii="宋体" w:hAnsi="宋体" w:eastAsia="宋体" w:cs="宋体"/>
          <w:b/>
          <w:color w:val="auto"/>
          <w:sz w:val="28"/>
          <w:highlight w:val="none"/>
        </w:rPr>
      </w:pPr>
      <w:bookmarkStart w:id="12" w:name="_Toc47026334"/>
      <w:r>
        <w:rPr>
          <w:rFonts w:hint="eastAsia" w:ascii="宋体" w:hAnsi="宋体" w:eastAsia="宋体" w:cs="宋体"/>
          <w:b/>
          <w:color w:val="auto"/>
          <w:sz w:val="28"/>
          <w:highlight w:val="none"/>
        </w:rPr>
        <w:t>第三章  招标需求</w:t>
      </w:r>
      <w:bookmarkEnd w:id="12"/>
    </w:p>
    <w:p w14:paraId="6C8226B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5813C9D7">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1、本说明中提出的技术方案仅为参考，如无明确限制，投标人可以进行优化，提供满足用户实际需要的更优（或者性能实质上不低于的）服务方案，且此方案须经磋商小组评审认可；</w:t>
      </w:r>
    </w:p>
    <w:p w14:paraId="394CEB80">
      <w:pPr>
        <w:spacing w:line="360" w:lineRule="auto"/>
        <w:ind w:firstLine="437"/>
        <w:rPr>
          <w:rFonts w:hint="eastAsia"/>
          <w:color w:val="auto"/>
          <w:highlight w:val="none"/>
          <w:lang w:eastAsia="zh-CN"/>
        </w:rPr>
      </w:pPr>
      <w:r>
        <w:rPr>
          <w:rFonts w:hint="eastAsia" w:ascii="宋体" w:hAnsi="宋体" w:eastAsia="宋体" w:cs="宋体"/>
          <w:color w:val="auto"/>
          <w:sz w:val="24"/>
          <w:highlight w:val="none"/>
        </w:rPr>
        <w:t>2、如投标人因未及时勘察现场而导致的报价缺项漏项废标、或中标后无法完工，投标人自行承担一切后果。</w:t>
      </w:r>
    </w:p>
    <w:p w14:paraId="75FEB18A">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一、招标需求前附表</w:t>
      </w:r>
    </w:p>
    <w:tbl>
      <w:tblPr>
        <w:tblStyle w:val="23"/>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33"/>
        <w:gridCol w:w="5488"/>
      </w:tblGrid>
      <w:tr w14:paraId="759F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46EDF710">
            <w:pPr>
              <w:pStyle w:val="29"/>
              <w:rPr>
                <w:rFonts w:hint="eastAsia"/>
                <w:color w:val="auto"/>
                <w:highlight w:val="none"/>
              </w:rPr>
            </w:pPr>
            <w:r>
              <w:rPr>
                <w:rFonts w:hint="eastAsia"/>
                <w:color w:val="auto"/>
                <w:highlight w:val="none"/>
              </w:rPr>
              <w:t>序号</w:t>
            </w:r>
          </w:p>
        </w:tc>
        <w:tc>
          <w:tcPr>
            <w:tcW w:w="2033" w:type="dxa"/>
            <w:vAlign w:val="center"/>
          </w:tcPr>
          <w:p w14:paraId="322C0B70">
            <w:pPr>
              <w:pStyle w:val="29"/>
              <w:rPr>
                <w:rFonts w:hint="eastAsia"/>
                <w:color w:val="auto"/>
                <w:highlight w:val="none"/>
              </w:rPr>
            </w:pPr>
            <w:r>
              <w:rPr>
                <w:rFonts w:hint="eastAsia"/>
                <w:color w:val="auto"/>
                <w:highlight w:val="none"/>
              </w:rPr>
              <w:t>条款名称</w:t>
            </w:r>
          </w:p>
        </w:tc>
        <w:tc>
          <w:tcPr>
            <w:tcW w:w="5488" w:type="dxa"/>
            <w:vAlign w:val="center"/>
          </w:tcPr>
          <w:p w14:paraId="5EBF8D5F">
            <w:pPr>
              <w:pStyle w:val="29"/>
              <w:rPr>
                <w:rFonts w:hint="eastAsia"/>
                <w:color w:val="auto"/>
                <w:highlight w:val="none"/>
              </w:rPr>
            </w:pPr>
            <w:r>
              <w:rPr>
                <w:rFonts w:hint="eastAsia"/>
                <w:color w:val="auto"/>
                <w:highlight w:val="none"/>
              </w:rPr>
              <w:t>内容、说明与要求</w:t>
            </w:r>
          </w:p>
        </w:tc>
      </w:tr>
      <w:tr w14:paraId="48D4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7B46C647">
            <w:pPr>
              <w:pStyle w:val="30"/>
              <w:rPr>
                <w:rFonts w:hint="eastAsia"/>
                <w:color w:val="auto"/>
                <w:highlight w:val="none"/>
              </w:rPr>
            </w:pPr>
            <w:r>
              <w:rPr>
                <w:rFonts w:hint="eastAsia"/>
                <w:color w:val="auto"/>
                <w:highlight w:val="none"/>
              </w:rPr>
              <w:t>1</w:t>
            </w:r>
          </w:p>
        </w:tc>
        <w:tc>
          <w:tcPr>
            <w:tcW w:w="2033" w:type="dxa"/>
            <w:vAlign w:val="center"/>
          </w:tcPr>
          <w:p w14:paraId="653194B1">
            <w:pPr>
              <w:pStyle w:val="29"/>
              <w:rPr>
                <w:rFonts w:hint="eastAsia"/>
                <w:b/>
                <w:color w:val="auto"/>
                <w:highlight w:val="none"/>
              </w:rPr>
            </w:pPr>
            <w:r>
              <w:rPr>
                <w:rFonts w:hint="eastAsia"/>
                <w:color w:val="auto"/>
                <w:highlight w:val="none"/>
              </w:rPr>
              <w:t>付款方式</w:t>
            </w:r>
          </w:p>
        </w:tc>
        <w:tc>
          <w:tcPr>
            <w:tcW w:w="5488" w:type="dxa"/>
            <w:vAlign w:val="center"/>
          </w:tcPr>
          <w:p w14:paraId="55A39F97">
            <w:pPr>
              <w:pStyle w:val="29"/>
              <w:rPr>
                <w:rFonts w:hint="eastAsia"/>
                <w:color w:val="auto"/>
                <w:highlight w:val="none"/>
              </w:rPr>
            </w:pPr>
            <w:r>
              <w:rPr>
                <w:rFonts w:hint="eastAsia"/>
                <w:color w:val="auto"/>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4CB43506">
            <w:pPr>
              <w:pStyle w:val="29"/>
              <w:rPr>
                <w:rFonts w:hint="eastAsia"/>
                <w:b/>
                <w:color w:val="auto"/>
                <w:highlight w:val="none"/>
              </w:rPr>
            </w:pPr>
            <w:r>
              <w:rPr>
                <w:rFonts w:hint="eastAsia"/>
                <w:color w:val="auto"/>
                <w:highlight w:val="none"/>
              </w:rPr>
              <w:t>注：投标人提交的响应文件中如有关于付款条件的表述与磋商文件规定负偏离的，响应无效。</w:t>
            </w:r>
          </w:p>
        </w:tc>
      </w:tr>
      <w:tr w14:paraId="402D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22CBA215">
            <w:pPr>
              <w:pStyle w:val="30"/>
              <w:rPr>
                <w:rFonts w:hint="eastAsia"/>
                <w:color w:val="auto"/>
                <w:highlight w:val="none"/>
              </w:rPr>
            </w:pPr>
            <w:r>
              <w:rPr>
                <w:rFonts w:hint="eastAsia"/>
                <w:color w:val="auto"/>
                <w:highlight w:val="none"/>
              </w:rPr>
              <w:t>2</w:t>
            </w:r>
          </w:p>
        </w:tc>
        <w:tc>
          <w:tcPr>
            <w:tcW w:w="2033" w:type="dxa"/>
            <w:vAlign w:val="center"/>
          </w:tcPr>
          <w:p w14:paraId="7915C29D">
            <w:pPr>
              <w:pStyle w:val="29"/>
              <w:rPr>
                <w:rFonts w:hint="eastAsia"/>
                <w:b/>
                <w:color w:val="auto"/>
                <w:highlight w:val="none"/>
              </w:rPr>
            </w:pPr>
            <w:r>
              <w:rPr>
                <w:rFonts w:hint="eastAsia"/>
                <w:color w:val="auto"/>
                <w:highlight w:val="none"/>
              </w:rPr>
              <w:t>服务地点</w:t>
            </w:r>
          </w:p>
        </w:tc>
        <w:tc>
          <w:tcPr>
            <w:tcW w:w="5488" w:type="dxa"/>
            <w:vAlign w:val="center"/>
          </w:tcPr>
          <w:p w14:paraId="52D7E9B6">
            <w:pPr>
              <w:pStyle w:val="29"/>
              <w:rPr>
                <w:rFonts w:hint="eastAsia" w:eastAsia="宋体"/>
                <w:b/>
                <w:color w:val="auto"/>
                <w:highlight w:val="none"/>
                <w:lang w:eastAsia="zh-CN"/>
              </w:rPr>
            </w:pPr>
            <w:r>
              <w:rPr>
                <w:rFonts w:hint="eastAsia"/>
                <w:b/>
                <w:color w:val="auto"/>
                <w:highlight w:val="none"/>
              </w:rPr>
              <w:t>安徽省合肥市包河区福州路与华山路交叉路口</w:t>
            </w:r>
            <w:r>
              <w:rPr>
                <w:rFonts w:hint="eastAsia"/>
                <w:b/>
                <w:color w:val="auto"/>
                <w:highlight w:val="none"/>
                <w:lang w:eastAsia="zh-CN"/>
              </w:rPr>
              <w:t>合肥市华山路小学</w:t>
            </w:r>
          </w:p>
        </w:tc>
      </w:tr>
      <w:tr w14:paraId="3DE6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357F8CF9">
            <w:pPr>
              <w:pStyle w:val="30"/>
              <w:rPr>
                <w:rFonts w:hint="eastAsia"/>
                <w:color w:val="auto"/>
                <w:highlight w:val="none"/>
              </w:rPr>
            </w:pPr>
            <w:r>
              <w:rPr>
                <w:rFonts w:hint="eastAsia"/>
                <w:color w:val="auto"/>
                <w:highlight w:val="none"/>
              </w:rPr>
              <w:t>3</w:t>
            </w:r>
          </w:p>
        </w:tc>
        <w:tc>
          <w:tcPr>
            <w:tcW w:w="2033" w:type="dxa"/>
            <w:vAlign w:val="center"/>
          </w:tcPr>
          <w:p w14:paraId="794FF403">
            <w:pPr>
              <w:pStyle w:val="29"/>
              <w:rPr>
                <w:rFonts w:hint="eastAsia"/>
                <w:color w:val="auto"/>
                <w:highlight w:val="none"/>
              </w:rPr>
            </w:pPr>
            <w:r>
              <w:rPr>
                <w:rFonts w:hint="eastAsia"/>
                <w:color w:val="auto"/>
                <w:highlight w:val="none"/>
              </w:rPr>
              <w:t>服务期限</w:t>
            </w:r>
          </w:p>
        </w:tc>
        <w:tc>
          <w:tcPr>
            <w:tcW w:w="5488" w:type="dxa"/>
            <w:vAlign w:val="center"/>
          </w:tcPr>
          <w:p w14:paraId="0B5102D7">
            <w:pPr>
              <w:pStyle w:val="29"/>
              <w:rPr>
                <w:rFonts w:hint="eastAsia"/>
                <w:color w:val="auto"/>
                <w:highlight w:val="none"/>
              </w:rPr>
            </w:pPr>
            <w:r>
              <w:rPr>
                <w:rFonts w:hint="eastAsia"/>
                <w:color w:val="auto"/>
                <w:highlight w:val="none"/>
              </w:rPr>
              <w:t>合同签订后一年，服务期满，经招标人组织考核合格且入围最新的《包河区中小学体艺中心课程服务单位招募入围结果一览表》</w:t>
            </w:r>
            <w:r>
              <w:rPr>
                <w:rFonts w:hint="eastAsia"/>
                <w:color w:val="auto"/>
                <w:highlight w:val="none"/>
                <w:lang w:val="en-US" w:eastAsia="zh-CN"/>
              </w:rPr>
              <w:t>的，</w:t>
            </w:r>
            <w:r>
              <w:rPr>
                <w:rFonts w:hint="eastAsia"/>
                <w:color w:val="auto"/>
                <w:highlight w:val="none"/>
              </w:rPr>
              <w:t>可按原合同续签。</w:t>
            </w:r>
          </w:p>
        </w:tc>
      </w:tr>
    </w:tbl>
    <w:p w14:paraId="0E9265CA">
      <w:pPr>
        <w:spacing w:line="360" w:lineRule="auto"/>
        <w:ind w:firstLine="437"/>
        <w:rPr>
          <w:rFonts w:hint="eastAsia" w:ascii="宋体" w:hAnsi="宋体" w:eastAsia="宋体" w:cs="宋体"/>
          <w:b/>
          <w:color w:val="auto"/>
          <w:sz w:val="24"/>
          <w:szCs w:val="18"/>
          <w:highlight w:val="none"/>
        </w:rPr>
      </w:pPr>
      <w:bookmarkStart w:id="13" w:name="_Hlk16461016"/>
      <w:r>
        <w:rPr>
          <w:rFonts w:hint="eastAsia" w:ascii="宋体" w:hAnsi="宋体" w:eastAsia="宋体" w:cs="宋体"/>
          <w:b/>
          <w:color w:val="auto"/>
          <w:sz w:val="24"/>
          <w:szCs w:val="18"/>
          <w:highlight w:val="none"/>
        </w:rPr>
        <w:t>二、项目概况</w:t>
      </w:r>
    </w:p>
    <w:p w14:paraId="77F1947D">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公司”）拟与包河区部分公办中小学深入合作，开设“体艺特色发展中心”（以下简称“体艺中心”），为广大中小学生提供全面优质的体艺特色教育服务。</w:t>
      </w:r>
    </w:p>
    <w:p w14:paraId="09DA749A">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体艺中心坚持特色发展、普惠公益的原则，</w:t>
      </w:r>
      <w:bookmarkStart w:id="14" w:name="OLE_LINK10"/>
      <w:r>
        <w:rPr>
          <w:rFonts w:hint="eastAsia" w:ascii="宋体" w:hAnsi="宋体" w:eastAsia="宋体"/>
          <w:bCs/>
          <w:color w:val="auto"/>
          <w:sz w:val="24"/>
          <w:szCs w:val="18"/>
          <w:highlight w:val="none"/>
        </w:rPr>
        <w:t>在双休日、节假日、寒暑假期间为广大在校学生提供体育、文化艺术、科技类教育培训服务，丰富学生课余生活，充分发挥体艺育人功能。</w:t>
      </w:r>
    </w:p>
    <w:bookmarkEnd w:id="14"/>
    <w:p w14:paraId="1CB7EEB8">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三、服务需求</w:t>
      </w:r>
    </w:p>
    <w:p w14:paraId="574DDA37">
      <w:pPr>
        <w:spacing w:line="360" w:lineRule="auto"/>
        <w:ind w:firstLine="437"/>
        <w:rPr>
          <w:rFonts w:hint="default" w:ascii="宋体" w:hAnsi="宋体" w:eastAsia="宋体" w:cs="宋体"/>
          <w:bCs/>
          <w:color w:val="FF0000"/>
          <w:sz w:val="24"/>
          <w:szCs w:val="18"/>
          <w:highlight w:val="none"/>
          <w:lang w:val="en-US" w:eastAsia="zh-CN"/>
        </w:rPr>
      </w:pPr>
      <w:r>
        <w:rPr>
          <w:rFonts w:hint="eastAsia" w:ascii="宋体" w:hAnsi="宋体" w:eastAsia="宋体" w:cs="宋体"/>
          <w:bCs/>
          <w:color w:val="auto"/>
          <w:sz w:val="24"/>
          <w:szCs w:val="18"/>
          <w:highlight w:val="none"/>
          <w:lang w:eastAsia="zh-CN"/>
        </w:rPr>
        <w:t>合肥市华山路小学</w:t>
      </w:r>
      <w:r>
        <w:rPr>
          <w:rFonts w:hint="eastAsia" w:ascii="宋体" w:hAnsi="宋体" w:eastAsia="宋体" w:cs="宋体"/>
          <w:bCs/>
          <w:color w:val="auto"/>
          <w:sz w:val="24"/>
          <w:szCs w:val="18"/>
          <w:highlight w:val="none"/>
        </w:rPr>
        <w:t>拟开设</w:t>
      </w:r>
      <w:r>
        <w:rPr>
          <w:rFonts w:hint="eastAsia" w:ascii="宋体" w:hAnsi="宋体" w:eastAsia="宋体" w:cs="宋体"/>
          <w:bCs/>
          <w:color w:val="auto"/>
          <w:sz w:val="24"/>
          <w:szCs w:val="18"/>
          <w:highlight w:val="none"/>
          <w:lang w:val="en-US" w:eastAsia="zh-CN"/>
        </w:rPr>
        <w:t>足球、篮球、棋类、科技类、轮滑</w:t>
      </w:r>
      <w:r>
        <w:rPr>
          <w:rFonts w:hint="eastAsia" w:ascii="宋体" w:hAnsi="宋体" w:eastAsia="宋体" w:cs="宋体"/>
          <w:bCs/>
          <w:color w:val="auto"/>
          <w:sz w:val="24"/>
          <w:szCs w:val="18"/>
          <w:highlight w:val="none"/>
        </w:rPr>
        <w:t>课程，</w:t>
      </w:r>
      <w:r>
        <w:rPr>
          <w:rFonts w:hint="eastAsia" w:ascii="宋体" w:hAnsi="宋体" w:eastAsia="宋体" w:cs="宋体"/>
          <w:bCs/>
          <w:color w:val="auto"/>
          <w:sz w:val="24"/>
          <w:szCs w:val="18"/>
          <w:highlight w:val="none"/>
          <w:lang w:val="en-US" w:eastAsia="zh-CN"/>
        </w:rPr>
        <w:t>每年拟设置三个学期，包括春季学期、暑假学期及秋季学期，部分课程需设置不同班次。</w:t>
      </w:r>
    </w:p>
    <w:p w14:paraId="60B953D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现针对</w:t>
      </w:r>
      <w:r>
        <w:rPr>
          <w:rFonts w:hint="eastAsia" w:ascii="宋体" w:hAnsi="宋体" w:eastAsia="宋体" w:cs="宋体"/>
          <w:bCs/>
          <w:color w:val="auto"/>
          <w:sz w:val="24"/>
          <w:szCs w:val="18"/>
          <w:highlight w:val="none"/>
          <w:lang w:val="en-US" w:eastAsia="zh-CN"/>
        </w:rPr>
        <w:t>以上课程服务单位</w:t>
      </w:r>
      <w:r>
        <w:rPr>
          <w:rFonts w:hint="eastAsia" w:ascii="宋体" w:hAnsi="宋体" w:eastAsia="宋体" w:cs="宋体"/>
          <w:bCs/>
          <w:color w:val="auto"/>
          <w:sz w:val="24"/>
          <w:szCs w:val="18"/>
          <w:highlight w:val="none"/>
        </w:rPr>
        <w:t>进行招标，负责学生培训、校队建设、安全保障等事宜，</w:t>
      </w:r>
      <w:r>
        <w:rPr>
          <w:rFonts w:hint="eastAsia" w:ascii="宋体" w:hAnsi="宋体" w:eastAsia="宋体" w:cs="宋体"/>
          <w:bCs/>
          <w:color w:val="auto"/>
          <w:sz w:val="24"/>
          <w:szCs w:val="18"/>
          <w:highlight w:val="none"/>
          <w:lang w:val="en-US" w:eastAsia="zh-CN"/>
        </w:rPr>
        <w:t>中标人需负责以下内容</w:t>
      </w:r>
      <w:r>
        <w:rPr>
          <w:rFonts w:hint="eastAsia" w:ascii="宋体" w:hAnsi="宋体" w:eastAsia="宋体" w:cs="宋体"/>
          <w:bCs/>
          <w:color w:val="auto"/>
          <w:sz w:val="24"/>
          <w:szCs w:val="18"/>
          <w:highlight w:val="none"/>
        </w:rPr>
        <w:t>：</w:t>
      </w:r>
    </w:p>
    <w:p w14:paraId="40D2FDA2">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根据学校开设的不同等级的班级，服务不同的学生群体，制定具有差异性的授课方案，如基础班，公益普惠性班级，适合无基础或基础较为薄弱的一二年级学生，以增强学生身体素质、培养兴趣爱好为主要目标；提高班，特色班级，适合基础较好的三到六年级学生，带领组织学生参加赛事、考级，以获得荣誉、拓展学生未来发展方向为主要目标。</w:t>
      </w:r>
    </w:p>
    <w:p w14:paraId="7958FA1A">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rPr>
        <w:t>2、保证师资力量充足，从教教师必须具有体育/文化艺术/科技类教师资格证或其它符合政策要求的入校教学资质要求，如教练员证、社会体育指导员证、裁判员证、社会艺术水平考级证书等，同时根据学校要求安排资质、能力、教学经验达标的教师带领不同的班级。</w:t>
      </w:r>
      <w:r>
        <w:rPr>
          <w:rFonts w:hint="eastAsia" w:ascii="宋体" w:hAnsi="宋体" w:eastAsia="宋体" w:cs="宋体"/>
          <w:bCs/>
          <w:color w:val="auto"/>
          <w:sz w:val="24"/>
          <w:szCs w:val="18"/>
          <w:highlight w:val="none"/>
          <w:lang w:val="en-US" w:eastAsia="zh-CN"/>
        </w:rPr>
        <w:t>培训期间，由</w:t>
      </w:r>
      <w:r>
        <w:rPr>
          <w:rFonts w:hint="eastAsia" w:ascii="宋体" w:hAnsi="宋体" w:eastAsia="宋体" w:cs="宋体"/>
          <w:bCs/>
          <w:color w:val="auto"/>
          <w:sz w:val="24"/>
          <w:szCs w:val="18"/>
          <w:highlight w:val="none"/>
        </w:rPr>
        <w:t>学校负责提供场地和部分设施设备，学校没有的</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由中标人协调解决。</w:t>
      </w:r>
      <w:r>
        <w:rPr>
          <w:rFonts w:hint="eastAsia" w:ascii="宋体" w:hAnsi="宋体" w:eastAsia="宋体" w:cs="宋体"/>
          <w:bCs/>
          <w:color w:val="auto"/>
          <w:sz w:val="24"/>
          <w:szCs w:val="18"/>
          <w:highlight w:val="none"/>
        </w:rPr>
        <w:t>如果同一个课程报名人数太多、成立的班级太多，</w:t>
      </w:r>
      <w:r>
        <w:rPr>
          <w:rFonts w:hint="eastAsia" w:ascii="宋体" w:hAnsi="宋体" w:eastAsia="宋体" w:cs="宋体"/>
          <w:bCs/>
          <w:color w:val="auto"/>
          <w:sz w:val="24"/>
          <w:szCs w:val="18"/>
          <w:highlight w:val="none"/>
          <w:lang w:val="en-US" w:eastAsia="zh-CN"/>
        </w:rPr>
        <w:t>中标人需</w:t>
      </w:r>
      <w:r>
        <w:rPr>
          <w:rFonts w:hint="eastAsia" w:ascii="宋体" w:hAnsi="宋体" w:eastAsia="宋体" w:cs="宋体"/>
          <w:bCs/>
          <w:color w:val="auto"/>
          <w:sz w:val="24"/>
          <w:szCs w:val="18"/>
          <w:highlight w:val="none"/>
        </w:rPr>
        <w:t>提供一个额外的教务人员，负责点名签到维持秩序，不用参与授课。</w:t>
      </w:r>
      <w:r>
        <w:rPr>
          <w:rFonts w:hint="eastAsia" w:ascii="宋体" w:hAnsi="宋体" w:eastAsia="宋体" w:cs="宋体"/>
          <w:bCs/>
          <w:color w:val="auto"/>
          <w:sz w:val="24"/>
          <w:szCs w:val="18"/>
          <w:highlight w:val="none"/>
          <w:lang w:val="en-US" w:eastAsia="zh-CN"/>
        </w:rPr>
        <w:t>由中标人负责支付所有老师及教务人员薪资，如中标人拖欠薪资，由此造成的劳动/劳务纠纷均由中标人解决并承担支付责任，包含但不限于薪资、赔偿、诉讼费及可能产生的一切费用。如给招标人带来不良影响或损失的，中标人须承担全部责任并赔偿招标人损失。</w:t>
      </w:r>
    </w:p>
    <w:p w14:paraId="657FB7DF">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参与校队人才的选拔，积极协助学校校队建设。根据学校需求维持目前的校队培训方案，可尝试组建培养新的主力校队，制定具有特色的培养计划，并运用到课程和日常管理中。积极组织带领学生参与体育、艺术、科技类赛事和考级，为学校争取荣誉</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期间可能需要配备的裁判、教练等专业人员均由中标人负责提供并承担相应费用，均包含在合同价中，招标人不再另行支付</w:t>
      </w:r>
      <w:r>
        <w:rPr>
          <w:rFonts w:hint="eastAsia" w:ascii="宋体" w:hAnsi="宋体" w:eastAsia="宋体" w:cs="宋体"/>
          <w:bCs/>
          <w:color w:val="auto"/>
          <w:sz w:val="24"/>
          <w:szCs w:val="18"/>
          <w:highlight w:val="none"/>
        </w:rPr>
        <w:t>。</w:t>
      </w:r>
    </w:p>
    <w:p w14:paraId="6FBDCCB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w:t>
      </w:r>
      <w:r>
        <w:rPr>
          <w:rFonts w:hint="eastAsia" w:ascii="宋体" w:hAnsi="宋体" w:eastAsia="宋体" w:cs="宋体"/>
          <w:bCs/>
          <w:color w:val="auto"/>
          <w:sz w:val="24"/>
          <w:szCs w:val="18"/>
          <w:highlight w:val="none"/>
          <w:lang w:val="en-US" w:eastAsia="zh-CN"/>
        </w:rPr>
        <w:t>由中标人负责</w:t>
      </w:r>
      <w:r>
        <w:rPr>
          <w:rFonts w:hint="eastAsia" w:ascii="宋体" w:hAnsi="宋体" w:eastAsia="宋体" w:cs="宋体"/>
          <w:bCs/>
          <w:color w:val="auto"/>
          <w:sz w:val="24"/>
          <w:szCs w:val="18"/>
          <w:highlight w:val="none"/>
        </w:rPr>
        <w:t>服务过程中的安全</w:t>
      </w:r>
      <w:r>
        <w:rPr>
          <w:rFonts w:hint="eastAsia" w:ascii="宋体" w:hAnsi="宋体" w:eastAsia="宋体" w:cs="宋体"/>
          <w:bCs/>
          <w:color w:val="auto"/>
          <w:sz w:val="24"/>
          <w:szCs w:val="18"/>
          <w:highlight w:val="none"/>
          <w:lang w:val="en-US" w:eastAsia="zh-CN"/>
        </w:rPr>
        <w:t>管理</w:t>
      </w:r>
      <w:r>
        <w:rPr>
          <w:rFonts w:hint="eastAsia" w:ascii="宋体" w:hAnsi="宋体" w:eastAsia="宋体" w:cs="宋体"/>
          <w:bCs/>
          <w:color w:val="auto"/>
          <w:sz w:val="24"/>
          <w:szCs w:val="18"/>
          <w:highlight w:val="none"/>
        </w:rPr>
        <w:t>工作，做好从教师的防火、防灾、防伤害培训，保证班级学生的人身安全。教师在授课开始前应知悉学生的身体状况，防止培训过度或防护不足造成的身体和心理损伤。中标人应对培训学生购买学生意外险。</w:t>
      </w:r>
    </w:p>
    <w:p w14:paraId="5F6449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18"/>
          <w:highlight w:val="none"/>
        </w:rPr>
        <w:t>5、中标人在服务期限内，应牢固树立问题意识、安全意识、风险意识、责任意识、廉洁意识，全面加强防范和控制，不得收受家长学生的赠礼、物品和现金。防止出现意识形态领域问题和重大安全事故。如出现相关问题，招标人有权解除合同并进行追责。</w:t>
      </w:r>
    </w:p>
    <w:p w14:paraId="16E3F3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应当向招标人、学生及家长明示机构名称、教师的收费项目、收费标准、退费办法、上课时间和服务承诺等内容，公开透明开展培训活动，中标人、中标人的教师人员不得在公示的项目和标准外向学生收取其他费用。</w:t>
      </w:r>
    </w:p>
    <w:p w14:paraId="1029A1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的教师人员、管理人员应当符合《校外培训机构从业人员管理办法(试行)》对从业人员的有关要求，品行端正，具备良好的思想品德和职业道德，核查无违法犯罪记录。具有正常开展教育活动的身体条件，无传染性疾病。</w:t>
      </w:r>
    </w:p>
    <w:p w14:paraId="283259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人的培训课程及材料需符合《中小学生校外培训材料管理办法(试行)》有关要求，弘扬社会主义核心价值观，培训课程管理规范，培训内容健康向上，教育教学方法得当，遵循教育规律，符合学生成长规律，有利于学生德智体美劳全面发展。</w:t>
      </w:r>
    </w:p>
    <w:p w14:paraId="7CFF06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9、在履约过程中，招标人有义务共</w:t>
      </w:r>
      <w:r>
        <w:rPr>
          <w:rFonts w:ascii="宋体" w:hAnsi="宋体" w:eastAsia="宋体" w:cs="宋体"/>
          <w:color w:val="auto"/>
          <w:sz w:val="24"/>
          <w:szCs w:val="24"/>
          <w:highlight w:val="none"/>
        </w:rPr>
        <w:t>同加强</w:t>
      </w:r>
      <w:r>
        <w:rPr>
          <w:rFonts w:hint="eastAsia" w:ascii="宋体" w:hAnsi="宋体" w:eastAsia="宋体" w:cs="宋体"/>
          <w:color w:val="auto"/>
          <w:sz w:val="24"/>
          <w:szCs w:val="24"/>
          <w:highlight w:val="none"/>
        </w:rPr>
        <w:t>监督管理，根据学生满意度评价和人才培养结果</w:t>
      </w:r>
      <w:r>
        <w:rPr>
          <w:rFonts w:ascii="宋体" w:hAnsi="宋体" w:eastAsia="宋体" w:cs="宋体"/>
          <w:color w:val="auto"/>
          <w:sz w:val="24"/>
          <w:szCs w:val="24"/>
          <w:highlight w:val="none"/>
        </w:rPr>
        <w:t>进行</w:t>
      </w:r>
      <w:r>
        <w:rPr>
          <w:rFonts w:hint="eastAsia" w:ascii="宋体" w:hAnsi="宋体" w:eastAsia="宋体" w:cs="宋体"/>
          <w:color w:val="auto"/>
          <w:sz w:val="24"/>
          <w:szCs w:val="24"/>
          <w:highlight w:val="none"/>
        </w:rPr>
        <w:t>动态调整，保障教学质量。</w:t>
      </w:r>
    </w:p>
    <w:p w14:paraId="12094A2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10、中标人除负责课程培训外，还需参与学校的赛事活动、考级活动等体艺人才梯队建设工作，如学校有需要，需提供专业的裁判员、考级专家、评审专家等，协助学校完成相关工作，</w:t>
      </w:r>
      <w:r>
        <w:rPr>
          <w:rFonts w:hint="eastAsia" w:ascii="宋体" w:hAnsi="宋体" w:eastAsia="宋体" w:cs="宋体"/>
          <w:bCs/>
          <w:color w:val="auto"/>
          <w:sz w:val="24"/>
          <w:szCs w:val="18"/>
          <w:highlight w:val="none"/>
          <w:lang w:val="en-US" w:eastAsia="zh-CN"/>
        </w:rPr>
        <w:t>期间可能产生的费用均由中标人承担，均包含在合同价中，招标人不再另行支付</w:t>
      </w:r>
      <w:r>
        <w:rPr>
          <w:rFonts w:hint="eastAsia" w:ascii="宋体" w:hAnsi="宋体" w:eastAsia="宋体" w:cs="宋体"/>
          <w:color w:val="auto"/>
          <w:sz w:val="24"/>
          <w:szCs w:val="24"/>
          <w:highlight w:val="none"/>
          <w:lang w:val="en-US" w:eastAsia="zh-CN"/>
        </w:rPr>
        <w:t>。中标人应按照学校要求，临时增加部分赛前集训班、考级集训班，学校组织家长报名，报名费仍由招标人收取，按招标文件约定与中标人分成。</w:t>
      </w:r>
    </w:p>
    <w:p w14:paraId="620F8DB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11、由中标人负责提供培训期间的医疗保障服务，并承担相应费用。</w:t>
      </w:r>
    </w:p>
    <w:p w14:paraId="3EEA1A0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12、招标人和校方在每期课程培训服务结束后，对投标人课程培训服务进行考核打分，如考核不合格将解除合同，停止后续合作。如考核合格将继续履行合同期内合作，招标人并有权要求提升改进教学方式。</w:t>
      </w:r>
    </w:p>
    <w:p w14:paraId="276CF3F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13、中标人服务期间，由中标人负责向报名客户开具发票，如中标人拒绝开具的，招标人有权拒绝支付分成款项，由此造成一切纠纷、损失由中标人自行承担，与招标人无关。</w:t>
      </w:r>
    </w:p>
    <w:p w14:paraId="25694662">
      <w:pPr>
        <w:spacing w:line="360" w:lineRule="auto"/>
        <w:ind w:firstLine="482" w:firstLineChars="200"/>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四、报价要求</w:t>
      </w:r>
    </w:p>
    <w:p w14:paraId="7B03A9DA">
      <w:pPr>
        <w:spacing w:line="360" w:lineRule="auto"/>
        <w:ind w:firstLine="480" w:firstLineChars="200"/>
        <w:rPr>
          <w:rFonts w:hint="eastAsia" w:ascii="宋体" w:hAnsi="宋体" w:eastAsia="宋体" w:cs="宋体"/>
          <w:b/>
          <w:bCs/>
          <w:color w:val="auto"/>
          <w:sz w:val="24"/>
          <w:szCs w:val="24"/>
          <w:highlight w:val="none"/>
          <w:lang w:val="en-US" w:eastAsia="zh-CN"/>
        </w:rPr>
      </w:pPr>
      <w:bookmarkStart w:id="15" w:name="OLE_LINK1"/>
      <w:r>
        <w:rPr>
          <w:rFonts w:hint="eastAsia" w:ascii="宋体" w:hAnsi="宋体" w:eastAsia="宋体" w:cs="宋体"/>
          <w:color w:val="auto"/>
          <w:sz w:val="24"/>
          <w:szCs w:val="24"/>
          <w:highlight w:val="none"/>
          <w:lang w:val="en-US" w:eastAsia="zh-CN"/>
        </w:rPr>
        <w:t>1、本项目采用费率报价，投标人应报出投标人的分成比例，仅计取小数点后两位，例如报价58.999%，按58.99%计，不再“四舍五入”，且投标费率不得超过相应标段的最高限价，否则，报价无效。</w:t>
      </w:r>
      <w:r>
        <w:rPr>
          <w:rFonts w:hint="eastAsia" w:ascii="宋体" w:hAnsi="宋体" w:eastAsia="宋体" w:cs="宋体"/>
          <w:b/>
          <w:bCs/>
          <w:color w:val="auto"/>
          <w:sz w:val="24"/>
          <w:szCs w:val="24"/>
          <w:highlight w:val="none"/>
          <w:lang w:val="en-US" w:eastAsia="zh-CN"/>
        </w:rPr>
        <w:t>其中，第1标段</w:t>
      </w:r>
      <w:r>
        <w:rPr>
          <w:rFonts w:hint="eastAsia" w:ascii="宋体" w:hAnsi="宋体" w:eastAsia="宋体" w:cs="宋体"/>
          <w:b/>
          <w:bCs/>
          <w:color w:val="auto"/>
          <w:sz w:val="24"/>
          <w:szCs w:val="24"/>
          <w:highlight w:val="none"/>
          <w:u w:val="single"/>
          <w:lang w:val="en-US" w:eastAsia="zh-CN"/>
        </w:rPr>
        <w:t>足球</w:t>
      </w:r>
      <w:r>
        <w:rPr>
          <w:rFonts w:hint="eastAsia" w:ascii="宋体" w:hAnsi="宋体" w:eastAsia="宋体" w:cs="宋体"/>
          <w:b/>
          <w:bCs/>
          <w:color w:val="auto"/>
          <w:sz w:val="24"/>
          <w:szCs w:val="24"/>
          <w:highlight w:val="none"/>
          <w:lang w:val="en-US" w:eastAsia="zh-CN"/>
        </w:rPr>
        <w:t>分成比例限价60%，第2标段</w:t>
      </w:r>
      <w:r>
        <w:rPr>
          <w:rFonts w:hint="eastAsia" w:ascii="宋体" w:hAnsi="宋体" w:eastAsia="宋体" w:cs="宋体"/>
          <w:b/>
          <w:bCs/>
          <w:color w:val="auto"/>
          <w:sz w:val="24"/>
          <w:szCs w:val="24"/>
          <w:highlight w:val="none"/>
          <w:u w:val="single"/>
          <w:lang w:val="en-US" w:eastAsia="zh-CN"/>
        </w:rPr>
        <w:t>篮球</w:t>
      </w:r>
      <w:r>
        <w:rPr>
          <w:rFonts w:hint="eastAsia" w:ascii="宋体" w:hAnsi="宋体" w:eastAsia="宋体" w:cs="宋体"/>
          <w:b/>
          <w:bCs/>
          <w:color w:val="auto"/>
          <w:sz w:val="24"/>
          <w:szCs w:val="24"/>
          <w:highlight w:val="none"/>
          <w:lang w:val="en-US" w:eastAsia="zh-CN"/>
        </w:rPr>
        <w:t>分成比例限价60%，第3标段</w:t>
      </w:r>
      <w:r>
        <w:rPr>
          <w:rFonts w:hint="eastAsia" w:ascii="宋体" w:hAnsi="宋体" w:eastAsia="宋体" w:cs="宋体"/>
          <w:b/>
          <w:bCs/>
          <w:color w:val="auto"/>
          <w:sz w:val="24"/>
          <w:szCs w:val="24"/>
          <w:highlight w:val="none"/>
          <w:u w:val="single"/>
          <w:lang w:val="en-US" w:eastAsia="zh-CN"/>
        </w:rPr>
        <w:t>棋类</w:t>
      </w:r>
      <w:r>
        <w:rPr>
          <w:rFonts w:hint="eastAsia" w:ascii="宋体" w:hAnsi="宋体" w:eastAsia="宋体" w:cs="宋体"/>
          <w:b/>
          <w:bCs/>
          <w:color w:val="auto"/>
          <w:sz w:val="24"/>
          <w:szCs w:val="24"/>
          <w:highlight w:val="none"/>
          <w:lang w:val="en-US" w:eastAsia="zh-CN"/>
        </w:rPr>
        <w:t>分成比例限价60%，第4标段</w:t>
      </w:r>
      <w:r>
        <w:rPr>
          <w:rFonts w:hint="eastAsia" w:ascii="宋体" w:hAnsi="宋体" w:eastAsia="宋体" w:cs="宋体"/>
          <w:b/>
          <w:bCs/>
          <w:color w:val="auto"/>
          <w:sz w:val="24"/>
          <w:szCs w:val="24"/>
          <w:highlight w:val="none"/>
          <w:u w:val="single"/>
          <w:lang w:val="en-US" w:eastAsia="zh-CN"/>
        </w:rPr>
        <w:t>轮滑</w:t>
      </w:r>
      <w:r>
        <w:rPr>
          <w:rFonts w:hint="eastAsia" w:ascii="宋体" w:hAnsi="宋体" w:eastAsia="宋体" w:cs="宋体"/>
          <w:b/>
          <w:bCs/>
          <w:color w:val="auto"/>
          <w:sz w:val="24"/>
          <w:szCs w:val="24"/>
          <w:highlight w:val="none"/>
          <w:lang w:val="en-US" w:eastAsia="zh-CN"/>
        </w:rPr>
        <w:t>分成比例限价60%，第5标段</w:t>
      </w:r>
      <w:r>
        <w:rPr>
          <w:rFonts w:hint="eastAsia" w:ascii="宋体" w:hAnsi="宋体" w:eastAsia="宋体" w:cs="宋体"/>
          <w:b/>
          <w:bCs/>
          <w:color w:val="auto"/>
          <w:sz w:val="24"/>
          <w:szCs w:val="24"/>
          <w:highlight w:val="none"/>
          <w:u w:val="single"/>
          <w:lang w:val="en-US" w:eastAsia="zh-CN"/>
        </w:rPr>
        <w:t>科技类</w:t>
      </w:r>
      <w:r>
        <w:rPr>
          <w:rFonts w:hint="eastAsia" w:ascii="宋体" w:hAnsi="宋体" w:eastAsia="宋体" w:cs="宋体"/>
          <w:b/>
          <w:bCs/>
          <w:color w:val="auto"/>
          <w:sz w:val="24"/>
          <w:szCs w:val="24"/>
          <w:highlight w:val="none"/>
          <w:lang w:val="en-US" w:eastAsia="zh-CN"/>
        </w:rPr>
        <w:t>分成比例限价60%。</w:t>
      </w:r>
    </w:p>
    <w:bookmarkEnd w:id="15"/>
    <w:p w14:paraId="6B23BC99">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中标后，中标费率作为招标人与中标人结算依据，</w:t>
      </w:r>
      <w:r>
        <w:rPr>
          <w:rFonts w:hint="eastAsia" w:ascii="宋体" w:hAnsi="宋体" w:eastAsia="宋体" w:cs="宋体"/>
          <w:b/>
          <w:bCs/>
          <w:color w:val="auto"/>
          <w:sz w:val="24"/>
          <w:szCs w:val="24"/>
          <w:highlight w:val="none"/>
          <w:lang w:val="en-US" w:eastAsia="zh-CN"/>
        </w:rPr>
        <w:t>结算金额=（中标人按权责发生制已实现的收入&lt;不包含预付中尚未发生的金额，每期中途退课的学生费用从营业额中实时扣除&gt;）*中标费率,支付方式按招标文件执行。</w:t>
      </w:r>
    </w:p>
    <w:p w14:paraId="5B4C2CEC">
      <w:pPr>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例如，某中标单位中标费率为58.78%，某期课程按权责发生制已实现的收入为100万元，则该期课程结束后，招标人应支付中标人的费用=100万元*58.78%=58.78万元。</w:t>
      </w:r>
    </w:p>
    <w:p w14:paraId="14643E2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2、支付方式</w:t>
      </w:r>
    </w:p>
    <w:p w14:paraId="3C4EB8D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3B9E4210">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五、其他要求</w:t>
      </w:r>
    </w:p>
    <w:p w14:paraId="153C81E8">
      <w:pPr>
        <w:spacing w:line="360" w:lineRule="auto"/>
        <w:ind w:firstLine="43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内部空间改造：中标人若需对学校场地进行配合培训及赛事服务需求的内部空间改造，并须在改造期（10个工作日）内一次性完成。中标人在中标后7日内提供书面内部空间改造方案，经招标人及校方审核同意之后中标人方可实施，其中改造产生的所有费用由中标人承担，后期场馆内维修费用由中标人自理。</w:t>
      </w:r>
      <w:r>
        <w:rPr>
          <w:rFonts w:hint="eastAsia" w:ascii="宋体" w:hAnsi="宋体" w:eastAsia="宋体" w:cs="宋体"/>
          <w:color w:val="auto"/>
          <w:sz w:val="24"/>
          <w:szCs w:val="24"/>
          <w:highlight w:val="none"/>
          <w:lang w:eastAsia="zh-CN"/>
        </w:rPr>
        <w:t>中标人不得擅自改变场馆内所有建筑及构筑物的外立面、结构。</w:t>
      </w:r>
    </w:p>
    <w:p w14:paraId="4D505761">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2、中标人在运营时间内需负责</w:t>
      </w:r>
      <w:bookmarkStart w:id="16" w:name="OLE_LINK2"/>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w:t>
      </w:r>
      <w:bookmarkEnd w:id="16"/>
      <w:r>
        <w:rPr>
          <w:rFonts w:hint="eastAsia" w:ascii="宋体" w:hAnsi="宋体" w:eastAsia="宋体" w:cs="宋体"/>
          <w:color w:val="auto"/>
          <w:sz w:val="24"/>
          <w:szCs w:val="24"/>
          <w:highlight w:val="none"/>
          <w:lang w:eastAsia="zh-CN"/>
        </w:rPr>
        <w:t>所有的安全管理：</w:t>
      </w:r>
    </w:p>
    <w:p w14:paraId="1E3503A0">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（1）中标人应对提供详细的</w:t>
      </w:r>
      <w:r>
        <w:rPr>
          <w:rFonts w:hint="eastAsia" w:ascii="宋体" w:hAnsi="宋体" w:eastAsia="宋体" w:cs="宋体"/>
          <w:b w:val="0"/>
          <w:bCs w:val="0"/>
          <w:color w:val="auto"/>
          <w:sz w:val="24"/>
          <w:szCs w:val="24"/>
          <w:highlight w:val="none"/>
          <w:lang w:eastAsia="zh-CN"/>
        </w:rPr>
        <w:t>安全保障方案（内容包括：流量管控、应急处置、医疗援助等安全管理)，且安全保障方案需流程明确且具备可操作性。如因服务期间管理不当造成人员伤亡的，中标人承担全部责任。</w:t>
      </w:r>
    </w:p>
    <w:p w14:paraId="72D8CD5D">
      <w:pPr>
        <w:pStyle w:val="58"/>
        <w:widowControl w:val="0"/>
        <w:tabs>
          <w:tab w:val="left" w:pos="689"/>
        </w:tabs>
        <w:adjustRightInd/>
        <w:spacing w:line="360" w:lineRule="auto"/>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（2）中标人在服务期限内，应牢固树立问题意识、忧患意识、风险意识、责任意识，签订安全承诺书，全面加强防范和控制，防止出现意识形态领域问题和重大安全事故。</w:t>
      </w:r>
      <w:r>
        <w:rPr>
          <w:rFonts w:hint="eastAsia" w:ascii="宋体" w:hAnsi="宋体" w:eastAsia="宋体" w:cs="宋体"/>
          <w:b w:val="0"/>
          <w:bCs w:val="0"/>
          <w:color w:val="auto"/>
          <w:sz w:val="24"/>
          <w:szCs w:val="24"/>
          <w:highlight w:val="none"/>
          <w:lang w:eastAsia="zh-CN"/>
        </w:rPr>
        <w:t>如出现相关问题，招标人有权解除合同并进行追责，所产生的一切损失由中标人承担。</w:t>
      </w:r>
    </w:p>
    <w:p w14:paraId="024B6A7D">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3、中标人在服务时间内需负责</w:t>
      </w:r>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课程培训场地内赛事活动组织及执行：</w:t>
      </w:r>
    </w:p>
    <w:p w14:paraId="22410113">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（1）中标人在服务期内，必须派专项项目负责人或团队驻场。</w:t>
      </w:r>
    </w:p>
    <w:p w14:paraId="32D2EA35">
      <w:pPr>
        <w:pStyle w:val="58"/>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（2）中标人服务期间需悬挂服务项目营业执照、经营从业人员资格证等相关证件；若因证照不全导致的相关责任和损失由中标人承担。</w:t>
      </w:r>
    </w:p>
    <w:p w14:paraId="606FB57D">
      <w:pPr>
        <w:spacing w:line="360" w:lineRule="auto"/>
        <w:ind w:firstLine="480" w:firstLineChars="200"/>
        <w:rPr>
          <w:rFonts w:hint="eastAsia" w:ascii="宋体" w:hAnsi="宋体" w:eastAsia="宋体"/>
          <w:b w:val="0"/>
          <w:bCs w:val="0"/>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bCs/>
          <w:color w:val="auto"/>
          <w:sz w:val="24"/>
          <w:szCs w:val="18"/>
          <w:highlight w:val="none"/>
        </w:rPr>
        <w:t>课程的收费标准遵循公益普惠原则，根据参与学生人数、服务内容、服务时间等核定，并接受我司和学校的指导建议；学校和公司根据学校师资、场地、特色发展等因素选取课程；家长根据需求自愿选择。</w:t>
      </w:r>
      <w:r>
        <w:rPr>
          <w:rFonts w:hint="eastAsia" w:ascii="宋体" w:hAnsi="宋体" w:eastAsia="宋体" w:cs="宋体"/>
          <w:color w:val="auto"/>
          <w:sz w:val="24"/>
          <w:szCs w:val="24"/>
          <w:highlight w:val="none"/>
        </w:rPr>
        <w:t>不得擅自提价，如中标人存在擅自提价或违规收费情况，</w:t>
      </w:r>
      <w:r>
        <w:rPr>
          <w:rFonts w:hint="eastAsia" w:ascii="宋体" w:hAnsi="宋体" w:eastAsia="宋体" w:cs="宋体"/>
          <w:b w:val="0"/>
          <w:bCs w:val="0"/>
          <w:color w:val="auto"/>
          <w:sz w:val="24"/>
          <w:szCs w:val="24"/>
          <w:highlight w:val="none"/>
        </w:rPr>
        <w:t>招标人将采取相应措施责令中标人停业整顿及违约金2万元/次（招标人从投标人分成中直接扣除），中标人承担由此所产生的一切（包括但不限于物价及相关部门的违约金等）责任和后果，且招标人有权单方解除合同。</w:t>
      </w:r>
    </w:p>
    <w:p w14:paraId="38926C21">
      <w:pPr>
        <w:pStyle w:val="58"/>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（4）中标人在服务期间必须有投诉处置能力，如遇投诉后须进一步解释说明并形成报告，若投诉情节严重，中标人须按招标人要求进行整改。</w:t>
      </w:r>
    </w:p>
    <w:p w14:paraId="644B0128">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（5）本项目用途为课程培训服务。如中标人擅自改变转让用途，招标人有权单方解除合同，并处以违约金2万元/次（招标人从投标人分成中直接扣除）</w:t>
      </w:r>
    </w:p>
    <w:p w14:paraId="2C784D33">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（7）中标人在培训期内应负责维护场馆公共设施及环境，如造成公共设施损坏，由中标人进行维修或更换。</w:t>
      </w:r>
    </w:p>
    <w:p w14:paraId="1E36660F">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4、中标人在服务期间必须有详细的</w:t>
      </w:r>
      <w:r>
        <w:rPr>
          <w:rFonts w:hint="eastAsia" w:ascii="宋体" w:hAnsi="宋体" w:eastAsia="宋体" w:cs="宋体"/>
          <w:b w:val="0"/>
          <w:bCs w:val="0"/>
          <w:color w:val="auto"/>
          <w:sz w:val="24"/>
          <w:szCs w:val="24"/>
          <w:highlight w:val="none"/>
          <w:lang w:eastAsia="zh-CN"/>
        </w:rPr>
        <w:t>人员配置方案（</w:t>
      </w:r>
      <w:r>
        <w:rPr>
          <w:rFonts w:hint="eastAsia" w:ascii="宋体" w:hAnsi="宋体" w:eastAsia="宋体" w:cs="宋体"/>
          <w:b w:val="0"/>
          <w:bCs w:val="0"/>
          <w:color w:val="auto"/>
          <w:sz w:val="24"/>
          <w:szCs w:val="24"/>
          <w:highlight w:val="none"/>
          <w:lang w:val="en-US" w:eastAsia="zh-CN"/>
        </w:rPr>
        <w:t>按照学校提供分班计划，</w:t>
      </w:r>
      <w:r>
        <w:rPr>
          <w:rFonts w:hint="eastAsia" w:ascii="宋体" w:hAnsi="宋体" w:eastAsia="宋体" w:cs="宋体"/>
          <w:b w:val="0"/>
          <w:bCs w:val="0"/>
          <w:color w:val="auto"/>
          <w:sz w:val="24"/>
          <w:szCs w:val="24"/>
          <w:highlight w:val="none"/>
          <w:lang w:eastAsia="zh-CN"/>
        </w:rPr>
        <w:t>每班配置一名</w:t>
      </w:r>
      <w:r>
        <w:rPr>
          <w:rFonts w:hint="eastAsia" w:ascii="宋体" w:hAnsi="宋体" w:eastAsia="宋体" w:cs="宋体"/>
          <w:b w:val="0"/>
          <w:bCs w:val="0"/>
          <w:color w:val="auto"/>
          <w:sz w:val="24"/>
          <w:szCs w:val="24"/>
          <w:highlight w:val="none"/>
          <w:lang w:val="en-US" w:eastAsia="zh-CN"/>
        </w:rPr>
        <w:t>及以上</w:t>
      </w:r>
      <w:r>
        <w:rPr>
          <w:rFonts w:hint="eastAsia" w:ascii="宋体" w:hAnsi="宋体" w:eastAsia="宋体" w:cs="宋体"/>
          <w:b w:val="0"/>
          <w:bCs w:val="0"/>
          <w:color w:val="auto"/>
          <w:sz w:val="24"/>
          <w:szCs w:val="24"/>
          <w:highlight w:val="none"/>
          <w:lang w:eastAsia="zh-CN"/>
        </w:rPr>
        <w:t>教师，</w:t>
      </w:r>
      <w:r>
        <w:rPr>
          <w:rFonts w:hint="eastAsia" w:ascii="宋体" w:hAnsi="宋体" w:eastAsia="宋体" w:cs="宋体"/>
          <w:b w:val="0"/>
          <w:bCs w:val="0"/>
          <w:color w:val="auto"/>
          <w:sz w:val="24"/>
          <w:szCs w:val="24"/>
          <w:highlight w:val="none"/>
          <w:lang w:val="en-US" w:eastAsia="zh-CN"/>
        </w:rPr>
        <w:t>且在课程开设期间不得无故更换培训教师，若有不可抗原因，需提前告知招标人并在取得同意后方可更换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eastAsia="zh-CN"/>
        </w:rPr>
        <w:t>，包括驻场负责人、教练员等工作人员的岗位设置、岗位职责，以及对各类人员的培训计划等相关机制，招标人对中标人工作人员具有监督权。</w:t>
      </w:r>
    </w:p>
    <w:p w14:paraId="27F620B2">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5、因中标人原因解除合同或合同期满终止时，中标人投入的改造、装潢及改造的不可移动的设施设备无偿归招标人所有和使用，并在合同终止后10个日历日内交予招标人，且不得提出任何补偿或赔偿要求。</w:t>
      </w:r>
    </w:p>
    <w:p w14:paraId="28511EF0">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运营期内，中标人不得以任何理由要求减免中标价款（如因法律法规及市政调整除外）。如因法律法规及市政规定需要拆除或改造而导致合同解除的，中标价款按照实际运营时间计算，不足整月的按实际天数计算，多退少补，招标人不承担违约责任。</w:t>
      </w:r>
    </w:p>
    <w:p w14:paraId="4B1CA199">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7、因为天气、灾害、政策及要求等原因造成中标人无法经营的，招标人不承担违约责任。</w:t>
      </w:r>
    </w:p>
    <w:p w14:paraId="24703E34">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服务期内，招标人有权在课程培训场地内开展研学、异业合作、广告招商等经营事项及举办各类活动等（所得收益全部归招标人所有，与中标人无关）。如中标人在场馆进行开展研学、异业合作、广告招商等，需经招标人及校方审核同意，并按中标分成比例进行营收分成。</w:t>
      </w:r>
    </w:p>
    <w:p w14:paraId="2518F0E2">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9、中标人在学校开展的培训课程，须在其办学内容、业务范围或经营许可范围内，不得超范围经营。须配齐配足课后服务队伍，建立健全管理制度，加强组织和管理，与我司签订合作协议，明确进校职责。</w:t>
      </w:r>
    </w:p>
    <w:p w14:paraId="125C1846">
      <w:pPr>
        <w:spacing w:line="360" w:lineRule="auto"/>
        <w:ind w:firstLine="480" w:firstLineChars="200"/>
        <w:rPr>
          <w:highlight w:val="none"/>
        </w:rPr>
      </w:pPr>
      <w:r>
        <w:rPr>
          <w:rFonts w:hint="eastAsia" w:ascii="宋体" w:hAnsi="宋体" w:eastAsia="宋体"/>
          <w:bCs/>
          <w:color w:val="auto"/>
          <w:sz w:val="24"/>
          <w:szCs w:val="18"/>
          <w:highlight w:val="none"/>
          <w:lang w:val="en-US" w:eastAsia="zh-CN"/>
        </w:rPr>
        <w:t>10、中标人须服从招标人对培训时间的安排，在招标人指定的时间段内展开培训工作，不得擅自改动培训时间。</w:t>
      </w:r>
    </w:p>
    <w:p w14:paraId="1CC23C4A">
      <w:pPr>
        <w:spacing w:line="360" w:lineRule="auto"/>
        <w:ind w:firstLine="480" w:firstLineChars="200"/>
        <w:rPr>
          <w:highlight w:val="none"/>
        </w:rPr>
      </w:pPr>
      <w:r>
        <w:rPr>
          <w:rFonts w:hint="eastAsia" w:ascii="宋体" w:hAnsi="宋体" w:eastAsia="宋体"/>
          <w:bCs/>
          <w:color w:val="auto"/>
          <w:sz w:val="24"/>
          <w:szCs w:val="18"/>
          <w:highlight w:val="none"/>
          <w:lang w:val="en-US" w:eastAsia="zh-CN"/>
        </w:rPr>
        <w:t>11、中标人须为所有参训学员购置保险（如短期意外险等），并于开课前将保单发至招标人处，经招标人审核确认后开课。如中标人未按规定时间、要求购置保险的，且在招标人发送书面通知函后2个工作日内仍未按要求购置的，招标人有权代为购买保险，保险费用由招标人直接从未支付的款项中扣除。由中标人未按规定购买保险导致的一切可能产生的损失，由中标人承担。</w:t>
      </w:r>
    </w:p>
    <w:p w14:paraId="48DDD6B5">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机构管理人员须具有相应的业务专长、师资力量和管理能力；机构聘任的专职、兼职从教人员必须爱国爱党、品性优秀、爱护学生，无犯罪及其他不良记录；必须取得相关专业技能资质（教师资格证书或相关专业技能等级证书等）。</w:t>
      </w:r>
    </w:p>
    <w:p w14:paraId="0ED8733F">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进校服务人员需服从学校各项管理制度要求，在校内应严格参照师德师范进行自律。严禁入校商业夹带和商业宣传，第三方机构及人员不得借机搞培训、招生宣传，不得诱导学生参与校外培训辅导、购买相关器材或其他课程服务产品。</w:t>
      </w:r>
    </w:p>
    <w:p w14:paraId="45857006">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4</w:t>
      </w:r>
      <w:r>
        <w:rPr>
          <w:rFonts w:hint="eastAsia" w:ascii="宋体" w:hAnsi="宋体" w:eastAsia="宋体"/>
          <w:bCs/>
          <w:color w:val="auto"/>
          <w:sz w:val="24"/>
          <w:szCs w:val="18"/>
          <w:highlight w:val="none"/>
        </w:rPr>
        <w:t>、因上级政策原因需要提前终止合作，合同自行终止，双方互不补偿由此产生的损失。</w:t>
      </w:r>
    </w:p>
    <w:p w14:paraId="2B2762E8">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5</w:t>
      </w:r>
      <w:r>
        <w:rPr>
          <w:rFonts w:hint="eastAsia" w:ascii="宋体" w:hAnsi="宋体" w:eastAsia="宋体"/>
          <w:bCs/>
          <w:color w:val="auto"/>
          <w:sz w:val="24"/>
          <w:szCs w:val="18"/>
          <w:highlight w:val="none"/>
        </w:rPr>
        <w:t>、由于不可抗力导致合同不能履行的，</w:t>
      </w:r>
      <w:bookmarkStart w:id="17" w:name="OLE_LINK11"/>
      <w:r>
        <w:rPr>
          <w:rFonts w:hint="eastAsia" w:ascii="宋体" w:hAnsi="宋体" w:eastAsia="宋体"/>
          <w:bCs/>
          <w:color w:val="auto"/>
          <w:sz w:val="24"/>
          <w:szCs w:val="18"/>
          <w:highlight w:val="none"/>
        </w:rPr>
        <w:t>甲乙双方互不承担违约责任</w:t>
      </w:r>
      <w:bookmarkEnd w:id="17"/>
      <w:r>
        <w:rPr>
          <w:rFonts w:hint="eastAsia" w:ascii="宋体" w:hAnsi="宋体" w:eastAsia="宋体"/>
          <w:bCs/>
          <w:color w:val="auto"/>
          <w:sz w:val="24"/>
          <w:szCs w:val="18"/>
          <w:highlight w:val="none"/>
        </w:rPr>
        <w:t>，受不可抗力影响的一方应及时书面通知对方。</w:t>
      </w:r>
    </w:p>
    <w:p w14:paraId="1EF932B7">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、如因上级主管部门要求或其他政策性原因导致招标人不再负责包河区中小学体艺中心运营等相关事宜，合同自动失效。</w:t>
      </w:r>
      <w:bookmarkEnd w:id="13"/>
    </w:p>
    <w:p w14:paraId="7FEF2E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如中标人在履行合同期间内，因中标人原因退出《包河区中小学体艺中心课程服务单位招募》的，招标人有权解除合同，甲方不承担违约责任，乙方在解除合同前需将相关教学工作妥善进行交接，做好家长及学生解释工作。</w:t>
      </w:r>
      <w:r>
        <w:rPr>
          <w:rFonts w:hint="eastAsia" w:ascii="宋体" w:hAnsi="宋体" w:eastAsia="宋体" w:cs="宋体"/>
          <w:b/>
          <w:bCs/>
          <w:color w:val="auto"/>
          <w:sz w:val="24"/>
          <w:highlight w:val="none"/>
        </w:rPr>
        <w:br w:type="page"/>
      </w:r>
    </w:p>
    <w:p w14:paraId="15C7CACA">
      <w:pPr>
        <w:spacing w:line="360" w:lineRule="auto"/>
        <w:jc w:val="center"/>
        <w:outlineLvl w:val="1"/>
        <w:rPr>
          <w:rFonts w:hint="eastAsia" w:ascii="宋体" w:hAnsi="宋体" w:eastAsia="宋体" w:cs="宋体"/>
          <w:b/>
          <w:color w:val="auto"/>
          <w:sz w:val="28"/>
          <w:highlight w:val="none"/>
        </w:rPr>
      </w:pPr>
      <w:bookmarkStart w:id="18" w:name="_Toc47026335"/>
      <w:r>
        <w:rPr>
          <w:rFonts w:hint="eastAsia" w:ascii="宋体" w:hAnsi="宋体" w:eastAsia="宋体" w:cs="宋体"/>
          <w:b/>
          <w:color w:val="auto"/>
          <w:sz w:val="28"/>
          <w:highlight w:val="none"/>
        </w:rPr>
        <w:t>第四章  评审方法和标准</w:t>
      </w:r>
      <w:bookmarkEnd w:id="18"/>
    </w:p>
    <w:p w14:paraId="2CBB598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14:paraId="2A65BD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本项目将按照磋商文件第二章 投标人须知的相关要求及本章的规定评审。</w:t>
      </w:r>
    </w:p>
    <w:p w14:paraId="1C33DD9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二、评审方法</w:t>
      </w:r>
    </w:p>
    <w:p w14:paraId="0CC83E4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2.1初审</w:t>
      </w:r>
    </w:p>
    <w:p w14:paraId="7908DB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磋商小组对投标人的响应文件进行初审，以确定其是否满足磋商文件的实质性要求。初审表如下：</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20C8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63DFEE5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初审表</w:t>
            </w:r>
          </w:p>
        </w:tc>
      </w:tr>
      <w:tr w14:paraId="7603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93E5CD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53" w:type="dxa"/>
            <w:tcBorders>
              <w:bottom w:val="single" w:color="auto" w:sz="4" w:space="0"/>
            </w:tcBorders>
            <w:vAlign w:val="center"/>
          </w:tcPr>
          <w:p w14:paraId="287C606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评审指标</w:t>
            </w:r>
          </w:p>
        </w:tc>
        <w:tc>
          <w:tcPr>
            <w:tcW w:w="2260" w:type="dxa"/>
            <w:tcBorders>
              <w:bottom w:val="single" w:color="auto" w:sz="4" w:space="0"/>
            </w:tcBorders>
            <w:vAlign w:val="center"/>
          </w:tcPr>
          <w:p w14:paraId="468BF18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评审标准</w:t>
            </w:r>
          </w:p>
        </w:tc>
        <w:tc>
          <w:tcPr>
            <w:tcW w:w="3867" w:type="dxa"/>
            <w:tcBorders>
              <w:bottom w:val="single" w:color="auto" w:sz="4" w:space="0"/>
            </w:tcBorders>
            <w:vAlign w:val="center"/>
          </w:tcPr>
          <w:p w14:paraId="01BE20F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格式及材料要求</w:t>
            </w:r>
          </w:p>
        </w:tc>
      </w:tr>
      <w:tr w14:paraId="698D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785807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3" w:type="dxa"/>
            <w:tcBorders>
              <w:bottom w:val="single" w:color="auto" w:sz="4" w:space="0"/>
            </w:tcBorders>
            <w:vAlign w:val="center"/>
          </w:tcPr>
          <w:p w14:paraId="643363E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营业执照</w:t>
            </w:r>
          </w:p>
        </w:tc>
        <w:tc>
          <w:tcPr>
            <w:tcW w:w="2260" w:type="dxa"/>
            <w:tcBorders>
              <w:bottom w:val="single" w:color="auto" w:sz="4" w:space="0"/>
            </w:tcBorders>
            <w:vAlign w:val="center"/>
          </w:tcPr>
          <w:p w14:paraId="228CB06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restart"/>
            <w:vAlign w:val="center"/>
          </w:tcPr>
          <w:p w14:paraId="0A57E8DD">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有效的投标人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p>
        </w:tc>
      </w:tr>
      <w:tr w14:paraId="524C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47B6703">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3" w:type="dxa"/>
            <w:tcBorders>
              <w:bottom w:val="single" w:color="auto" w:sz="4" w:space="0"/>
            </w:tcBorders>
            <w:vAlign w:val="center"/>
          </w:tcPr>
          <w:p w14:paraId="6D2BC05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税务登记证</w:t>
            </w:r>
          </w:p>
        </w:tc>
        <w:tc>
          <w:tcPr>
            <w:tcW w:w="2260" w:type="dxa"/>
            <w:tcBorders>
              <w:bottom w:val="single" w:color="auto" w:sz="4" w:space="0"/>
            </w:tcBorders>
            <w:vAlign w:val="center"/>
          </w:tcPr>
          <w:p w14:paraId="427DE8A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continue"/>
            <w:tcBorders>
              <w:bottom w:val="single" w:color="auto" w:sz="4" w:space="0"/>
            </w:tcBorders>
            <w:vAlign w:val="center"/>
          </w:tcPr>
          <w:p w14:paraId="735300A4">
            <w:pPr>
              <w:adjustRightInd w:val="0"/>
              <w:snapToGrid w:val="0"/>
              <w:spacing w:line="360" w:lineRule="auto"/>
              <w:ind w:right="-10"/>
              <w:jc w:val="left"/>
              <w:rPr>
                <w:rFonts w:hint="eastAsia" w:ascii="宋体" w:hAnsi="宋体" w:eastAsia="宋体" w:cs="宋体"/>
                <w:color w:val="auto"/>
                <w:sz w:val="24"/>
                <w:highlight w:val="none"/>
              </w:rPr>
            </w:pPr>
          </w:p>
        </w:tc>
      </w:tr>
      <w:tr w14:paraId="6987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5FB1474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53" w:type="dxa"/>
            <w:tcBorders>
              <w:bottom w:val="single" w:color="auto" w:sz="4" w:space="0"/>
            </w:tcBorders>
            <w:vAlign w:val="center"/>
          </w:tcPr>
          <w:p w14:paraId="2F07AA03">
            <w:pPr>
              <w:spacing w:after="50" w:line="360" w:lineRule="auto"/>
              <w:ind w:right="-10"/>
              <w:jc w:val="center"/>
              <w:rPr>
                <w:rFonts w:hint="eastAsia" w:ascii="宋体" w:hAnsi="宋体" w:eastAsia="宋体" w:cs="宋体"/>
                <w:color w:val="auto"/>
                <w:sz w:val="24"/>
                <w:szCs w:val="18"/>
                <w:highlight w:val="none"/>
              </w:rPr>
            </w:pPr>
            <w:r>
              <w:rPr>
                <w:rFonts w:hint="eastAsia" w:ascii="宋体" w:hAnsi="宋体" w:eastAsia="宋体" w:cs="宋体"/>
                <w:b/>
                <w:bCs/>
                <w:color w:val="auto"/>
                <w:sz w:val="24"/>
                <w:szCs w:val="28"/>
                <w:highlight w:val="none"/>
              </w:rPr>
              <w:t>无不良信用记录声明函</w:t>
            </w:r>
          </w:p>
        </w:tc>
        <w:tc>
          <w:tcPr>
            <w:tcW w:w="2260" w:type="dxa"/>
            <w:tcBorders>
              <w:bottom w:val="single" w:color="auto" w:sz="4" w:space="0"/>
            </w:tcBorders>
            <w:vAlign w:val="center"/>
          </w:tcPr>
          <w:p w14:paraId="5411F24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F898389">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详见第六章响应文件格式三</w:t>
            </w:r>
          </w:p>
        </w:tc>
      </w:tr>
      <w:tr w14:paraId="65A2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07BC8CB">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53" w:type="dxa"/>
            <w:tcBorders>
              <w:bottom w:val="single" w:color="auto" w:sz="4" w:space="0"/>
            </w:tcBorders>
            <w:vAlign w:val="center"/>
          </w:tcPr>
          <w:p w14:paraId="47D2E20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磋商响应函</w:t>
            </w:r>
          </w:p>
        </w:tc>
        <w:tc>
          <w:tcPr>
            <w:tcW w:w="2260" w:type="dxa"/>
            <w:tcBorders>
              <w:bottom w:val="single" w:color="auto" w:sz="4" w:space="0"/>
            </w:tcBorders>
            <w:vAlign w:val="center"/>
          </w:tcPr>
          <w:p w14:paraId="0036B91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E67227C">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详见第六章响应文件格式二</w:t>
            </w:r>
          </w:p>
        </w:tc>
      </w:tr>
      <w:tr w14:paraId="260E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21E1FB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53" w:type="dxa"/>
            <w:tcBorders>
              <w:bottom w:val="single" w:color="auto" w:sz="4" w:space="0"/>
            </w:tcBorders>
            <w:vAlign w:val="center"/>
          </w:tcPr>
          <w:p w14:paraId="48B3B87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磋商授权书</w:t>
            </w:r>
          </w:p>
        </w:tc>
        <w:tc>
          <w:tcPr>
            <w:tcW w:w="2260" w:type="dxa"/>
            <w:tcBorders>
              <w:bottom w:val="single" w:color="auto" w:sz="4" w:space="0"/>
            </w:tcBorders>
            <w:vAlign w:val="center"/>
          </w:tcPr>
          <w:p w14:paraId="31B7EF1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785D157B">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法定代表人参加磋商的无需此件，提供身份证明即可</w:t>
            </w:r>
            <w:r>
              <w:rPr>
                <w:rFonts w:hint="eastAsia" w:ascii="宋体" w:hAnsi="宋体" w:eastAsia="宋体" w:cs="宋体"/>
                <w:color w:val="auto"/>
                <w:sz w:val="24"/>
                <w:highlight w:val="none"/>
              </w:rPr>
              <w:t>。详见第六章响应文件格式四</w:t>
            </w:r>
          </w:p>
        </w:tc>
      </w:tr>
      <w:tr w14:paraId="50CA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39893D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53" w:type="dxa"/>
            <w:vAlign w:val="center"/>
          </w:tcPr>
          <w:p w14:paraId="0F6B91F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投标人资质</w:t>
            </w:r>
          </w:p>
          <w:p w14:paraId="2CCA9C4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73DAEFF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符合投标人资格中的资质要求</w:t>
            </w:r>
          </w:p>
        </w:tc>
        <w:tc>
          <w:tcPr>
            <w:tcW w:w="3867" w:type="dxa"/>
            <w:vAlign w:val="center"/>
          </w:tcPr>
          <w:p w14:paraId="3134C733">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szCs w:val="28"/>
                <w:highlight w:val="none"/>
              </w:rPr>
              <w:t>符合投标人资格中要求的</w:t>
            </w:r>
            <w:r>
              <w:rPr>
                <w:rFonts w:hint="eastAsia" w:ascii="宋体" w:hAnsi="宋体" w:eastAsia="宋体" w:cs="宋体"/>
                <w:color w:val="auto"/>
                <w:sz w:val="24"/>
                <w:highlight w:val="none"/>
              </w:rPr>
              <w:t>资质证书扫描件（可编辑）</w:t>
            </w:r>
          </w:p>
        </w:tc>
      </w:tr>
      <w:tr w14:paraId="5852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C90C45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53" w:type="dxa"/>
            <w:vAlign w:val="center"/>
          </w:tcPr>
          <w:p w14:paraId="28C9C594">
            <w:pPr>
              <w:spacing w:after="50" w:line="360" w:lineRule="auto"/>
              <w:ind w:right="-10"/>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初审业绩</w:t>
            </w:r>
          </w:p>
          <w:p w14:paraId="5FAD95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214E694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符合投标人资格中的业绩要求</w:t>
            </w:r>
          </w:p>
        </w:tc>
        <w:tc>
          <w:tcPr>
            <w:tcW w:w="3867" w:type="dxa"/>
            <w:vAlign w:val="center"/>
          </w:tcPr>
          <w:p w14:paraId="5829D80E">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w:t>
            </w:r>
            <w:r>
              <w:rPr>
                <w:rFonts w:hint="eastAsia" w:ascii="宋体" w:hAnsi="宋体" w:eastAsia="宋体" w:cs="宋体"/>
                <w:color w:val="auto"/>
                <w:sz w:val="24"/>
                <w:szCs w:val="28"/>
                <w:highlight w:val="none"/>
              </w:rPr>
              <w:t>投标人资格中</w:t>
            </w:r>
            <w:r>
              <w:rPr>
                <w:rFonts w:hint="eastAsia" w:ascii="宋体" w:hAnsi="宋体" w:eastAsia="宋体" w:cs="宋体"/>
                <w:color w:val="auto"/>
                <w:sz w:val="24"/>
                <w:highlight w:val="none"/>
              </w:rPr>
              <w:t>业绩要求的合同扫描件（可编辑）</w:t>
            </w:r>
          </w:p>
        </w:tc>
      </w:tr>
      <w:tr w14:paraId="5AA1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3116F6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653" w:type="dxa"/>
            <w:vAlign w:val="center"/>
          </w:tcPr>
          <w:p w14:paraId="6EEB3E9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磋商报价</w:t>
            </w:r>
          </w:p>
        </w:tc>
        <w:tc>
          <w:tcPr>
            <w:tcW w:w="2260" w:type="dxa"/>
            <w:vAlign w:val="center"/>
          </w:tcPr>
          <w:p w14:paraId="51CD434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w:t>
            </w:r>
            <w:r>
              <w:rPr>
                <w:rFonts w:hint="eastAsia" w:ascii="宋体" w:hAnsi="宋体" w:eastAsia="宋体" w:cs="宋体"/>
                <w:color w:val="auto"/>
                <w:sz w:val="24"/>
                <w:highlight w:val="none"/>
              </w:rPr>
              <w:t>文件投标人须知正文第12、22条要求</w:t>
            </w:r>
          </w:p>
        </w:tc>
        <w:tc>
          <w:tcPr>
            <w:tcW w:w="3867" w:type="dxa"/>
            <w:vAlign w:val="center"/>
          </w:tcPr>
          <w:p w14:paraId="4A9BEB5D">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详见第六章响应文件格式一</w:t>
            </w:r>
          </w:p>
        </w:tc>
      </w:tr>
      <w:tr w14:paraId="5767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671D35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653" w:type="dxa"/>
            <w:vAlign w:val="center"/>
          </w:tcPr>
          <w:p w14:paraId="07C5650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2260" w:type="dxa"/>
            <w:vAlign w:val="center"/>
          </w:tcPr>
          <w:p w14:paraId="3AC2A99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符合磋商文件招标需求中付款方式、服务期限、服务地点的要求（可编辑）</w:t>
            </w:r>
          </w:p>
        </w:tc>
        <w:tc>
          <w:tcPr>
            <w:tcW w:w="3867" w:type="dxa"/>
            <w:vAlign w:val="center"/>
          </w:tcPr>
          <w:p w14:paraId="58F202F1">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详见第六章响应文件格式五</w:t>
            </w:r>
          </w:p>
        </w:tc>
      </w:tr>
      <w:tr w14:paraId="2975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ACCB9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653" w:type="dxa"/>
            <w:vAlign w:val="center"/>
          </w:tcPr>
          <w:p w14:paraId="1B0BCA62">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文件获取情况</w:t>
            </w:r>
          </w:p>
        </w:tc>
        <w:tc>
          <w:tcPr>
            <w:tcW w:w="2260" w:type="dxa"/>
            <w:vAlign w:val="center"/>
          </w:tcPr>
          <w:p w14:paraId="2E5FD99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在磋商文件获取截 </w:t>
            </w:r>
          </w:p>
          <w:p w14:paraId="2E2BFE81">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止时间前完成磋商 </w:t>
            </w:r>
          </w:p>
          <w:p w14:paraId="68CF639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文件获取</w:t>
            </w:r>
          </w:p>
        </w:tc>
        <w:tc>
          <w:tcPr>
            <w:tcW w:w="3867" w:type="dxa"/>
            <w:vAlign w:val="center"/>
          </w:tcPr>
          <w:p w14:paraId="772D8C8C">
            <w:pPr>
              <w:adjustRightInd w:val="0"/>
              <w:snapToGrid w:val="0"/>
              <w:spacing w:line="360" w:lineRule="auto"/>
              <w:ind w:right="-10"/>
              <w:jc w:val="left"/>
              <w:rPr>
                <w:rFonts w:hint="eastAsia" w:ascii="宋体" w:hAnsi="宋体" w:eastAsia="宋体" w:cs="宋体"/>
                <w:color w:val="auto"/>
                <w:sz w:val="24"/>
                <w:highlight w:val="none"/>
              </w:rPr>
            </w:pPr>
          </w:p>
        </w:tc>
      </w:tr>
      <w:tr w14:paraId="49BE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38A2B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653" w:type="dxa"/>
            <w:vAlign w:val="center"/>
          </w:tcPr>
          <w:p w14:paraId="32C6B43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2260" w:type="dxa"/>
            <w:vAlign w:val="center"/>
          </w:tcPr>
          <w:p w14:paraId="0BFBD61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符合法律、行政法规规定的其他条件或磋商文件列明的其他要求</w:t>
            </w:r>
          </w:p>
        </w:tc>
        <w:tc>
          <w:tcPr>
            <w:tcW w:w="3867" w:type="dxa"/>
            <w:vAlign w:val="center"/>
          </w:tcPr>
          <w:p w14:paraId="57509707">
            <w:pPr>
              <w:adjustRightInd w:val="0"/>
              <w:snapToGrid w:val="0"/>
              <w:spacing w:line="360" w:lineRule="auto"/>
              <w:ind w:right="-10"/>
              <w:jc w:val="left"/>
              <w:rPr>
                <w:rFonts w:hint="eastAsia" w:ascii="宋体" w:hAnsi="宋体" w:eastAsia="宋体" w:cs="宋体"/>
                <w:color w:val="auto"/>
                <w:sz w:val="24"/>
                <w:highlight w:val="none"/>
              </w:rPr>
            </w:pPr>
          </w:p>
        </w:tc>
      </w:tr>
    </w:tbl>
    <w:p w14:paraId="3988B62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投标人必须通过初审表中的全部评审指标。</w:t>
      </w:r>
    </w:p>
    <w:p w14:paraId="4CC1F6E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2.2综合评分</w:t>
      </w:r>
    </w:p>
    <w:p w14:paraId="482AB1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2.2.1磋商小组按照下表对进入综合评分的所有投标人的响应文件进行综合评分。</w:t>
      </w:r>
    </w:p>
    <w:p w14:paraId="28E36A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2.2.2本项目综合评分满分为100分，其中：技术资信分值占总分值的权重为</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%。具体评分细则如下：</w:t>
      </w:r>
    </w:p>
    <w:tbl>
      <w:tblPr>
        <w:tblStyle w:val="2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4421"/>
        <w:gridCol w:w="992"/>
      </w:tblGrid>
      <w:tr w14:paraId="44E8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3AFB17A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412E806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4421" w:type="dxa"/>
            <w:tcBorders>
              <w:top w:val="single" w:color="auto" w:sz="4" w:space="0"/>
              <w:left w:val="single" w:color="auto" w:sz="4" w:space="0"/>
              <w:bottom w:val="single" w:color="auto" w:sz="4" w:space="0"/>
              <w:right w:val="single" w:color="auto" w:sz="4" w:space="0"/>
            </w:tcBorders>
            <w:vAlign w:val="center"/>
          </w:tcPr>
          <w:p w14:paraId="463D2053">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992" w:type="dxa"/>
            <w:tcBorders>
              <w:top w:val="single" w:color="auto" w:sz="4" w:space="0"/>
              <w:left w:val="single" w:color="auto" w:sz="4" w:space="0"/>
              <w:bottom w:val="single" w:color="auto" w:sz="4" w:space="0"/>
              <w:right w:val="single" w:color="auto" w:sz="4" w:space="0"/>
            </w:tcBorders>
            <w:vAlign w:val="center"/>
          </w:tcPr>
          <w:p w14:paraId="741C535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1B6F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2749E2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技术资信分</w:t>
            </w:r>
          </w:p>
          <w:p w14:paraId="43F5087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分）</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765A6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课程及</w:t>
            </w:r>
            <w:r>
              <w:rPr>
                <w:rFonts w:hint="eastAsia" w:ascii="宋体" w:hAnsi="宋体" w:eastAsia="宋体" w:cs="宋体"/>
                <w:color w:val="auto"/>
                <w:sz w:val="24"/>
                <w:highlight w:val="none"/>
                <w:lang w:val="en-US" w:eastAsia="zh-CN"/>
              </w:rPr>
              <w:t>活动</w:t>
            </w:r>
            <w:r>
              <w:rPr>
                <w:rFonts w:hint="eastAsia" w:ascii="宋体" w:hAnsi="宋体" w:eastAsia="宋体" w:cs="宋体"/>
                <w:color w:val="auto"/>
                <w:sz w:val="24"/>
                <w:highlight w:val="none"/>
              </w:rPr>
              <w:t>服务方案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DACC0C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w:t>
            </w:r>
            <w:r>
              <w:rPr>
                <w:rFonts w:hint="eastAsia" w:ascii="宋体" w:hAnsi="宋体" w:eastAsia="宋体" w:cs="宋体"/>
                <w:b/>
                <w:bCs/>
                <w:color w:val="auto"/>
                <w:sz w:val="24"/>
                <w:szCs w:val="24"/>
                <w:highlight w:val="none"/>
              </w:rPr>
              <w:t>课程</w:t>
            </w:r>
            <w:r>
              <w:rPr>
                <w:rFonts w:hint="eastAsia" w:ascii="宋体" w:hAnsi="宋体" w:eastAsia="宋体" w:cs="宋体"/>
                <w:b/>
                <w:bCs/>
                <w:color w:val="auto"/>
                <w:sz w:val="24"/>
                <w:highlight w:val="none"/>
              </w:rPr>
              <w:t>及赛事服务方案</w:t>
            </w:r>
            <w:r>
              <w:rPr>
                <w:rFonts w:hint="eastAsia" w:ascii="宋体" w:hAnsi="宋体" w:eastAsia="宋体" w:cs="宋体"/>
                <w:color w:val="auto"/>
                <w:sz w:val="24"/>
                <w:szCs w:val="24"/>
                <w:highlight w:val="none"/>
              </w:rPr>
              <w:t>，包含但不限于课程内容体系、课程材料和设备设施需求详情、赛事</w:t>
            </w:r>
            <w:r>
              <w:rPr>
                <w:rFonts w:hint="eastAsia" w:ascii="宋体" w:hAnsi="宋体" w:eastAsia="宋体" w:cs="宋体"/>
                <w:color w:val="auto"/>
                <w:sz w:val="24"/>
                <w:szCs w:val="24"/>
                <w:highlight w:val="none"/>
                <w:lang w:val="en-US" w:eastAsia="zh-CN"/>
              </w:rPr>
              <w:t>考级活动</w:t>
            </w:r>
            <w:r>
              <w:rPr>
                <w:rFonts w:hint="eastAsia" w:ascii="宋体" w:hAnsi="宋体" w:eastAsia="宋体" w:cs="宋体"/>
                <w:color w:val="auto"/>
                <w:sz w:val="24"/>
                <w:szCs w:val="24"/>
                <w:highlight w:val="none"/>
              </w:rPr>
              <w:t>组织执行计划等。</w:t>
            </w:r>
          </w:p>
          <w:p w14:paraId="0EA3D81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05EF006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61C00E21">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5493DDD9">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755E313A">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00F44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4DDA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106F525">
            <w:pPr>
              <w:spacing w:line="360" w:lineRule="auto"/>
              <w:jc w:val="center"/>
              <w:rPr>
                <w:rFonts w:hint="eastAsia" w:ascii="宋体" w:hAnsi="宋体" w:eastAsia="宋体" w:cs="宋体"/>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623459C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师资配备方案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2E2F59C1">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w:t>
            </w:r>
            <w:r>
              <w:rPr>
                <w:rFonts w:hint="eastAsia" w:ascii="宋体" w:hAnsi="宋体" w:eastAsia="宋体" w:cs="宋体"/>
                <w:b/>
                <w:bCs/>
                <w:color w:val="auto"/>
                <w:sz w:val="24"/>
                <w:szCs w:val="24"/>
                <w:highlight w:val="none"/>
              </w:rPr>
              <w:t>人员配置方案</w:t>
            </w:r>
            <w:r>
              <w:rPr>
                <w:rFonts w:hint="eastAsia" w:ascii="宋体" w:hAnsi="宋体" w:eastAsia="宋体" w:cs="宋体"/>
                <w:color w:val="auto"/>
                <w:sz w:val="24"/>
                <w:szCs w:val="24"/>
                <w:highlight w:val="none"/>
              </w:rPr>
              <w:t>（原则要求每班配置一名</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教师，打分结合教师配置人员的方案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师资水平</w:t>
            </w:r>
            <w:r>
              <w:rPr>
                <w:rFonts w:hint="eastAsia" w:ascii="宋体" w:hAnsi="宋体" w:eastAsia="宋体" w:cs="宋体"/>
                <w:color w:val="auto"/>
                <w:sz w:val="24"/>
                <w:szCs w:val="24"/>
                <w:highlight w:val="none"/>
              </w:rPr>
              <w:t>），包含但不限于对应科目从教老师数量、教师职称及资质、教师从业年限与荣誉、岗位职责、计划带班学生数量，以及对各类人员的培训计划、考核机制、奖罚机制等，由评标委员会进行综合评审：</w:t>
            </w:r>
          </w:p>
          <w:p w14:paraId="679D31B6">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（1）方案详尽准确，科学合理的，得</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4ADFF17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（2）方案较详尽准确，较科学合理的，得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p w14:paraId="27645D70">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（3）方案详尽准确性一般，科学合理性一般的，得1≤F≤</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77B2B48C">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其他或未提供的不得分。</w:t>
            </w:r>
          </w:p>
          <w:p w14:paraId="0D636A63">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2BA55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2754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28C825A">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E80FE90">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安全保障方案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587E1A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投标人针对课后服务过程中可能出现的安全问题提供安全保障方案，包含但不限于</w:t>
            </w:r>
            <w:r>
              <w:rPr>
                <w:rFonts w:hint="eastAsia" w:ascii="宋体" w:hAnsi="宋体" w:eastAsia="宋体" w:cs="宋体"/>
                <w:b/>
                <w:bCs w:val="0"/>
                <w:color w:val="auto"/>
                <w:sz w:val="24"/>
                <w:highlight w:val="none"/>
              </w:rPr>
              <w:t>安全制度</w:t>
            </w:r>
            <w:r>
              <w:rPr>
                <w:rFonts w:hint="eastAsia" w:ascii="宋体" w:hAnsi="宋体" w:eastAsia="宋体" w:cs="宋体"/>
                <w:bCs/>
                <w:color w:val="auto"/>
                <w:sz w:val="24"/>
                <w:highlight w:val="none"/>
              </w:rPr>
              <w:t>（消防安全教育及培训制度、学生身体健康保障制度、学生安全疏散设施管理制度、参与承办赛事安全制度、设施设备保障制度等）</w:t>
            </w:r>
            <w:r>
              <w:rPr>
                <w:rFonts w:hint="eastAsia" w:ascii="宋体" w:hAnsi="宋体" w:eastAsia="宋体" w:cs="宋体"/>
                <w:b/>
                <w:bCs w:val="0"/>
                <w:color w:val="auto"/>
                <w:sz w:val="24"/>
                <w:highlight w:val="none"/>
              </w:rPr>
              <w:t>、突发事件应急方案、保障措施、参保方案</w:t>
            </w:r>
            <w:r>
              <w:rPr>
                <w:rFonts w:hint="eastAsia" w:ascii="宋体" w:hAnsi="宋体" w:eastAsia="宋体" w:cs="宋体"/>
                <w:bCs/>
                <w:color w:val="auto"/>
                <w:sz w:val="24"/>
                <w:highlight w:val="none"/>
              </w:rPr>
              <w:t>等，由评标委员会进行综合评审：</w:t>
            </w:r>
          </w:p>
          <w:p w14:paraId="28419B4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460E2A65">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1DE100D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672AC67C">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4CEBCB4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06D7DB">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6F5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3D2F6D4A">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15FFF7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p w14:paraId="5D88652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服务经验</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0728361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自2019年1月1日以来（以合同签订时间为准），投标人或投标人分公司或投标人全资子公司或投标人控股子公司（持股比例高于50%）</w:t>
            </w:r>
            <w:r>
              <w:rPr>
                <w:rFonts w:hint="eastAsia" w:ascii="宋体" w:hAnsi="宋体" w:eastAsia="宋体" w:cs="宋体"/>
                <w:color w:val="auto"/>
                <w:sz w:val="24"/>
                <w:szCs w:val="24"/>
                <w:highlight w:val="none"/>
                <w:lang w:val="en-US" w:eastAsia="zh-CN"/>
              </w:rPr>
              <w:t>每具有一个标段对应课程的</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课后服务合同或</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w:t>
            </w:r>
            <w:r>
              <w:rPr>
                <w:rFonts w:hint="eastAsia" w:ascii="宋体" w:hAnsi="宋体" w:eastAsia="宋体" w:cs="宋体"/>
                <w:b/>
                <w:bCs/>
                <w:color w:val="auto"/>
                <w:sz w:val="24"/>
                <w:szCs w:val="24"/>
                <w:highlight w:val="none"/>
              </w:rPr>
              <w:t>赛事活动</w:t>
            </w:r>
            <w:r>
              <w:rPr>
                <w:rFonts w:hint="eastAsia" w:ascii="宋体" w:hAnsi="宋体" w:eastAsia="宋体" w:cs="宋体"/>
                <w:b/>
                <w:bCs/>
                <w:color w:val="auto"/>
                <w:sz w:val="24"/>
                <w:szCs w:val="24"/>
                <w:highlight w:val="none"/>
                <w:lang w:val="en-US" w:eastAsia="zh-CN"/>
              </w:rPr>
              <w:t>服务合同</w:t>
            </w:r>
            <w:r>
              <w:rPr>
                <w:rFonts w:hint="eastAsia" w:ascii="宋体" w:hAnsi="宋体" w:eastAsia="宋体" w:cs="宋体"/>
                <w:color w:val="auto"/>
                <w:sz w:val="24"/>
                <w:szCs w:val="24"/>
                <w:highlight w:val="none"/>
                <w:lang w:val="en-US" w:eastAsia="zh-CN"/>
              </w:rPr>
              <w:t>的，每提供1个，得5分。</w:t>
            </w:r>
          </w:p>
          <w:p w14:paraId="13D35701">
            <w:pPr>
              <w:spacing w:line="400" w:lineRule="atLeast"/>
              <w:ind w:right="-1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p>
          <w:p w14:paraId="6E3EDB9F">
            <w:pPr>
              <w:spacing w:line="400" w:lineRule="atLeast"/>
              <w:ind w:right="-1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（1）本项满分</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p w14:paraId="50099B91">
            <w:pPr>
              <w:spacing w:line="400" w:lineRule="atLeast"/>
              <w:ind w:right="-11"/>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投标文件中须提供中小学课后服务或</w:t>
            </w:r>
            <w:r>
              <w:rPr>
                <w:rFonts w:hint="eastAsia" w:ascii="宋体" w:hAnsi="宋体" w:eastAsia="宋体" w:cs="宋体"/>
                <w:b w:val="0"/>
                <w:bCs w:val="0"/>
                <w:color w:val="auto"/>
                <w:sz w:val="24"/>
                <w:szCs w:val="24"/>
                <w:highlight w:val="none"/>
              </w:rPr>
              <w:t>中小学</w:t>
            </w:r>
            <w:r>
              <w:rPr>
                <w:rFonts w:hint="eastAsia" w:ascii="宋体" w:hAnsi="宋体" w:eastAsia="宋体" w:cs="宋体"/>
                <w:b w:val="0"/>
                <w:bCs w:val="0"/>
                <w:color w:val="auto"/>
                <w:sz w:val="24"/>
                <w:szCs w:val="24"/>
                <w:highlight w:val="none"/>
                <w:lang w:val="en-US" w:eastAsia="zh-CN"/>
              </w:rPr>
              <w:t>课后</w:t>
            </w:r>
            <w:r>
              <w:rPr>
                <w:rFonts w:hint="eastAsia" w:ascii="宋体" w:hAnsi="宋体" w:eastAsia="宋体" w:cs="宋体"/>
                <w:b w:val="0"/>
                <w:bCs w:val="0"/>
                <w:color w:val="auto"/>
                <w:sz w:val="24"/>
                <w:szCs w:val="24"/>
                <w:highlight w:val="none"/>
              </w:rPr>
              <w:t>赛事活动</w:t>
            </w:r>
            <w:r>
              <w:rPr>
                <w:rFonts w:hint="eastAsia" w:ascii="宋体" w:hAnsi="宋体" w:eastAsia="宋体" w:cs="宋体"/>
                <w:b w:val="0"/>
                <w:bCs w:val="0"/>
                <w:color w:val="auto"/>
                <w:sz w:val="24"/>
                <w:szCs w:val="24"/>
                <w:highlight w:val="none"/>
                <w:lang w:val="en-US" w:eastAsia="zh-CN"/>
              </w:rPr>
              <w:t>服务合同复印件并加盖公章，如无法反映服务内容或合同签订时间等重要信息的，须提供合同甲方的证明文件原件</w:t>
            </w:r>
            <w:r>
              <w:rPr>
                <w:rFonts w:hint="eastAsia" w:ascii="宋体" w:hAnsi="宋体" w:eastAsia="宋体" w:cs="宋体"/>
                <w:b w:val="0"/>
                <w:bCs w:val="0"/>
                <w:color w:val="auto"/>
                <w:sz w:val="24"/>
                <w:szCs w:val="24"/>
                <w:highlight w:val="none"/>
              </w:rPr>
              <w:t>。</w:t>
            </w:r>
          </w:p>
          <w:p w14:paraId="2BDB612F">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若提供的业绩为投标人分公司业绩，投标文件还须提供分公司营业执照扫描件；若为投标人全资子公司或投标人控股子公司（持股比例高于50%）业绩的，还须提供投标人持有该公司股权的证明文件（国家企业信用信息公示系统网站截图（www.gsxt.gov.cn）或行政主管部门出具的证明材料）。</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B876C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0-10</w:t>
            </w:r>
            <w:r>
              <w:rPr>
                <w:rFonts w:hint="eastAsia" w:ascii="宋体" w:hAnsi="宋体" w:eastAsia="宋体" w:cs="宋体"/>
                <w:b/>
                <w:bCs/>
                <w:color w:val="auto"/>
                <w:sz w:val="24"/>
                <w:highlight w:val="none"/>
              </w:rPr>
              <w:t>分</w:t>
            </w:r>
          </w:p>
        </w:tc>
      </w:tr>
      <w:tr w14:paraId="1CC2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5D67F42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价格分</w:t>
            </w:r>
          </w:p>
          <w:p w14:paraId="7FBDD3A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w:t>
            </w:r>
          </w:p>
        </w:tc>
        <w:tc>
          <w:tcPr>
            <w:tcW w:w="7127" w:type="dxa"/>
            <w:gridSpan w:val="3"/>
            <w:tcBorders>
              <w:top w:val="single" w:color="auto" w:sz="4" w:space="0"/>
              <w:left w:val="single" w:color="auto" w:sz="4" w:space="0"/>
              <w:bottom w:val="single" w:color="auto" w:sz="4" w:space="0"/>
              <w:right w:val="single" w:color="auto" w:sz="4" w:space="0"/>
            </w:tcBorders>
            <w:vAlign w:val="center"/>
          </w:tcPr>
          <w:p w14:paraId="783E7D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价格分统一采用低价优先法（投标人分成比例报价越低，</w:t>
            </w:r>
            <w:r>
              <w:rPr>
                <w:rFonts w:hint="eastAsia" w:ascii="宋体" w:hAnsi="宋体" w:eastAsia="宋体" w:cs="宋体"/>
                <w:color w:val="auto"/>
                <w:sz w:val="24"/>
                <w:highlight w:val="none"/>
                <w:lang w:val="en-US" w:eastAsia="zh-CN"/>
              </w:rPr>
              <w:t>价格</w:t>
            </w:r>
            <w:r>
              <w:rPr>
                <w:rFonts w:hint="eastAsia" w:ascii="宋体" w:hAnsi="宋体" w:eastAsia="宋体" w:cs="宋体"/>
                <w:color w:val="auto"/>
                <w:sz w:val="24"/>
                <w:highlight w:val="none"/>
              </w:rPr>
              <w:t>分越高），按照营业额收入分成比例报价，即满足磋商文件要求且投标人分成比例最低的最后报价为评标基准价，其价格分为满分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分。其他投标人的价格分统一按照下列公式计算(计算结果保留两位小数)：</w:t>
            </w:r>
          </w:p>
          <w:p w14:paraId="31B9F021">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报价得分＝（评标基准价/报价）×100%×</w:t>
            </w:r>
            <w:r>
              <w:rPr>
                <w:rFonts w:hint="eastAsia" w:ascii="宋体" w:hAnsi="宋体" w:eastAsia="宋体" w:cs="宋体"/>
                <w:color w:val="auto"/>
                <w:sz w:val="24"/>
                <w:highlight w:val="none"/>
                <w:lang w:val="en-US" w:eastAsia="zh-CN"/>
              </w:rPr>
              <w:t>30</w:t>
            </w:r>
          </w:p>
        </w:tc>
      </w:tr>
    </w:tbl>
    <w:p w14:paraId="7613336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2.2.3分值汇总</w:t>
      </w:r>
    </w:p>
    <w:p w14:paraId="59A75F90">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磋商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7DBEDAF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（2）将每个投标人的技术资信分加上根据上述标准计算出的价格分，即为该投标人的综合总得分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综合总得分最高的，作为第一中标候选人，综合总得分相同的，按价格分高的作为中标候选人,如价格分仍相同的，由磋商小组成员采用投票方式决定中标候选人。</w:t>
      </w:r>
    </w:p>
    <w:p w14:paraId="6CEA8F01">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D7D15D1">
      <w:pPr>
        <w:spacing w:line="360" w:lineRule="auto"/>
        <w:jc w:val="center"/>
        <w:outlineLvl w:val="1"/>
        <w:rPr>
          <w:rFonts w:hint="eastAsia" w:ascii="宋体" w:hAnsi="宋体" w:eastAsia="宋体" w:cs="宋体"/>
          <w:b/>
          <w:color w:val="auto"/>
          <w:sz w:val="28"/>
          <w:highlight w:val="none"/>
        </w:rPr>
      </w:pPr>
      <w:bookmarkStart w:id="19" w:name="_Toc47026336"/>
      <w:r>
        <w:rPr>
          <w:rFonts w:hint="eastAsia" w:ascii="宋体" w:hAnsi="宋体" w:eastAsia="宋体" w:cs="宋体"/>
          <w:b/>
          <w:color w:val="auto"/>
          <w:sz w:val="28"/>
          <w:highlight w:val="none"/>
        </w:rPr>
        <w:t>第五章  合同模板</w:t>
      </w:r>
      <w:bookmarkEnd w:id="19"/>
    </w:p>
    <w:p w14:paraId="42BAE7E4">
      <w:pPr>
        <w:spacing w:line="480" w:lineRule="auto"/>
        <w:jc w:val="center"/>
        <w:rPr>
          <w:rFonts w:hint="eastAsia" w:ascii="宋体" w:hAnsi="宋体" w:eastAsia="宋体" w:cs="宋体"/>
          <w:b/>
          <w:color w:val="auto"/>
          <w:sz w:val="24"/>
          <w:highlight w:val="none"/>
        </w:rPr>
      </w:pPr>
    </w:p>
    <w:p w14:paraId="2D7CA30F">
      <w:pPr>
        <w:spacing w:line="480" w:lineRule="auto"/>
        <w:jc w:val="both"/>
        <w:rPr>
          <w:rFonts w:hint="eastAsia" w:ascii="宋体" w:hAnsi="宋体" w:eastAsia="宋体" w:cs="宋体"/>
          <w:b/>
          <w:color w:val="auto"/>
          <w:sz w:val="24"/>
          <w:highlight w:val="none"/>
        </w:rPr>
      </w:pPr>
    </w:p>
    <w:p w14:paraId="21882EB9">
      <w:pPr>
        <w:spacing w:line="48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合同</w:t>
      </w:r>
      <w:r>
        <w:rPr>
          <w:rFonts w:hint="eastAsia" w:ascii="宋体" w:hAnsi="宋体" w:eastAsia="宋体" w:cs="宋体"/>
          <w:b/>
          <w:color w:val="auto"/>
          <w:sz w:val="32"/>
          <w:szCs w:val="32"/>
          <w:highlight w:val="none"/>
          <w:lang w:val="en-US" w:eastAsia="zh-CN"/>
        </w:rPr>
        <w:t>协议</w:t>
      </w:r>
    </w:p>
    <w:p w14:paraId="0075327F">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（服务类）</w:t>
      </w:r>
    </w:p>
    <w:p w14:paraId="2B1EE9F6">
      <w:pPr>
        <w:spacing w:line="480" w:lineRule="auto"/>
        <w:jc w:val="center"/>
        <w:rPr>
          <w:rFonts w:hint="eastAsia" w:ascii="宋体" w:hAnsi="宋体" w:eastAsia="宋体" w:cs="宋体"/>
          <w:b/>
          <w:color w:val="auto"/>
          <w:sz w:val="24"/>
          <w:highlight w:val="none"/>
        </w:rPr>
      </w:pPr>
    </w:p>
    <w:p w14:paraId="5C024235">
      <w:pPr>
        <w:spacing w:line="480" w:lineRule="auto"/>
        <w:jc w:val="center"/>
        <w:rPr>
          <w:rFonts w:hint="eastAsia" w:ascii="宋体" w:hAnsi="宋体" w:eastAsia="宋体" w:cs="宋体"/>
          <w:b/>
          <w:color w:val="auto"/>
          <w:sz w:val="24"/>
          <w:highlight w:val="none"/>
        </w:rPr>
      </w:pPr>
    </w:p>
    <w:p w14:paraId="5DB2C74D">
      <w:pPr>
        <w:spacing w:line="480" w:lineRule="auto"/>
        <w:jc w:val="center"/>
        <w:rPr>
          <w:rFonts w:hint="eastAsia" w:ascii="宋体" w:hAnsi="宋体" w:eastAsia="宋体" w:cs="宋体"/>
          <w:b/>
          <w:color w:val="auto"/>
          <w:sz w:val="24"/>
          <w:highlight w:val="none"/>
        </w:rPr>
      </w:pPr>
    </w:p>
    <w:p w14:paraId="2E94C79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第一部分 合同书</w:t>
      </w:r>
    </w:p>
    <w:p w14:paraId="1CBAA86E">
      <w:pPr>
        <w:spacing w:line="480" w:lineRule="auto"/>
        <w:jc w:val="center"/>
        <w:rPr>
          <w:rFonts w:hint="eastAsia" w:ascii="宋体" w:hAnsi="宋体" w:eastAsia="宋体" w:cs="宋体"/>
          <w:b/>
          <w:color w:val="auto"/>
          <w:sz w:val="24"/>
          <w:highlight w:val="none"/>
        </w:rPr>
      </w:pPr>
    </w:p>
    <w:p w14:paraId="3FDC47FF">
      <w:pPr>
        <w:spacing w:line="480" w:lineRule="auto"/>
        <w:jc w:val="center"/>
        <w:rPr>
          <w:rFonts w:hint="eastAsia" w:ascii="宋体" w:hAnsi="宋体" w:eastAsia="宋体" w:cs="宋体"/>
          <w:b/>
          <w:color w:val="auto"/>
          <w:sz w:val="24"/>
          <w:highlight w:val="none"/>
        </w:rPr>
      </w:pPr>
    </w:p>
    <w:p w14:paraId="00C2D8C8">
      <w:pPr>
        <w:spacing w:line="480" w:lineRule="auto"/>
        <w:jc w:val="center"/>
        <w:rPr>
          <w:rFonts w:hint="eastAsia" w:ascii="宋体" w:hAnsi="宋体" w:eastAsia="宋体" w:cs="宋体"/>
          <w:b/>
          <w:color w:val="auto"/>
          <w:sz w:val="24"/>
          <w:highlight w:val="none"/>
        </w:rPr>
      </w:pPr>
    </w:p>
    <w:p w14:paraId="4E032DA6">
      <w:pPr>
        <w:spacing w:before="120" w:line="480" w:lineRule="auto"/>
        <w:ind w:left="960"/>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包河区体艺中心合肥市华山路小学课程服务单位招标</w:t>
      </w:r>
      <w:r>
        <w:rPr>
          <w:rFonts w:hint="eastAsia" w:ascii="宋体" w:hAnsi="宋体" w:eastAsia="宋体" w:cs="宋体"/>
          <w:color w:val="auto"/>
          <w:sz w:val="24"/>
          <w:highlight w:val="none"/>
          <w:u w:val="single"/>
          <w:lang w:val="en-US" w:eastAsia="zh-CN"/>
        </w:rPr>
        <w:t>第X标段</w:t>
      </w:r>
    </w:p>
    <w:p w14:paraId="6AFB0D99">
      <w:pPr>
        <w:spacing w:before="120" w:line="480" w:lineRule="auto"/>
        <w:ind w:left="96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-ZTB-2025-28</w:t>
      </w:r>
    </w:p>
    <w:p w14:paraId="3C459926">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甲方（招标人）：</w:t>
      </w:r>
      <w:r>
        <w:rPr>
          <w:rFonts w:hint="eastAsia" w:ascii="宋体" w:hAnsi="宋体" w:eastAsia="宋体" w:cs="宋体"/>
          <w:color w:val="auto"/>
          <w:sz w:val="24"/>
          <w:highlight w:val="none"/>
          <w:u w:val="single"/>
        </w:rPr>
        <w:t xml:space="preserve">                              </w:t>
      </w:r>
    </w:p>
    <w:p w14:paraId="5511164D">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乙方（中标人）：</w:t>
      </w:r>
      <w:r>
        <w:rPr>
          <w:rFonts w:hint="eastAsia" w:ascii="宋体" w:hAnsi="宋体" w:eastAsia="宋体" w:cs="宋体"/>
          <w:color w:val="auto"/>
          <w:sz w:val="24"/>
          <w:highlight w:val="none"/>
          <w:u w:val="single"/>
        </w:rPr>
        <w:t xml:space="preserve">                              </w:t>
      </w:r>
    </w:p>
    <w:p w14:paraId="0B917D77">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6786EA83">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5A72821">
      <w:pPr>
        <w:autoSpaceDE w:val="0"/>
        <w:autoSpaceDN w:val="0"/>
        <w:adjustRightInd w:val="0"/>
        <w:spacing w:line="600" w:lineRule="exact"/>
        <w:ind w:firstLine="640"/>
        <w:jc w:val="center"/>
        <w:rPr>
          <w:rFonts w:hint="eastAsia" w:ascii="宋体" w:hAnsi="宋体" w:eastAsia="宋体" w:cs="宋体"/>
          <w:color w:val="auto"/>
          <w:sz w:val="24"/>
          <w:highlight w:val="none"/>
        </w:rPr>
        <w:sectPr>
          <w:footerReference r:id="rId5" w:type="default"/>
          <w:pgSz w:w="11907" w:h="16840"/>
          <w:pgMar w:top="1474" w:right="1814" w:bottom="1474" w:left="1814" w:header="851" w:footer="992" w:gutter="0"/>
          <w:cols w:space="720" w:num="1"/>
          <w:docGrid w:linePitch="462" w:charSpace="0"/>
        </w:sectPr>
      </w:pPr>
    </w:p>
    <w:p w14:paraId="41FA1053">
      <w:pPr>
        <w:spacing w:line="360" w:lineRule="auto"/>
        <w:ind w:firstLine="435"/>
        <w:rPr>
          <w:rFonts w:hint="eastAsia" w:ascii="宋体" w:hAnsi="宋体" w:eastAsia="宋体" w:cs="宋体"/>
          <w:color w:val="auto"/>
          <w:sz w:val="24"/>
          <w:highlight w:val="none"/>
        </w:rPr>
      </w:pPr>
      <w:bookmarkStart w:id="20" w:name="_Toc2846"/>
      <w:bookmarkStart w:id="21" w:name="_Toc19304"/>
      <w:bookmarkStart w:id="22" w:name="_Toc32071"/>
      <w:r>
        <w:rPr>
          <w:rFonts w:hint="eastAsia" w:ascii="宋体" w:hAnsi="宋体" w:eastAsia="宋体" w:cs="宋体"/>
          <w:color w:val="auto"/>
          <w:sz w:val="24"/>
          <w:highlight w:val="none"/>
          <w:u w:val="single"/>
        </w:rPr>
        <w:t>合肥滨湖时光体育发展有限公司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竞争性磋商</w:t>
      </w:r>
      <w:r>
        <w:rPr>
          <w:rFonts w:hint="eastAsia" w:ascii="宋体" w:hAnsi="宋体" w:eastAsia="宋体" w:cs="宋体"/>
          <w:color w:val="auto"/>
          <w:sz w:val="24"/>
          <w:highlight w:val="none"/>
        </w:rPr>
        <w:t>方式招标活动，经</w:t>
      </w:r>
      <w:r>
        <w:rPr>
          <w:rFonts w:hint="eastAsia" w:ascii="宋体" w:hAnsi="宋体" w:eastAsia="宋体" w:cs="宋体"/>
          <w:color w:val="auto"/>
          <w:sz w:val="24"/>
          <w:highlight w:val="none"/>
          <w:u w:val="single"/>
        </w:rPr>
        <w:t>磋商小组</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lang w:val="en-US" w:eastAsia="zh-CN"/>
        </w:rPr>
        <w:t>XX</w:t>
      </w:r>
      <w:r>
        <w:rPr>
          <w:rFonts w:hint="eastAsia" w:ascii="宋体" w:hAnsi="宋体" w:eastAsia="宋体" w:cs="宋体"/>
          <w:color w:val="auto"/>
          <w:sz w:val="24"/>
          <w:highlight w:val="none"/>
          <w:u w:val="single"/>
        </w:rPr>
        <w:t>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，现按照磋商文件确定的事项签订本合同。</w:t>
      </w:r>
    </w:p>
    <w:p w14:paraId="1D7CA61A">
      <w:pPr>
        <w:spacing w:line="360" w:lineRule="auto"/>
        <w:ind w:firstLine="435"/>
        <w:rPr>
          <w:rFonts w:hint="eastAsia" w:ascii="宋体" w:hAnsi="宋体" w:eastAsia="宋体" w:cs="宋体"/>
          <w:color w:val="auto"/>
          <w:sz w:val="24"/>
          <w:highlight w:val="none"/>
          <w:lang w:val="zh-CN"/>
        </w:rPr>
      </w:pPr>
      <w:bookmarkStart w:id="23" w:name="_Toc3029"/>
      <w:bookmarkStart w:id="24" w:name="_Toc24059"/>
      <w:bookmarkStart w:id="25" w:name="_Toc2232"/>
      <w:r>
        <w:rPr>
          <w:rFonts w:hint="eastAsia" w:ascii="宋体" w:hAnsi="宋体" w:eastAsia="宋体" w:cs="宋体"/>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330E5072">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1.1 合同组成部分</w:t>
      </w:r>
      <w:bookmarkEnd w:id="23"/>
      <w:bookmarkEnd w:id="24"/>
      <w:bookmarkEnd w:id="25"/>
    </w:p>
    <w:p w14:paraId="36A07E83">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5A8284C">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1.1.1本合同及其补充合同、变更协议；</w:t>
      </w:r>
    </w:p>
    <w:p w14:paraId="12E0D568">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1.1.2中标通知书；</w:t>
      </w:r>
    </w:p>
    <w:p w14:paraId="090D526F">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1.1.3响应文件（含澄清或者说明文件）；</w:t>
      </w:r>
    </w:p>
    <w:p w14:paraId="1B8EB6C7">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1.1.4磋商文件（含澄清或者修改文件）；</w:t>
      </w:r>
    </w:p>
    <w:p w14:paraId="3ABA3938">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1.1.5其他相关采购文件。</w:t>
      </w:r>
    </w:p>
    <w:p w14:paraId="5644E14B">
      <w:pPr>
        <w:spacing w:line="360" w:lineRule="auto"/>
        <w:ind w:firstLine="437"/>
        <w:outlineLvl w:val="3"/>
        <w:rPr>
          <w:rFonts w:hint="eastAsia" w:ascii="宋体" w:hAnsi="宋体" w:eastAsia="宋体" w:cs="宋体"/>
          <w:b/>
          <w:bCs/>
          <w:color w:val="auto"/>
          <w:sz w:val="24"/>
          <w:highlight w:val="none"/>
          <w:lang w:val="zh-CN"/>
        </w:rPr>
      </w:pPr>
      <w:bookmarkStart w:id="26" w:name="_Toc2918"/>
      <w:bookmarkStart w:id="27" w:name="_Toc18585"/>
      <w:bookmarkStart w:id="28" w:name="_Toc6773"/>
      <w:bookmarkStart w:id="29" w:name="_Toc22185"/>
      <w:bookmarkStart w:id="30" w:name="_Toc6311"/>
      <w:r>
        <w:rPr>
          <w:rFonts w:hint="eastAsia" w:ascii="宋体" w:hAnsi="宋体" w:eastAsia="宋体" w:cs="宋体"/>
          <w:b/>
          <w:bCs/>
          <w:color w:val="auto"/>
          <w:sz w:val="24"/>
          <w:highlight w:val="none"/>
          <w:lang w:val="zh-CN"/>
        </w:rPr>
        <w:t xml:space="preserve">1.2 </w:t>
      </w:r>
      <w:bookmarkEnd w:id="26"/>
      <w:bookmarkEnd w:id="27"/>
      <w:bookmarkEnd w:id="28"/>
      <w:bookmarkEnd w:id="29"/>
      <w:bookmarkEnd w:id="30"/>
      <w:r>
        <w:rPr>
          <w:rFonts w:hint="eastAsia" w:ascii="宋体" w:hAnsi="宋体" w:eastAsia="宋体" w:cs="宋体"/>
          <w:b/>
          <w:bCs/>
          <w:color w:val="auto"/>
          <w:sz w:val="24"/>
          <w:highlight w:val="none"/>
          <w:lang w:val="zh-CN"/>
        </w:rPr>
        <w:t>服务</w:t>
      </w:r>
    </w:p>
    <w:p w14:paraId="17A0A295">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1.2.1服务名称：</w:t>
      </w:r>
      <w:r>
        <w:rPr>
          <w:rFonts w:hint="eastAsia" w:ascii="宋体" w:hAnsi="宋体" w:eastAsia="宋体" w:cs="宋体"/>
          <w:color w:val="auto"/>
          <w:sz w:val="24"/>
          <w:highlight w:val="none"/>
          <w:u w:val="single"/>
          <w:lang w:eastAsia="zh-CN"/>
        </w:rPr>
        <w:t>包河区体艺中心合肥市</w:t>
      </w:r>
      <w:r>
        <w:rPr>
          <w:rFonts w:hint="eastAsia" w:ascii="宋体" w:hAnsi="宋体" w:eastAsia="宋体" w:cs="宋体"/>
          <w:color w:val="auto"/>
          <w:sz w:val="24"/>
          <w:highlight w:val="none"/>
          <w:u w:val="single"/>
          <w:lang w:val="en-US" w:eastAsia="zh-CN"/>
        </w:rPr>
        <w:t>华山路</w:t>
      </w:r>
      <w:r>
        <w:rPr>
          <w:rFonts w:hint="eastAsia" w:ascii="宋体" w:hAnsi="宋体" w:eastAsia="宋体" w:cs="宋体"/>
          <w:color w:val="auto"/>
          <w:sz w:val="24"/>
          <w:highlight w:val="none"/>
          <w:u w:val="single"/>
          <w:lang w:eastAsia="zh-CN"/>
        </w:rPr>
        <w:t>小学课程服务单位招标</w:t>
      </w:r>
      <w:r>
        <w:rPr>
          <w:rFonts w:hint="eastAsia" w:ascii="宋体" w:hAnsi="宋体" w:eastAsia="宋体" w:cs="宋体"/>
          <w:color w:val="auto"/>
          <w:sz w:val="24"/>
          <w:highlight w:val="none"/>
          <w:u w:val="single"/>
          <w:lang w:val="en-US" w:eastAsia="zh-CN"/>
        </w:rPr>
        <w:t>第X标段</w:t>
      </w:r>
      <w:r>
        <w:rPr>
          <w:rFonts w:hint="eastAsia" w:ascii="宋体" w:hAnsi="宋体" w:eastAsia="宋体" w:cs="宋体"/>
          <w:color w:val="auto"/>
          <w:sz w:val="24"/>
          <w:highlight w:val="none"/>
        </w:rPr>
        <w:t>；</w:t>
      </w:r>
    </w:p>
    <w:p w14:paraId="1B3F8732">
      <w:pPr>
        <w:spacing w:line="360" w:lineRule="auto"/>
        <w:ind w:firstLine="437"/>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1.2.2服务内容：</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XX  </w:t>
      </w:r>
      <w:r>
        <w:rPr>
          <w:rFonts w:hint="eastAsia" w:ascii="宋体" w:hAnsi="宋体" w:eastAsia="宋体" w:cs="宋体"/>
          <w:color w:val="auto"/>
          <w:sz w:val="24"/>
          <w:highlight w:val="none"/>
          <w:u w:val="none"/>
          <w:lang w:val="en-US" w:eastAsia="zh-CN"/>
        </w:rPr>
        <w:t>课程，</w:t>
      </w:r>
      <w:r>
        <w:rPr>
          <w:rFonts w:hint="eastAsia" w:ascii="宋体" w:hAnsi="宋体" w:eastAsia="宋体" w:cs="宋体"/>
          <w:bCs/>
          <w:color w:val="auto"/>
          <w:sz w:val="24"/>
          <w:szCs w:val="18"/>
          <w:highlight w:val="none"/>
          <w:lang w:val="en-US" w:eastAsia="zh-CN"/>
        </w:rPr>
        <w:t>每年拟设置三个学期，包括春季学期、暑假学期及秋季学期</w:t>
      </w:r>
      <w:r>
        <w:rPr>
          <w:rFonts w:hint="eastAsia" w:ascii="宋体" w:hAnsi="宋体" w:eastAsia="宋体" w:cs="宋体"/>
          <w:color w:val="auto"/>
          <w:sz w:val="24"/>
          <w:highlight w:val="none"/>
          <w:u w:val="none"/>
          <w:lang w:val="en-US" w:eastAsia="zh-CN"/>
        </w:rPr>
        <w:t>。</w:t>
      </w:r>
    </w:p>
    <w:p w14:paraId="51AEAEE5">
      <w:pPr>
        <w:spacing w:line="360" w:lineRule="auto"/>
        <w:ind w:firstLine="437"/>
        <w:outlineLvl w:val="3"/>
        <w:rPr>
          <w:rFonts w:hint="eastAsia" w:ascii="宋体" w:hAnsi="宋体" w:eastAsia="宋体" w:cs="宋体"/>
          <w:b/>
          <w:bCs/>
          <w:color w:val="auto"/>
          <w:sz w:val="24"/>
          <w:highlight w:val="none"/>
          <w:lang w:val="zh-CN"/>
        </w:rPr>
      </w:pPr>
      <w:bookmarkStart w:id="31" w:name="_Toc21631"/>
      <w:bookmarkStart w:id="32" w:name="_Toc23292"/>
      <w:bookmarkStart w:id="33" w:name="_Toc21551"/>
      <w:r>
        <w:rPr>
          <w:rFonts w:hint="eastAsia" w:ascii="宋体" w:hAnsi="宋体" w:eastAsia="宋体" w:cs="宋体"/>
          <w:b/>
          <w:bCs/>
          <w:color w:val="auto"/>
          <w:sz w:val="24"/>
          <w:highlight w:val="none"/>
          <w:lang w:val="zh-CN"/>
        </w:rPr>
        <w:t>1.3 价款</w:t>
      </w:r>
      <w:bookmarkEnd w:id="31"/>
      <w:bookmarkEnd w:id="32"/>
      <w:bookmarkEnd w:id="33"/>
    </w:p>
    <w:p w14:paraId="0EC4DA5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本合同采用营业额分成方式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乙方分成为课程培训收入的 </w:t>
      </w:r>
      <w:r>
        <w:rPr>
          <w:rFonts w:hint="eastAsia" w:ascii="宋体" w:hAnsi="宋体" w:eastAsia="宋体" w:cs="宋体"/>
          <w:color w:val="auto"/>
          <w:sz w:val="24"/>
          <w:highlight w:val="none"/>
          <w:u w:val="single"/>
          <w:lang w:val="en-US" w:eastAsia="zh-CN"/>
        </w:rPr>
        <w:t xml:space="preserve"> XX </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rPr>
        <w:t>。</w:t>
      </w:r>
    </w:p>
    <w:p w14:paraId="04618F75">
      <w:pPr>
        <w:spacing w:line="360" w:lineRule="auto"/>
        <w:ind w:firstLine="437"/>
        <w:outlineLvl w:val="3"/>
        <w:rPr>
          <w:rFonts w:hint="eastAsia" w:ascii="宋体" w:hAnsi="宋体" w:eastAsia="宋体" w:cs="宋体"/>
          <w:b/>
          <w:bCs/>
          <w:color w:val="auto"/>
          <w:sz w:val="24"/>
          <w:highlight w:val="none"/>
          <w:lang w:val="zh-CN"/>
        </w:rPr>
      </w:pPr>
      <w:bookmarkStart w:id="34" w:name="_Toc22618"/>
      <w:bookmarkStart w:id="35" w:name="_Toc1814"/>
      <w:bookmarkStart w:id="36" w:name="_Toc10340"/>
      <w:r>
        <w:rPr>
          <w:rFonts w:hint="eastAsia" w:ascii="宋体" w:hAnsi="宋体" w:eastAsia="宋体" w:cs="宋体"/>
          <w:b/>
          <w:bCs/>
          <w:color w:val="auto"/>
          <w:sz w:val="24"/>
          <w:highlight w:val="none"/>
          <w:lang w:val="zh-CN"/>
        </w:rPr>
        <w:t>1.4 付款方式和发票开具方式</w:t>
      </w:r>
      <w:bookmarkEnd w:id="34"/>
      <w:bookmarkEnd w:id="35"/>
      <w:bookmarkEnd w:id="36"/>
    </w:p>
    <w:p w14:paraId="35D20B1D">
      <w:pPr>
        <w:pStyle w:val="29"/>
        <w:ind w:firstLine="480" w:firstLineChars="200"/>
        <w:rPr>
          <w:rFonts w:hint="default" w:eastAsia="宋体"/>
          <w:color w:val="auto"/>
          <w:highlight w:val="none"/>
          <w:lang w:val="en-US" w:eastAsia="zh-CN"/>
        </w:rPr>
      </w:pPr>
      <w:r>
        <w:rPr>
          <w:rFonts w:hint="eastAsia" w:ascii="宋体" w:hAnsi="宋体" w:eastAsia="宋体" w:cs="宋体"/>
          <w:color w:val="auto"/>
          <w:sz w:val="24"/>
          <w:highlight w:val="none"/>
        </w:rPr>
        <w:t>1.4.1付款方式：</w:t>
      </w:r>
      <w:r>
        <w:rPr>
          <w:rFonts w:hint="eastAsia"/>
          <w:color w:val="auto"/>
          <w:highlight w:val="none"/>
          <w:u w:val="single"/>
          <w:lang w:val="en-US" w:eastAsia="zh-CN"/>
        </w:rPr>
        <w:t>培训收入由甲方收取并负责监管，每期培训结束后按中标比例与乙方进行结算，经双方确认结算金额后一个月内，甲方一次性向乙方支付结算款项，并提供相应管理费的增值税发票。</w:t>
      </w:r>
    </w:p>
    <w:p w14:paraId="0D58EFC5">
      <w:pPr>
        <w:spacing w:line="360" w:lineRule="auto"/>
        <w:ind w:firstLine="435"/>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1.4.2发票开具方式：</w:t>
      </w:r>
      <w:r>
        <w:rPr>
          <w:rFonts w:hint="eastAsia" w:ascii="宋体" w:hAnsi="宋体" w:eastAsia="宋体" w:cs="宋体"/>
          <w:bCs/>
          <w:color w:val="auto"/>
          <w:kern w:val="0"/>
          <w:sz w:val="24"/>
          <w:szCs w:val="28"/>
          <w:highlight w:val="none"/>
          <w:u w:val="single"/>
          <w:lang w:val="en-US" w:eastAsia="zh-CN" w:bidi="ar-SA"/>
        </w:rPr>
        <w:t>甲方向乙方提供相应管理费的增值税发票。由乙方负责向报名客户开具发票，如乙方拒绝开具的，甲方有权拒绝支付分成款项，由此造成一切纠纷、损失由乙方自行承担，与甲方无关。</w:t>
      </w:r>
    </w:p>
    <w:p w14:paraId="28B96EA3">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1.5 服务期限、地点和方式</w:t>
      </w:r>
      <w:bookmarkEnd w:id="20"/>
      <w:bookmarkEnd w:id="21"/>
      <w:bookmarkEnd w:id="22"/>
    </w:p>
    <w:p w14:paraId="6CD6260C">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1.5.1服务期限：</w:t>
      </w:r>
      <w:r>
        <w:rPr>
          <w:rFonts w:hint="eastAsia" w:ascii="宋体" w:hAnsi="宋体" w:eastAsia="宋体" w:cs="宋体"/>
          <w:color w:val="auto"/>
          <w:sz w:val="24"/>
          <w:highlight w:val="none"/>
          <w:u w:val="single"/>
          <w:lang w:val="en-US" w:eastAsia="zh-CN"/>
        </w:rPr>
        <w:t>合同签订后一年，服务期满，经甲方组织考核合格且入围最新的《包河区中小学体艺中心课程服务单位招募入围结果一览表》的，可按原合同续签</w:t>
      </w:r>
      <w:r>
        <w:rPr>
          <w:rFonts w:hint="eastAsia" w:ascii="宋体" w:hAnsi="宋体" w:eastAsia="宋体" w:cs="宋体"/>
          <w:color w:val="auto"/>
          <w:sz w:val="24"/>
          <w:highlight w:val="none"/>
        </w:rPr>
        <w:t>；</w:t>
      </w:r>
    </w:p>
    <w:p w14:paraId="6E7E9B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1.5.2服务地点：</w:t>
      </w:r>
      <w:r>
        <w:rPr>
          <w:rFonts w:hint="eastAsia" w:ascii="宋体" w:hAnsi="宋体" w:eastAsia="宋体" w:cs="宋体"/>
          <w:color w:val="auto"/>
          <w:sz w:val="24"/>
          <w:highlight w:val="none"/>
          <w:u w:val="single"/>
        </w:rPr>
        <w:t>合肥市包河区福州路与华山路交叉路口合肥市华山路小学</w:t>
      </w:r>
      <w:r>
        <w:rPr>
          <w:rFonts w:hint="eastAsia" w:ascii="宋体" w:hAnsi="宋体" w:eastAsia="宋体" w:cs="宋体"/>
          <w:color w:val="auto"/>
          <w:sz w:val="24"/>
          <w:highlight w:val="none"/>
        </w:rPr>
        <w:t>；</w:t>
      </w:r>
    </w:p>
    <w:p w14:paraId="19665564">
      <w:pPr>
        <w:pStyle w:val="2"/>
        <w:ind w:firstLine="482" w:firstLineChars="200"/>
        <w:rPr>
          <w:rFonts w:hint="eastAsia" w:cs="宋体"/>
          <w:color w:val="auto"/>
          <w:sz w:val="24"/>
          <w:highlight w:val="none"/>
          <w:lang w:val="en-US" w:eastAsia="zh-CN"/>
        </w:rPr>
      </w:pPr>
      <w:bookmarkStart w:id="37" w:name="_Toc331685783"/>
      <w:r>
        <w:rPr>
          <w:rFonts w:hint="eastAsia" w:cs="宋体"/>
          <w:color w:val="auto"/>
          <w:sz w:val="24"/>
          <w:highlight w:val="none"/>
          <w:lang w:val="en-US" w:eastAsia="zh-CN"/>
        </w:rPr>
        <w:t>1.6服务需求</w:t>
      </w:r>
    </w:p>
    <w:p w14:paraId="45BF7147">
      <w:pPr>
        <w:spacing w:line="360" w:lineRule="auto"/>
        <w:ind w:firstLine="435"/>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.6.1</w:t>
      </w:r>
      <w:r>
        <w:rPr>
          <w:rFonts w:hint="default" w:ascii="宋体" w:hAnsi="宋体" w:eastAsia="宋体" w:cs="宋体"/>
          <w:color w:val="auto"/>
          <w:sz w:val="24"/>
          <w:highlight w:val="none"/>
          <w:lang w:val="en-US" w:eastAsia="zh-CN"/>
        </w:rPr>
        <w:t>根据甲方要求，制定具有差异性的授课方案，以适合不同年龄段及基础的学生。</w:t>
      </w:r>
    </w:p>
    <w:p w14:paraId="62953AE5">
      <w:pPr>
        <w:spacing w:line="360" w:lineRule="auto"/>
        <w:ind w:firstLine="435"/>
        <w:rPr>
          <w:rFonts w:hint="default"/>
          <w:color w:val="auto"/>
          <w:highlight w:val="none"/>
          <w:lang w:val="en-US" w:eastAsia="zh-CN"/>
        </w:rPr>
      </w:pPr>
      <w:r>
        <w:rPr>
          <w:rFonts w:hint="eastAsia" w:ascii="宋体" w:hAnsi="宋体" w:eastAsia="宋体" w:cs="宋体"/>
          <w:color w:val="auto"/>
          <w:sz w:val="24"/>
          <w:highlight w:val="none"/>
          <w:lang w:val="en-US" w:eastAsia="zh-CN"/>
        </w:rPr>
        <w:t>1.6.2乙方</w:t>
      </w:r>
      <w:r>
        <w:rPr>
          <w:rFonts w:hint="default" w:ascii="宋体" w:hAnsi="宋体" w:eastAsia="宋体" w:cs="宋体"/>
          <w:color w:val="auto"/>
          <w:sz w:val="24"/>
          <w:highlight w:val="none"/>
          <w:lang w:val="en-US" w:eastAsia="zh-CN"/>
        </w:rPr>
        <w:t>的教师人员、管理人员</w:t>
      </w:r>
      <w:r>
        <w:rPr>
          <w:rFonts w:hint="eastAsia" w:ascii="宋体" w:hAnsi="宋体" w:eastAsia="宋体" w:cs="宋体"/>
          <w:color w:val="auto"/>
          <w:sz w:val="24"/>
          <w:highlight w:val="none"/>
          <w:lang w:val="en-US" w:eastAsia="zh-CN"/>
        </w:rPr>
        <w:t>需保证</w:t>
      </w:r>
      <w:r>
        <w:rPr>
          <w:rFonts w:hint="default" w:ascii="宋体" w:hAnsi="宋体" w:eastAsia="宋体" w:cs="宋体"/>
          <w:color w:val="auto"/>
          <w:sz w:val="24"/>
          <w:highlight w:val="none"/>
          <w:lang w:val="en-US" w:eastAsia="zh-CN"/>
        </w:rPr>
        <w:t>品行端正，具备良好的思想品德和职业道德，核查无违法犯罪记录。具有正常开展教育活动的身体条件，无传染性疾病。</w:t>
      </w:r>
    </w:p>
    <w:p w14:paraId="6D51BB1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1.6.3</w:t>
      </w:r>
      <w:r>
        <w:rPr>
          <w:rFonts w:hint="default" w:ascii="宋体" w:hAnsi="宋体" w:eastAsia="宋体" w:cs="宋体"/>
          <w:color w:val="auto"/>
          <w:sz w:val="24"/>
          <w:highlight w:val="none"/>
          <w:lang w:val="en-US" w:eastAsia="zh-CN"/>
        </w:rPr>
        <w:t>保证师资力量充足，</w:t>
      </w:r>
      <w:r>
        <w:rPr>
          <w:rFonts w:hint="eastAsia" w:ascii="宋体" w:hAnsi="宋体" w:eastAsia="宋体" w:cs="宋体"/>
          <w:color w:val="auto"/>
          <w:sz w:val="24"/>
          <w:highlight w:val="none"/>
          <w:lang w:val="en-US" w:eastAsia="zh-CN"/>
        </w:rPr>
        <w:t>安排入校的</w:t>
      </w:r>
      <w:r>
        <w:rPr>
          <w:rFonts w:hint="default" w:ascii="宋体" w:hAnsi="宋体" w:eastAsia="宋体" w:cs="宋体"/>
          <w:color w:val="auto"/>
          <w:sz w:val="24"/>
          <w:highlight w:val="none"/>
          <w:lang w:val="en-US" w:eastAsia="zh-CN"/>
        </w:rPr>
        <w:t>教师必须具有体育类</w:t>
      </w:r>
      <w:r>
        <w:rPr>
          <w:rFonts w:hint="eastAsia" w:ascii="宋体" w:hAnsi="宋体" w:eastAsia="宋体" w:cs="宋体"/>
          <w:color w:val="auto"/>
          <w:sz w:val="24"/>
          <w:highlight w:val="none"/>
          <w:lang w:val="en-US" w:eastAsia="zh-CN"/>
        </w:rPr>
        <w:t>/文化艺术类/科技类</w:t>
      </w:r>
      <w:r>
        <w:rPr>
          <w:rFonts w:hint="default" w:ascii="宋体" w:hAnsi="宋体" w:eastAsia="宋体" w:cs="宋体"/>
          <w:color w:val="auto"/>
          <w:sz w:val="24"/>
          <w:highlight w:val="none"/>
          <w:lang w:val="en-US" w:eastAsia="zh-CN"/>
        </w:rPr>
        <w:t>教师资格证或其它符合政策要求的入校教学资质要求，如</w:t>
      </w:r>
      <w:r>
        <w:rPr>
          <w:rFonts w:hint="eastAsia" w:ascii="宋体" w:hAnsi="宋体" w:eastAsia="宋体" w:cs="宋体"/>
          <w:color w:val="auto"/>
          <w:sz w:val="24"/>
          <w:highlight w:val="none"/>
          <w:lang w:val="en-US" w:eastAsia="zh-CN"/>
        </w:rPr>
        <w:t>教师资格证、</w:t>
      </w:r>
      <w:r>
        <w:rPr>
          <w:rFonts w:hint="default" w:ascii="宋体" w:hAnsi="宋体" w:eastAsia="宋体" w:cs="宋体"/>
          <w:color w:val="auto"/>
          <w:sz w:val="24"/>
          <w:highlight w:val="none"/>
          <w:lang w:val="en-US" w:eastAsia="zh-CN"/>
        </w:rPr>
        <w:t>教练员证、社会体育指导员证等，所有入校教师需要经校方及甲方审核通过</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培训期间，由学校负责提供场地和</w:t>
      </w:r>
      <w:r>
        <w:rPr>
          <w:rFonts w:hint="eastAsia" w:ascii="宋体" w:hAnsi="宋体" w:eastAsia="宋体" w:cs="宋体"/>
          <w:color w:val="auto"/>
          <w:sz w:val="24"/>
          <w:highlight w:val="none"/>
          <w:lang w:val="en-US" w:eastAsia="zh-CN"/>
        </w:rPr>
        <w:t>授课通用</w:t>
      </w:r>
      <w:r>
        <w:rPr>
          <w:rFonts w:hint="default" w:ascii="宋体" w:hAnsi="宋体" w:eastAsia="宋体" w:cs="宋体"/>
          <w:color w:val="auto"/>
          <w:sz w:val="24"/>
          <w:highlight w:val="none"/>
          <w:lang w:val="en-US" w:eastAsia="zh-CN"/>
        </w:rPr>
        <w:t>设施设备，学校没有的，由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协调解决。</w:t>
      </w:r>
      <w:r>
        <w:rPr>
          <w:rFonts w:hint="eastAsia" w:ascii="宋体" w:hAnsi="宋体" w:eastAsia="宋体" w:cs="宋体"/>
          <w:color w:val="auto"/>
          <w:sz w:val="24"/>
          <w:highlight w:val="none"/>
          <w:lang w:val="en-US" w:eastAsia="zh-CN"/>
        </w:rPr>
        <w:t>乙方需根据课程报名情况、甲方及校方需求增加服务人员（如教务等），负责</w:t>
      </w:r>
      <w:r>
        <w:rPr>
          <w:rFonts w:hint="default" w:ascii="宋体" w:hAnsi="宋体" w:eastAsia="宋体" w:cs="宋体"/>
          <w:color w:val="auto"/>
          <w:sz w:val="24"/>
          <w:highlight w:val="none"/>
          <w:lang w:val="en-US" w:eastAsia="zh-CN"/>
        </w:rPr>
        <w:t>点名</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签到</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秩序</w:t>
      </w:r>
      <w:r>
        <w:rPr>
          <w:rFonts w:hint="eastAsia" w:ascii="宋体" w:hAnsi="宋体" w:eastAsia="宋体" w:cs="宋体"/>
          <w:color w:val="auto"/>
          <w:sz w:val="24"/>
          <w:highlight w:val="none"/>
          <w:lang w:val="en-US" w:eastAsia="zh-CN"/>
        </w:rPr>
        <w:t>维护等课程服务工作，由此产生的一切费用均由乙方承担，甲方不再另行支付；如因乙方未按上述要求配备人员造成家长投诉等不良影响的，所有责任均由乙方承担，同时甲方将在学期考核中扣除相应分值</w:t>
      </w:r>
      <w:r>
        <w:rPr>
          <w:rFonts w:hint="default" w:ascii="宋体" w:hAnsi="宋体" w:eastAsia="宋体" w:cs="宋体"/>
          <w:color w:val="auto"/>
          <w:sz w:val="24"/>
          <w:highlight w:val="none"/>
          <w:lang w:val="en-US" w:eastAsia="zh-CN"/>
        </w:rPr>
        <w:t>。由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负责支付所有老师及教务</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人员薪资，如</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拖欠薪资，由此造成的劳动/劳务纠纷均由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解决并承担支付责任，包含但不限于薪资、赔偿、诉讼费及可能产生的一切费用。如给</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带来不良影响或损失的，</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须承担全部责任并赔偿</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损失。</w:t>
      </w:r>
    </w:p>
    <w:p w14:paraId="0313A165">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1.6.4根据甲方需求</w:t>
      </w:r>
      <w:r>
        <w:rPr>
          <w:rFonts w:hint="default" w:ascii="宋体" w:hAnsi="宋体" w:eastAsia="宋体" w:cs="宋体"/>
          <w:color w:val="auto"/>
          <w:sz w:val="24"/>
          <w:highlight w:val="none"/>
          <w:lang w:val="en-US" w:eastAsia="zh-CN"/>
        </w:rPr>
        <w:t>参与校队人才的选拔</w:t>
      </w:r>
      <w:r>
        <w:rPr>
          <w:rFonts w:hint="eastAsia" w:ascii="宋体" w:hAnsi="宋体" w:eastAsia="宋体" w:cs="宋体"/>
          <w:color w:val="auto"/>
          <w:sz w:val="24"/>
          <w:highlight w:val="none"/>
          <w:lang w:val="en-US" w:eastAsia="zh-CN"/>
        </w:rPr>
        <w:t>培养工作</w:t>
      </w:r>
      <w:r>
        <w:rPr>
          <w:rFonts w:hint="default" w:ascii="宋体" w:hAnsi="宋体" w:eastAsia="宋体" w:cs="宋体"/>
          <w:color w:val="auto"/>
          <w:sz w:val="24"/>
          <w:highlight w:val="none"/>
          <w:lang w:val="en-US" w:eastAsia="zh-CN"/>
        </w:rPr>
        <w:t>，协助学校校队建设。</w:t>
      </w:r>
      <w:r>
        <w:rPr>
          <w:rFonts w:hint="eastAsia" w:ascii="宋体" w:hAnsi="宋体" w:eastAsia="宋体" w:cs="宋体"/>
          <w:color w:val="auto"/>
          <w:sz w:val="24"/>
          <w:highlight w:val="none"/>
          <w:lang w:val="en-US" w:eastAsia="zh-CN"/>
        </w:rPr>
        <w:t>乙方需提供</w:t>
      </w:r>
      <w:r>
        <w:rPr>
          <w:rFonts w:hint="default" w:ascii="宋体" w:hAnsi="宋体" w:eastAsia="宋体" w:cs="宋体"/>
          <w:color w:val="auto"/>
          <w:sz w:val="24"/>
          <w:highlight w:val="none"/>
          <w:lang w:val="en-US" w:eastAsia="zh-CN"/>
        </w:rPr>
        <w:t>校队培训方案，制定具有特色的培养计划，并运用到课程和日常管理中。</w:t>
      </w:r>
      <w:r>
        <w:rPr>
          <w:rFonts w:hint="eastAsia" w:ascii="宋体" w:hAnsi="宋体" w:eastAsia="宋体" w:cs="宋体"/>
          <w:color w:val="auto"/>
          <w:sz w:val="24"/>
          <w:highlight w:val="none"/>
          <w:lang w:val="en-US" w:eastAsia="zh-CN"/>
        </w:rPr>
        <w:t>按需</w:t>
      </w:r>
      <w:r>
        <w:rPr>
          <w:rFonts w:hint="default" w:ascii="宋体" w:hAnsi="宋体" w:eastAsia="宋体" w:cs="宋体"/>
          <w:color w:val="auto"/>
          <w:sz w:val="24"/>
          <w:highlight w:val="none"/>
          <w:lang w:val="en-US" w:eastAsia="zh-CN"/>
        </w:rPr>
        <w:t>组织带领学生参与</w:t>
      </w:r>
      <w:r>
        <w:rPr>
          <w:rFonts w:hint="eastAsia" w:ascii="宋体" w:hAnsi="宋体" w:eastAsia="宋体" w:cs="宋体"/>
          <w:color w:val="auto"/>
          <w:sz w:val="24"/>
          <w:highlight w:val="none"/>
          <w:lang w:val="en-US" w:eastAsia="zh-CN"/>
        </w:rPr>
        <w:t>赛事活动</w:t>
      </w:r>
      <w:r>
        <w:rPr>
          <w:rFonts w:hint="default" w:ascii="宋体" w:hAnsi="宋体" w:eastAsia="宋体" w:cs="宋体"/>
          <w:color w:val="auto"/>
          <w:sz w:val="24"/>
          <w:highlight w:val="none"/>
          <w:lang w:val="en-US" w:eastAsia="zh-CN"/>
        </w:rPr>
        <w:t>和考级，期间可能需要配备的裁判、教练等专业人员均由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负责提供并承担相应费用，均包含在合同价中，</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不再另行支付。</w:t>
      </w:r>
    </w:p>
    <w:p w14:paraId="677654F7">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1.6.5</w:t>
      </w:r>
      <w:r>
        <w:rPr>
          <w:rFonts w:hint="default" w:ascii="宋体" w:hAnsi="宋体" w:eastAsia="宋体" w:cs="宋体"/>
          <w:color w:val="auto"/>
          <w:sz w:val="24"/>
          <w:highlight w:val="none"/>
          <w:lang w:val="en-US" w:eastAsia="zh-CN"/>
        </w:rPr>
        <w:t>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负责服务过程中的安全管理工作，做好教师的防火、防灾、防伤害培训，保证班级学生的人身安全。教师在授课开始前应知悉学生的身体状况，防止培训过度或防护不足造成的身体和心理损伤。</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应对培训学生购买学生意外险。</w:t>
      </w:r>
      <w:r>
        <w:rPr>
          <w:rFonts w:hint="eastAsia" w:ascii="宋体" w:hAnsi="宋体" w:eastAsia="宋体" w:cs="宋体"/>
          <w:color w:val="auto"/>
          <w:sz w:val="24"/>
          <w:highlight w:val="none"/>
          <w:lang w:val="en-US" w:eastAsia="zh-CN"/>
        </w:rPr>
        <w:t>若因乙方教师的不当处理导致产生的所有安全问题，均由乙方负责解决、赔偿，并承担可能产生的一切法律责任，甲方不承担任何责任。</w:t>
      </w:r>
    </w:p>
    <w:p w14:paraId="0398AC7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1.6.6乙方</w:t>
      </w:r>
      <w:r>
        <w:rPr>
          <w:rFonts w:hint="default" w:ascii="宋体" w:hAnsi="宋体" w:eastAsia="宋体" w:cs="宋体"/>
          <w:color w:val="auto"/>
          <w:sz w:val="24"/>
          <w:highlight w:val="none"/>
          <w:lang w:val="en-US" w:eastAsia="zh-CN"/>
        </w:rPr>
        <w:t>在服务期限内，应牢固树立问题意识、安全意识、风险意识、责任意识、廉洁意识，全面加强防范和控制，不得收受家长学生的赠礼、物品和现金。防止出现意识形态领域问题和重大安全事故。如出现相关问题，</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有权解除合同并进行追责。</w:t>
      </w:r>
    </w:p>
    <w:p w14:paraId="7836F990">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1.6.7乙方</w:t>
      </w:r>
      <w:r>
        <w:rPr>
          <w:rFonts w:hint="default" w:ascii="宋体" w:hAnsi="宋体" w:eastAsia="宋体" w:cs="宋体"/>
          <w:color w:val="auto"/>
          <w:sz w:val="24"/>
          <w:highlight w:val="none"/>
          <w:lang w:val="en-US" w:eastAsia="zh-CN"/>
        </w:rPr>
        <w:t>应当</w:t>
      </w:r>
      <w:r>
        <w:rPr>
          <w:rFonts w:hint="eastAsia" w:ascii="宋体" w:hAnsi="宋体" w:eastAsia="宋体" w:cs="宋体"/>
          <w:color w:val="auto"/>
          <w:sz w:val="24"/>
          <w:highlight w:val="none"/>
          <w:lang w:val="en-US" w:eastAsia="zh-CN"/>
        </w:rPr>
        <w:t>向甲方、</w:t>
      </w:r>
      <w:r>
        <w:rPr>
          <w:rFonts w:hint="default" w:ascii="宋体" w:hAnsi="宋体" w:eastAsia="宋体" w:cs="宋体"/>
          <w:color w:val="auto"/>
          <w:sz w:val="24"/>
          <w:highlight w:val="none"/>
          <w:lang w:val="en-US" w:eastAsia="zh-CN"/>
        </w:rPr>
        <w:t>学生及家长明示机构名称、教师的收费项目、收费标准、退费办法、上课时间和服务承诺等内容，公开透明开展培训活动</w:t>
      </w:r>
      <w:r>
        <w:rPr>
          <w:rFonts w:hint="eastAsia" w:ascii="宋体" w:hAnsi="宋体" w:eastAsia="宋体" w:cs="宋体"/>
          <w:color w:val="auto"/>
          <w:sz w:val="24"/>
          <w:highlight w:val="none"/>
          <w:lang w:val="en-US" w:eastAsia="zh-CN"/>
        </w:rPr>
        <w:t>。乙方、乙方</w:t>
      </w:r>
      <w:r>
        <w:rPr>
          <w:rFonts w:hint="eastAsia" w:ascii="宋体" w:hAnsi="宋体" w:eastAsia="宋体" w:cs="宋体"/>
          <w:color w:val="auto"/>
          <w:sz w:val="24"/>
          <w:szCs w:val="24"/>
          <w:highlight w:val="none"/>
        </w:rPr>
        <w:t>的教师人员不得在公示的项目和标准外</w:t>
      </w:r>
      <w:r>
        <w:rPr>
          <w:rFonts w:hint="eastAsia" w:ascii="宋体" w:hAnsi="宋体" w:eastAsia="宋体" w:cs="宋体"/>
          <w:color w:val="auto"/>
          <w:sz w:val="24"/>
          <w:szCs w:val="24"/>
          <w:highlight w:val="none"/>
          <w:lang w:eastAsia="zh-CN"/>
        </w:rPr>
        <w:t>强制</w:t>
      </w:r>
      <w:r>
        <w:rPr>
          <w:rFonts w:hint="eastAsia" w:ascii="宋体" w:hAnsi="宋体" w:eastAsia="宋体" w:cs="宋体"/>
          <w:color w:val="auto"/>
          <w:sz w:val="24"/>
          <w:szCs w:val="24"/>
          <w:highlight w:val="none"/>
        </w:rPr>
        <w:t>向学生收取其他费用。</w:t>
      </w:r>
    </w:p>
    <w:p w14:paraId="7BA83FCD">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1.6.8乙方需保证</w:t>
      </w:r>
      <w:r>
        <w:rPr>
          <w:rFonts w:hint="default" w:ascii="宋体" w:hAnsi="宋体" w:eastAsia="宋体" w:cs="宋体"/>
          <w:color w:val="auto"/>
          <w:sz w:val="24"/>
          <w:highlight w:val="none"/>
          <w:lang w:val="en-US" w:eastAsia="zh-CN"/>
        </w:rPr>
        <w:t>培训课程管理规范，培训内容健康向上，教育教学方法得当，符合学生成长规律，弘扬社会主义核心价值观，有利于学生德智体美劳全面发展。</w:t>
      </w:r>
    </w:p>
    <w:p w14:paraId="7E0046D0">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1.6.9</w:t>
      </w:r>
      <w:r>
        <w:rPr>
          <w:rFonts w:hint="default" w:ascii="宋体" w:hAnsi="宋体" w:eastAsia="宋体" w:cs="宋体"/>
          <w:color w:val="auto"/>
          <w:sz w:val="24"/>
          <w:highlight w:val="none"/>
          <w:lang w:val="en-US" w:eastAsia="zh-CN"/>
        </w:rPr>
        <w:t>在履约过程中，</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有义务</w:t>
      </w:r>
      <w:r>
        <w:rPr>
          <w:rFonts w:hint="eastAsia" w:ascii="宋体" w:hAnsi="宋体" w:eastAsia="宋体" w:cs="宋体"/>
          <w:color w:val="auto"/>
          <w:sz w:val="24"/>
          <w:highlight w:val="none"/>
          <w:lang w:val="en-US" w:eastAsia="zh-CN"/>
        </w:rPr>
        <w:t>和学校</w:t>
      </w:r>
      <w:r>
        <w:rPr>
          <w:rFonts w:hint="default" w:ascii="宋体" w:hAnsi="宋体" w:eastAsia="宋体" w:cs="宋体"/>
          <w:color w:val="auto"/>
          <w:sz w:val="24"/>
          <w:highlight w:val="none"/>
          <w:lang w:val="en-US" w:eastAsia="zh-CN"/>
        </w:rPr>
        <w:t>共同监督管理，根据学生满意度评价和人才培养结果</w:t>
      </w:r>
      <w:r>
        <w:rPr>
          <w:rFonts w:hint="eastAsia" w:ascii="宋体" w:hAnsi="宋体" w:eastAsia="宋体" w:cs="宋体"/>
          <w:color w:val="auto"/>
          <w:sz w:val="24"/>
          <w:highlight w:val="none"/>
          <w:lang w:val="en-US" w:eastAsia="zh-CN"/>
        </w:rPr>
        <w:t>要求乙方</w:t>
      </w:r>
      <w:r>
        <w:rPr>
          <w:rFonts w:hint="default" w:ascii="宋体" w:hAnsi="宋体" w:eastAsia="宋体" w:cs="宋体"/>
          <w:color w:val="auto"/>
          <w:sz w:val="24"/>
          <w:highlight w:val="none"/>
          <w:lang w:val="en-US" w:eastAsia="zh-CN"/>
        </w:rPr>
        <w:t>进行动态调整</w:t>
      </w:r>
      <w:r>
        <w:rPr>
          <w:rFonts w:hint="eastAsia" w:ascii="宋体" w:hAnsi="宋体" w:eastAsia="宋体" w:cs="宋体"/>
          <w:color w:val="auto"/>
          <w:sz w:val="24"/>
          <w:highlight w:val="none"/>
          <w:lang w:val="en-US" w:eastAsia="zh-CN"/>
        </w:rPr>
        <w:t>授课内容或方式</w:t>
      </w:r>
      <w:r>
        <w:rPr>
          <w:rFonts w:hint="default" w:ascii="宋体" w:hAnsi="宋体" w:eastAsia="宋体" w:cs="宋体"/>
          <w:color w:val="auto"/>
          <w:sz w:val="24"/>
          <w:highlight w:val="none"/>
          <w:lang w:val="en-US" w:eastAsia="zh-CN"/>
        </w:rPr>
        <w:t>，保障教学质量。</w:t>
      </w:r>
    </w:p>
    <w:p w14:paraId="6B09D9F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1.6.10</w:t>
      </w:r>
      <w:r>
        <w:rPr>
          <w:rFonts w:hint="default" w:ascii="宋体" w:hAnsi="宋体" w:eastAsia="宋体" w:cs="宋体"/>
          <w:color w:val="auto"/>
          <w:sz w:val="24"/>
          <w:szCs w:val="20"/>
          <w:highlight w:val="none"/>
          <w:lang w:val="en-US" w:eastAsia="zh-CN"/>
        </w:rPr>
        <w:t>乙方除负责课程培训外，还需参与学校的赛事活动、考级活动等体艺人才梯队建设工作，如学校有需要，需提供专业的裁判员、考级专家、评审专家等，协助学校完成相关工作，</w:t>
      </w:r>
      <w:r>
        <w:rPr>
          <w:rFonts w:hint="default" w:ascii="宋体" w:hAnsi="宋体" w:eastAsia="宋体" w:cs="宋体"/>
          <w:bCs w:val="0"/>
          <w:color w:val="auto"/>
          <w:sz w:val="24"/>
          <w:szCs w:val="20"/>
          <w:highlight w:val="none"/>
          <w:lang w:val="en-US" w:eastAsia="zh-CN"/>
        </w:rPr>
        <w:t>期间可能产生的费用均由乙方承担，均包含在合同价中，甲方不再另行支付</w:t>
      </w:r>
      <w:r>
        <w:rPr>
          <w:rFonts w:hint="default" w:ascii="宋体" w:hAnsi="宋体" w:eastAsia="宋体" w:cs="宋体"/>
          <w:color w:val="auto"/>
          <w:sz w:val="24"/>
          <w:szCs w:val="20"/>
          <w:highlight w:val="none"/>
          <w:lang w:val="en-US" w:eastAsia="zh-CN"/>
        </w:rPr>
        <w:t>。</w:t>
      </w:r>
      <w:r>
        <w:rPr>
          <w:rFonts w:hint="eastAsia" w:ascii="宋体" w:hAnsi="宋体" w:eastAsia="宋体" w:cs="宋体"/>
          <w:color w:val="auto"/>
          <w:sz w:val="24"/>
          <w:highlight w:val="none"/>
          <w:lang w:val="en-US" w:eastAsia="zh-CN"/>
        </w:rPr>
        <w:t>若</w:t>
      </w:r>
      <w:r>
        <w:rPr>
          <w:rFonts w:hint="default" w:ascii="宋体" w:hAnsi="宋体" w:eastAsia="宋体" w:cs="宋体"/>
          <w:color w:val="auto"/>
          <w:sz w:val="24"/>
          <w:highlight w:val="none"/>
          <w:lang w:val="en-US" w:eastAsia="zh-CN"/>
        </w:rPr>
        <w:t>学校要求</w:t>
      </w:r>
      <w:r>
        <w:rPr>
          <w:rFonts w:hint="eastAsia" w:ascii="宋体" w:hAnsi="宋体" w:eastAsia="宋体" w:cs="宋体"/>
          <w:color w:val="auto"/>
          <w:sz w:val="24"/>
          <w:highlight w:val="none"/>
          <w:lang w:val="en-US" w:eastAsia="zh-CN"/>
        </w:rPr>
        <w:t>乙方临时</w:t>
      </w:r>
      <w:r>
        <w:rPr>
          <w:rFonts w:hint="default" w:ascii="宋体" w:hAnsi="宋体" w:eastAsia="宋体" w:cs="宋体"/>
          <w:color w:val="auto"/>
          <w:sz w:val="24"/>
          <w:highlight w:val="none"/>
          <w:lang w:val="en-US" w:eastAsia="zh-CN"/>
        </w:rPr>
        <w:t>增加部分赛前集训班、考级集训班</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由</w:t>
      </w:r>
      <w:r>
        <w:rPr>
          <w:rFonts w:hint="default" w:ascii="宋体" w:hAnsi="宋体" w:eastAsia="宋体" w:cs="宋体"/>
          <w:color w:val="auto"/>
          <w:sz w:val="24"/>
          <w:highlight w:val="none"/>
          <w:lang w:val="en-US" w:eastAsia="zh-CN"/>
        </w:rPr>
        <w:t>学校组织家长报名，报名费仍由</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收取，</w:t>
      </w:r>
      <w:r>
        <w:rPr>
          <w:rFonts w:hint="eastAsia" w:ascii="宋体" w:hAnsi="宋体" w:eastAsia="宋体" w:cs="宋体"/>
          <w:color w:val="auto"/>
          <w:sz w:val="24"/>
          <w:highlight w:val="none"/>
          <w:lang w:val="en-US" w:eastAsia="zh-CN"/>
        </w:rPr>
        <w:t>并</w:t>
      </w:r>
      <w:r>
        <w:rPr>
          <w:rFonts w:hint="default" w:ascii="宋体" w:hAnsi="宋体" w:eastAsia="宋体" w:cs="宋体"/>
          <w:color w:val="auto"/>
          <w:sz w:val="24"/>
          <w:highlight w:val="none"/>
          <w:lang w:val="en-US" w:eastAsia="zh-CN"/>
        </w:rPr>
        <w:t>按招标文件约定与</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分成。</w:t>
      </w:r>
    </w:p>
    <w:p w14:paraId="0006FA91">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1.6.11</w:t>
      </w:r>
      <w:r>
        <w:rPr>
          <w:rFonts w:hint="default" w:ascii="宋体" w:hAnsi="宋体" w:eastAsia="宋体" w:cs="宋体"/>
          <w:color w:val="auto"/>
          <w:sz w:val="24"/>
          <w:highlight w:val="none"/>
          <w:lang w:val="en-US" w:eastAsia="zh-CN"/>
        </w:rPr>
        <w:t>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负责提供培训期间的医疗保障服务，并承担相应费用。</w:t>
      </w:r>
    </w:p>
    <w:p w14:paraId="1D4D4501">
      <w:pPr>
        <w:spacing w:line="360" w:lineRule="auto"/>
        <w:ind w:firstLine="435"/>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.6.12甲方</w:t>
      </w:r>
      <w:r>
        <w:rPr>
          <w:rFonts w:hint="default" w:ascii="宋体" w:hAnsi="宋体" w:eastAsia="宋体" w:cs="宋体"/>
          <w:color w:val="auto"/>
          <w:sz w:val="24"/>
          <w:highlight w:val="none"/>
          <w:lang w:val="en-US" w:eastAsia="zh-CN"/>
        </w:rPr>
        <w:t>和校方在每期课程培训服务结束后，对</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课程培训服务进行考核打分，如考核不合格将解除合同，停止后续合作。如考核合格将继续履行合同期内合作，</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并有权要求提升改进教学方式。</w:t>
      </w:r>
    </w:p>
    <w:p w14:paraId="2B73C65D">
      <w:pPr>
        <w:pStyle w:val="2"/>
        <w:ind w:firstLine="482" w:firstLineChars="200"/>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val="zh-CN"/>
        </w:rPr>
        <w:t xml:space="preserve"> </w:t>
      </w:r>
      <w:r>
        <w:rPr>
          <w:rFonts w:hint="eastAsia" w:ascii="宋体" w:hAnsi="宋体" w:eastAsia="宋体" w:cs="宋体"/>
          <w:b/>
          <w:bCs/>
          <w:color w:val="auto"/>
          <w:sz w:val="24"/>
          <w:highlight w:val="none"/>
          <w:lang w:val="en-US" w:eastAsia="zh-CN"/>
        </w:rPr>
        <w:t>其他要求</w:t>
      </w:r>
    </w:p>
    <w:p w14:paraId="664BFFFD">
      <w:pPr>
        <w:spacing w:line="360" w:lineRule="auto"/>
        <w:ind w:firstLine="437"/>
        <w:outlineLvl w:val="3"/>
        <w:rPr>
          <w:rFonts w:hint="eastAsia" w:ascii="宋体" w:hAnsi="宋体" w:eastAsia="宋体" w:cs="宋体"/>
          <w:color w:val="auto"/>
          <w:sz w:val="24"/>
          <w:highlight w:val="none"/>
          <w:lang w:val="en-US" w:eastAsia="zh-CN"/>
        </w:rPr>
      </w:pPr>
      <w:bookmarkStart w:id="38" w:name="_Toc19554"/>
      <w:bookmarkStart w:id="39" w:name="_Toc27250"/>
      <w:bookmarkStart w:id="40" w:name="_Toc21423"/>
      <w:r>
        <w:rPr>
          <w:rFonts w:hint="eastAsia" w:ascii="宋体" w:hAnsi="宋体" w:eastAsia="宋体" w:cs="宋体"/>
          <w:color w:val="auto"/>
          <w:sz w:val="24"/>
          <w:highlight w:val="none"/>
          <w:lang w:val="en-US" w:eastAsia="zh-CN"/>
        </w:rPr>
        <w:t>1.7.1内部空间改造：乙方若需对学校场地进行配合培训及赛事服务需求的内部空间改造，须在改造期（10个工作日）内一次性完成。乙方在中标后7日内提供书面内部空间改造方案，经甲方及校方审核同意之后乙方方可实施，其中改造产生的所有费用由乙方承担，后期场馆内维修费用由乙方自理。乙方不得擅自改变场馆内所有建筑及构筑物的外立面、结构。</w:t>
      </w:r>
    </w:p>
    <w:p w14:paraId="05B2A0D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1.7.2乙方在运营时间内需负责XX课程课程培训场地内所有的安全管理：</w:t>
      </w:r>
    </w:p>
    <w:p w14:paraId="6404A3BB">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（1）乙方应提供详细的安全保障方案（内容包括：流量管控、应急处置、医疗援助等安全管理)，且安全保障方案需流程明确且具备可操作性。如因服务期间管理不当造成人员伤亡的，乙方承担全部责任。</w:t>
      </w:r>
    </w:p>
    <w:p w14:paraId="3100CDEA">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乙方在服务期限内，应牢固树立问题意识、忧患意识、风险意识、责任意识，签订安全承诺书，全面加强防范和控制，防止出现意识形态领域问题和重大安全事故。如出现相关问题，甲方有权解除合同并进行追责，所产生的一切损失由乙方承担。</w:t>
      </w:r>
    </w:p>
    <w:p w14:paraId="356642F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1.7.3乙方在服务时间内应按甲方和学校需求负责XX课程课程相关赛事活动组织及执行：</w:t>
      </w:r>
    </w:p>
    <w:p w14:paraId="2B828074">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（1）乙方在服务期内，必须派专项项目负责人或团队驻场。</w:t>
      </w:r>
    </w:p>
    <w:p w14:paraId="2A159CD9">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（2）乙方服务期间需悬挂服务项目营业执照、经营从业人员资格证等相关证件；若因证照不全导致的相关责任和损失由乙方承担。</w:t>
      </w:r>
    </w:p>
    <w:p w14:paraId="51D27114">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课程的收费标准遵循公益普惠原则，根据参与学生人数、服务内容、服务时间等核定，并接受甲方和学校的指导建议；甲方和学校根据学校师资、场地、特色发展等因素设置班级；家长根据需求自愿选择。不得擅自提价，如乙方存在擅自提价或违规收费情况，甲方将采取相应措施责令乙方停业整顿及违约金2万元/次（甲方从乙方分成中直接扣除），乙方承担由此所产生的一切（包括但不限于物价及相关部门的违约金等）责任和后果，且甲方有权单方解除合同。</w:t>
      </w:r>
    </w:p>
    <w:p w14:paraId="756DC0B7">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（4）乙方在服务期间必须有投诉处置能力，如遇投诉后须进一步解释说明并形成报告，若投诉情节严重，乙方须按甲方要求进行整改。</w:t>
      </w:r>
    </w:p>
    <w:p w14:paraId="22F3EBF4">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（5）本项目用途为课程培训服务。如乙方擅自改变转让用途，甲方有权单方解除合同，并处以违约金2万元/次（甲方从乙方分成中直接扣除）</w:t>
      </w:r>
    </w:p>
    <w:p w14:paraId="18E71683">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（7）乙方在培训期内应负责维护场馆公共设施及环境，如因乙方教学造成场地或设备设施损坏，由乙方进行维修或更换。</w:t>
      </w:r>
    </w:p>
    <w:p w14:paraId="446C7B86">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1.7.4乙方在服务期间必须有详细的人员配置方案（按照学校提供分班计划，每班配置一名及以上教师，且在课程开设期间不得无故更换培训教师，若有不可抗原因，需提前告知甲方并在取得同意后方可更换），包括驻场负责人、教练员等工作人员的岗位设置、岗位职责，以及对各类人员的培训计划等相关机制，甲方对乙方工作人员具有监督权。</w:t>
      </w:r>
    </w:p>
    <w:p w14:paraId="03898AA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1.7.5因乙方原因解除合同或合同期满终止时，乙方投入的改造、装潢及改造的不可移动的设施设备无偿归甲方所有和使用，并在合同终止后10个日历日内交予甲方，且不得提出任何补偿或赔偿要求。</w:t>
      </w:r>
    </w:p>
    <w:p w14:paraId="2B0A5197">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1.7.6协议期内，乙方不得以任何理由要求修改分成比例。</w:t>
      </w:r>
    </w:p>
    <w:p w14:paraId="1E18D73F">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1.7.7服务期内，甲方有权在课程培训场地内开展研学、异业合作、广告招商等经营事项及举办各类活动等（所得收益全部归甲方所有，与乙方无关）。如乙方在场馆进行开展研学、异业合作、广告招商等，需经甲方及校方审核同意，并按协议约定分成比例进行营收分成。</w:t>
      </w:r>
    </w:p>
    <w:p w14:paraId="5242B06F">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1.7.8乙方在学校开展的培训课程，须在其办学内容、业务范围或经营许可范围内，不得超范围经营。须配齐配足课后服务队伍，建立健全管理制度，加强组织和管理，</w:t>
      </w:r>
      <w:r>
        <w:rPr>
          <w:rFonts w:hint="eastAsia" w:ascii="宋体" w:hAnsi="宋体" w:eastAsia="宋体"/>
          <w:bCs/>
          <w:color w:val="auto"/>
          <w:sz w:val="24"/>
          <w:szCs w:val="18"/>
          <w:highlight w:val="none"/>
        </w:rPr>
        <w:t>明确进校职责</w:t>
      </w:r>
      <w:r>
        <w:rPr>
          <w:rFonts w:hint="eastAsia" w:ascii="宋体" w:hAnsi="宋体" w:eastAsia="宋体" w:cs="宋体"/>
          <w:color w:val="auto"/>
          <w:sz w:val="24"/>
          <w:highlight w:val="none"/>
          <w:lang w:val="en-US" w:eastAsia="zh-CN"/>
        </w:rPr>
        <w:t>。</w:t>
      </w:r>
    </w:p>
    <w:p w14:paraId="5E6AF52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1.7.9乙方管理人员须具有相应的业务专长、师资力量和管理能力；乙方聘任的专职、兼职从教人员必须爱国爱党、品性优秀、爱护学生，无犯罪及其他不良记录；必须取得相关专业技能资质（教师资格证书或相关专业技能等级证书等）。</w:t>
      </w:r>
    </w:p>
    <w:p w14:paraId="2525A8EF">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1.7.10进校服务人员需服从学校各项管理制度要求，在校内应严格参照师德师范进行自律。严禁入校商业夹带和商业宣传，乙方及乙方相关人员不得借机搞培训、招生宣传，不得诱导或强制要求学生参与校外培训辅导、购买相关器材或其他课程服务产品。</w:t>
      </w:r>
    </w:p>
    <w:p w14:paraId="61150CDC">
      <w:pPr>
        <w:spacing w:line="360" w:lineRule="auto"/>
        <w:ind w:firstLine="437"/>
        <w:outlineLvl w:val="3"/>
        <w:rPr>
          <w:highlight w:val="none"/>
        </w:rPr>
      </w:pPr>
      <w:r>
        <w:rPr>
          <w:rFonts w:hint="eastAsia" w:ascii="宋体" w:hAnsi="宋体" w:eastAsia="宋体" w:cs="宋体"/>
          <w:color w:val="auto"/>
          <w:sz w:val="24"/>
          <w:highlight w:val="none"/>
          <w:lang w:val="en-US" w:eastAsia="zh-CN"/>
        </w:rPr>
        <w:t>1.7.11中标人须服从招标人对培训时间的安排，在招标人指定的时间段内展开培训工作，不得擅自改动培训时间。</w:t>
      </w:r>
    </w:p>
    <w:p w14:paraId="13AB12A3">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1.7.12中标人须为所有参训学员购置保险（如短期意外险等），并于开课前将保单发至招标人处，经招标人审核确认后开课。如中标人未按规定时间、要求购置保险的，且在招标人发送书面通知函后2个工作日内仍未按要求购置的，招标人有权代为购买保险，保险费用由招标人直接从未支付的款项中扣除。由中标人未按规定购买保险导致的一切可能产生的损失，由中标人承担。</w:t>
      </w:r>
    </w:p>
    <w:p w14:paraId="1128C6D3">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1.7.13因为天气、灾害、政策及要求等原因造成乙方无法经营的，甲方不承担违约责任。</w:t>
      </w:r>
    </w:p>
    <w:p w14:paraId="5C85D0B0">
      <w:pPr>
        <w:spacing w:line="360" w:lineRule="auto"/>
        <w:ind w:firstLine="437"/>
        <w:outlineLvl w:val="3"/>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1.7.14因上级政策原因需要提前终止合作，合同自行终止，双方互不补偿由此产生的损失。甲方按照已实际发生的课次向乙方结算支付费用，剩余资金经双方确认后由甲方统一归还给甲方客户。</w:t>
      </w:r>
    </w:p>
    <w:p w14:paraId="3AF897A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1.7.15由于不可抗力导致合同不能履行的，甲乙双方互不承担违约责任，受不可抗力影响的一方应及时书面通知对方。</w:t>
      </w:r>
    </w:p>
    <w:p w14:paraId="2264FA62">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1.7.16如乙方在履行合同期间内，因乙方原因退出《包河区中小学体艺中心课程服务单位招募》的，甲方有权解除合同，甲方不承担违约责任，乙方在解除合同前需将相关教学工作妥善进行交接，做好家长及学生解释工作。</w:t>
      </w:r>
    </w:p>
    <w:p w14:paraId="6CF6DA2B">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val="zh-CN"/>
        </w:rPr>
        <w:t xml:space="preserve"> 违约责任</w:t>
      </w:r>
      <w:bookmarkEnd w:id="38"/>
      <w:bookmarkEnd w:id="39"/>
      <w:bookmarkEnd w:id="40"/>
    </w:p>
    <w:p w14:paraId="67886689">
      <w:pPr>
        <w:spacing w:line="360" w:lineRule="auto"/>
        <w:ind w:firstLine="435"/>
        <w:rPr>
          <w:rFonts w:hint="default" w:ascii="宋体" w:hAnsi="宋体" w:eastAsia="宋体" w:cs="宋体"/>
          <w:color w:val="auto"/>
          <w:sz w:val="24"/>
          <w:highlight w:val="none"/>
          <w:lang w:val="en-US" w:eastAsia="zh-CN"/>
        </w:rPr>
      </w:pPr>
      <w:bookmarkStart w:id="41" w:name="_Toc28375"/>
      <w:bookmarkStart w:id="42" w:name="_Toc16021"/>
      <w:bookmarkStart w:id="43" w:name="_Toc15583"/>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lang w:eastAsia="zh-CN"/>
        </w:rPr>
        <w:t>非乙方原因外</w:t>
      </w:r>
      <w:r>
        <w:rPr>
          <w:rFonts w:hint="eastAsia" w:ascii="宋体" w:hAnsi="宋体" w:eastAsia="宋体" w:cs="宋体"/>
          <w:color w:val="auto"/>
          <w:sz w:val="24"/>
          <w:highlight w:val="none"/>
        </w:rPr>
        <w:t>，如果乙方</w:t>
      </w:r>
      <w:r>
        <w:rPr>
          <w:rFonts w:hint="eastAsia" w:ascii="宋体" w:hAnsi="宋体" w:eastAsia="宋体" w:cs="宋体"/>
          <w:color w:val="auto"/>
          <w:sz w:val="24"/>
          <w:highlight w:val="none"/>
          <w:lang w:eastAsia="zh-CN"/>
        </w:rPr>
        <w:t>未</w:t>
      </w:r>
      <w:r>
        <w:rPr>
          <w:rFonts w:hint="eastAsia" w:ascii="宋体" w:hAnsi="宋体" w:eastAsia="宋体" w:cs="宋体"/>
          <w:color w:val="auto"/>
          <w:sz w:val="24"/>
          <w:highlight w:val="none"/>
        </w:rPr>
        <w:t>按本合同</w:t>
      </w:r>
      <w:r>
        <w:rPr>
          <w:rFonts w:hint="eastAsia" w:ascii="宋体" w:hAnsi="宋体" w:eastAsia="宋体" w:cs="宋体"/>
          <w:color w:val="auto"/>
          <w:sz w:val="24"/>
          <w:highlight w:val="none"/>
          <w:lang w:eastAsia="zh-CN"/>
        </w:rPr>
        <w:t>要求</w:t>
      </w:r>
      <w:r>
        <w:rPr>
          <w:rFonts w:hint="eastAsia" w:ascii="宋体" w:hAnsi="宋体" w:eastAsia="宋体" w:cs="宋体"/>
          <w:color w:val="auto"/>
          <w:sz w:val="24"/>
          <w:highlight w:val="none"/>
        </w:rPr>
        <w:t>的期限、地点和方式</w:t>
      </w:r>
      <w:r>
        <w:rPr>
          <w:rFonts w:hint="eastAsia" w:ascii="宋体" w:hAnsi="宋体" w:eastAsia="宋体" w:cs="宋体"/>
          <w:color w:val="auto"/>
          <w:sz w:val="24"/>
          <w:highlight w:val="none"/>
          <w:lang w:eastAsia="zh-CN"/>
        </w:rPr>
        <w:t>提供课程服务的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提供的服务未达到</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lang w:eastAsia="zh-CN"/>
        </w:rPr>
        <w:t>和校方要求的，</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lang w:eastAsia="zh-CN"/>
        </w:rPr>
        <w:t>有权在当期应支付的课程服务费用中扣除</w:t>
      </w:r>
      <w:r>
        <w:rPr>
          <w:rFonts w:hint="eastAsia" w:ascii="宋体" w:hAnsi="宋体" w:eastAsia="宋体" w:cs="宋体"/>
          <w:color w:val="auto"/>
          <w:sz w:val="24"/>
          <w:highlight w:val="none"/>
          <w:lang w:val="en-US" w:eastAsia="zh-CN"/>
        </w:rPr>
        <w:t>50%作为违约金。</w:t>
      </w:r>
    </w:p>
    <w:p w14:paraId="4EF586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w:t>
      </w:r>
      <w:r>
        <w:rPr>
          <w:rFonts w:hint="eastAsia" w:ascii="宋体" w:hAnsi="宋体" w:eastAsia="宋体" w:cs="宋体"/>
          <w:color w:val="auto"/>
          <w:sz w:val="24"/>
          <w:highlight w:val="none"/>
          <w:lang w:val="en-US" w:eastAsia="zh-CN"/>
        </w:rPr>
        <w:t>或者泄露对方及对方客户的隐私信息，</w:t>
      </w:r>
      <w:r>
        <w:rPr>
          <w:rFonts w:hint="eastAsia" w:ascii="宋体" w:hAnsi="宋体" w:eastAsia="宋体" w:cs="宋体"/>
          <w:color w:val="auto"/>
          <w:sz w:val="24"/>
          <w:highlight w:val="none"/>
        </w:rPr>
        <w:t>对方当事人可以书面通知违约方解除本合同；</w:t>
      </w:r>
    </w:p>
    <w:p w14:paraId="51B1B1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D6C37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2D800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74B60F42">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lang w:val="zh-CN"/>
        </w:rPr>
        <w:t xml:space="preserve"> 合同争议的解决</w:t>
      </w:r>
      <w:bookmarkEnd w:id="41"/>
      <w:bookmarkEnd w:id="42"/>
      <w:bookmarkEnd w:id="43"/>
    </w:p>
    <w:p w14:paraId="19291B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lang w:eastAsia="zh-CN"/>
        </w:rPr>
        <w:t>1</w:t>
      </w:r>
      <w:r>
        <w:rPr>
          <w:rFonts w:hint="eastAsia" w:ascii="宋体" w:hAnsi="宋体" w:eastAsia="宋体" w:cs="宋体"/>
          <w:color w:val="auto"/>
          <w:sz w:val="24"/>
          <w:highlight w:val="none"/>
          <w:u w:val="single"/>
          <w:lang w:val="en-US" w:eastAsia="zh-CN"/>
        </w:rPr>
        <w:t>.9.1</w:t>
      </w:r>
      <w:r>
        <w:rPr>
          <w:rFonts w:hint="eastAsia" w:ascii="宋体" w:hAnsi="宋体" w:eastAsia="宋体" w:cs="宋体"/>
          <w:color w:val="auto"/>
          <w:sz w:val="24"/>
          <w:highlight w:val="none"/>
        </w:rPr>
        <w:t>种方式解决：</w:t>
      </w:r>
    </w:p>
    <w:p w14:paraId="43CCF1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.1向</w:t>
      </w:r>
      <w:r>
        <w:rPr>
          <w:rFonts w:hint="eastAsia" w:ascii="宋体" w:hAnsi="宋体" w:eastAsia="宋体" w:cs="宋体"/>
          <w:color w:val="auto"/>
          <w:sz w:val="24"/>
          <w:highlight w:val="none"/>
          <w:u w:val="single"/>
        </w:rPr>
        <w:t>合肥</w:t>
      </w:r>
      <w:r>
        <w:rPr>
          <w:rFonts w:hint="eastAsia" w:ascii="宋体" w:hAnsi="宋体" w:eastAsia="宋体" w:cs="宋体"/>
          <w:color w:val="auto"/>
          <w:sz w:val="24"/>
          <w:highlight w:val="none"/>
        </w:rPr>
        <w:t>仲裁委员会提交仲裁申请；</w:t>
      </w:r>
    </w:p>
    <w:p w14:paraId="180A1BD2">
      <w:pPr>
        <w:spacing w:line="360" w:lineRule="auto"/>
        <w:ind w:firstLine="435"/>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.2向</w:t>
      </w:r>
      <w:r>
        <w:rPr>
          <w:rFonts w:hint="eastAsia" w:ascii="宋体" w:hAnsi="宋体" w:eastAsia="宋体" w:cs="宋体"/>
          <w:color w:val="auto"/>
          <w:sz w:val="24"/>
          <w:highlight w:val="none"/>
          <w:u w:val="single"/>
          <w:lang w:val="en-US" w:eastAsia="zh-CN"/>
        </w:rPr>
        <w:t>甲方所在地</w:t>
      </w:r>
      <w:r>
        <w:rPr>
          <w:rFonts w:hint="eastAsia" w:ascii="宋体" w:hAnsi="宋体" w:eastAsia="宋体" w:cs="宋体"/>
          <w:color w:val="auto"/>
          <w:sz w:val="24"/>
          <w:highlight w:val="none"/>
        </w:rPr>
        <w:t>人民法院起诉。</w:t>
      </w:r>
      <w:bookmarkStart w:id="44" w:name="_Toc11173"/>
      <w:bookmarkStart w:id="45" w:name="_Toc15322"/>
      <w:bookmarkStart w:id="46" w:name="_Toc7245"/>
    </w:p>
    <w:p w14:paraId="491CBA5D">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lang w:val="zh-CN"/>
        </w:rPr>
        <w:t xml:space="preserve"> 合同生效</w:t>
      </w:r>
      <w:bookmarkEnd w:id="44"/>
      <w:bookmarkEnd w:id="45"/>
      <w:bookmarkEnd w:id="46"/>
    </w:p>
    <w:p w14:paraId="243717F2">
      <w:pPr>
        <w:spacing w:line="360" w:lineRule="auto"/>
        <w:ind w:firstLine="435"/>
        <w:rPr>
          <w:rFonts w:hint="eastAsia"/>
          <w:highlight w:val="none"/>
          <w:lang w:val="zh-CN"/>
        </w:rPr>
      </w:pPr>
      <w:r>
        <w:rPr>
          <w:rFonts w:hint="eastAsia" w:ascii="宋体" w:hAnsi="宋体" w:eastAsia="宋体" w:cs="宋体"/>
          <w:color w:val="auto"/>
          <w:sz w:val="24"/>
          <w:highlight w:val="none"/>
        </w:rPr>
        <w:t>本合同自</w:t>
      </w:r>
      <w:r>
        <w:rPr>
          <w:rFonts w:hint="eastAsia" w:ascii="宋体" w:hAnsi="宋体" w:eastAsia="宋体" w:cs="宋体"/>
          <w:color w:val="auto"/>
          <w:sz w:val="24"/>
          <w:highlight w:val="none"/>
          <w:lang w:eastAsia="zh-CN"/>
        </w:rPr>
        <w:t>甲、乙</w:t>
      </w:r>
      <w:r>
        <w:rPr>
          <w:rFonts w:hint="eastAsia" w:ascii="宋体" w:hAnsi="宋体" w:eastAsia="宋体" w:cs="宋体"/>
          <w:color w:val="auto"/>
          <w:sz w:val="24"/>
          <w:highlight w:val="none"/>
        </w:rPr>
        <w:t>双方</w:t>
      </w:r>
      <w:r>
        <w:rPr>
          <w:rFonts w:hint="eastAsia" w:ascii="宋体" w:hAnsi="宋体" w:eastAsia="宋体" w:cs="宋体"/>
          <w:color w:val="auto"/>
          <w:sz w:val="24"/>
          <w:highlight w:val="none"/>
          <w:lang w:eastAsia="zh-CN"/>
        </w:rPr>
        <w:t>签字、盖章后</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eastAsia="zh-CN"/>
        </w:rPr>
        <w:t>，本合同一式叁份，甲方执贰份，乙方执壹份，每份具有同等法律效力</w:t>
      </w:r>
      <w:r>
        <w:rPr>
          <w:rFonts w:hint="eastAsia" w:ascii="宋体" w:hAnsi="宋体" w:eastAsia="宋体" w:cs="宋体"/>
          <w:color w:val="auto"/>
          <w:sz w:val="24"/>
          <w:highlight w:val="none"/>
        </w:rPr>
        <w:t>。</w:t>
      </w:r>
    </w:p>
    <w:p w14:paraId="6F378A75">
      <w:pPr>
        <w:pStyle w:val="2"/>
        <w:rPr>
          <w:rFonts w:hint="eastAsia"/>
          <w:highlight w:val="none"/>
          <w:lang w:val="zh-CN"/>
        </w:rPr>
      </w:pPr>
    </w:p>
    <w:p w14:paraId="3947A32B">
      <w:pPr>
        <w:autoSpaceDE w:val="0"/>
        <w:autoSpaceDN w:val="0"/>
        <w:adjustRightInd w:val="0"/>
        <w:spacing w:line="560" w:lineRule="exac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甲    方：</w:t>
      </w:r>
      <w:r>
        <w:rPr>
          <w:rFonts w:hint="eastAsia" w:ascii="宋体" w:hAnsi="宋体" w:eastAsia="宋体" w:cs="宋体"/>
          <w:bCs/>
          <w:color w:val="auto"/>
          <w:sz w:val="24"/>
          <w:highlight w:val="none"/>
          <w:u w:val="single"/>
          <w:lang w:val="zh-CN"/>
        </w:rPr>
        <w:t xml:space="preserve">    （单位公章）     </w:t>
      </w:r>
      <w:r>
        <w:rPr>
          <w:rFonts w:hint="eastAsia" w:ascii="宋体" w:hAnsi="宋体" w:eastAsia="宋体" w:cs="宋体"/>
          <w:bCs/>
          <w:color w:val="auto"/>
          <w:sz w:val="24"/>
          <w:highlight w:val="none"/>
          <w:lang w:val="zh-CN"/>
        </w:rPr>
        <w:t xml:space="preserve">          乙方：</w:t>
      </w:r>
      <w:r>
        <w:rPr>
          <w:rFonts w:hint="eastAsia" w:ascii="宋体" w:hAnsi="宋体" w:eastAsia="宋体" w:cs="宋体"/>
          <w:bCs/>
          <w:color w:val="auto"/>
          <w:sz w:val="24"/>
          <w:highlight w:val="none"/>
          <w:u w:val="single"/>
          <w:lang w:val="zh-CN"/>
        </w:rPr>
        <w:t xml:space="preserve">    （单位公章）     </w:t>
      </w:r>
    </w:p>
    <w:p w14:paraId="2C850AE6">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                               法定代表人</w:t>
      </w:r>
    </w:p>
    <w:p w14:paraId="5C692EB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或授权代表（签字）：                      或授权代表（签字）：</w:t>
      </w:r>
    </w:p>
    <w:p w14:paraId="29800C16">
      <w:pPr>
        <w:widowControl/>
        <w:spacing w:line="56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               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p>
    <w:p w14:paraId="7B1961F1">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bookmarkEnd w:id="37"/>
    <w:p w14:paraId="77FFA119">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合同一般条款</w:t>
      </w:r>
    </w:p>
    <w:p w14:paraId="30D8613F">
      <w:pPr>
        <w:spacing w:line="360" w:lineRule="auto"/>
        <w:ind w:firstLine="437"/>
        <w:outlineLvl w:val="3"/>
        <w:rPr>
          <w:rFonts w:hint="eastAsia" w:ascii="宋体" w:hAnsi="宋体" w:eastAsia="宋体" w:cs="宋体"/>
          <w:b/>
          <w:bCs/>
          <w:color w:val="auto"/>
          <w:sz w:val="24"/>
          <w:highlight w:val="none"/>
          <w:lang w:val="zh-CN"/>
        </w:rPr>
      </w:pPr>
      <w:bookmarkStart w:id="47" w:name="_Ref467379195"/>
      <w:bookmarkStart w:id="48" w:name="_Toc259093669"/>
      <w:bookmarkStart w:id="49" w:name="_Toc279701240"/>
      <w:bookmarkStart w:id="50" w:name="_Ref467378404"/>
      <w:bookmarkStart w:id="51" w:name="_Ref467379225"/>
      <w:bookmarkStart w:id="52" w:name="_Ref467379205"/>
      <w:bookmarkStart w:id="53" w:name="_Ref467378499"/>
      <w:bookmarkStart w:id="54" w:name="_Ref467379109"/>
      <w:bookmarkStart w:id="55" w:name="_Toc487900349"/>
      <w:bookmarkStart w:id="56" w:name="_Ref467379101"/>
      <w:bookmarkStart w:id="57" w:name="_Ref467378463"/>
      <w:bookmarkStart w:id="58" w:name="_Toc19614"/>
      <w:bookmarkStart w:id="59" w:name="_Toc16917"/>
      <w:bookmarkStart w:id="60" w:name="_Ref467379094"/>
      <w:bookmarkStart w:id="61" w:name="_Ref467379214"/>
      <w:bookmarkStart w:id="62" w:name="_Toc28763"/>
      <w:r>
        <w:rPr>
          <w:rFonts w:hint="eastAsia" w:ascii="宋体" w:hAnsi="宋体" w:eastAsia="宋体" w:cs="宋体"/>
          <w:b/>
          <w:bCs/>
          <w:color w:val="auto"/>
          <w:sz w:val="24"/>
          <w:highlight w:val="none"/>
          <w:lang w:val="zh-CN"/>
        </w:rPr>
        <w:t>2.1 定义</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FA54A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54C731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签订的载明双方当事人所达成的协议，并包括所有的附件、附录和构成合同的其他文件。</w:t>
      </w:r>
    </w:p>
    <w:p w14:paraId="6E3F6B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在完全履行合同义务后，</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应支付给</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的价格。</w:t>
      </w:r>
    </w:p>
    <w:p w14:paraId="4319C1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根据合同约定应向</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履行的除货物和工程以外的其他招标对象，包括</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自身需要的服务和向社会公众提供的公共服务。</w:t>
      </w:r>
    </w:p>
    <w:p w14:paraId="1D65F2F1">
      <w:pPr>
        <w:spacing w:line="360" w:lineRule="auto"/>
        <w:ind w:firstLine="435"/>
        <w:rPr>
          <w:rFonts w:hint="eastAsia" w:ascii="宋体" w:hAnsi="宋体" w:eastAsia="宋体" w:cs="宋体"/>
          <w:color w:val="auto"/>
          <w:sz w:val="24"/>
          <w:highlight w:val="none"/>
        </w:rPr>
      </w:pPr>
      <w:bookmarkStart w:id="63" w:name="_Ref467378840"/>
      <w:r>
        <w:rPr>
          <w:rFonts w:hint="eastAsia" w:ascii="宋体" w:hAnsi="宋体" w:eastAsia="宋体" w:cs="宋体"/>
          <w:color w:val="auto"/>
          <w:sz w:val="24"/>
          <w:highlight w:val="none"/>
        </w:rPr>
        <w:t>2.1.4“甲方”系指与</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签署合同的</w:t>
      </w:r>
      <w:bookmarkEnd w:id="63"/>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委托招标代理机构代表其与乙方签订合同的，</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的授权委托书作为合同附件。</w:t>
      </w:r>
    </w:p>
    <w:p w14:paraId="5F81F293">
      <w:pPr>
        <w:spacing w:line="360" w:lineRule="auto"/>
        <w:ind w:firstLine="435"/>
        <w:rPr>
          <w:rFonts w:hint="eastAsia" w:ascii="宋体" w:hAnsi="宋体" w:eastAsia="宋体" w:cs="宋体"/>
          <w:color w:val="auto"/>
          <w:sz w:val="24"/>
          <w:highlight w:val="none"/>
        </w:rPr>
      </w:pPr>
      <w:bookmarkStart w:id="64" w:name="_Ref467379400"/>
      <w:r>
        <w:rPr>
          <w:rFonts w:hint="eastAsia" w:ascii="宋体" w:hAnsi="宋体" w:eastAsia="宋体" w:cs="宋体"/>
          <w:color w:val="auto"/>
          <w:sz w:val="24"/>
          <w:highlight w:val="none"/>
        </w:rPr>
        <w:t>2.1.5“乙方”系指根据合同约定提供服务的</w:t>
      </w:r>
      <w:bookmarkEnd w:id="64"/>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；两个以上的自然人、法人或者其他组织组成一个联合体，以一个</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的身份共同参加招标代理的，联合体各方均应为乙方或者与乙方相同地位的合同当事人，并就合同约定的事项对甲方承担连带责任。</w:t>
      </w:r>
    </w:p>
    <w:p w14:paraId="084EAABA">
      <w:pPr>
        <w:spacing w:line="360" w:lineRule="auto"/>
        <w:ind w:firstLine="435"/>
        <w:rPr>
          <w:rFonts w:hint="eastAsia" w:ascii="宋体" w:hAnsi="宋体" w:eastAsia="宋体" w:cs="宋体"/>
          <w:color w:val="auto"/>
          <w:sz w:val="24"/>
          <w:highlight w:val="none"/>
        </w:rPr>
      </w:pPr>
      <w:bookmarkStart w:id="65" w:name="_Ref467379436"/>
      <w:r>
        <w:rPr>
          <w:rFonts w:hint="eastAsia" w:ascii="宋体" w:hAnsi="宋体" w:eastAsia="宋体" w:cs="宋体"/>
          <w:color w:val="auto"/>
          <w:sz w:val="24"/>
          <w:highlight w:val="none"/>
        </w:rPr>
        <w:t>2.1.6“现场”系指合同约定提供服务的地点。</w:t>
      </w:r>
      <w:bookmarkEnd w:id="65"/>
    </w:p>
    <w:p w14:paraId="65DF6E0F">
      <w:pPr>
        <w:spacing w:line="360" w:lineRule="auto"/>
        <w:ind w:firstLine="437"/>
        <w:outlineLvl w:val="3"/>
        <w:rPr>
          <w:rFonts w:hint="eastAsia" w:ascii="宋体" w:hAnsi="宋体" w:eastAsia="宋体" w:cs="宋体"/>
          <w:b/>
          <w:bCs/>
          <w:color w:val="auto"/>
          <w:sz w:val="24"/>
          <w:highlight w:val="none"/>
          <w:lang w:val="zh-CN"/>
        </w:rPr>
      </w:pPr>
      <w:bookmarkStart w:id="66" w:name="_Toc27635"/>
      <w:bookmarkStart w:id="67" w:name="_Toc487900350"/>
      <w:bookmarkStart w:id="68" w:name="_Toc32504"/>
      <w:bookmarkStart w:id="69" w:name="_Toc279701241"/>
      <w:bookmarkStart w:id="70" w:name="_Toc13336"/>
      <w:bookmarkStart w:id="71" w:name="_Toc259093670"/>
      <w:r>
        <w:rPr>
          <w:rFonts w:hint="eastAsia" w:ascii="宋体" w:hAnsi="宋体" w:eastAsia="宋体" w:cs="宋体"/>
          <w:b/>
          <w:bCs/>
          <w:color w:val="auto"/>
          <w:sz w:val="24"/>
          <w:highlight w:val="none"/>
          <w:lang w:val="zh-CN"/>
        </w:rPr>
        <w:t>2.2 技术规范</w:t>
      </w:r>
      <w:bookmarkEnd w:id="66"/>
      <w:bookmarkEnd w:id="67"/>
      <w:bookmarkEnd w:id="68"/>
      <w:bookmarkEnd w:id="69"/>
      <w:bookmarkEnd w:id="70"/>
      <w:bookmarkEnd w:id="71"/>
    </w:p>
    <w:p w14:paraId="0BF4E7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97E762B">
      <w:pPr>
        <w:spacing w:line="360" w:lineRule="auto"/>
        <w:ind w:firstLine="437"/>
        <w:outlineLvl w:val="3"/>
        <w:rPr>
          <w:rFonts w:hint="eastAsia" w:ascii="宋体" w:hAnsi="宋体" w:eastAsia="宋体" w:cs="宋体"/>
          <w:b/>
          <w:bCs/>
          <w:color w:val="auto"/>
          <w:sz w:val="24"/>
          <w:highlight w:val="none"/>
          <w:lang w:val="zh-CN"/>
        </w:rPr>
      </w:pPr>
      <w:bookmarkStart w:id="72" w:name="_Toc487900351"/>
      <w:bookmarkStart w:id="73" w:name="_Toc31634"/>
      <w:bookmarkStart w:id="74" w:name="_Toc9829"/>
      <w:bookmarkStart w:id="75" w:name="_Toc259093671"/>
      <w:bookmarkStart w:id="76" w:name="_Toc27853"/>
      <w:bookmarkStart w:id="77" w:name="_Toc279701242"/>
      <w:r>
        <w:rPr>
          <w:rFonts w:hint="eastAsia" w:ascii="宋体" w:hAnsi="宋体" w:eastAsia="宋体" w:cs="宋体"/>
          <w:b/>
          <w:bCs/>
          <w:color w:val="auto"/>
          <w:sz w:val="24"/>
          <w:highlight w:val="none"/>
          <w:lang w:val="zh-CN"/>
        </w:rPr>
        <w:t>2.3 知识产权</w:t>
      </w:r>
      <w:bookmarkEnd w:id="72"/>
      <w:bookmarkEnd w:id="73"/>
      <w:bookmarkEnd w:id="74"/>
      <w:bookmarkEnd w:id="75"/>
      <w:bookmarkEnd w:id="76"/>
      <w:bookmarkEnd w:id="77"/>
    </w:p>
    <w:p w14:paraId="1EC848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C89F53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5EC6537">
      <w:pPr>
        <w:spacing w:line="360" w:lineRule="auto"/>
        <w:ind w:firstLine="437"/>
        <w:outlineLvl w:val="3"/>
        <w:rPr>
          <w:rFonts w:hint="eastAsia" w:ascii="宋体" w:hAnsi="宋体" w:eastAsia="宋体" w:cs="宋体"/>
          <w:b/>
          <w:bCs/>
          <w:color w:val="auto"/>
          <w:sz w:val="24"/>
          <w:highlight w:val="none"/>
          <w:lang w:val="zh-CN"/>
        </w:rPr>
      </w:pPr>
      <w:bookmarkStart w:id="78" w:name="_Ref467379527"/>
      <w:bookmarkStart w:id="79" w:name="_Toc259093674"/>
      <w:bookmarkStart w:id="80" w:name="_Ref467379542"/>
      <w:bookmarkStart w:id="81" w:name="_Ref467378541"/>
      <w:bookmarkStart w:id="82" w:name="_Toc487900354"/>
      <w:bookmarkStart w:id="83" w:name="_Ref467379536"/>
      <w:bookmarkStart w:id="84" w:name="_Toc279701245"/>
      <w:bookmarkStart w:id="85" w:name="_Ref467378591"/>
      <w:bookmarkStart w:id="86" w:name="_Toc26182"/>
      <w:bookmarkStart w:id="87" w:name="_Toc30272"/>
      <w:bookmarkStart w:id="88" w:name="_Toc19074"/>
      <w:r>
        <w:rPr>
          <w:rFonts w:hint="eastAsia" w:ascii="宋体" w:hAnsi="宋体" w:eastAsia="宋体" w:cs="宋体"/>
          <w:b/>
          <w:bCs/>
          <w:color w:val="auto"/>
          <w:sz w:val="24"/>
          <w:highlight w:val="none"/>
          <w:lang w:val="zh-CN"/>
        </w:rPr>
        <w:t>2.</w:t>
      </w:r>
      <w:bookmarkEnd w:id="78"/>
      <w:bookmarkEnd w:id="79"/>
      <w:bookmarkEnd w:id="80"/>
      <w:bookmarkEnd w:id="81"/>
      <w:bookmarkEnd w:id="82"/>
      <w:bookmarkEnd w:id="83"/>
      <w:bookmarkEnd w:id="84"/>
      <w:bookmarkEnd w:id="85"/>
      <w:r>
        <w:rPr>
          <w:rFonts w:hint="eastAsia" w:ascii="宋体" w:hAnsi="宋体" w:eastAsia="宋体" w:cs="宋体"/>
          <w:b/>
          <w:bCs/>
          <w:color w:val="auto"/>
          <w:sz w:val="24"/>
          <w:highlight w:val="none"/>
          <w:lang w:val="zh-CN"/>
        </w:rPr>
        <w:t>4 履约检查和问题反馈</w:t>
      </w:r>
      <w:bookmarkEnd w:id="86"/>
      <w:bookmarkEnd w:id="87"/>
      <w:bookmarkEnd w:id="88"/>
    </w:p>
    <w:p w14:paraId="77E63BDF">
      <w:pPr>
        <w:spacing w:line="360" w:lineRule="auto"/>
        <w:ind w:firstLine="435"/>
        <w:rPr>
          <w:rFonts w:hint="eastAsia" w:ascii="宋体" w:hAnsi="宋体" w:eastAsia="宋体" w:cs="宋体"/>
          <w:color w:val="auto"/>
          <w:sz w:val="24"/>
          <w:highlight w:val="none"/>
        </w:rPr>
      </w:pPr>
      <w:bookmarkStart w:id="89" w:name="_Toc186431854"/>
      <w:bookmarkStart w:id="90" w:name="_Toc279701247"/>
      <w:bookmarkStart w:id="91" w:name="_Ref467379807"/>
      <w:bookmarkStart w:id="92" w:name="_Toc259093676"/>
      <w:bookmarkStart w:id="93" w:name="_Toc487900357"/>
      <w:bookmarkStart w:id="94" w:name="_Ref467379793"/>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135511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89"/>
      <w:bookmarkStart w:id="95" w:name="_Toc186431855"/>
      <w:r>
        <w:rPr>
          <w:rFonts w:hint="eastAsia" w:ascii="宋体" w:hAnsi="宋体" w:eastAsia="宋体" w:cs="宋体"/>
          <w:color w:val="auto"/>
          <w:sz w:val="24"/>
          <w:highlight w:val="none"/>
        </w:rPr>
        <w:t>。</w:t>
      </w:r>
    </w:p>
    <w:bookmarkEnd w:id="95"/>
    <w:p w14:paraId="4EA4218C">
      <w:pPr>
        <w:spacing w:line="360" w:lineRule="auto"/>
        <w:ind w:firstLine="437"/>
        <w:outlineLvl w:val="3"/>
        <w:rPr>
          <w:rFonts w:hint="eastAsia" w:ascii="宋体" w:hAnsi="宋体" w:eastAsia="宋体" w:cs="宋体"/>
          <w:b/>
          <w:bCs/>
          <w:color w:val="auto"/>
          <w:sz w:val="24"/>
          <w:highlight w:val="none"/>
          <w:lang w:val="zh-CN"/>
        </w:rPr>
      </w:pPr>
      <w:bookmarkStart w:id="96" w:name="_Toc7836"/>
      <w:bookmarkStart w:id="97" w:name="_Toc19219"/>
      <w:bookmarkStart w:id="98" w:name="_Toc28451"/>
      <w:r>
        <w:rPr>
          <w:rFonts w:hint="eastAsia" w:ascii="宋体" w:hAnsi="宋体" w:eastAsia="宋体" w:cs="宋体"/>
          <w:b/>
          <w:bCs/>
          <w:color w:val="auto"/>
          <w:sz w:val="24"/>
          <w:highlight w:val="none"/>
          <w:lang w:val="zh-CN"/>
        </w:rPr>
        <w:t>2.5 结算方式和付款条件</w:t>
      </w:r>
      <w:bookmarkEnd w:id="90"/>
      <w:bookmarkEnd w:id="91"/>
      <w:bookmarkEnd w:id="92"/>
      <w:bookmarkEnd w:id="93"/>
      <w:bookmarkEnd w:id="94"/>
      <w:bookmarkEnd w:id="96"/>
      <w:bookmarkEnd w:id="97"/>
      <w:bookmarkEnd w:id="98"/>
    </w:p>
    <w:p w14:paraId="1D6B3B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DF1A440">
      <w:pPr>
        <w:spacing w:line="360" w:lineRule="auto"/>
        <w:ind w:firstLine="437"/>
        <w:outlineLvl w:val="3"/>
        <w:rPr>
          <w:rFonts w:hint="eastAsia" w:ascii="宋体" w:hAnsi="宋体" w:eastAsia="宋体" w:cs="宋体"/>
          <w:b/>
          <w:bCs/>
          <w:color w:val="auto"/>
          <w:sz w:val="24"/>
          <w:highlight w:val="none"/>
          <w:lang w:val="zh-CN"/>
        </w:rPr>
      </w:pPr>
      <w:bookmarkStart w:id="99" w:name="_Toc279701248"/>
      <w:bookmarkStart w:id="100" w:name="_Ref467379923"/>
      <w:bookmarkStart w:id="101" w:name="_Ref467379863"/>
      <w:bookmarkStart w:id="102" w:name="_Ref467379852"/>
      <w:bookmarkStart w:id="103" w:name="_Toc259093677"/>
      <w:bookmarkStart w:id="104" w:name="_Toc487900358"/>
      <w:bookmarkStart w:id="105" w:name="_Toc3225"/>
      <w:bookmarkStart w:id="106" w:name="_Toc774"/>
      <w:bookmarkStart w:id="107" w:name="_Toc16110"/>
      <w:r>
        <w:rPr>
          <w:rFonts w:hint="eastAsia" w:ascii="宋体" w:hAnsi="宋体" w:eastAsia="宋体" w:cs="宋体"/>
          <w:b/>
          <w:bCs/>
          <w:color w:val="auto"/>
          <w:sz w:val="24"/>
          <w:highlight w:val="none"/>
          <w:lang w:val="zh-CN"/>
        </w:rPr>
        <w:t>2.6 技术资料</w:t>
      </w:r>
      <w:bookmarkEnd w:id="99"/>
      <w:bookmarkEnd w:id="100"/>
      <w:bookmarkEnd w:id="101"/>
      <w:bookmarkEnd w:id="102"/>
      <w:bookmarkEnd w:id="103"/>
      <w:bookmarkEnd w:id="104"/>
      <w:r>
        <w:rPr>
          <w:rFonts w:hint="eastAsia" w:ascii="宋体" w:hAnsi="宋体" w:eastAsia="宋体" w:cs="宋体"/>
          <w:b/>
          <w:bCs/>
          <w:color w:val="auto"/>
          <w:sz w:val="24"/>
          <w:highlight w:val="none"/>
          <w:lang w:val="zh-CN"/>
        </w:rPr>
        <w:t>和保密义务</w:t>
      </w:r>
      <w:bookmarkEnd w:id="105"/>
      <w:bookmarkEnd w:id="106"/>
      <w:bookmarkEnd w:id="107"/>
    </w:p>
    <w:p w14:paraId="51D5A0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7F0880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207DE0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280C8F8">
      <w:pPr>
        <w:spacing w:line="360" w:lineRule="auto"/>
        <w:ind w:firstLine="437"/>
        <w:outlineLvl w:val="3"/>
        <w:rPr>
          <w:rFonts w:hint="eastAsia" w:ascii="宋体" w:hAnsi="宋体" w:eastAsia="宋体" w:cs="宋体"/>
          <w:b/>
          <w:bCs/>
          <w:color w:val="auto"/>
          <w:sz w:val="24"/>
          <w:highlight w:val="none"/>
          <w:lang w:val="zh-CN"/>
        </w:rPr>
      </w:pPr>
      <w:bookmarkStart w:id="108" w:name="_Toc7860"/>
      <w:r>
        <w:rPr>
          <w:rFonts w:hint="eastAsia" w:ascii="宋体" w:hAnsi="宋体" w:eastAsia="宋体" w:cs="宋体"/>
          <w:b/>
          <w:bCs/>
          <w:color w:val="auto"/>
          <w:sz w:val="24"/>
          <w:highlight w:val="none"/>
          <w:lang w:val="zh-CN"/>
        </w:rPr>
        <w:t>2.7 质量保证</w:t>
      </w:r>
      <w:bookmarkEnd w:id="108"/>
    </w:p>
    <w:p w14:paraId="124BB8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127814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6887A095">
      <w:pPr>
        <w:spacing w:line="360" w:lineRule="auto"/>
        <w:ind w:firstLine="437"/>
        <w:outlineLvl w:val="3"/>
        <w:rPr>
          <w:rFonts w:hint="eastAsia" w:ascii="宋体" w:hAnsi="宋体" w:eastAsia="宋体" w:cs="宋体"/>
          <w:b/>
          <w:color w:val="auto"/>
          <w:sz w:val="24"/>
          <w:highlight w:val="none"/>
        </w:rPr>
      </w:pPr>
      <w:bookmarkStart w:id="109" w:name="_Toc22267"/>
      <w:r>
        <w:rPr>
          <w:rFonts w:hint="eastAsia" w:ascii="宋体" w:hAnsi="宋体" w:eastAsia="宋体" w:cs="宋体"/>
          <w:b/>
          <w:color w:val="auto"/>
          <w:sz w:val="24"/>
          <w:highlight w:val="none"/>
        </w:rPr>
        <w:t>2.8 延迟履行</w:t>
      </w:r>
      <w:bookmarkEnd w:id="109"/>
    </w:p>
    <w:p w14:paraId="141919F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A79C317">
      <w:pPr>
        <w:spacing w:line="360" w:lineRule="auto"/>
        <w:ind w:firstLine="437"/>
        <w:outlineLvl w:val="3"/>
        <w:rPr>
          <w:rFonts w:hint="eastAsia" w:ascii="宋体" w:hAnsi="宋体" w:eastAsia="宋体" w:cs="宋体"/>
          <w:b/>
          <w:bCs/>
          <w:color w:val="auto"/>
          <w:sz w:val="24"/>
          <w:highlight w:val="none"/>
          <w:lang w:val="zh-CN"/>
        </w:rPr>
      </w:pPr>
      <w:bookmarkStart w:id="110" w:name="_Toc7502"/>
      <w:bookmarkStart w:id="111" w:name="_Toc487900364"/>
      <w:bookmarkStart w:id="112" w:name="_Ref467378121"/>
      <w:bookmarkStart w:id="113" w:name="_Toc259093683"/>
      <w:bookmarkStart w:id="114" w:name="_Toc279701254"/>
      <w:r>
        <w:rPr>
          <w:rFonts w:hint="eastAsia" w:ascii="宋体" w:hAnsi="宋体" w:eastAsia="宋体" w:cs="宋体"/>
          <w:b/>
          <w:bCs/>
          <w:color w:val="auto"/>
          <w:sz w:val="24"/>
          <w:highlight w:val="none"/>
          <w:lang w:val="zh-CN"/>
        </w:rPr>
        <w:t>2.9 合同变更</w:t>
      </w:r>
      <w:bookmarkEnd w:id="110"/>
    </w:p>
    <w:p w14:paraId="0BD283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426C5C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15" w:name="_Toc279701259"/>
      <w:bookmarkStart w:id="116" w:name="_Toc259093688"/>
      <w:bookmarkStart w:id="117" w:name="_Toc487900369"/>
    </w:p>
    <w:p w14:paraId="04F1EEBF">
      <w:pPr>
        <w:spacing w:line="360" w:lineRule="auto"/>
        <w:ind w:firstLine="437"/>
        <w:outlineLvl w:val="3"/>
        <w:rPr>
          <w:rFonts w:hint="eastAsia" w:ascii="宋体" w:hAnsi="宋体" w:eastAsia="宋体" w:cs="宋体"/>
          <w:b/>
          <w:bCs/>
          <w:color w:val="auto"/>
          <w:sz w:val="24"/>
          <w:highlight w:val="none"/>
          <w:lang w:val="zh-CN"/>
        </w:rPr>
      </w:pPr>
      <w:bookmarkStart w:id="118" w:name="_Toc15237"/>
      <w:bookmarkStart w:id="119" w:name="_Toc22955"/>
      <w:bookmarkStart w:id="120" w:name="_Toc10366"/>
      <w:r>
        <w:rPr>
          <w:rFonts w:hint="eastAsia" w:ascii="宋体" w:hAnsi="宋体" w:eastAsia="宋体" w:cs="宋体"/>
          <w:b/>
          <w:bCs/>
          <w:color w:val="auto"/>
          <w:sz w:val="24"/>
          <w:highlight w:val="none"/>
          <w:lang w:val="zh-CN"/>
        </w:rPr>
        <w:t>2.10 合同转让</w:t>
      </w:r>
      <w:bookmarkEnd w:id="115"/>
      <w:bookmarkEnd w:id="116"/>
      <w:bookmarkEnd w:id="117"/>
      <w:r>
        <w:rPr>
          <w:rFonts w:hint="eastAsia" w:ascii="宋体" w:hAnsi="宋体" w:eastAsia="宋体" w:cs="宋体"/>
          <w:b/>
          <w:bCs/>
          <w:color w:val="auto"/>
          <w:sz w:val="24"/>
          <w:highlight w:val="none"/>
          <w:lang w:val="zh-CN"/>
        </w:rPr>
        <w:t>和分包</w:t>
      </w:r>
      <w:bookmarkEnd w:id="118"/>
      <w:bookmarkEnd w:id="119"/>
      <w:bookmarkEnd w:id="120"/>
    </w:p>
    <w:p w14:paraId="19B5EA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就分包项目向甲方承担连带责任。</w:t>
      </w:r>
    </w:p>
    <w:p w14:paraId="62027264">
      <w:pPr>
        <w:spacing w:line="360" w:lineRule="auto"/>
        <w:ind w:firstLine="437"/>
        <w:outlineLvl w:val="3"/>
        <w:rPr>
          <w:rFonts w:hint="eastAsia" w:ascii="宋体" w:hAnsi="宋体" w:eastAsia="宋体" w:cs="宋体"/>
          <w:b/>
          <w:bCs/>
          <w:color w:val="auto"/>
          <w:sz w:val="24"/>
          <w:highlight w:val="none"/>
          <w:lang w:val="zh-CN"/>
        </w:rPr>
      </w:pPr>
      <w:bookmarkStart w:id="121" w:name="_Toc14066"/>
      <w:bookmarkStart w:id="122" w:name="_Toc16508"/>
      <w:bookmarkStart w:id="123" w:name="_Toc13566"/>
      <w:r>
        <w:rPr>
          <w:rFonts w:hint="eastAsia" w:ascii="宋体" w:hAnsi="宋体" w:eastAsia="宋体" w:cs="宋体"/>
          <w:b/>
          <w:bCs/>
          <w:color w:val="auto"/>
          <w:sz w:val="24"/>
          <w:highlight w:val="none"/>
          <w:lang w:val="zh-CN"/>
        </w:rPr>
        <w:t>2.11 不可抗力</w:t>
      </w:r>
      <w:bookmarkEnd w:id="121"/>
      <w:bookmarkEnd w:id="122"/>
      <w:bookmarkEnd w:id="123"/>
    </w:p>
    <w:p w14:paraId="17A9D3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5A661F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5AD51D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5BE040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A2B886C">
      <w:pPr>
        <w:spacing w:line="360" w:lineRule="auto"/>
        <w:ind w:firstLine="437"/>
        <w:outlineLvl w:val="3"/>
        <w:rPr>
          <w:rFonts w:hint="eastAsia" w:ascii="宋体" w:hAnsi="宋体" w:eastAsia="宋体" w:cs="宋体"/>
          <w:b/>
          <w:bCs/>
          <w:color w:val="auto"/>
          <w:sz w:val="24"/>
          <w:highlight w:val="none"/>
          <w:lang w:val="zh-CN"/>
        </w:rPr>
      </w:pPr>
      <w:bookmarkStart w:id="124" w:name="_Toc6969"/>
      <w:bookmarkStart w:id="125" w:name="_Toc689"/>
      <w:bookmarkStart w:id="126" w:name="_Toc30676"/>
      <w:bookmarkStart w:id="127" w:name="_Toc279701255"/>
      <w:bookmarkStart w:id="128" w:name="_Toc487900365"/>
      <w:bookmarkStart w:id="129" w:name="_Toc259093684"/>
      <w:r>
        <w:rPr>
          <w:rFonts w:hint="eastAsia" w:ascii="宋体" w:hAnsi="宋体" w:eastAsia="宋体" w:cs="宋体"/>
          <w:b/>
          <w:bCs/>
          <w:color w:val="auto"/>
          <w:sz w:val="24"/>
          <w:highlight w:val="none"/>
          <w:lang w:val="zh-CN"/>
        </w:rPr>
        <w:t>2.12 税费</w:t>
      </w:r>
      <w:bookmarkEnd w:id="124"/>
      <w:bookmarkEnd w:id="125"/>
      <w:bookmarkEnd w:id="126"/>
      <w:bookmarkEnd w:id="127"/>
      <w:bookmarkEnd w:id="128"/>
      <w:bookmarkEnd w:id="129"/>
    </w:p>
    <w:p w14:paraId="577F466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35BDFACE">
      <w:pPr>
        <w:spacing w:line="360" w:lineRule="auto"/>
        <w:ind w:firstLine="437"/>
        <w:outlineLvl w:val="3"/>
        <w:rPr>
          <w:rFonts w:hint="eastAsia" w:ascii="宋体" w:hAnsi="宋体" w:eastAsia="宋体" w:cs="宋体"/>
          <w:b/>
          <w:bCs/>
          <w:color w:val="auto"/>
          <w:sz w:val="24"/>
          <w:highlight w:val="none"/>
          <w:lang w:val="zh-CN"/>
        </w:rPr>
      </w:pPr>
      <w:bookmarkStart w:id="130" w:name="_Toc279701258"/>
      <w:bookmarkStart w:id="131" w:name="_Toc8298"/>
      <w:bookmarkStart w:id="132" w:name="_Toc487900368"/>
      <w:bookmarkStart w:id="133" w:name="_Toc7102"/>
      <w:bookmarkStart w:id="134" w:name="_Toc16959"/>
      <w:bookmarkStart w:id="135" w:name="_Toc259093687"/>
      <w:r>
        <w:rPr>
          <w:rFonts w:hint="eastAsia" w:ascii="宋体" w:hAnsi="宋体" w:eastAsia="宋体" w:cs="宋体"/>
          <w:b/>
          <w:bCs/>
          <w:color w:val="auto"/>
          <w:sz w:val="24"/>
          <w:highlight w:val="none"/>
          <w:lang w:val="zh-CN"/>
        </w:rPr>
        <w:t>2.13 乙方破产</w:t>
      </w:r>
      <w:bookmarkEnd w:id="130"/>
      <w:bookmarkEnd w:id="131"/>
      <w:bookmarkEnd w:id="132"/>
      <w:bookmarkEnd w:id="133"/>
      <w:bookmarkEnd w:id="134"/>
      <w:bookmarkEnd w:id="135"/>
    </w:p>
    <w:p w14:paraId="734F0E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FF074F">
      <w:pPr>
        <w:spacing w:line="360" w:lineRule="auto"/>
        <w:ind w:firstLine="437"/>
        <w:outlineLvl w:val="3"/>
        <w:rPr>
          <w:rFonts w:hint="eastAsia" w:ascii="宋体" w:hAnsi="宋体" w:eastAsia="宋体" w:cs="宋体"/>
          <w:b/>
          <w:color w:val="auto"/>
          <w:sz w:val="24"/>
          <w:highlight w:val="none"/>
        </w:rPr>
      </w:pPr>
      <w:bookmarkStart w:id="136" w:name="_Toc6134"/>
      <w:bookmarkStart w:id="137" w:name="_Toc15387"/>
      <w:bookmarkStart w:id="138" w:name="_Toc29333"/>
      <w:r>
        <w:rPr>
          <w:rFonts w:hint="eastAsia" w:ascii="宋体" w:hAnsi="宋体" w:eastAsia="宋体" w:cs="宋体"/>
          <w:b/>
          <w:bCs/>
          <w:color w:val="auto"/>
          <w:sz w:val="24"/>
          <w:highlight w:val="none"/>
          <w:lang w:val="zh-CN"/>
        </w:rPr>
        <w:t>2.14 合同中止、终止</w:t>
      </w:r>
      <w:bookmarkEnd w:id="136"/>
      <w:bookmarkEnd w:id="137"/>
      <w:bookmarkEnd w:id="138"/>
    </w:p>
    <w:p w14:paraId="6A7073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1C245E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129F37B">
      <w:pPr>
        <w:spacing w:line="360" w:lineRule="auto"/>
        <w:ind w:firstLine="437"/>
        <w:outlineLvl w:val="3"/>
        <w:rPr>
          <w:rFonts w:hint="eastAsia" w:ascii="宋体" w:hAnsi="宋体" w:eastAsia="宋体" w:cs="宋体"/>
          <w:b/>
          <w:bCs/>
          <w:color w:val="auto"/>
          <w:sz w:val="24"/>
          <w:highlight w:val="none"/>
          <w:lang w:val="zh-CN"/>
        </w:rPr>
      </w:pPr>
      <w:bookmarkStart w:id="139" w:name="_Toc14563"/>
      <w:bookmarkStart w:id="140" w:name="_Toc6596"/>
      <w:bookmarkStart w:id="141" w:name="_Toc1125"/>
      <w:r>
        <w:rPr>
          <w:rFonts w:hint="eastAsia" w:ascii="宋体" w:hAnsi="宋体" w:eastAsia="宋体" w:cs="宋体"/>
          <w:b/>
          <w:bCs/>
          <w:color w:val="auto"/>
          <w:sz w:val="24"/>
          <w:highlight w:val="none"/>
          <w:lang w:val="zh-CN"/>
        </w:rPr>
        <w:t>2.15 检验和验收</w:t>
      </w:r>
      <w:bookmarkEnd w:id="139"/>
      <w:bookmarkEnd w:id="140"/>
      <w:bookmarkEnd w:id="141"/>
    </w:p>
    <w:p w14:paraId="622C3D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2A7CFB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00FB14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11"/>
    <w:bookmarkEnd w:id="112"/>
    <w:bookmarkEnd w:id="113"/>
    <w:bookmarkEnd w:id="114"/>
    <w:p w14:paraId="75A1F846">
      <w:pPr>
        <w:spacing w:line="360" w:lineRule="auto"/>
        <w:ind w:firstLine="437"/>
        <w:outlineLvl w:val="3"/>
        <w:rPr>
          <w:rFonts w:hint="eastAsia" w:ascii="宋体" w:hAnsi="宋体" w:eastAsia="宋体" w:cs="宋体"/>
          <w:b/>
          <w:bCs/>
          <w:color w:val="auto"/>
          <w:sz w:val="24"/>
          <w:highlight w:val="none"/>
        </w:rPr>
      </w:pPr>
      <w:bookmarkStart w:id="142" w:name="_Toc487900373"/>
      <w:bookmarkStart w:id="143" w:name="_Toc279701263"/>
      <w:bookmarkStart w:id="144" w:name="_Toc12773"/>
      <w:bookmarkStart w:id="145" w:name="_Toc10330"/>
      <w:bookmarkStart w:id="146" w:name="_Toc18567"/>
      <w:bookmarkStart w:id="147" w:name="_Toc259093692"/>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42"/>
      <w:bookmarkEnd w:id="143"/>
      <w:bookmarkEnd w:id="144"/>
      <w:bookmarkEnd w:id="145"/>
      <w:bookmarkEnd w:id="146"/>
      <w:bookmarkEnd w:id="147"/>
    </w:p>
    <w:p w14:paraId="1E32A5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284B51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15D675CB">
      <w:pPr>
        <w:spacing w:line="360" w:lineRule="auto"/>
        <w:ind w:firstLine="437"/>
        <w:outlineLvl w:val="3"/>
        <w:rPr>
          <w:rFonts w:hint="eastAsia" w:ascii="宋体" w:hAnsi="宋体" w:eastAsia="宋体" w:cs="宋体"/>
          <w:b/>
          <w:color w:val="auto"/>
          <w:sz w:val="24"/>
          <w:highlight w:val="none"/>
        </w:rPr>
      </w:pPr>
      <w:bookmarkStart w:id="148" w:name="_Toc279701264"/>
      <w:bookmarkStart w:id="149" w:name="_Toc16673"/>
      <w:bookmarkStart w:id="150" w:name="_Toc259093693"/>
      <w:bookmarkStart w:id="151" w:name="_Toc3148"/>
      <w:bookmarkStart w:id="152" w:name="_Toc12004"/>
      <w:bookmarkStart w:id="153" w:name="_Toc487900374"/>
      <w:r>
        <w:rPr>
          <w:rFonts w:hint="eastAsia" w:ascii="宋体" w:hAnsi="宋体" w:eastAsia="宋体" w:cs="宋体"/>
          <w:b/>
          <w:bCs/>
          <w:color w:val="auto"/>
          <w:sz w:val="24"/>
          <w:highlight w:val="none"/>
          <w:lang w:val="zh-CN"/>
        </w:rPr>
        <w:t>2.17 履约保证金</w:t>
      </w:r>
      <w:bookmarkEnd w:id="148"/>
      <w:bookmarkEnd w:id="149"/>
      <w:bookmarkEnd w:id="150"/>
      <w:bookmarkEnd w:id="151"/>
      <w:bookmarkEnd w:id="152"/>
    </w:p>
    <w:p w14:paraId="3A52FC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2.17.1磋商文件要求乙方提交履约保证金（如有）的，乙方应按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273D47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2.17.2履约保证金（如有）在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4E0379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3"/>
    <w:p w14:paraId="203F261F">
      <w:pPr>
        <w:spacing w:line="360" w:lineRule="auto"/>
        <w:ind w:firstLine="437"/>
        <w:outlineLvl w:val="3"/>
        <w:rPr>
          <w:rFonts w:hint="eastAsia" w:ascii="宋体" w:hAnsi="宋体" w:eastAsia="宋体" w:cs="宋体"/>
          <w:b/>
          <w:color w:val="auto"/>
          <w:sz w:val="24"/>
          <w:highlight w:val="none"/>
        </w:rPr>
      </w:pPr>
      <w:bookmarkStart w:id="154" w:name="_Toc19890"/>
      <w:bookmarkStart w:id="155" w:name="_Toc6885"/>
      <w:bookmarkStart w:id="156" w:name="_Toc14001"/>
      <w:r>
        <w:rPr>
          <w:rFonts w:hint="eastAsia" w:ascii="宋体" w:hAnsi="宋体" w:eastAsia="宋体" w:cs="宋体"/>
          <w:b/>
          <w:bCs/>
          <w:color w:val="auto"/>
          <w:sz w:val="24"/>
          <w:highlight w:val="none"/>
          <w:lang w:val="zh-CN"/>
        </w:rPr>
        <w:t>2.18 合同份数</w:t>
      </w:r>
      <w:bookmarkEnd w:id="154"/>
      <w:bookmarkEnd w:id="155"/>
      <w:bookmarkEnd w:id="156"/>
    </w:p>
    <w:p w14:paraId="34C3FEC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497E652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bookmarkStart w:id="157" w:name="_Toc331685784"/>
      <w:r>
        <w:rPr>
          <w:rFonts w:hint="eastAsia" w:ascii="宋体" w:hAnsi="宋体" w:eastAsia="宋体" w:cs="宋体"/>
          <w:b/>
          <w:color w:val="auto"/>
          <w:sz w:val="24"/>
          <w:highlight w:val="none"/>
        </w:rPr>
        <w:t>第三部分 合同专用条款</w:t>
      </w:r>
      <w:bookmarkEnd w:id="157"/>
    </w:p>
    <w:p w14:paraId="25FDBDA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60B9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26F50AC5">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568" w:type="dxa"/>
            <w:vAlign w:val="center"/>
          </w:tcPr>
          <w:p w14:paraId="106CFD42">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7CFCD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37509B5">
            <w:pPr>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7568" w:type="dxa"/>
            <w:vAlign w:val="center"/>
          </w:tcPr>
          <w:p w14:paraId="1AFBECDF">
            <w:pPr>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bl>
    <w:p w14:paraId="6C5CE197">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Times New Roman"/>
          <w:b/>
          <w:bCs/>
          <w:color w:val="auto"/>
          <w:spacing w:val="-1"/>
          <w:sz w:val="28"/>
          <w:szCs w:val="28"/>
          <w:highlight w:val="none"/>
        </w:rPr>
        <w:t>合同附件1</w:t>
      </w:r>
    </w:p>
    <w:p w14:paraId="035CAFC6">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规范运营承诺书</w:t>
      </w:r>
    </w:p>
    <w:p w14:paraId="58D5FAEE">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为保证体艺课程坚持特色发展、普惠公益的原则，在双休日、节假日、寒暑假期间为广大在校学生提供体育、艺术、科技类教育培训服务，丰富学生课余生活，充分发挥体艺育人功能。本公司作为</w:t>
      </w:r>
      <w:r>
        <w:rPr>
          <w:rFonts w:hint="eastAsia" w:ascii="宋体" w:hAnsi="宋体" w:eastAsia="宋体" w:cs="宋体"/>
          <w:color w:val="auto"/>
          <w:sz w:val="24"/>
          <w:szCs w:val="18"/>
          <w:highlight w:val="none"/>
          <w:u w:val="single"/>
          <w:lang w:eastAsia="zh-CN"/>
        </w:rPr>
        <w:t>包河区体艺中心合肥市</w:t>
      </w:r>
      <w:r>
        <w:rPr>
          <w:rFonts w:hint="eastAsia" w:ascii="宋体" w:hAnsi="宋体" w:eastAsia="宋体" w:cs="宋体"/>
          <w:color w:val="auto"/>
          <w:sz w:val="24"/>
          <w:szCs w:val="18"/>
          <w:highlight w:val="none"/>
          <w:u w:val="single"/>
          <w:lang w:val="en-US" w:eastAsia="zh-CN"/>
        </w:rPr>
        <w:t>华山路小学</w:t>
      </w:r>
      <w:r>
        <w:rPr>
          <w:rFonts w:hint="eastAsia" w:ascii="宋体" w:hAnsi="宋体" w:eastAsia="宋体" w:cs="宋体"/>
          <w:color w:val="auto"/>
          <w:sz w:val="24"/>
          <w:szCs w:val="18"/>
          <w:highlight w:val="none"/>
          <w:u w:val="single"/>
          <w:lang w:eastAsia="zh-CN"/>
        </w:rPr>
        <w:t>课程服务单位招标</w:t>
      </w:r>
      <w:r>
        <w:rPr>
          <w:rFonts w:hint="eastAsia" w:ascii="宋体" w:hAnsi="宋体" w:eastAsia="宋体" w:cs="宋体"/>
          <w:color w:val="auto"/>
          <w:sz w:val="24"/>
          <w:szCs w:val="18"/>
          <w:highlight w:val="none"/>
          <w:u w:val="single"/>
          <w:lang w:val="en-US" w:eastAsia="zh-CN"/>
        </w:rPr>
        <w:t>第X标段</w:t>
      </w:r>
      <w:r>
        <w:rPr>
          <w:rFonts w:hint="eastAsia" w:ascii="Times New Roman" w:hAnsi="Times New Roman" w:eastAsia="宋体" w:cs="Times New Roman"/>
          <w:color w:val="auto"/>
          <w:sz w:val="24"/>
          <w:szCs w:val="24"/>
          <w:highlight w:val="none"/>
        </w:rPr>
        <w:t>的委托运营主体，郑重作出以下承诺：</w:t>
      </w:r>
    </w:p>
    <w:p w14:paraId="3A4138CB">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严守社会主义核心价值观，维护国家荣誉，遵守社会公德，坚持以学生为核心，诚信经营，提供优质的体艺课程培训服务。</w:t>
      </w:r>
    </w:p>
    <w:p w14:paraId="156575AA">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2.派遣入校的教师人员、管理人员品行端正，具备良好的思想品德和职业道德，核查无违法犯罪记录。具有正常开展教育活动的身体条件，无传染性疾病。教师满足入校教学资质要求。</w:t>
      </w:r>
    </w:p>
    <w:p w14:paraId="43BF42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.严格遵守宪法法律及其他相关管理规定，积极接受广大学生家长、学校主管部门的监督。</w:t>
      </w:r>
    </w:p>
    <w:p w14:paraId="296758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.知晓学校规范运营的各项规定，积极协助学校组织的各项活动，完全遵守、服从学校的各项规定、要求。</w:t>
      </w:r>
    </w:p>
    <w:p w14:paraId="496D27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不通过场馆显示屏、宣传海报等渠道，宣传散布违背党和人民利益、不利于国家民族团结以及违反社会主义核心价值观的思想言论；不为破坏民族团结、煽动民族分裂，危害社会稳定、国家安全和祖国统一等非法行为及非法社会组织提供活动场所等条件。</w:t>
      </w:r>
    </w:p>
    <w:p w14:paraId="19BCA3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.加强数据安全管理，严格遵守个人信息保护相关规定，不非法收集和滥用个人信息。不泄露、篡改、损毁已收集的个人信息，未经同意不向他人提供个人信息。</w:t>
      </w:r>
    </w:p>
    <w:p w14:paraId="02927A02">
      <w:pPr>
        <w:wordWrap w:val="0"/>
        <w:spacing w:line="360" w:lineRule="auto"/>
        <w:jc w:val="right"/>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 xml:space="preserve">公司名称： </w:t>
      </w:r>
      <w:r>
        <w:rPr>
          <w:rFonts w:hint="eastAsia" w:ascii="Times New Roman" w:hAnsi="Times New Roman" w:eastAsia="宋体" w:cs="Times New Roman"/>
          <w:color w:val="auto"/>
          <w:sz w:val="24"/>
          <w:szCs w:val="24"/>
          <w:highlight w:val="none"/>
        </w:rPr>
        <w:t xml:space="preserve">          </w:t>
      </w:r>
    </w:p>
    <w:p w14:paraId="6B6EF0E4">
      <w:pPr>
        <w:wordWrap w:val="0"/>
        <w:jc w:val="righ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 xml:space="preserve">期：           </w:t>
      </w:r>
    </w:p>
    <w:p w14:paraId="31922AC9">
      <w:pPr>
        <w:rPr>
          <w:rFonts w:ascii="Times New Roman" w:hAnsi="Times New Roman" w:eastAsia="宋体" w:cs="Times New Roman"/>
          <w:color w:val="auto"/>
          <w:highlight w:val="none"/>
        </w:rPr>
        <w:sectPr>
          <w:footerReference r:id="rId6" w:type="default"/>
          <w:pgSz w:w="11910" w:h="16840"/>
          <w:pgMar w:top="1580" w:right="1520" w:bottom="1080" w:left="1540" w:header="850" w:footer="992" w:gutter="0"/>
          <w:pgNumType w:fmt="decimal"/>
          <w:cols w:space="720" w:num="1"/>
          <w:docGrid w:linePitch="381" w:charSpace="0"/>
        </w:sectPr>
      </w:pPr>
    </w:p>
    <w:p w14:paraId="1939B33F">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Times New Roman"/>
          <w:b/>
          <w:bCs/>
          <w:color w:val="auto"/>
          <w:spacing w:val="-1"/>
          <w:sz w:val="28"/>
          <w:szCs w:val="28"/>
          <w:highlight w:val="none"/>
        </w:rPr>
        <w:t>合同附件2</w:t>
      </w:r>
    </w:p>
    <w:p w14:paraId="7F44C2BD">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安全运营责任承诺书</w:t>
      </w:r>
    </w:p>
    <w:p w14:paraId="3CC1DB17">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为强化安全经营意识，明确安全责任，防止重大事故发生，维护健康经营和发展，根据《中华人民共和国安全生产法》，本单位就安全经营责任作出如下承诺：</w:t>
      </w:r>
    </w:p>
    <w:p w14:paraId="1C71AF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1.按照有关法律法规规定办理证照，合法经营。</w:t>
      </w:r>
    </w:p>
    <w:p w14:paraId="7037CD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2.坚持“安全第一、预防为主”的安全经营方针和“谁使用，谁负责”的原则，严格执行各项安全生产法规，建立安全经营秩序和运行机制，强化安全经营意识，加大安全管理力度。</w:t>
      </w:r>
    </w:p>
    <w:p w14:paraId="047E88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 </w:t>
      </w:r>
    </w:p>
    <w:p w14:paraId="10D75F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4.强化消防安全管理。根据《中华人民共和国消防法》的相关法律、法规的规定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严格履行消防安全责任，积极采取有效措施消除安全隐患，防止火灾发生，并对消防安全负全面责任。</w:t>
      </w:r>
      <w:r>
        <w:rPr>
          <w:rFonts w:hint="eastAsia" w:ascii="宋体" w:hAnsi="宋体" w:eastAsia="宋体" w:cs="宋体"/>
          <w:color w:val="auto"/>
          <w:sz w:val="24"/>
          <w:szCs w:val="24"/>
          <w:highlight w:val="none"/>
          <w:lang w:eastAsia="zh-CN"/>
        </w:rPr>
        <w:t>不在场地</w:t>
      </w:r>
      <w:r>
        <w:rPr>
          <w:rFonts w:hint="eastAsia" w:ascii="宋体" w:hAnsi="宋体" w:eastAsia="宋体" w:cs="宋体"/>
          <w:color w:val="auto"/>
          <w:sz w:val="24"/>
          <w:szCs w:val="24"/>
          <w:highlight w:val="none"/>
        </w:rPr>
        <w:t>内私搭乱接电线、堆放易燃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易爆物品和危险品等。</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超负荷运行设备及带病作业；安装和修理用电设备、仪器时，由专业人员进行操作并认真检验。未经消防、电力部门允许，不使用大功率电器和私拉电力线路，以防火灾。服从安全生产、消防主管部门及甲方的统一监督和管理，按规定定期对</w:t>
      </w:r>
      <w:r>
        <w:rPr>
          <w:rFonts w:hint="eastAsia" w:ascii="宋体" w:hAnsi="宋体" w:eastAsia="宋体" w:cs="宋体"/>
          <w:color w:val="auto"/>
          <w:sz w:val="24"/>
          <w:szCs w:val="24"/>
          <w:highlight w:val="none"/>
          <w:lang w:val="en-US" w:eastAsia="zh-CN"/>
        </w:rPr>
        <w:t>场地</w:t>
      </w:r>
      <w:r>
        <w:rPr>
          <w:rFonts w:hint="eastAsia" w:ascii="宋体" w:hAnsi="宋体" w:eastAsia="宋体" w:cs="宋体"/>
          <w:color w:val="auto"/>
          <w:sz w:val="24"/>
          <w:szCs w:val="24"/>
          <w:highlight w:val="none"/>
        </w:rPr>
        <w:t>进行例行安全检查，对消防设施、特种设备进行检修维护，保证疏散通道和安全出口畅通，积极配合完成各项安全、消防工作任务。</w:t>
      </w:r>
    </w:p>
    <w:p w14:paraId="15AE49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5.坚决实现“四无一杜绝”：无重大火灾、无安全事故、无重大人身伤害事故及无重大资产损害事故，杜绝恶性人为责任事故并有效控制意外突发事件。</w:t>
      </w:r>
    </w:p>
    <w:p w14:paraId="2A1DC6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6.在经营过程中如发生安全责任事故，本单位自愿承担一切安全事故责任。</w:t>
      </w:r>
    </w:p>
    <w:p w14:paraId="403C9DB5">
      <w:pPr>
        <w:spacing w:line="360" w:lineRule="auto"/>
        <w:ind w:firstLine="3600" w:firstLineChars="15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承诺单位（盖章）：</w:t>
      </w:r>
    </w:p>
    <w:p w14:paraId="6A3500A7">
      <w:pPr>
        <w:spacing w:line="360" w:lineRule="auto"/>
        <w:ind w:firstLine="3600" w:firstLineChars="15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承诺单位法人或授权代表（签字）：         </w:t>
      </w:r>
    </w:p>
    <w:p w14:paraId="00C7D5E8">
      <w:pPr>
        <w:spacing w:line="360" w:lineRule="auto"/>
        <w:ind w:firstLine="3600" w:firstLineChars="15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签订日期：     年    月    日</w:t>
      </w:r>
    </w:p>
    <w:p w14:paraId="522D5457">
      <w:pPr>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br w:type="page"/>
      </w:r>
      <w:r>
        <w:rPr>
          <w:rFonts w:hint="eastAsia" w:ascii="宋体" w:hAnsi="宋体" w:eastAsia="宋体" w:cs="Times New Roman"/>
          <w:b/>
          <w:bCs/>
          <w:color w:val="auto"/>
          <w:spacing w:val="-1"/>
          <w:sz w:val="28"/>
          <w:szCs w:val="28"/>
          <w:highlight w:val="none"/>
        </w:rPr>
        <w:t>合同附件3</w:t>
      </w:r>
    </w:p>
    <w:p w14:paraId="2D0FD0AF">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学期考核办法</w:t>
      </w:r>
    </w:p>
    <w:p w14:paraId="45CAD7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为加强包河区体艺中心合肥市</w:t>
      </w:r>
      <w:r>
        <w:rPr>
          <w:rFonts w:hint="eastAsia" w:ascii="宋体" w:hAnsi="宋体" w:eastAsia="宋体" w:cs="宋体"/>
          <w:color w:val="auto"/>
          <w:sz w:val="24"/>
          <w:szCs w:val="24"/>
          <w:highlight w:val="none"/>
          <w:lang w:val="en-US" w:eastAsia="zh-CN"/>
        </w:rPr>
        <w:t>华山路</w:t>
      </w:r>
      <w:r>
        <w:rPr>
          <w:rFonts w:hint="eastAsia" w:ascii="宋体" w:hAnsi="宋体" w:eastAsia="宋体" w:cs="宋体"/>
          <w:color w:val="auto"/>
          <w:sz w:val="24"/>
          <w:szCs w:val="24"/>
          <w:highlight w:val="none"/>
        </w:rPr>
        <w:t>小学</w:t>
      </w:r>
      <w:r>
        <w:rPr>
          <w:rFonts w:hint="eastAsia" w:ascii="宋体" w:hAnsi="宋体" w:eastAsia="宋体" w:cs="宋体"/>
          <w:color w:val="auto"/>
          <w:sz w:val="24"/>
          <w:szCs w:val="24"/>
          <w:highlight w:val="none"/>
          <w:lang w:val="en-US" w:eastAsia="zh-CN"/>
        </w:rPr>
        <w:t>XX</w:t>
      </w:r>
      <w:r>
        <w:rPr>
          <w:rFonts w:hint="eastAsia" w:ascii="宋体" w:hAnsi="宋体" w:eastAsia="宋体" w:cs="宋体"/>
          <w:color w:val="auto"/>
          <w:sz w:val="24"/>
          <w:szCs w:val="24"/>
          <w:highlight w:val="none"/>
        </w:rPr>
        <w:t>课程项目质量管理，科学评价项目运营绩效，现制定合作项目绩效综合考评办法：</w:t>
      </w:r>
    </w:p>
    <w:p w14:paraId="2785B18F">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一、考核维度及评分标准</w:t>
      </w:r>
    </w:p>
    <w:p w14:paraId="3EEA2B42">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1.课程质量（</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0分）</w:t>
      </w:r>
    </w:p>
    <w:p w14:paraId="794AB802">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教学目标达成度（</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p>
    <w:p w14:paraId="0A90F84B">
      <w:pPr>
        <w:ind w:firstLine="480" w:firstLineChars="200"/>
        <w:rPr>
          <w:rFonts w:hint="eastAsia"/>
          <w:color w:val="auto"/>
          <w:highlight w:val="none"/>
          <w:lang w:eastAsia="zh-CN"/>
        </w:rPr>
      </w:pPr>
      <w:r>
        <w:rPr>
          <w:rFonts w:hint="eastAsia" w:ascii="宋体" w:hAnsi="宋体" w:eastAsia="宋体" w:cs="宋体"/>
          <w:color w:val="auto"/>
          <w:sz w:val="24"/>
          <w:szCs w:val="24"/>
          <w:highlight w:val="none"/>
          <w:lang w:eastAsia="zh-Hans"/>
        </w:rPr>
        <w:t>根据课程</w:t>
      </w:r>
      <w:r>
        <w:rPr>
          <w:rFonts w:hint="eastAsia" w:ascii="宋体" w:hAnsi="宋体" w:eastAsia="宋体" w:cs="宋体"/>
          <w:color w:val="auto"/>
          <w:sz w:val="24"/>
          <w:szCs w:val="24"/>
          <w:highlight w:val="none"/>
          <w:lang w:eastAsia="zh-CN"/>
        </w:rPr>
        <w:t>目标</w:t>
      </w:r>
      <w:r>
        <w:rPr>
          <w:rFonts w:hint="eastAsia" w:ascii="宋体" w:hAnsi="宋体" w:eastAsia="宋体" w:cs="宋体"/>
          <w:color w:val="auto"/>
          <w:sz w:val="24"/>
          <w:szCs w:val="24"/>
          <w:highlight w:val="none"/>
          <w:lang w:eastAsia="zh-Hans"/>
        </w:rPr>
        <w:t>，通过学生作品展示、技能测试、课堂观察等方式评估教学目标完成情况。</w:t>
      </w:r>
    </w:p>
    <w:p w14:paraId="4B88D707">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优秀（</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分）：90%以上学生达成目标；</w:t>
      </w:r>
    </w:p>
    <w:p w14:paraId="24AC7436">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良好（</w:t>
      </w:r>
      <w:r>
        <w:rPr>
          <w:rFonts w:hint="eastAsia" w:ascii="宋体" w:hAnsi="宋体" w:eastAsia="宋体" w:cs="宋体"/>
          <w:color w:val="auto"/>
          <w:sz w:val="24"/>
          <w:szCs w:val="24"/>
          <w:highlight w:val="none"/>
          <w:lang w:val="en-US" w:eastAsia="zh-CN"/>
        </w:rPr>
        <w:t>8-9</w:t>
      </w:r>
      <w:r>
        <w:rPr>
          <w:rFonts w:hint="eastAsia" w:ascii="宋体" w:hAnsi="宋体" w:eastAsia="宋体" w:cs="宋体"/>
          <w:color w:val="auto"/>
          <w:sz w:val="24"/>
          <w:szCs w:val="24"/>
          <w:highlight w:val="none"/>
          <w:lang w:eastAsia="zh-Hans"/>
        </w:rPr>
        <w:t>分）：70%-90%达成；</w:t>
      </w:r>
    </w:p>
    <w:p w14:paraId="64D5596B">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合格（</w:t>
      </w:r>
      <w:r>
        <w:rPr>
          <w:rFonts w:hint="eastAsia" w:ascii="宋体" w:hAnsi="宋体" w:eastAsia="宋体" w:cs="宋体"/>
          <w:color w:val="auto"/>
          <w:sz w:val="24"/>
          <w:szCs w:val="24"/>
          <w:highlight w:val="none"/>
          <w:lang w:val="en-US" w:eastAsia="zh-CN"/>
        </w:rPr>
        <w:t>6-7</w:t>
      </w:r>
      <w:r>
        <w:rPr>
          <w:rFonts w:hint="eastAsia" w:ascii="宋体" w:hAnsi="宋体" w:eastAsia="宋体" w:cs="宋体"/>
          <w:color w:val="auto"/>
          <w:sz w:val="24"/>
          <w:szCs w:val="24"/>
          <w:highlight w:val="none"/>
          <w:lang w:eastAsia="zh-Hans"/>
        </w:rPr>
        <w:t>分）：50%-70%达成；</w:t>
      </w:r>
    </w:p>
    <w:p w14:paraId="643EEBE9">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不合格（</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Hans"/>
        </w:rPr>
        <w:t>分）：50%以下达成。</w:t>
      </w:r>
    </w:p>
    <w:p w14:paraId="18AC468B">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教学规范性与创新性（</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p>
    <w:p w14:paraId="341404B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通过观察学生参与度、教师引导能力、课程特色内容等情况，评估课堂互动性及课程创新性</w:t>
      </w:r>
    </w:p>
    <w:p w14:paraId="60E2D68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优秀（</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）：学生参与度高、教师引导能力好，课程内容特色较强，学生兴趣度高。</w:t>
      </w:r>
    </w:p>
    <w:p w14:paraId="0700076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良好（</w:t>
      </w:r>
      <w:r>
        <w:rPr>
          <w:rFonts w:hint="eastAsia" w:ascii="宋体" w:hAnsi="宋体" w:eastAsia="宋体" w:cs="宋体"/>
          <w:color w:val="auto"/>
          <w:sz w:val="24"/>
          <w:szCs w:val="24"/>
          <w:highlight w:val="none"/>
          <w:lang w:val="en-US" w:eastAsia="zh-CN"/>
        </w:rPr>
        <w:t>8-9分</w:t>
      </w:r>
      <w:r>
        <w:rPr>
          <w:rFonts w:hint="eastAsia" w:ascii="宋体" w:hAnsi="宋体" w:eastAsia="宋体" w:cs="宋体"/>
          <w:color w:val="auto"/>
          <w:sz w:val="24"/>
          <w:szCs w:val="24"/>
          <w:highlight w:val="none"/>
          <w:lang w:eastAsia="zh-CN"/>
        </w:rPr>
        <w:t>）：学生参与度良好、教师引导能力良好，结合学生需求设计一定</w:t>
      </w:r>
      <w:r>
        <w:rPr>
          <w:rFonts w:hint="eastAsia" w:ascii="宋体" w:hAnsi="宋体" w:eastAsia="宋体" w:cs="宋体"/>
          <w:color w:val="auto"/>
          <w:sz w:val="24"/>
          <w:szCs w:val="24"/>
          <w:highlight w:val="none"/>
          <w:lang w:eastAsia="zh-Hans"/>
        </w:rPr>
        <w:t>特色内容</w:t>
      </w:r>
      <w:r>
        <w:rPr>
          <w:rFonts w:hint="eastAsia" w:ascii="宋体" w:hAnsi="宋体" w:eastAsia="宋体" w:cs="宋体"/>
          <w:color w:val="auto"/>
          <w:sz w:val="24"/>
          <w:szCs w:val="24"/>
          <w:highlight w:val="none"/>
          <w:lang w:eastAsia="zh-CN"/>
        </w:rPr>
        <w:t>。</w:t>
      </w:r>
    </w:p>
    <w:p w14:paraId="75F7B96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lang w:val="en-US" w:eastAsia="zh-CN"/>
        </w:rPr>
        <w:t>6-7分</w:t>
      </w:r>
      <w:r>
        <w:rPr>
          <w:rFonts w:hint="eastAsia" w:ascii="宋体" w:hAnsi="宋体" w:eastAsia="宋体" w:cs="宋体"/>
          <w:color w:val="auto"/>
          <w:sz w:val="24"/>
          <w:szCs w:val="24"/>
          <w:highlight w:val="none"/>
          <w:lang w:eastAsia="zh-CN"/>
        </w:rPr>
        <w:t>）：学生参与度一般、教师引导能力一般，有一定特色内容。</w:t>
      </w:r>
    </w:p>
    <w:p w14:paraId="42EB9F80">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不合格（</w:t>
      </w:r>
      <w:r>
        <w:rPr>
          <w:rFonts w:hint="eastAsia" w:ascii="宋体" w:hAnsi="宋体" w:eastAsia="宋体" w:cs="宋体"/>
          <w:color w:val="auto"/>
          <w:sz w:val="24"/>
          <w:szCs w:val="24"/>
          <w:highlight w:val="none"/>
          <w:lang w:val="en-US" w:eastAsia="zh-CN"/>
        </w:rPr>
        <w:t>1-5分</w:t>
      </w:r>
      <w:r>
        <w:rPr>
          <w:rFonts w:hint="eastAsia" w:ascii="宋体" w:hAnsi="宋体" w:eastAsia="宋体" w:cs="宋体"/>
          <w:color w:val="auto"/>
          <w:sz w:val="24"/>
          <w:szCs w:val="24"/>
          <w:highlight w:val="none"/>
          <w:lang w:eastAsia="zh-CN"/>
        </w:rPr>
        <w:t>）：学生参与度不足、教师引导能力不足，或无特色内容。</w:t>
      </w:r>
    </w:p>
    <w:p w14:paraId="028F66A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2.安全与合规管理（</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分）</w:t>
      </w:r>
    </w:p>
    <w:p w14:paraId="199DDE5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）安全制度执行（</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20EE34B4">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巡检发现问题后，48小时内整改完成得满分，每延迟1天扣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Hans"/>
        </w:rPr>
        <w:t>分。</w:t>
      </w:r>
    </w:p>
    <w:p w14:paraId="6D3C14CE">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）流程规范性（满分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2B037976">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场地交接单、</w:t>
      </w:r>
      <w:r>
        <w:rPr>
          <w:rFonts w:hint="eastAsia" w:ascii="宋体" w:hAnsi="宋体" w:eastAsia="宋体" w:cs="宋体"/>
          <w:color w:val="auto"/>
          <w:sz w:val="24"/>
          <w:szCs w:val="24"/>
          <w:highlight w:val="none"/>
          <w:lang w:eastAsia="zh-CN"/>
        </w:rPr>
        <w:t>学生考勤表等</w:t>
      </w:r>
      <w:r>
        <w:rPr>
          <w:rFonts w:hint="eastAsia" w:ascii="宋体" w:hAnsi="宋体" w:eastAsia="宋体" w:cs="宋体"/>
          <w:color w:val="auto"/>
          <w:sz w:val="24"/>
          <w:szCs w:val="24"/>
          <w:highlight w:val="none"/>
          <w:lang w:eastAsia="zh-Hans"/>
        </w:rPr>
        <w:t>完整无缺失。</w:t>
      </w:r>
    </w:p>
    <w:p w14:paraId="10C6DA30">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设施设备管理</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4F8C3DD2">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维保工作良好进行，运营期间对与体艺经营有关的设施能及时修、更换，保障功能正常使用，维修更换有记录可追踪</w:t>
      </w:r>
      <w:r>
        <w:rPr>
          <w:rFonts w:hint="eastAsia" w:ascii="宋体" w:hAnsi="宋体" w:eastAsia="宋体" w:cs="宋体"/>
          <w:color w:val="auto"/>
          <w:sz w:val="24"/>
          <w:szCs w:val="24"/>
          <w:highlight w:val="none"/>
          <w:lang w:eastAsia="zh-CN"/>
        </w:rPr>
        <w:t>。</w:t>
      </w:r>
    </w:p>
    <w:p w14:paraId="5DE93EF7">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教师稳定性（</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分）</w:t>
      </w:r>
    </w:p>
    <w:p w14:paraId="586B57C8">
      <w:pPr>
        <w:ind w:firstLine="480" w:firstLineChars="200"/>
        <w:rPr>
          <w:rFonts w:hint="eastAsia"/>
          <w:color w:val="auto"/>
          <w:highlight w:val="none"/>
          <w:lang w:eastAsia="zh-Hans"/>
        </w:rPr>
      </w:pPr>
      <w:r>
        <w:rPr>
          <w:rFonts w:hint="eastAsia" w:ascii="宋体" w:hAnsi="宋体" w:eastAsia="宋体" w:cs="宋体"/>
          <w:color w:val="auto"/>
          <w:sz w:val="24"/>
          <w:szCs w:val="24"/>
          <w:highlight w:val="none"/>
          <w:lang w:eastAsia="zh-Hans"/>
        </w:rPr>
        <w:t>学期内教师更换次数≤1次</w:t>
      </w:r>
      <w:r>
        <w:rPr>
          <w:rFonts w:hint="eastAsia" w:ascii="宋体" w:hAnsi="宋体" w:eastAsia="宋体" w:cs="宋体"/>
          <w:color w:val="auto"/>
          <w:sz w:val="24"/>
          <w:szCs w:val="24"/>
          <w:highlight w:val="none"/>
          <w:lang w:eastAsia="zh-CN"/>
        </w:rPr>
        <w:t>，此项</w:t>
      </w:r>
      <w:r>
        <w:rPr>
          <w:rFonts w:hint="eastAsia" w:ascii="宋体" w:hAnsi="宋体" w:eastAsia="宋体" w:cs="宋体"/>
          <w:color w:val="auto"/>
          <w:sz w:val="24"/>
          <w:szCs w:val="24"/>
          <w:highlight w:val="none"/>
          <w:lang w:eastAsia="zh-Hans"/>
        </w:rPr>
        <w:t>得满分，每增加1次扣2分。</w:t>
      </w:r>
    </w:p>
    <w:p w14:paraId="012CA95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3.服务响应与协作（</w:t>
      </w: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分）</w:t>
      </w:r>
    </w:p>
    <w:p w14:paraId="7140545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）问题处理效率（10分）</w:t>
      </w:r>
    </w:p>
    <w:p w14:paraId="2E2B180B">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投诉响应（5分）：家长或学校投诉需在</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Hans"/>
        </w:rPr>
        <w:t>小时内响应并解决，超时1次扣2分；</w:t>
      </w:r>
    </w:p>
    <w:p w14:paraId="2D63A65A">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突发事件处理（5分）：按应急预案执行，未造成负面影响得满分。</w:t>
      </w:r>
    </w:p>
    <w:p w14:paraId="71BF06AF">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协作配合度（</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Hans"/>
        </w:rPr>
        <w:t>分）</w:t>
      </w:r>
    </w:p>
    <w:p w14:paraId="797E025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Hans"/>
        </w:rPr>
        <w:t>与学校、</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eastAsia="zh-Hans"/>
        </w:rPr>
        <w:t>的沟通频率（</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分）：</w:t>
      </w:r>
      <w:r>
        <w:rPr>
          <w:rFonts w:hint="eastAsia" w:ascii="宋体" w:hAnsi="宋体" w:eastAsia="宋体" w:cs="宋体"/>
          <w:color w:val="auto"/>
          <w:sz w:val="24"/>
          <w:szCs w:val="24"/>
          <w:highlight w:val="none"/>
          <w:lang w:eastAsia="zh-CN"/>
        </w:rPr>
        <w:t>考察乙方</w:t>
      </w:r>
      <w:r>
        <w:rPr>
          <w:rFonts w:hint="eastAsia" w:ascii="宋体" w:hAnsi="宋体" w:eastAsia="宋体" w:cs="宋体"/>
          <w:color w:val="auto"/>
          <w:sz w:val="24"/>
          <w:szCs w:val="24"/>
          <w:highlight w:val="none"/>
          <w:lang w:eastAsia="zh-Hans"/>
        </w:rPr>
        <w:t>每</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lang w:eastAsia="zh-Hans"/>
        </w:rPr>
        <w:t>主动反馈</w:t>
      </w:r>
      <w:r>
        <w:rPr>
          <w:rFonts w:hint="eastAsia" w:ascii="宋体" w:hAnsi="宋体" w:eastAsia="宋体" w:cs="宋体"/>
          <w:color w:val="auto"/>
          <w:sz w:val="24"/>
          <w:szCs w:val="24"/>
          <w:highlight w:val="none"/>
          <w:lang w:eastAsia="zh-CN"/>
        </w:rPr>
        <w:t>次数；特殊情况下的协调度等。</w:t>
      </w:r>
    </w:p>
    <w:p w14:paraId="5A561240">
      <w:pPr>
        <w:spacing w:line="360" w:lineRule="auto"/>
        <w:ind w:firstLine="480" w:firstLineChars="200"/>
        <w:rPr>
          <w:rFonts w:hint="default"/>
          <w:color w:val="auto"/>
          <w:highlight w:val="none"/>
          <w:lang w:val="en-US" w:eastAsia="zh-Hans"/>
        </w:rPr>
      </w:pPr>
      <w:r>
        <w:rPr>
          <w:rFonts w:hint="eastAsia" w:ascii="宋体" w:hAnsi="宋体" w:eastAsia="宋体" w:cs="宋体"/>
          <w:color w:val="auto"/>
          <w:sz w:val="24"/>
          <w:szCs w:val="24"/>
          <w:highlight w:val="none"/>
          <w:lang w:val="en-US" w:eastAsia="zh-CN"/>
        </w:rPr>
        <w:t>配合</w:t>
      </w:r>
      <w:r>
        <w:rPr>
          <w:rFonts w:hint="eastAsia" w:ascii="宋体" w:hAnsi="宋体" w:eastAsia="宋体" w:cs="宋体"/>
          <w:color w:val="auto"/>
          <w:sz w:val="24"/>
          <w:szCs w:val="24"/>
          <w:highlight w:val="none"/>
          <w:lang w:eastAsia="zh-Hans"/>
        </w:rPr>
        <w:t>学校、</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lang w:eastAsia="zh-CN"/>
        </w:rPr>
        <w:t>课程服务工作</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sz w:val="24"/>
          <w:szCs w:val="24"/>
          <w:highlight w:val="none"/>
          <w:lang w:eastAsia="zh-CN"/>
        </w:rPr>
        <w:t>点名、签到、秩序维护等。</w:t>
      </w:r>
    </w:p>
    <w:p w14:paraId="65FB2C1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4.家长与学生满意度（20分）</w:t>
      </w:r>
    </w:p>
    <w:p w14:paraId="4DB826C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）家长满意度（10分）</w:t>
      </w:r>
    </w:p>
    <w:p w14:paraId="5F9212A4">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学期末</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eastAsia="zh-Hans"/>
        </w:rPr>
        <w:t>问卷</w:t>
      </w:r>
      <w:r>
        <w:rPr>
          <w:rFonts w:hint="eastAsia" w:ascii="宋体" w:hAnsi="宋体" w:eastAsia="宋体" w:cs="宋体"/>
          <w:color w:val="auto"/>
          <w:sz w:val="24"/>
          <w:szCs w:val="24"/>
          <w:highlight w:val="none"/>
          <w:lang w:eastAsia="zh-CN"/>
        </w:rPr>
        <w:t>，抽调部分家长满意度</w:t>
      </w:r>
      <w:r>
        <w:rPr>
          <w:rFonts w:hint="eastAsia" w:ascii="宋体" w:hAnsi="宋体" w:eastAsia="宋体" w:cs="宋体"/>
          <w:color w:val="auto"/>
          <w:sz w:val="24"/>
          <w:szCs w:val="24"/>
          <w:highlight w:val="none"/>
          <w:lang w:eastAsia="zh-Hans"/>
        </w:rPr>
        <w:t>（满分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p>
    <w:p w14:paraId="4C36F69C">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Hans"/>
        </w:rPr>
        <w:t>分以上得10分；</w:t>
      </w:r>
    </w:p>
    <w:p w14:paraId="0ABCB959">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8-9</w:t>
      </w:r>
      <w:r>
        <w:rPr>
          <w:rFonts w:hint="eastAsia" w:ascii="宋体" w:hAnsi="宋体" w:eastAsia="宋体" w:cs="宋体"/>
          <w:color w:val="auto"/>
          <w:sz w:val="24"/>
          <w:szCs w:val="24"/>
          <w:highlight w:val="none"/>
          <w:lang w:eastAsia="zh-Hans"/>
        </w:rPr>
        <w:t>分得8分；</w:t>
      </w:r>
    </w:p>
    <w:p w14:paraId="093A596B">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7-8</w:t>
      </w:r>
      <w:r>
        <w:rPr>
          <w:rFonts w:hint="eastAsia" w:ascii="宋体" w:hAnsi="宋体" w:eastAsia="宋体" w:cs="宋体"/>
          <w:color w:val="auto"/>
          <w:sz w:val="24"/>
          <w:szCs w:val="24"/>
          <w:highlight w:val="none"/>
          <w:lang w:eastAsia="zh-Hans"/>
        </w:rPr>
        <w:t>分得5分；</w:t>
      </w:r>
    </w:p>
    <w:p w14:paraId="694D830C">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Hans"/>
        </w:rPr>
        <w:t>分以下得0分。</w:t>
      </w:r>
    </w:p>
    <w:p w14:paraId="2B70849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）学生参与度与反馈（10分）</w:t>
      </w:r>
    </w:p>
    <w:p w14:paraId="76FD78E8">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出勤率（5分）：平均出勤率≥90%得满分，每降低5%扣1分；</w:t>
      </w:r>
    </w:p>
    <w:p w14:paraId="75FBE8D2">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课堂兴趣评分（5分）：学生匿名评分≥4分得满分，每降低0.5分扣1分。</w:t>
      </w:r>
    </w:p>
    <w:p w14:paraId="1E988966">
      <w:pPr>
        <w:spacing w:line="360" w:lineRule="auto"/>
        <w:rPr>
          <w:rFonts w:hint="eastAsia" w:ascii="宋体" w:hAnsi="宋体" w:eastAsia="宋体" w:cs="宋体"/>
          <w:b/>
          <w:bCs/>
          <w:color w:val="auto"/>
          <w:sz w:val="24"/>
          <w:szCs w:val="24"/>
          <w:highlight w:val="none"/>
          <w:lang w:eastAsia="zh-Hans"/>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Hans"/>
        </w:rPr>
        <w:t>活动执行（1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Hans"/>
        </w:rPr>
        <w:t>分）</w:t>
      </w:r>
    </w:p>
    <w:p w14:paraId="7DC2EF93">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服务保障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积极承办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参与协助</w:t>
      </w:r>
      <w:r>
        <w:rPr>
          <w:rFonts w:hint="eastAsia" w:ascii="宋体" w:hAnsi="宋体" w:eastAsia="宋体" w:cs="宋体"/>
          <w:color w:val="auto"/>
          <w:sz w:val="24"/>
          <w:szCs w:val="24"/>
          <w:highlight w:val="none"/>
          <w:lang w:eastAsia="zh-Hans"/>
        </w:rPr>
        <w:t>学校的各类活动、公益课程及体艺赛事，并提供良好保障。</w:t>
      </w:r>
    </w:p>
    <w:p w14:paraId="5156FCB1">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6.考核结果：</w:t>
      </w:r>
    </w:p>
    <w:p w14:paraId="2DC0C05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Hans"/>
        </w:rPr>
        <w:t>90分及以上优秀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80（含）-90</w:t>
      </w:r>
      <w:r>
        <w:rPr>
          <w:rFonts w:hint="eastAsia" w:ascii="宋体" w:hAnsi="宋体" w:eastAsia="宋体" w:cs="宋体"/>
          <w:color w:val="auto"/>
          <w:sz w:val="24"/>
          <w:szCs w:val="24"/>
          <w:highlight w:val="none"/>
          <w:lang w:eastAsia="zh-Hans"/>
        </w:rPr>
        <w:t>分</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eastAsia="zh-Hans"/>
        </w:rPr>
        <w:t>良好；</w:t>
      </w:r>
      <w:r>
        <w:rPr>
          <w:rFonts w:hint="eastAsia" w:ascii="宋体" w:hAnsi="宋体" w:eastAsia="宋体" w:cs="宋体"/>
          <w:color w:val="auto"/>
          <w:sz w:val="24"/>
          <w:szCs w:val="24"/>
          <w:highlight w:val="none"/>
          <w:lang w:val="en-US" w:eastAsia="zh-CN"/>
        </w:rPr>
        <w:t>70（含）-80分为合格；</w:t>
      </w:r>
      <w:r>
        <w:rPr>
          <w:rFonts w:hint="eastAsia" w:ascii="宋体" w:hAnsi="宋体" w:eastAsia="宋体" w:cs="宋体"/>
          <w:color w:val="auto"/>
          <w:sz w:val="24"/>
          <w:szCs w:val="24"/>
          <w:highlight w:val="none"/>
          <w:lang w:eastAsia="zh-Hans"/>
        </w:rPr>
        <w:t>70分以下不合格</w:t>
      </w:r>
      <w:r>
        <w:rPr>
          <w:rFonts w:hint="eastAsia" w:ascii="宋体" w:hAnsi="宋体" w:eastAsia="宋体" w:cs="宋体"/>
          <w:color w:val="auto"/>
          <w:sz w:val="24"/>
          <w:szCs w:val="24"/>
          <w:highlight w:val="none"/>
          <w:lang w:eastAsia="zh-CN"/>
        </w:rPr>
        <w:t>。</w:t>
      </w:r>
    </w:p>
    <w:p w14:paraId="021F7DD8">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二、一票否决制</w:t>
      </w:r>
    </w:p>
    <w:p w14:paraId="2C02E997">
      <w:pPr>
        <w:spacing w:line="360" w:lineRule="auto"/>
        <w:ind w:firstLine="482" w:firstLineChars="200"/>
        <w:rPr>
          <w:rFonts w:hint="eastAsia" w:ascii="宋体" w:hAnsi="宋体" w:eastAsia="宋体" w:cs="宋体"/>
          <w:b/>
          <w:bCs/>
          <w:color w:val="auto"/>
          <w:sz w:val="24"/>
          <w:szCs w:val="24"/>
          <w:highlight w:val="none"/>
        </w:rPr>
      </w:pPr>
      <w:bookmarkStart w:id="158" w:name="_Hlk161650453"/>
      <w:r>
        <w:rPr>
          <w:rFonts w:hint="eastAsia" w:ascii="宋体" w:hAnsi="宋体" w:eastAsia="宋体" w:cs="宋体"/>
          <w:b/>
          <w:bCs/>
          <w:color w:val="auto"/>
          <w:sz w:val="24"/>
          <w:szCs w:val="24"/>
          <w:highlight w:val="none"/>
        </w:rPr>
        <w:t>如运营单位发生一票否决行为，甲方有权随时调整运营方式或无责解除合同，且有权向乙方进行追责和追偿：</w:t>
      </w:r>
    </w:p>
    <w:bookmarkEnd w:id="158"/>
    <w:p w14:paraId="2FBAFE77">
      <w:pPr>
        <w:spacing w:line="360" w:lineRule="auto"/>
        <w:ind w:firstLine="482" w:firstLineChars="200"/>
        <w:rPr>
          <w:rFonts w:hint="eastAsia" w:ascii="宋体" w:hAnsi="宋体" w:eastAsia="宋体" w:cs="宋体"/>
          <w:b/>
          <w:bCs/>
          <w:color w:val="auto"/>
          <w:sz w:val="24"/>
          <w:szCs w:val="24"/>
          <w:highlight w:val="none"/>
        </w:rPr>
      </w:pPr>
      <w:bookmarkStart w:id="159" w:name="_Hlk161650489"/>
      <w:r>
        <w:rPr>
          <w:rFonts w:hint="eastAsia" w:ascii="宋体" w:hAnsi="宋体" w:eastAsia="宋体" w:cs="宋体"/>
          <w:b/>
          <w:bCs/>
          <w:color w:val="auto"/>
          <w:sz w:val="24"/>
          <w:szCs w:val="24"/>
          <w:highlight w:val="none"/>
        </w:rPr>
        <w:t>1.出现以下情况，且经甲方提醒后10个工作日未完成整改的，触发一票否决：</w:t>
      </w:r>
    </w:p>
    <w:p w14:paraId="259B7C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（1）乙方擅自转让、分包或以其他未经甲方事先书面同意的方式处置合同运营权的；</w:t>
      </w:r>
    </w:p>
    <w:p w14:paraId="3AC105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）乙方未按照甲方要求或本合同约定对培训管理的财产进行维护的，或乙方擅自改变建筑物主体结构影响建筑物结构安全的；</w:t>
      </w:r>
    </w:p>
    <w:p w14:paraId="2FBFE0E6">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）乙方未按甲方要求，为所有受训学生购买意外险；</w:t>
      </w:r>
    </w:p>
    <w:p w14:paraId="1E2594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）乙方违反本合同关于培训时段、收费标准等开放约定，或其不当经营影响到学校的公益属性及公共体艺服务功能的；</w:t>
      </w:r>
    </w:p>
    <w:p w14:paraId="34FB2BA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）乙方因非法经营、税务问题或其他原因受到行政处罚的</w:t>
      </w:r>
      <w:r>
        <w:rPr>
          <w:rFonts w:hint="eastAsia" w:ascii="宋体" w:hAnsi="宋体" w:eastAsia="宋体" w:cs="宋体"/>
          <w:color w:val="auto"/>
          <w:sz w:val="24"/>
          <w:szCs w:val="24"/>
          <w:highlight w:val="none"/>
          <w:lang w:eastAsia="zh-CN"/>
        </w:rPr>
        <w:t>；</w:t>
      </w:r>
    </w:p>
    <w:p w14:paraId="52B33B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）乙方擅自停课的；</w:t>
      </w:r>
    </w:p>
    <w:p w14:paraId="569178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）其他导致学校无法正常教学的情形。</w:t>
      </w:r>
    </w:p>
    <w:p w14:paraId="67B95BB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2.出现以下情况，直接触发一票否决：</w:t>
      </w:r>
    </w:p>
    <w:p w14:paraId="4E419A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）出现因乙方管理不当的意识形态领域安全风险问题的；</w:t>
      </w:r>
    </w:p>
    <w:p w14:paraId="02EF43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）因乙方管理</w:t>
      </w:r>
      <w:r>
        <w:rPr>
          <w:rFonts w:hint="eastAsia" w:ascii="宋体" w:hAnsi="宋体" w:eastAsia="宋体" w:cs="宋体"/>
          <w:color w:val="auto"/>
          <w:sz w:val="24"/>
          <w:szCs w:val="24"/>
          <w:highlight w:val="none"/>
          <w:lang w:eastAsia="zh-CN"/>
        </w:rPr>
        <w:t>不当</w:t>
      </w:r>
      <w:r>
        <w:rPr>
          <w:rFonts w:hint="eastAsia" w:ascii="宋体" w:hAnsi="宋体" w:eastAsia="宋体" w:cs="宋体"/>
          <w:color w:val="auto"/>
          <w:sz w:val="24"/>
          <w:szCs w:val="24"/>
          <w:highlight w:val="none"/>
        </w:rPr>
        <w:t>或应急处理</w:t>
      </w:r>
      <w:r>
        <w:rPr>
          <w:rFonts w:hint="eastAsia" w:ascii="宋体" w:hAnsi="宋体" w:eastAsia="宋体" w:cs="宋体"/>
          <w:color w:val="auto"/>
          <w:sz w:val="24"/>
          <w:szCs w:val="24"/>
          <w:highlight w:val="none"/>
          <w:lang w:eastAsia="zh-CN"/>
        </w:rPr>
        <w:t>不及时</w:t>
      </w:r>
      <w:r>
        <w:rPr>
          <w:rFonts w:hint="eastAsia" w:ascii="宋体" w:hAnsi="宋体" w:eastAsia="宋体" w:cs="宋体"/>
          <w:color w:val="auto"/>
          <w:sz w:val="24"/>
          <w:szCs w:val="24"/>
          <w:highlight w:val="none"/>
        </w:rPr>
        <w:t>等原因，</w:t>
      </w:r>
      <w:r>
        <w:rPr>
          <w:rFonts w:hint="eastAsia" w:ascii="宋体" w:hAnsi="宋体" w:eastAsia="宋体" w:cs="宋体"/>
          <w:color w:val="auto"/>
          <w:sz w:val="24"/>
          <w:szCs w:val="24"/>
          <w:highlight w:val="none"/>
          <w:lang w:eastAsia="zh-CN"/>
        </w:rPr>
        <w:t>造成</w:t>
      </w:r>
      <w:r>
        <w:rPr>
          <w:rFonts w:hint="eastAsia" w:ascii="宋体" w:hAnsi="宋体" w:eastAsia="宋体" w:cs="宋体"/>
          <w:color w:val="auto"/>
          <w:sz w:val="24"/>
          <w:szCs w:val="24"/>
          <w:highlight w:val="none"/>
        </w:rPr>
        <w:t>出现</w:t>
      </w:r>
      <w:r>
        <w:rPr>
          <w:rFonts w:hint="eastAsia" w:ascii="宋体" w:hAnsi="宋体" w:eastAsia="宋体" w:cs="宋体"/>
          <w:color w:val="auto"/>
          <w:sz w:val="24"/>
          <w:szCs w:val="24"/>
          <w:highlight w:val="none"/>
          <w:lang w:eastAsia="zh-CN"/>
        </w:rPr>
        <w:t>群体性受伤事件或亡人事故</w:t>
      </w:r>
      <w:r>
        <w:rPr>
          <w:rFonts w:hint="eastAsia" w:ascii="宋体" w:hAnsi="宋体" w:eastAsia="宋体" w:cs="宋体"/>
          <w:color w:val="auto"/>
          <w:sz w:val="24"/>
          <w:szCs w:val="24"/>
          <w:highlight w:val="none"/>
        </w:rPr>
        <w:t>的；</w:t>
      </w:r>
    </w:p>
    <w:p w14:paraId="7514A0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）乙方教学期间出现重大变化、面临解散或者破产清算等情形等，无法继续运营的；</w:t>
      </w:r>
    </w:p>
    <w:p w14:paraId="41EA7D4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）其他导致学校无法正常运营的情形。</w:t>
      </w:r>
    </w:p>
    <w:bookmarkEnd w:id="159"/>
    <w:p w14:paraId="1CE6B3A0">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三、评价实施</w:t>
      </w:r>
    </w:p>
    <w:p w14:paraId="46C94114">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考核事宜由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和校方共同考核打分，考核取双方 “基础评价内容”中各项得分的平均值作为综合评分。具体考核办法可由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根据实际教学情况实时调整。</w:t>
      </w:r>
    </w:p>
    <w:p w14:paraId="73F7399F">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四、结果运用</w:t>
      </w:r>
    </w:p>
    <w:p w14:paraId="4563F37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综合评分为“不合格”的，即考核不合格，甲方有权终止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综合评分为“合格”及以上的，</w:t>
      </w:r>
      <w:r>
        <w:rPr>
          <w:rFonts w:hint="eastAsia" w:ascii="宋体" w:hAnsi="宋体" w:eastAsia="宋体" w:cs="宋体"/>
          <w:color w:val="auto"/>
          <w:sz w:val="24"/>
          <w:highlight w:val="none"/>
          <w:u w:val="none"/>
        </w:rPr>
        <w:t>且入围最新的《包河区中小学体艺中心课程服务单位招募入围结果一览表》的，可按原合同续签</w:t>
      </w:r>
      <w:r>
        <w:rPr>
          <w:rFonts w:hint="eastAsia" w:ascii="宋体" w:hAnsi="宋体" w:eastAsia="宋体" w:cs="宋体"/>
          <w:color w:val="auto"/>
          <w:sz w:val="24"/>
          <w:highlight w:val="none"/>
          <w:lang w:eastAsia="zh-CN"/>
        </w:rPr>
        <w:t>。</w:t>
      </w:r>
    </w:p>
    <w:p w14:paraId="20BD93D8">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14:paraId="25B306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本考核办法与相关主管部门对甲方的考核办法不一致的，以主管部门的考核办法为准。</w:t>
      </w:r>
    </w:p>
    <w:p w14:paraId="34F1D0E4">
      <w:pPr>
        <w:rPr>
          <w:rFonts w:hint="eastAsia"/>
          <w:color w:val="auto"/>
          <w:highlight w:val="none"/>
        </w:rPr>
      </w:pPr>
    </w:p>
    <w:p w14:paraId="79500C05">
      <w:pPr>
        <w:keepNext w:val="0"/>
        <w:keepLines w:val="0"/>
        <w:pageBreakBefore w:val="0"/>
        <w:widowControl w:val="0"/>
        <w:kinsoku/>
        <w:wordWrap/>
        <w:overflowPunct/>
        <w:topLinePunct w:val="0"/>
        <w:autoSpaceDE/>
        <w:autoSpaceDN/>
        <w:bidi w:val="0"/>
        <w:adjustRightInd/>
        <w:snapToGrid/>
        <w:textAlignment w:val="auto"/>
        <w:outlineLvl w:val="3"/>
        <w:rPr>
          <w:rFonts w:hint="eastAsia" w:ascii="宋体" w:hAnsi="宋体" w:eastAsia="宋体" w:cs="宋体"/>
          <w:b/>
          <w:bCs/>
          <w:color w:val="auto"/>
          <w:spacing w:val="-1"/>
          <w:sz w:val="28"/>
          <w:szCs w:val="28"/>
          <w:highlight w:val="none"/>
          <w:lang w:val="en-US" w:eastAsia="zh-CN"/>
        </w:rPr>
      </w:pPr>
      <w:r>
        <w:rPr>
          <w:rFonts w:hint="eastAsia"/>
          <w:color w:val="auto"/>
          <w:highlight w:val="none"/>
        </w:rPr>
        <w:br w:type="page"/>
      </w:r>
      <w:r>
        <w:rPr>
          <w:rFonts w:hint="eastAsia" w:ascii="宋体" w:hAnsi="宋体" w:eastAsia="宋体" w:cs="宋体"/>
          <w:b/>
          <w:bCs/>
          <w:color w:val="auto"/>
          <w:spacing w:val="-1"/>
          <w:sz w:val="28"/>
          <w:szCs w:val="28"/>
          <w:highlight w:val="none"/>
        </w:rPr>
        <w:t>合同附件</w:t>
      </w:r>
      <w:r>
        <w:rPr>
          <w:rFonts w:hint="eastAsia" w:ascii="宋体" w:hAnsi="宋体" w:eastAsia="宋体" w:cs="宋体"/>
          <w:b/>
          <w:bCs/>
          <w:color w:val="auto"/>
          <w:spacing w:val="-1"/>
          <w:sz w:val="28"/>
          <w:szCs w:val="28"/>
          <w:highlight w:val="none"/>
          <w:lang w:val="en-US" w:eastAsia="zh-CN"/>
        </w:rPr>
        <w:t>4</w:t>
      </w:r>
    </w:p>
    <w:p w14:paraId="07438CD1">
      <w:pPr>
        <w:adjustRightInd w:val="0"/>
        <w:snapToGrid w:val="0"/>
        <w:spacing w:before="312" w:beforeLines="100" w:after="156" w:afterLines="50" w:line="360" w:lineRule="auto"/>
        <w:jc w:val="center"/>
        <w:rPr>
          <w:rFonts w:hint="eastAsia" w:ascii="宋体" w:hAnsi="宋体" w:eastAsia="宋体" w:cs="宋体"/>
          <w:b/>
          <w:color w:val="auto"/>
          <w:spacing w:val="-1"/>
          <w:sz w:val="32"/>
          <w:szCs w:val="32"/>
          <w:highlight w:val="none"/>
          <w:lang w:eastAsia="zh-Hans"/>
        </w:rPr>
      </w:pPr>
      <w:r>
        <w:rPr>
          <w:rFonts w:hint="eastAsia" w:ascii="宋体" w:hAnsi="宋体" w:eastAsia="宋体" w:cs="宋体"/>
          <w:b/>
          <w:color w:val="auto"/>
          <w:spacing w:val="-1"/>
          <w:sz w:val="32"/>
          <w:szCs w:val="32"/>
          <w:highlight w:val="none"/>
          <w:lang w:eastAsia="zh-Hans"/>
        </w:rPr>
        <w:t>廉政协议书</w:t>
      </w:r>
    </w:p>
    <w:p w14:paraId="6FFEFF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合肥滨湖时光体育发展有限公司</w:t>
      </w:r>
      <w:r>
        <w:rPr>
          <w:rFonts w:hint="eastAsia" w:ascii="宋体" w:hAnsi="宋体" w:eastAsia="宋体" w:cs="宋体"/>
          <w:color w:val="auto"/>
          <w:sz w:val="24"/>
          <w:szCs w:val="24"/>
          <w:highlight w:val="none"/>
        </w:rPr>
        <w:t xml:space="preserve">                                                        </w:t>
      </w:r>
    </w:p>
    <w:p w14:paraId="3393A2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highlight w:val="none"/>
          <w:u w:val="none"/>
          <w:lang w:val="en-US" w:eastAsia="zh-CN"/>
        </w:rPr>
        <w:t>XX</w:t>
      </w:r>
      <w:r>
        <w:rPr>
          <w:rFonts w:hint="eastAsia" w:ascii="宋体" w:hAnsi="宋体" w:eastAsia="宋体" w:cs="宋体"/>
          <w:color w:val="auto"/>
          <w:sz w:val="24"/>
          <w:highlight w:val="none"/>
          <w:u w:val="none"/>
        </w:rPr>
        <w:t>公司</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 xml:space="preserve">                                                       </w:t>
      </w:r>
    </w:p>
    <w:p w14:paraId="231437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为认真贯彻廉洁、高效的工作原则，建立有效的反商业贿赂机制，加强党风廉政建设，防止经营活动中不正之风和腐败现象的发生，经双方协商同意，签订本协议。</w:t>
      </w:r>
    </w:p>
    <w:p w14:paraId="5C44FD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第一条协议双方须严格遵守国家法律和廉政建设各项规定及协议。双方有相互监督、遵纪守法、履行协议的义务和权利。</w:t>
      </w:r>
    </w:p>
    <w:p w14:paraId="18FB61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779D94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098687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第四条乙方对甲方及有关工作人员的违法违纪行为和不正当要求，可及时据实向甲方纪检、监察部门投诉和举报。</w:t>
      </w:r>
    </w:p>
    <w:p w14:paraId="4587EB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第五条对违反本协议者，根据其后果和违纪程度，可以做出以下处理：批评、诫勉；党纪政纪处分；追究法律责任；追究违约方经济责任；中止协议。</w:t>
      </w:r>
    </w:p>
    <w:p w14:paraId="326449B8">
      <w:pPr>
        <w:spacing w:line="360" w:lineRule="auto"/>
        <w:ind w:firstLine="480" w:firstLineChars="200"/>
        <w:rPr>
          <w:rFonts w:hint="eastAsia" w:ascii="宋体" w:hAnsi="宋体" w:eastAsia="宋体" w:cs="宋体"/>
          <w:color w:val="auto"/>
          <w:sz w:val="24"/>
          <w:szCs w:val="24"/>
          <w:highlight w:val="none"/>
        </w:rPr>
      </w:pPr>
    </w:p>
    <w:p w14:paraId="629918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甲方(盖章)：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Hans"/>
        </w:rPr>
        <w:t>乙方(盖章)：</w:t>
      </w:r>
    </w:p>
    <w:p w14:paraId="647CEE66">
      <w:pPr>
        <w:widowControl/>
        <w:jc w:val="left"/>
        <w:rPr>
          <w:rFonts w:hint="eastAsia" w:ascii="宋体" w:hAnsi="宋体" w:eastAsia="宋体" w:cs="宋体"/>
          <w:color w:val="auto"/>
          <w:sz w:val="24"/>
          <w:highlight w:val="none"/>
        </w:rPr>
      </w:pPr>
    </w:p>
    <w:p w14:paraId="32C3E4D7">
      <w:pPr>
        <w:rPr>
          <w:color w:val="auto"/>
          <w:highlight w:val="none"/>
        </w:rPr>
      </w:pPr>
    </w:p>
    <w:p w14:paraId="22DFF88A">
      <w:pPr>
        <w:rPr>
          <w:highlight w:val="none"/>
        </w:rPr>
      </w:pPr>
    </w:p>
    <w:p w14:paraId="34832468">
      <w:pPr>
        <w:pStyle w:val="2"/>
        <w:rPr>
          <w:rFonts w:hint="eastAsia"/>
          <w:color w:val="auto"/>
          <w:highlight w:val="none"/>
        </w:rPr>
      </w:pPr>
    </w:p>
    <w:p w14:paraId="5A8A3E61">
      <w:pPr>
        <w:rPr>
          <w:rFonts w:hint="eastAsia"/>
          <w:highlight w:val="none"/>
        </w:rPr>
      </w:pPr>
    </w:p>
    <w:p w14:paraId="7AB06AB2">
      <w:pPr>
        <w:spacing w:line="360" w:lineRule="auto"/>
        <w:jc w:val="center"/>
        <w:outlineLvl w:val="1"/>
        <w:rPr>
          <w:rFonts w:hint="eastAsia" w:ascii="宋体" w:hAnsi="宋体" w:eastAsia="宋体" w:cs="宋体"/>
          <w:b/>
          <w:color w:val="auto"/>
          <w:sz w:val="28"/>
          <w:highlight w:val="none"/>
        </w:rPr>
      </w:pPr>
      <w:bookmarkStart w:id="160" w:name="_Toc47026337"/>
    </w:p>
    <w:p w14:paraId="7161CF8B">
      <w:pPr>
        <w:pStyle w:val="2"/>
        <w:rPr>
          <w:rFonts w:hint="eastAsia" w:ascii="宋体" w:hAnsi="宋体" w:eastAsia="宋体" w:cs="宋体"/>
          <w:b/>
          <w:color w:val="auto"/>
          <w:sz w:val="28"/>
          <w:highlight w:val="none"/>
        </w:rPr>
      </w:pPr>
    </w:p>
    <w:p w14:paraId="063B9878">
      <w:pPr>
        <w:rPr>
          <w:rFonts w:hint="eastAsia" w:ascii="宋体" w:hAnsi="宋体" w:eastAsia="宋体" w:cs="宋体"/>
          <w:b/>
          <w:color w:val="auto"/>
          <w:sz w:val="28"/>
          <w:highlight w:val="none"/>
        </w:rPr>
      </w:pPr>
    </w:p>
    <w:p w14:paraId="0BE50F5A">
      <w:pPr>
        <w:pStyle w:val="2"/>
        <w:rPr>
          <w:rFonts w:hint="eastAsia" w:ascii="宋体" w:hAnsi="宋体" w:eastAsia="宋体" w:cs="宋体"/>
          <w:b/>
          <w:color w:val="auto"/>
          <w:sz w:val="28"/>
          <w:highlight w:val="none"/>
        </w:rPr>
      </w:pPr>
    </w:p>
    <w:p w14:paraId="528EFB74">
      <w:pPr>
        <w:rPr>
          <w:rFonts w:hint="eastAsia" w:ascii="宋体" w:hAnsi="宋体" w:eastAsia="宋体" w:cs="宋体"/>
          <w:b/>
          <w:color w:val="auto"/>
          <w:sz w:val="28"/>
          <w:highlight w:val="none"/>
        </w:rPr>
      </w:pPr>
    </w:p>
    <w:p w14:paraId="051B9130">
      <w:pPr>
        <w:pStyle w:val="2"/>
        <w:rPr>
          <w:rFonts w:hint="eastAsia" w:ascii="宋体" w:hAnsi="宋体" w:eastAsia="宋体" w:cs="宋体"/>
          <w:b/>
          <w:color w:val="auto"/>
          <w:sz w:val="28"/>
          <w:highlight w:val="none"/>
        </w:rPr>
      </w:pPr>
    </w:p>
    <w:p w14:paraId="6D7CABE5">
      <w:pPr>
        <w:rPr>
          <w:rFonts w:hint="eastAsia" w:ascii="宋体" w:hAnsi="宋体" w:eastAsia="宋体" w:cs="宋体"/>
          <w:b/>
          <w:color w:val="auto"/>
          <w:sz w:val="28"/>
          <w:highlight w:val="none"/>
        </w:rPr>
      </w:pPr>
    </w:p>
    <w:p w14:paraId="41F3EBE3">
      <w:pPr>
        <w:pStyle w:val="2"/>
        <w:rPr>
          <w:rFonts w:hint="eastAsia" w:ascii="宋体" w:hAnsi="宋体" w:eastAsia="宋体" w:cs="宋体"/>
          <w:b/>
          <w:color w:val="auto"/>
          <w:sz w:val="28"/>
          <w:highlight w:val="none"/>
        </w:rPr>
      </w:pPr>
    </w:p>
    <w:p w14:paraId="2EEAE5E5">
      <w:pPr>
        <w:rPr>
          <w:rFonts w:hint="eastAsia" w:ascii="宋体" w:hAnsi="宋体" w:eastAsia="宋体" w:cs="宋体"/>
          <w:b/>
          <w:color w:val="auto"/>
          <w:sz w:val="28"/>
          <w:highlight w:val="none"/>
        </w:rPr>
      </w:pPr>
    </w:p>
    <w:p w14:paraId="29A71814">
      <w:pPr>
        <w:pStyle w:val="2"/>
        <w:rPr>
          <w:rFonts w:hint="eastAsia" w:ascii="宋体" w:hAnsi="宋体" w:eastAsia="宋体" w:cs="宋体"/>
          <w:b/>
          <w:color w:val="auto"/>
          <w:sz w:val="28"/>
          <w:highlight w:val="none"/>
        </w:rPr>
      </w:pPr>
    </w:p>
    <w:p w14:paraId="44D86B80">
      <w:pPr>
        <w:rPr>
          <w:rFonts w:hint="eastAsia" w:ascii="宋体" w:hAnsi="宋体" w:eastAsia="宋体" w:cs="宋体"/>
          <w:b/>
          <w:color w:val="auto"/>
          <w:sz w:val="28"/>
          <w:highlight w:val="none"/>
        </w:rPr>
      </w:pPr>
    </w:p>
    <w:p w14:paraId="3F61A8A3">
      <w:pPr>
        <w:pStyle w:val="2"/>
        <w:rPr>
          <w:rFonts w:hint="eastAsia" w:ascii="宋体" w:hAnsi="宋体" w:eastAsia="宋体" w:cs="宋体"/>
          <w:b/>
          <w:color w:val="auto"/>
          <w:sz w:val="28"/>
          <w:highlight w:val="none"/>
        </w:rPr>
      </w:pPr>
    </w:p>
    <w:p w14:paraId="67CFFA04">
      <w:pPr>
        <w:rPr>
          <w:rFonts w:hint="eastAsia" w:ascii="宋体" w:hAnsi="宋体" w:eastAsia="宋体" w:cs="宋体"/>
          <w:b/>
          <w:color w:val="auto"/>
          <w:sz w:val="28"/>
          <w:highlight w:val="none"/>
        </w:rPr>
      </w:pPr>
    </w:p>
    <w:p w14:paraId="3BEDE58C">
      <w:pPr>
        <w:pStyle w:val="2"/>
        <w:rPr>
          <w:rFonts w:hint="eastAsia" w:ascii="宋体" w:hAnsi="宋体" w:eastAsia="宋体" w:cs="宋体"/>
          <w:b/>
          <w:color w:val="auto"/>
          <w:sz w:val="28"/>
          <w:highlight w:val="none"/>
        </w:rPr>
      </w:pPr>
    </w:p>
    <w:p w14:paraId="63B7C8B5">
      <w:pPr>
        <w:rPr>
          <w:rFonts w:hint="eastAsia" w:ascii="宋体" w:hAnsi="宋体" w:eastAsia="宋体" w:cs="宋体"/>
          <w:b/>
          <w:color w:val="auto"/>
          <w:sz w:val="28"/>
          <w:highlight w:val="none"/>
        </w:rPr>
      </w:pPr>
    </w:p>
    <w:p w14:paraId="47B9636D">
      <w:pPr>
        <w:pStyle w:val="2"/>
        <w:rPr>
          <w:rFonts w:hint="eastAsia"/>
          <w:highlight w:val="none"/>
        </w:rPr>
      </w:pPr>
    </w:p>
    <w:p w14:paraId="146E0FD2">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响应文件格式</w:t>
      </w:r>
      <w:bookmarkEnd w:id="160"/>
    </w:p>
    <w:p w14:paraId="0B1B517F">
      <w:pPr>
        <w:spacing w:line="900" w:lineRule="exact"/>
        <w:jc w:val="center"/>
        <w:rPr>
          <w:rFonts w:hint="eastAsia" w:ascii="宋体" w:hAnsi="宋体" w:eastAsia="宋体" w:cs="宋体"/>
          <w:color w:val="auto"/>
          <w:sz w:val="24"/>
          <w:szCs w:val="18"/>
          <w:highlight w:val="none"/>
          <w:u w:val="single"/>
          <w:lang w:eastAsia="zh-CN"/>
        </w:rPr>
      </w:pPr>
      <w:r>
        <w:rPr>
          <w:rFonts w:hint="eastAsia" w:ascii="宋体" w:hAnsi="宋体" w:eastAsia="宋体" w:cs="宋体"/>
          <w:color w:val="auto"/>
          <w:sz w:val="24"/>
          <w:szCs w:val="18"/>
          <w:highlight w:val="none"/>
          <w:u w:val="single"/>
          <w:lang w:eastAsia="zh-CN"/>
        </w:rPr>
        <w:t>包河区体艺中心合肥市华山路小学课程服务单位招标</w:t>
      </w:r>
    </w:p>
    <w:p w14:paraId="0481FD79">
      <w:pPr>
        <w:spacing w:line="900" w:lineRule="exact"/>
        <w:jc w:val="center"/>
        <w:rPr>
          <w:rFonts w:hint="default" w:ascii="宋体" w:hAnsi="宋体" w:eastAsia="宋体" w:cs="宋体"/>
          <w:b/>
          <w:color w:val="auto"/>
          <w:sz w:val="72"/>
          <w:highlight w:val="none"/>
          <w:lang w:val="en-US" w:eastAsia="zh-CN"/>
        </w:rPr>
      </w:pPr>
      <w:r>
        <w:rPr>
          <w:rFonts w:hint="eastAsia" w:ascii="宋体" w:hAnsi="宋体" w:eastAsia="宋体" w:cs="宋体"/>
          <w:color w:val="auto"/>
          <w:sz w:val="24"/>
          <w:szCs w:val="18"/>
          <w:highlight w:val="none"/>
          <w:u w:val="single"/>
          <w:lang w:val="en-US" w:eastAsia="zh-CN"/>
        </w:rPr>
        <w:t>第XX标段</w:t>
      </w:r>
    </w:p>
    <w:p w14:paraId="09E5D058">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50767B16">
      <w:pPr>
        <w:spacing w:line="900" w:lineRule="exact"/>
        <w:jc w:val="center"/>
        <w:rPr>
          <w:rFonts w:hint="eastAsia" w:ascii="宋体" w:hAnsi="宋体" w:eastAsia="宋体" w:cs="宋体"/>
          <w:b/>
          <w:color w:val="auto"/>
          <w:sz w:val="72"/>
          <w:highlight w:val="none"/>
        </w:rPr>
      </w:pPr>
    </w:p>
    <w:p w14:paraId="6C5CE0E4">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422C8C3B">
      <w:pPr>
        <w:spacing w:line="900" w:lineRule="exact"/>
        <w:jc w:val="center"/>
        <w:rPr>
          <w:rFonts w:hint="eastAsia" w:ascii="宋体" w:hAnsi="宋体" w:eastAsia="宋体" w:cs="宋体"/>
          <w:b/>
          <w:color w:val="auto"/>
          <w:sz w:val="72"/>
          <w:highlight w:val="none"/>
        </w:rPr>
      </w:pPr>
    </w:p>
    <w:p w14:paraId="420C8196">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74D41C46">
      <w:pPr>
        <w:spacing w:line="900" w:lineRule="exact"/>
        <w:jc w:val="center"/>
        <w:rPr>
          <w:rFonts w:hint="eastAsia" w:ascii="宋体" w:hAnsi="宋体" w:eastAsia="宋体" w:cs="宋体"/>
          <w:b/>
          <w:color w:val="auto"/>
          <w:sz w:val="72"/>
          <w:highlight w:val="none"/>
        </w:rPr>
      </w:pPr>
    </w:p>
    <w:p w14:paraId="084D9FE5">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24FBCE6A">
      <w:pPr>
        <w:spacing w:after="156" w:afterLines="50"/>
        <w:jc w:val="center"/>
        <w:rPr>
          <w:rFonts w:hint="eastAsia" w:ascii="宋体" w:hAnsi="宋体" w:eastAsia="宋体" w:cs="宋体"/>
          <w:b/>
          <w:color w:val="auto"/>
          <w:sz w:val="72"/>
          <w:highlight w:val="none"/>
        </w:rPr>
      </w:pPr>
    </w:p>
    <w:p w14:paraId="5643CB4B">
      <w:pPr>
        <w:spacing w:after="156" w:afterLines="50" w:line="500" w:lineRule="exact"/>
        <w:jc w:val="center"/>
        <w:rPr>
          <w:rFonts w:hint="eastAsia" w:ascii="宋体" w:hAnsi="宋体" w:eastAsia="宋体" w:cs="宋体"/>
          <w:b/>
          <w:color w:val="auto"/>
          <w:sz w:val="28"/>
          <w:szCs w:val="28"/>
          <w:highlight w:val="none"/>
        </w:rPr>
      </w:pPr>
    </w:p>
    <w:p w14:paraId="01DAEC45">
      <w:pPr>
        <w:spacing w:after="156" w:afterLines="50" w:line="500" w:lineRule="exact"/>
        <w:jc w:val="center"/>
        <w:rPr>
          <w:rFonts w:hint="eastAsia" w:ascii="宋体" w:hAnsi="宋体" w:eastAsia="宋体" w:cs="宋体"/>
          <w:b/>
          <w:color w:val="auto"/>
          <w:sz w:val="72"/>
          <w:highlight w:val="none"/>
        </w:rPr>
      </w:pPr>
    </w:p>
    <w:p w14:paraId="46A6B562">
      <w:pPr>
        <w:spacing w:after="156" w:afterLines="50" w:line="500" w:lineRule="exact"/>
        <w:ind w:firstLine="2522" w:firstLineChars="785"/>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 xml:space="preserve">               </w:t>
      </w:r>
    </w:p>
    <w:p w14:paraId="56444C72">
      <w:pPr>
        <w:spacing w:after="156" w:afterLines="50" w:line="500" w:lineRule="exact"/>
        <w:jc w:val="center"/>
        <w:rPr>
          <w:rFonts w:hint="eastAsia"/>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3B4B6E2E">
      <w:pPr>
        <w:spacing w:line="360" w:lineRule="auto"/>
        <w:jc w:val="center"/>
        <w:outlineLvl w:val="2"/>
        <w:rPr>
          <w:rFonts w:hint="eastAsia" w:ascii="宋体" w:hAnsi="宋体" w:eastAsia="宋体" w:cs="宋体"/>
          <w:b/>
          <w:color w:val="auto"/>
          <w:sz w:val="24"/>
          <w:highlight w:val="none"/>
        </w:rPr>
      </w:pPr>
      <w:bookmarkStart w:id="161" w:name="_Toc461053086"/>
      <w:bookmarkStart w:id="162" w:name="_Toc461056631"/>
      <w:bookmarkStart w:id="163" w:name="_Toc520983587"/>
      <w:r>
        <w:rPr>
          <w:rFonts w:hint="eastAsia" w:ascii="宋体" w:hAnsi="宋体" w:eastAsia="宋体" w:cs="宋体"/>
          <w:b/>
          <w:color w:val="auto"/>
          <w:sz w:val="24"/>
          <w:highlight w:val="none"/>
        </w:rPr>
        <w:t>一</w:t>
      </w:r>
      <w:bookmarkEnd w:id="161"/>
      <w:bookmarkEnd w:id="162"/>
      <w:r>
        <w:rPr>
          <w:rFonts w:hint="eastAsia" w:ascii="宋体" w:hAnsi="宋体" w:eastAsia="宋体" w:cs="宋体"/>
          <w:b/>
          <w:color w:val="auto"/>
          <w:sz w:val="24"/>
          <w:highlight w:val="none"/>
        </w:rPr>
        <w:t>、报价表格式</w:t>
      </w:r>
      <w:bookmarkEnd w:id="163"/>
    </w:p>
    <w:p w14:paraId="57CEA81C">
      <w:pPr>
        <w:spacing w:before="156" w:beforeLines="50" w:after="156" w:afterLines="50"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14:paraId="2E142C5D">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color w:val="auto"/>
          <w:sz w:val="24"/>
          <w:szCs w:val="18"/>
          <w:highlight w:val="none"/>
          <w:u w:val="single"/>
          <w:lang w:eastAsia="zh-CN"/>
        </w:rPr>
        <w:t>包河区体艺中心合肥市华山路小学课程服务单位招标</w:t>
      </w:r>
      <w:r>
        <w:rPr>
          <w:rFonts w:hint="eastAsia" w:ascii="宋体" w:hAnsi="宋体" w:eastAsia="宋体" w:cs="宋体"/>
          <w:b/>
          <w:color w:val="auto"/>
          <w:sz w:val="24"/>
          <w:szCs w:val="28"/>
          <w:highlight w:val="none"/>
          <w:u w:val="single"/>
          <w:lang w:val="en-US" w:eastAsia="zh-CN"/>
        </w:rPr>
        <w:t>-第X标段</w:t>
      </w:r>
    </w:p>
    <w:p w14:paraId="56F6BEBB">
      <w:pPr>
        <w:snapToGrid w:val="0"/>
        <w:spacing w:after="156" w:afterLines="50" w:line="360" w:lineRule="auto"/>
        <w:jc w:val="left"/>
        <w:rPr>
          <w:rFonts w:hint="default" w:ascii="宋体" w:hAnsi="宋体" w:eastAsia="宋体" w:cs="宋体"/>
          <w:b/>
          <w:bCs/>
          <w:color w:val="auto"/>
          <w:sz w:val="24"/>
          <w:szCs w:val="28"/>
          <w:highlight w:val="none"/>
          <w:u w:val="single"/>
          <w:lang w:val="en-US"/>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 xml:space="preserve">-ZTB-2025-28  </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06D7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2FFE8B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6063" w:type="dxa"/>
            <w:tcBorders>
              <w:left w:val="single" w:color="auto" w:sz="4" w:space="0"/>
            </w:tcBorders>
          </w:tcPr>
          <w:p w14:paraId="3E8EC98F">
            <w:pPr>
              <w:spacing w:line="360" w:lineRule="auto"/>
              <w:rPr>
                <w:rFonts w:hint="eastAsia" w:ascii="宋体" w:hAnsi="宋体" w:eastAsia="宋体" w:cs="宋体"/>
                <w:b/>
                <w:color w:val="auto"/>
                <w:sz w:val="24"/>
                <w:highlight w:val="none"/>
              </w:rPr>
            </w:pPr>
          </w:p>
        </w:tc>
      </w:tr>
      <w:tr w14:paraId="1B29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B81A061">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磋商范围</w:t>
            </w:r>
          </w:p>
        </w:tc>
        <w:tc>
          <w:tcPr>
            <w:tcW w:w="6063" w:type="dxa"/>
            <w:tcBorders>
              <w:left w:val="single" w:color="auto" w:sz="4" w:space="0"/>
            </w:tcBorders>
            <w:vAlign w:val="center"/>
          </w:tcPr>
          <w:p w14:paraId="06F25EBE">
            <w:pPr>
              <w:widowControl/>
              <w:spacing w:line="360" w:lineRule="exact"/>
              <w:rPr>
                <w:rFonts w:hint="eastAsia" w:ascii="宋体" w:hAnsi="宋体" w:eastAsia="宋体" w:cs="宋体"/>
                <w:b/>
                <w:color w:val="auto"/>
                <w:sz w:val="24"/>
                <w:highlight w:val="none"/>
              </w:rPr>
            </w:pPr>
            <w:r>
              <w:rPr>
                <w:rFonts w:hint="eastAsia" w:ascii="宋体" w:hAnsi="宋体" w:eastAsia="宋体" w:cs="宋体"/>
                <w:color w:val="auto"/>
                <w:sz w:val="24"/>
                <w:szCs w:val="18"/>
                <w:highlight w:val="none"/>
                <w:u w:val="single"/>
                <w:lang w:eastAsia="zh-CN"/>
              </w:rPr>
              <w:t>包河区体艺中心合肥市华山路小学课程服务单位招标</w:t>
            </w:r>
            <w:r>
              <w:rPr>
                <w:rFonts w:hint="eastAsia" w:ascii="宋体" w:hAnsi="宋体" w:eastAsia="宋体" w:cs="宋体"/>
                <w:b/>
                <w:color w:val="auto"/>
                <w:sz w:val="24"/>
                <w:szCs w:val="28"/>
                <w:highlight w:val="none"/>
                <w:u w:val="single"/>
                <w:lang w:val="en-US" w:eastAsia="zh-CN"/>
              </w:rPr>
              <w:t>-第X标段</w:t>
            </w:r>
          </w:p>
        </w:tc>
      </w:tr>
      <w:tr w14:paraId="4B95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3978A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c>
          <w:tcPr>
            <w:tcW w:w="6063" w:type="dxa"/>
            <w:vAlign w:val="center"/>
          </w:tcPr>
          <w:p w14:paraId="1CD65811">
            <w:pPr>
              <w:snapToGrid w:val="0"/>
              <w:spacing w:line="360" w:lineRule="auto"/>
              <w:rPr>
                <w:rFonts w:hint="eastAsia" w:ascii="宋体" w:hAnsi="宋体" w:eastAsia="宋体" w:cs="宋体"/>
                <w:color w:val="auto"/>
                <w:sz w:val="24"/>
                <w:szCs w:val="28"/>
                <w:highlight w:val="none"/>
              </w:rPr>
            </w:pPr>
          </w:p>
          <w:p w14:paraId="65FD3CE5">
            <w:pPr>
              <w:snapToGrid w:val="0"/>
              <w:spacing w:line="360" w:lineRule="auto"/>
              <w:rPr>
                <w:rFonts w:hint="eastAsia" w:ascii="宋体" w:hAnsi="宋体" w:eastAsia="宋体" w:cs="宋体"/>
                <w:bCs/>
                <w:color w:val="auto"/>
                <w:sz w:val="24"/>
                <w:highlight w:val="none"/>
                <w:u w:val="single"/>
              </w:rPr>
            </w:pPr>
            <w:bookmarkStart w:id="164" w:name="OLE_LINK3"/>
            <w:r>
              <w:rPr>
                <w:rFonts w:hint="eastAsia" w:ascii="宋体" w:hAnsi="宋体" w:eastAsia="宋体" w:cs="宋体"/>
                <w:bCs/>
                <w:color w:val="auto"/>
                <w:sz w:val="24"/>
                <w:highlight w:val="none"/>
              </w:rPr>
              <w:t>投标人分成比例</w:t>
            </w:r>
            <w:bookmarkEnd w:id="164"/>
            <w:r>
              <w:rPr>
                <w:rFonts w:hint="eastAsia" w:ascii="宋体" w:hAnsi="宋体" w:eastAsia="宋体" w:cs="宋体"/>
                <w:bCs/>
                <w:color w:val="auto"/>
                <w:sz w:val="24"/>
                <w:highlight w:val="none"/>
                <w:u w:val="single"/>
              </w:rPr>
              <w:t xml:space="preserve">           %（保留两位小数）</w:t>
            </w:r>
          </w:p>
          <w:p w14:paraId="3F160A4A">
            <w:pPr>
              <w:snapToGrid w:val="0"/>
              <w:spacing w:line="360" w:lineRule="auto"/>
              <w:rPr>
                <w:rFonts w:hint="eastAsia" w:ascii="宋体" w:hAnsi="宋体" w:eastAsia="宋体" w:cs="宋体"/>
                <w:b/>
                <w:color w:val="auto"/>
                <w:sz w:val="24"/>
                <w:highlight w:val="none"/>
              </w:rPr>
            </w:pPr>
          </w:p>
        </w:tc>
      </w:tr>
      <w:tr w14:paraId="441F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411CB80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6063" w:type="dxa"/>
          </w:tcPr>
          <w:p w14:paraId="05CDD2DF">
            <w:pPr>
              <w:spacing w:line="360" w:lineRule="auto"/>
              <w:rPr>
                <w:rFonts w:hint="eastAsia" w:ascii="宋体" w:hAnsi="宋体" w:eastAsia="宋体" w:cs="宋体"/>
                <w:b/>
                <w:color w:val="auto"/>
                <w:sz w:val="24"/>
                <w:highlight w:val="none"/>
              </w:rPr>
            </w:pPr>
          </w:p>
        </w:tc>
      </w:tr>
    </w:tbl>
    <w:p w14:paraId="0434B25F">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投标人公章：             </w:t>
      </w:r>
    </w:p>
    <w:p w14:paraId="74AB8FB8">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4B5824C">
      <w:pPr>
        <w:adjustRightInd w:val="0"/>
        <w:snapToGrid w:val="0"/>
        <w:spacing w:line="360" w:lineRule="auto"/>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szCs w:val="28"/>
          <w:highlight w:val="none"/>
        </w:rPr>
        <w:t>注：</w:t>
      </w:r>
    </w:p>
    <w:p w14:paraId="72549292">
      <w:pPr>
        <w:adjustRightInd w:val="0"/>
        <w:snapToGri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8"/>
          <w:highlight w:val="none"/>
        </w:rPr>
        <w:t>1.本表内容根据磋商文件要求包括了课程培训服务及现场落地、安装及设施设备耗损、调试、培训、技术服务（包括技术资料、图纸的提供）质保期内的售后服务保障等所有费用。</w:t>
      </w:r>
    </w:p>
    <w:p w14:paraId="3187D9B6">
      <w:pPr>
        <w:adjustRightInd w:val="0"/>
        <w:snapToGrid w:val="0"/>
        <w:spacing w:line="360" w:lineRule="auto"/>
        <w:ind w:firstLine="480" w:firstLineChars="200"/>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szCs w:val="28"/>
          <w:highlight w:val="none"/>
        </w:rPr>
        <w:t>2.特殊事项在备注中注明。</w:t>
      </w:r>
    </w:p>
    <w:p w14:paraId="790F3B4D">
      <w:pPr>
        <w:adjustRightInd w:val="0"/>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val="0"/>
          <w:bCs w:val="0"/>
          <w:color w:val="auto"/>
          <w:sz w:val="24"/>
          <w:szCs w:val="28"/>
          <w:highlight w:val="none"/>
        </w:rPr>
        <w:t>3.投标人应根据其响应文件中报价表的内容填写唱标信息，唱标信息不作为评审的依据。唱标信息与报价表不一致的，以报价表为准。</w:t>
      </w:r>
      <w:r>
        <w:rPr>
          <w:rFonts w:hint="eastAsia" w:ascii="宋体" w:hAnsi="宋体" w:eastAsia="宋体" w:cs="宋体"/>
          <w:b/>
          <w:bCs/>
          <w:color w:val="auto"/>
          <w:sz w:val="24"/>
          <w:szCs w:val="28"/>
          <w:highlight w:val="none"/>
        </w:rPr>
        <w:t>报价表报价仅需</w:t>
      </w:r>
      <w:r>
        <w:rPr>
          <w:rFonts w:hint="eastAsia" w:ascii="宋体" w:hAnsi="宋体" w:eastAsia="宋体" w:cs="宋体"/>
          <w:b/>
          <w:bCs/>
          <w:color w:val="auto"/>
          <w:sz w:val="24"/>
          <w:szCs w:val="28"/>
          <w:highlight w:val="none"/>
          <w:lang w:val="en-US" w:eastAsia="zh-CN"/>
        </w:rPr>
        <w:t>报出</w:t>
      </w:r>
      <w:r>
        <w:rPr>
          <w:rFonts w:hint="eastAsia" w:ascii="宋体" w:hAnsi="宋体" w:eastAsia="宋体" w:cs="宋体"/>
          <w:b/>
          <w:bCs/>
          <w:color w:val="auto"/>
          <w:sz w:val="24"/>
          <w:szCs w:val="28"/>
          <w:highlight w:val="none"/>
        </w:rPr>
        <w:t>投标人分成比例。</w:t>
      </w:r>
      <w:bookmarkStart w:id="165" w:name="_Toc520983591"/>
    </w:p>
    <w:p w14:paraId="3CA468C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二、磋商响应函</w:t>
      </w:r>
      <w:bookmarkEnd w:id="165"/>
    </w:p>
    <w:p w14:paraId="0A543918">
      <w:pPr>
        <w:pStyle w:val="14"/>
        <w:spacing w:line="360" w:lineRule="auto"/>
        <w:rPr>
          <w:rFonts w:hint="eastAsia" w:ascii="宋体" w:hAnsi="宋体" w:cs="宋体"/>
          <w:b w:val="0"/>
          <w:bCs/>
          <w:color w:val="auto"/>
          <w:sz w:val="24"/>
          <w:highlight w:val="none"/>
        </w:rPr>
      </w:pPr>
      <w:r>
        <w:rPr>
          <w:rFonts w:hint="eastAsia" w:ascii="宋体" w:hAnsi="宋体" w:cs="宋体"/>
          <w:b w:val="0"/>
          <w:bCs/>
          <w:color w:val="auto"/>
          <w:sz w:val="24"/>
          <w:highlight w:val="none"/>
        </w:rPr>
        <w:t>致：合肥滨湖时光体育发展有限公司</w:t>
      </w:r>
    </w:p>
    <w:p w14:paraId="5C1EF3EE">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根据贵方的竞争性磋商公告，我方兹宣布同意如下：</w:t>
      </w:r>
    </w:p>
    <w:p w14:paraId="2A80E3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1.如我公司中标，我公司承诺愿意按磋商文件规定缴纳履约保证金。按本次磋商文件规定及报价承诺提供服务。</w:t>
      </w:r>
    </w:p>
    <w:p w14:paraId="2DAD30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2.我方根据本次磋商文件的规定，严格履行合同的责任和义务,并保证于买方要求的日期内完成服务，并通过买方验收。</w:t>
      </w:r>
    </w:p>
    <w:p w14:paraId="6829DD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3.我方承诺报价低于同类货物和服务的市场平均价格。</w:t>
      </w:r>
    </w:p>
    <w:p w14:paraId="292A7E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5E3885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5.我方同意从投标人须知规定的磋商日期起遵循本磋商文件，并在投标人须知规定的磋商有效期之前均具有约束力。</w:t>
      </w:r>
    </w:p>
    <w:p w14:paraId="26B3D2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6.我方同意按贵方要求在磋商规定时间内向贵方提供与其磋商有关的任何证据或补充资料，否则，我方的响应文件可被贵方拒绝。</w:t>
      </w:r>
    </w:p>
    <w:p w14:paraId="5BA539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7.我方完全理解贵方不一定接受最低报价的磋商。</w:t>
      </w:r>
    </w:p>
    <w:p w14:paraId="6CACB4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8.我方同意磋商文件规定的付款方式、服务期限。</w:t>
      </w:r>
    </w:p>
    <w:p w14:paraId="388C1C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9.我方对响应文件中所提供资料、文件、证书及证件的真实性和有效性负责。</w:t>
      </w:r>
    </w:p>
    <w:p w14:paraId="176808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.我方同意磋商文件规定的付款方式及结算方式。</w:t>
      </w:r>
    </w:p>
    <w:p w14:paraId="0D0C7E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在你方和我方进行合同磋商之前，我方将按照响应文件中填报人员及磋商文件提出的最低要求填报派驻本标段的其他管理和技术培训人员及主要机械设备，经你方审批后作为派驻本标段的项目管理机构主要人员和主要体育培训设备且不进行更换。我方承诺除非磋商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336879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.与本磋商有关的通讯地址：</w:t>
      </w:r>
      <w:r>
        <w:rPr>
          <w:rFonts w:hint="eastAsia" w:ascii="宋体" w:hAnsi="宋体" w:eastAsia="宋体" w:cs="宋体"/>
          <w:color w:val="auto"/>
          <w:sz w:val="24"/>
          <w:highlight w:val="none"/>
          <w:u w:val="single"/>
        </w:rPr>
        <w:t xml:space="preserve">                          </w:t>
      </w:r>
    </w:p>
    <w:p w14:paraId="4A0067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BED6A9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r>
        <w:rPr>
          <w:rFonts w:hint="eastAsia" w:ascii="宋体" w:hAnsi="宋体" w:eastAsia="宋体" w:cs="宋体"/>
          <w:color w:val="auto"/>
          <w:sz w:val="24"/>
          <w:highlight w:val="none"/>
          <w:u w:val="single"/>
        </w:rPr>
        <w:t xml:space="preserve">                   </w:t>
      </w:r>
    </w:p>
    <w:p w14:paraId="0E767139">
      <w:pPr>
        <w:rPr>
          <w:rFonts w:hint="eastAsia" w:ascii="宋体" w:hAnsi="宋体" w:eastAsia="宋体" w:cs="宋体"/>
          <w:b/>
          <w:color w:val="auto"/>
          <w:sz w:val="24"/>
          <w:highlight w:val="none"/>
        </w:rPr>
      </w:pPr>
    </w:p>
    <w:p w14:paraId="01EC7EAA">
      <w:pPr>
        <w:spacing w:line="360" w:lineRule="auto"/>
        <w:jc w:val="center"/>
        <w:outlineLvl w:val="2"/>
        <w:rPr>
          <w:rFonts w:hint="eastAsia" w:ascii="宋体" w:hAnsi="宋体" w:eastAsia="宋体" w:cs="宋体"/>
          <w:b/>
          <w:color w:val="auto"/>
          <w:sz w:val="24"/>
          <w:highlight w:val="none"/>
        </w:rPr>
      </w:pPr>
    </w:p>
    <w:p w14:paraId="547E56EC">
      <w:pPr>
        <w:spacing w:line="360" w:lineRule="auto"/>
        <w:jc w:val="center"/>
        <w:outlineLvl w:val="2"/>
        <w:rPr>
          <w:rFonts w:hint="eastAsia" w:ascii="宋体" w:hAnsi="宋体" w:eastAsia="宋体" w:cs="宋体"/>
          <w:b/>
          <w:color w:val="auto"/>
          <w:sz w:val="24"/>
          <w:highlight w:val="none"/>
        </w:rPr>
      </w:pPr>
    </w:p>
    <w:p w14:paraId="7C06F806">
      <w:pPr>
        <w:spacing w:line="360" w:lineRule="auto"/>
        <w:jc w:val="center"/>
        <w:outlineLvl w:val="2"/>
        <w:rPr>
          <w:rFonts w:hint="eastAsia" w:ascii="宋体" w:hAnsi="宋体" w:eastAsia="宋体" w:cs="宋体"/>
          <w:b/>
          <w:color w:val="auto"/>
          <w:sz w:val="24"/>
          <w:highlight w:val="none"/>
        </w:rPr>
      </w:pPr>
    </w:p>
    <w:p w14:paraId="5F368687">
      <w:pPr>
        <w:spacing w:line="360" w:lineRule="auto"/>
        <w:jc w:val="center"/>
        <w:outlineLvl w:val="2"/>
        <w:rPr>
          <w:rFonts w:hint="eastAsia" w:ascii="宋体" w:hAnsi="宋体" w:eastAsia="宋体" w:cs="宋体"/>
          <w:b/>
          <w:color w:val="auto"/>
          <w:sz w:val="24"/>
          <w:highlight w:val="none"/>
        </w:rPr>
      </w:pPr>
    </w:p>
    <w:p w14:paraId="27214455">
      <w:pPr>
        <w:spacing w:line="360" w:lineRule="auto"/>
        <w:jc w:val="center"/>
        <w:outlineLvl w:val="2"/>
        <w:rPr>
          <w:rFonts w:hint="eastAsia" w:ascii="宋体" w:hAnsi="宋体" w:eastAsia="宋体" w:cs="宋体"/>
          <w:b/>
          <w:color w:val="auto"/>
          <w:sz w:val="24"/>
          <w:highlight w:val="none"/>
        </w:rPr>
      </w:pPr>
    </w:p>
    <w:p w14:paraId="2960C497">
      <w:pPr>
        <w:spacing w:line="360" w:lineRule="auto"/>
        <w:jc w:val="center"/>
        <w:outlineLvl w:val="2"/>
        <w:rPr>
          <w:rFonts w:hint="eastAsia" w:ascii="宋体" w:hAnsi="宋体" w:eastAsia="宋体" w:cs="宋体"/>
          <w:b/>
          <w:color w:val="auto"/>
          <w:sz w:val="24"/>
          <w:highlight w:val="none"/>
        </w:rPr>
      </w:pPr>
    </w:p>
    <w:p w14:paraId="610F98ED">
      <w:pPr>
        <w:spacing w:line="360" w:lineRule="auto"/>
        <w:jc w:val="center"/>
        <w:outlineLvl w:val="2"/>
        <w:rPr>
          <w:rFonts w:hint="eastAsia" w:ascii="宋体" w:hAnsi="宋体" w:eastAsia="宋体" w:cs="宋体"/>
          <w:b/>
          <w:color w:val="auto"/>
          <w:sz w:val="24"/>
          <w:highlight w:val="none"/>
        </w:rPr>
      </w:pPr>
    </w:p>
    <w:p w14:paraId="4838665A">
      <w:pPr>
        <w:spacing w:line="360" w:lineRule="auto"/>
        <w:jc w:val="center"/>
        <w:outlineLvl w:val="2"/>
        <w:rPr>
          <w:rFonts w:hint="eastAsia" w:ascii="宋体" w:hAnsi="宋体" w:eastAsia="宋体" w:cs="宋体"/>
          <w:b/>
          <w:color w:val="auto"/>
          <w:sz w:val="24"/>
          <w:highlight w:val="none"/>
        </w:rPr>
      </w:pPr>
    </w:p>
    <w:p w14:paraId="3B90EB2E">
      <w:pPr>
        <w:spacing w:line="360" w:lineRule="auto"/>
        <w:jc w:val="center"/>
        <w:outlineLvl w:val="2"/>
        <w:rPr>
          <w:rFonts w:hint="eastAsia" w:ascii="宋体" w:hAnsi="宋体" w:eastAsia="宋体" w:cs="宋体"/>
          <w:b/>
          <w:color w:val="auto"/>
          <w:sz w:val="24"/>
          <w:highlight w:val="none"/>
        </w:rPr>
      </w:pPr>
    </w:p>
    <w:p w14:paraId="4588E7C0">
      <w:pPr>
        <w:spacing w:line="360" w:lineRule="auto"/>
        <w:jc w:val="center"/>
        <w:outlineLvl w:val="2"/>
        <w:rPr>
          <w:rFonts w:hint="eastAsia" w:ascii="宋体" w:hAnsi="宋体" w:eastAsia="宋体" w:cs="宋体"/>
          <w:b/>
          <w:color w:val="auto"/>
          <w:sz w:val="24"/>
          <w:highlight w:val="none"/>
        </w:rPr>
      </w:pPr>
    </w:p>
    <w:p w14:paraId="7B2C65A5">
      <w:pPr>
        <w:spacing w:line="360" w:lineRule="auto"/>
        <w:jc w:val="center"/>
        <w:outlineLvl w:val="2"/>
        <w:rPr>
          <w:rFonts w:hint="eastAsia" w:ascii="宋体" w:hAnsi="宋体" w:eastAsia="宋体" w:cs="宋体"/>
          <w:b/>
          <w:color w:val="auto"/>
          <w:sz w:val="24"/>
          <w:highlight w:val="none"/>
        </w:rPr>
      </w:pPr>
    </w:p>
    <w:p w14:paraId="4D497A9C">
      <w:pPr>
        <w:spacing w:line="360" w:lineRule="auto"/>
        <w:jc w:val="center"/>
        <w:outlineLvl w:val="2"/>
        <w:rPr>
          <w:rFonts w:hint="eastAsia" w:ascii="宋体" w:hAnsi="宋体" w:eastAsia="宋体" w:cs="宋体"/>
          <w:b/>
          <w:color w:val="auto"/>
          <w:sz w:val="24"/>
          <w:highlight w:val="none"/>
        </w:rPr>
      </w:pPr>
    </w:p>
    <w:p w14:paraId="0FD3AA19">
      <w:pPr>
        <w:spacing w:line="360" w:lineRule="auto"/>
        <w:jc w:val="center"/>
        <w:outlineLvl w:val="2"/>
        <w:rPr>
          <w:rFonts w:hint="eastAsia" w:ascii="宋体" w:hAnsi="宋体" w:eastAsia="宋体" w:cs="宋体"/>
          <w:b/>
          <w:color w:val="auto"/>
          <w:sz w:val="24"/>
          <w:highlight w:val="none"/>
        </w:rPr>
      </w:pPr>
    </w:p>
    <w:p w14:paraId="451CA999">
      <w:pPr>
        <w:spacing w:line="360" w:lineRule="auto"/>
        <w:jc w:val="center"/>
        <w:outlineLvl w:val="2"/>
        <w:rPr>
          <w:rFonts w:hint="eastAsia" w:ascii="宋体" w:hAnsi="宋体" w:eastAsia="宋体" w:cs="宋体"/>
          <w:b/>
          <w:color w:val="auto"/>
          <w:sz w:val="24"/>
          <w:highlight w:val="none"/>
        </w:rPr>
      </w:pPr>
    </w:p>
    <w:p w14:paraId="5050BFD0">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三、无不良信用记录声明函</w:t>
      </w:r>
    </w:p>
    <w:p w14:paraId="3365E4E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1.本单位郑重声明，我单位无以下不良信用记录情形：</w:t>
      </w:r>
    </w:p>
    <w:p w14:paraId="670A622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1463766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46C18B1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（3）在最近三年内（自投标截止之日向前追溯 3 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不受三年期限限制； </w:t>
      </w:r>
    </w:p>
    <w:p w14:paraId="0A026E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1A49158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00CCA95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4688AC9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04521C1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如不采用，删除）</w:t>
      </w:r>
    </w:p>
    <w:p w14:paraId="5D0C47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2.本单位郑重声明，</w:t>
      </w:r>
      <w:r>
        <w:rPr>
          <w:rFonts w:hint="eastAsia" w:ascii="宋体" w:hAnsi="宋体" w:eastAsia="宋体" w:cs="宋体"/>
          <w:color w:val="auto"/>
          <w:sz w:val="24"/>
          <w:szCs w:val="18"/>
          <w:highlight w:val="none"/>
        </w:rPr>
        <w:t xml:space="preserve">未被合肥市及其所辖县（市）、区（开发区）公共资源交易监督管理部门记不良行为记录的；或被记不良行为记录（以公布日期为准），但同时符合下列情形的： </w:t>
      </w:r>
    </w:p>
    <w:p w14:paraId="3B16DC4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770DBB8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64E010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02D931A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18"/>
          <w:highlight w:val="none"/>
        </w:rPr>
        <w:t>（4）开标日前（含当日）24个月内记分累计未满25分的。</w:t>
      </w:r>
    </w:p>
    <w:p w14:paraId="6152294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805AA2A">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p>
    <w:p w14:paraId="7C5DC7EC">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05676224">
      <w:pPr>
        <w:spacing w:line="360" w:lineRule="auto"/>
        <w:jc w:val="center"/>
        <w:outlineLvl w:val="2"/>
        <w:rPr>
          <w:rFonts w:hint="eastAsia" w:ascii="宋体" w:hAnsi="宋体" w:eastAsia="宋体" w:cs="宋体"/>
          <w:b/>
          <w:color w:val="auto"/>
          <w:sz w:val="24"/>
          <w:highlight w:val="none"/>
        </w:rPr>
      </w:pPr>
      <w:bookmarkStart w:id="166" w:name="_Toc121626298"/>
      <w:bookmarkStart w:id="167" w:name="_Toc516969106"/>
      <w:bookmarkStart w:id="168" w:name="_Toc204594911"/>
      <w:bookmarkStart w:id="169" w:name="_Toc520983594"/>
    </w:p>
    <w:p w14:paraId="6A2CB27A">
      <w:pPr>
        <w:spacing w:line="360" w:lineRule="auto"/>
        <w:jc w:val="center"/>
        <w:outlineLvl w:val="2"/>
        <w:rPr>
          <w:rFonts w:hint="eastAsia" w:ascii="宋体" w:hAnsi="宋体" w:eastAsia="宋体" w:cs="宋体"/>
          <w:b/>
          <w:color w:val="auto"/>
          <w:sz w:val="24"/>
          <w:highlight w:val="none"/>
        </w:rPr>
      </w:pPr>
    </w:p>
    <w:p w14:paraId="4FC7E363">
      <w:pPr>
        <w:spacing w:line="360" w:lineRule="auto"/>
        <w:jc w:val="center"/>
        <w:outlineLvl w:val="2"/>
        <w:rPr>
          <w:rFonts w:hint="eastAsia" w:ascii="宋体" w:hAnsi="宋体" w:eastAsia="宋体" w:cs="宋体"/>
          <w:b/>
          <w:color w:val="auto"/>
          <w:sz w:val="24"/>
          <w:highlight w:val="none"/>
        </w:rPr>
      </w:pPr>
    </w:p>
    <w:p w14:paraId="1B4AB7BE">
      <w:pPr>
        <w:pStyle w:val="2"/>
        <w:rPr>
          <w:rFonts w:hint="eastAsia" w:ascii="宋体" w:hAnsi="宋体" w:eastAsia="宋体" w:cs="宋体"/>
          <w:b/>
          <w:color w:val="auto"/>
          <w:sz w:val="24"/>
          <w:highlight w:val="none"/>
        </w:rPr>
      </w:pPr>
    </w:p>
    <w:p w14:paraId="2075E0C0">
      <w:pPr>
        <w:rPr>
          <w:rFonts w:hint="eastAsia" w:ascii="宋体" w:hAnsi="宋体" w:eastAsia="宋体" w:cs="宋体"/>
          <w:b/>
          <w:color w:val="auto"/>
          <w:sz w:val="24"/>
          <w:highlight w:val="none"/>
        </w:rPr>
      </w:pPr>
    </w:p>
    <w:p w14:paraId="23B44579">
      <w:pPr>
        <w:pStyle w:val="2"/>
        <w:rPr>
          <w:rFonts w:hint="eastAsia" w:ascii="宋体" w:hAnsi="宋体" w:eastAsia="宋体" w:cs="宋体"/>
          <w:b/>
          <w:color w:val="auto"/>
          <w:sz w:val="24"/>
          <w:highlight w:val="none"/>
        </w:rPr>
      </w:pPr>
    </w:p>
    <w:p w14:paraId="29F6C6C1">
      <w:pPr>
        <w:rPr>
          <w:rFonts w:hint="eastAsia" w:ascii="宋体" w:hAnsi="宋体" w:eastAsia="宋体" w:cs="宋体"/>
          <w:b/>
          <w:color w:val="auto"/>
          <w:sz w:val="24"/>
          <w:highlight w:val="none"/>
        </w:rPr>
      </w:pPr>
    </w:p>
    <w:p w14:paraId="79E32B60">
      <w:pPr>
        <w:spacing w:line="360" w:lineRule="auto"/>
        <w:jc w:val="center"/>
        <w:outlineLvl w:val="2"/>
        <w:rPr>
          <w:rFonts w:hint="eastAsia" w:ascii="宋体" w:hAnsi="宋体" w:eastAsia="宋体" w:cs="宋体"/>
          <w:b/>
          <w:color w:val="auto"/>
          <w:sz w:val="24"/>
          <w:highlight w:val="none"/>
        </w:rPr>
      </w:pPr>
    </w:p>
    <w:p w14:paraId="0C813A2E">
      <w:pPr>
        <w:spacing w:line="360" w:lineRule="auto"/>
        <w:jc w:val="center"/>
        <w:outlineLvl w:val="2"/>
        <w:rPr>
          <w:rFonts w:hint="eastAsia" w:ascii="宋体" w:hAnsi="宋体" w:eastAsia="宋体" w:cs="宋体"/>
          <w:b/>
          <w:color w:val="auto"/>
          <w:sz w:val="24"/>
          <w:highlight w:val="none"/>
        </w:rPr>
      </w:pPr>
    </w:p>
    <w:p w14:paraId="17A8DFBF">
      <w:pPr>
        <w:spacing w:line="360" w:lineRule="auto"/>
        <w:jc w:val="center"/>
        <w:outlineLvl w:val="2"/>
        <w:rPr>
          <w:rFonts w:hint="eastAsia" w:ascii="宋体" w:hAnsi="宋体" w:eastAsia="宋体" w:cs="宋体"/>
          <w:b/>
          <w:color w:val="auto"/>
          <w:sz w:val="24"/>
          <w:highlight w:val="none"/>
        </w:rPr>
      </w:pPr>
    </w:p>
    <w:p w14:paraId="45C07782">
      <w:pPr>
        <w:spacing w:line="360" w:lineRule="auto"/>
        <w:jc w:val="center"/>
        <w:outlineLvl w:val="2"/>
        <w:rPr>
          <w:rFonts w:hint="eastAsia" w:ascii="宋体" w:hAnsi="宋体" w:eastAsia="宋体" w:cs="宋体"/>
          <w:b/>
          <w:color w:val="auto"/>
          <w:sz w:val="24"/>
          <w:highlight w:val="none"/>
        </w:rPr>
      </w:pPr>
    </w:p>
    <w:p w14:paraId="05B28930">
      <w:pPr>
        <w:spacing w:line="360" w:lineRule="auto"/>
        <w:jc w:val="center"/>
        <w:outlineLvl w:val="2"/>
        <w:rPr>
          <w:rFonts w:hint="eastAsia" w:ascii="宋体" w:hAnsi="宋体" w:eastAsia="宋体" w:cs="宋体"/>
          <w:b/>
          <w:color w:val="auto"/>
          <w:sz w:val="24"/>
          <w:highlight w:val="none"/>
        </w:rPr>
      </w:pPr>
    </w:p>
    <w:p w14:paraId="6E3A9CE9">
      <w:pPr>
        <w:spacing w:line="360" w:lineRule="auto"/>
        <w:jc w:val="center"/>
        <w:outlineLvl w:val="2"/>
        <w:rPr>
          <w:rFonts w:hint="eastAsia" w:ascii="宋体" w:hAnsi="宋体" w:eastAsia="宋体" w:cs="宋体"/>
          <w:b/>
          <w:color w:val="auto"/>
          <w:sz w:val="24"/>
          <w:highlight w:val="none"/>
        </w:rPr>
      </w:pPr>
    </w:p>
    <w:p w14:paraId="6423341F">
      <w:pPr>
        <w:spacing w:line="360" w:lineRule="auto"/>
        <w:jc w:val="center"/>
        <w:outlineLvl w:val="2"/>
        <w:rPr>
          <w:rFonts w:hint="eastAsia" w:ascii="宋体" w:hAnsi="宋体" w:eastAsia="宋体" w:cs="宋体"/>
          <w:b/>
          <w:color w:val="auto"/>
          <w:sz w:val="24"/>
          <w:highlight w:val="none"/>
        </w:rPr>
      </w:pPr>
    </w:p>
    <w:p w14:paraId="4DB4C934">
      <w:pPr>
        <w:spacing w:line="360" w:lineRule="auto"/>
        <w:jc w:val="center"/>
        <w:outlineLvl w:val="2"/>
        <w:rPr>
          <w:rFonts w:hint="eastAsia" w:ascii="宋体" w:hAnsi="宋体" w:eastAsia="宋体" w:cs="宋体"/>
          <w:b/>
          <w:color w:val="auto"/>
          <w:sz w:val="24"/>
          <w:highlight w:val="none"/>
        </w:rPr>
      </w:pPr>
    </w:p>
    <w:p w14:paraId="387DD42D">
      <w:pPr>
        <w:spacing w:line="360" w:lineRule="auto"/>
        <w:jc w:val="center"/>
        <w:outlineLvl w:val="2"/>
        <w:rPr>
          <w:rFonts w:hint="eastAsia" w:ascii="宋体" w:hAnsi="宋体" w:eastAsia="宋体" w:cs="宋体"/>
          <w:b/>
          <w:color w:val="auto"/>
          <w:sz w:val="24"/>
          <w:highlight w:val="none"/>
        </w:rPr>
      </w:pPr>
    </w:p>
    <w:p w14:paraId="27912B5D">
      <w:pPr>
        <w:spacing w:line="360" w:lineRule="auto"/>
        <w:jc w:val="center"/>
        <w:outlineLvl w:val="2"/>
        <w:rPr>
          <w:rFonts w:hint="eastAsia" w:ascii="宋体" w:hAnsi="宋体" w:eastAsia="宋体" w:cs="宋体"/>
          <w:b/>
          <w:color w:val="auto"/>
          <w:sz w:val="24"/>
          <w:highlight w:val="none"/>
        </w:rPr>
      </w:pPr>
    </w:p>
    <w:p w14:paraId="315C31F8">
      <w:pPr>
        <w:spacing w:line="360" w:lineRule="auto"/>
        <w:jc w:val="center"/>
        <w:outlineLvl w:val="2"/>
        <w:rPr>
          <w:rFonts w:hint="eastAsia" w:ascii="宋体" w:hAnsi="宋体" w:eastAsia="宋体" w:cs="宋体"/>
          <w:b/>
          <w:color w:val="auto"/>
          <w:sz w:val="24"/>
          <w:highlight w:val="none"/>
        </w:rPr>
      </w:pPr>
    </w:p>
    <w:p w14:paraId="426B2A7A">
      <w:pPr>
        <w:spacing w:line="360" w:lineRule="auto"/>
        <w:jc w:val="center"/>
        <w:outlineLvl w:val="2"/>
        <w:rPr>
          <w:rFonts w:hint="eastAsia" w:ascii="宋体" w:hAnsi="宋体" w:eastAsia="宋体" w:cs="宋体"/>
          <w:b/>
          <w:color w:val="auto"/>
          <w:sz w:val="24"/>
          <w:highlight w:val="none"/>
        </w:rPr>
      </w:pPr>
      <w:bookmarkStart w:id="170" w:name="_GoBack"/>
      <w:bookmarkEnd w:id="170"/>
      <w:r>
        <w:rPr>
          <w:rFonts w:hint="eastAsia" w:ascii="宋体" w:hAnsi="宋体" w:eastAsia="宋体" w:cs="宋体"/>
          <w:b/>
          <w:color w:val="auto"/>
          <w:sz w:val="24"/>
          <w:highlight w:val="none"/>
        </w:rPr>
        <w:t>四、授权书</w:t>
      </w:r>
      <w:bookmarkEnd w:id="166"/>
      <w:bookmarkEnd w:id="167"/>
      <w:bookmarkEnd w:id="168"/>
      <w:bookmarkEnd w:id="169"/>
    </w:p>
    <w:p w14:paraId="2449582C">
      <w:pPr>
        <w:spacing w:line="360" w:lineRule="auto"/>
        <w:jc w:val="center"/>
        <w:rPr>
          <w:rFonts w:hint="eastAsia" w:ascii="宋体" w:hAnsi="宋体" w:eastAsia="宋体" w:cs="宋体"/>
          <w:b/>
          <w:color w:val="auto"/>
          <w:sz w:val="24"/>
          <w:highlight w:val="none"/>
        </w:rPr>
      </w:pPr>
    </w:p>
    <w:p w14:paraId="2CC85F43">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本授权书声明：</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（投标人名称）授权</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（投标人授权代表姓名）代表我方参加本项目</w:t>
      </w:r>
      <w:r>
        <w:rPr>
          <w:rFonts w:hint="eastAsia" w:hAnsi="宋体" w:cs="宋体"/>
          <w:bCs/>
          <w:color w:val="auto"/>
          <w:sz w:val="24"/>
          <w:szCs w:val="28"/>
          <w:highlight w:val="none"/>
        </w:rPr>
        <w:t>招标活动</w:t>
      </w:r>
      <w:r>
        <w:rPr>
          <w:rFonts w:hint="eastAsia" w:hAnsi="宋体" w:cs="宋体"/>
          <w:color w:val="auto"/>
          <w:sz w:val="24"/>
          <w:szCs w:val="28"/>
          <w:highlight w:val="none"/>
        </w:rPr>
        <w:t>，全权代表我方处理磋商过程的一切事宜，包括但不限于：提交响应文件、参与磋商、签约等。投标人授权代表在招标活动过程中所签署的一切文件和处理与之有关的一切事务，本公司均予以认可并对此承担责任。投标人授权代表无转委托权。特此授权。</w:t>
      </w:r>
    </w:p>
    <w:p w14:paraId="1DFB4790">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本授权书自出具之日起生效。</w:t>
      </w:r>
    </w:p>
    <w:p w14:paraId="4BF517F5">
      <w:pPr>
        <w:pStyle w:val="13"/>
        <w:snapToGrid w:val="0"/>
        <w:spacing w:line="360" w:lineRule="auto"/>
        <w:ind w:firstLine="480" w:firstLineChars="200"/>
        <w:jc w:val="left"/>
        <w:rPr>
          <w:rFonts w:hint="eastAsia" w:hAnsi="宋体" w:cs="宋体"/>
          <w:color w:val="auto"/>
          <w:sz w:val="24"/>
          <w:highlight w:val="none"/>
        </w:rPr>
      </w:pPr>
      <w:r>
        <w:rPr>
          <w:rFonts w:hint="eastAsia" w:hAnsi="宋体" w:cs="宋体"/>
          <w:color w:val="auto"/>
          <w:sz w:val="24"/>
          <w:szCs w:val="28"/>
          <w:highlight w:val="none"/>
        </w:rPr>
        <w:t>授权代表</w:t>
      </w:r>
      <w:r>
        <w:rPr>
          <w:rFonts w:hint="eastAsia" w:hAnsi="宋体" w:cs="宋体"/>
          <w:color w:val="auto"/>
          <w:sz w:val="24"/>
          <w:highlight w:val="none"/>
        </w:rPr>
        <w:t>身份证明扫描件或影印件：</w:t>
      </w:r>
    </w:p>
    <w:p w14:paraId="14A4F822">
      <w:pPr>
        <w:pStyle w:val="13"/>
        <w:snapToGrid w:val="0"/>
        <w:spacing w:line="360" w:lineRule="auto"/>
        <w:ind w:firstLine="480" w:firstLineChars="200"/>
        <w:jc w:val="left"/>
        <w:rPr>
          <w:rFonts w:hint="eastAsia" w:hAnsi="宋体" w:cs="宋体"/>
          <w:color w:val="auto"/>
          <w:sz w:val="24"/>
          <w:highlight w:val="none"/>
        </w:rPr>
      </w:pPr>
    </w:p>
    <w:p w14:paraId="17CFF9EF">
      <w:pPr>
        <w:pStyle w:val="13"/>
        <w:snapToGrid w:val="0"/>
        <w:spacing w:line="360" w:lineRule="auto"/>
        <w:ind w:firstLine="480" w:firstLineChars="200"/>
        <w:jc w:val="left"/>
        <w:rPr>
          <w:rFonts w:hint="eastAsia" w:hAnsi="宋体" w:cs="宋体"/>
          <w:color w:val="auto"/>
          <w:sz w:val="24"/>
          <w:highlight w:val="none"/>
        </w:rPr>
      </w:pPr>
    </w:p>
    <w:p w14:paraId="20B4078A">
      <w:pPr>
        <w:pStyle w:val="13"/>
        <w:snapToGrid w:val="0"/>
        <w:spacing w:line="360" w:lineRule="auto"/>
        <w:ind w:firstLine="480" w:firstLineChars="200"/>
        <w:jc w:val="left"/>
        <w:rPr>
          <w:rFonts w:hint="eastAsia" w:hAnsi="宋体" w:cs="宋体"/>
          <w:color w:val="auto"/>
          <w:sz w:val="24"/>
          <w:highlight w:val="none"/>
        </w:rPr>
      </w:pPr>
    </w:p>
    <w:p w14:paraId="3591F813">
      <w:pPr>
        <w:pStyle w:val="13"/>
        <w:snapToGrid w:val="0"/>
        <w:spacing w:line="360" w:lineRule="auto"/>
        <w:ind w:firstLine="480" w:firstLineChars="200"/>
        <w:jc w:val="left"/>
        <w:rPr>
          <w:rFonts w:hint="eastAsia" w:hAnsi="宋体" w:cs="宋体"/>
          <w:color w:val="auto"/>
          <w:sz w:val="24"/>
          <w:highlight w:val="none"/>
        </w:rPr>
      </w:pPr>
    </w:p>
    <w:p w14:paraId="3BE6BA8F">
      <w:pPr>
        <w:pStyle w:val="13"/>
        <w:snapToGrid w:val="0"/>
        <w:spacing w:line="360" w:lineRule="auto"/>
        <w:ind w:firstLine="480" w:firstLineChars="200"/>
        <w:jc w:val="left"/>
        <w:rPr>
          <w:rFonts w:hint="eastAsia" w:hAnsi="宋体" w:cs="宋体"/>
          <w:color w:val="auto"/>
          <w:sz w:val="24"/>
          <w:szCs w:val="28"/>
          <w:highlight w:val="none"/>
          <w:u w:val="single"/>
        </w:rPr>
      </w:pPr>
      <w:r>
        <w:rPr>
          <w:rFonts w:hint="eastAsia" w:hAnsi="宋体" w:cs="宋体"/>
          <w:color w:val="auto"/>
          <w:sz w:val="24"/>
          <w:szCs w:val="28"/>
          <w:highlight w:val="none"/>
        </w:rPr>
        <w:t>授权代表联系方式：</w:t>
      </w:r>
      <w:r>
        <w:rPr>
          <w:rFonts w:hint="eastAsia" w:hAnsi="宋体" w:cs="宋体"/>
          <w:color w:val="auto"/>
          <w:sz w:val="24"/>
          <w:szCs w:val="28"/>
          <w:highlight w:val="none"/>
          <w:u w:val="single"/>
        </w:rPr>
        <w:t xml:space="preserve">          （请填写手机号码）</w:t>
      </w:r>
    </w:p>
    <w:p w14:paraId="1D8FC8A2">
      <w:pPr>
        <w:pStyle w:val="13"/>
        <w:snapToGrid w:val="0"/>
        <w:spacing w:line="360" w:lineRule="auto"/>
        <w:ind w:firstLine="480" w:firstLineChars="200"/>
        <w:jc w:val="left"/>
        <w:rPr>
          <w:rFonts w:hint="eastAsia" w:hAnsi="宋体" w:cs="宋体"/>
          <w:color w:val="auto"/>
          <w:sz w:val="24"/>
          <w:szCs w:val="28"/>
          <w:highlight w:val="none"/>
        </w:rPr>
      </w:pPr>
    </w:p>
    <w:p w14:paraId="3010A9AC">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特此声明。</w:t>
      </w:r>
    </w:p>
    <w:p w14:paraId="0A49F584">
      <w:pPr>
        <w:spacing w:line="360" w:lineRule="auto"/>
        <w:rPr>
          <w:rFonts w:hint="eastAsia" w:ascii="宋体" w:hAnsi="宋体" w:eastAsia="宋体" w:cs="宋体"/>
          <w:color w:val="auto"/>
          <w:sz w:val="24"/>
          <w:szCs w:val="28"/>
          <w:highlight w:val="none"/>
        </w:rPr>
      </w:pPr>
    </w:p>
    <w:p w14:paraId="525C8E1C">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投标人公章：</w:t>
      </w:r>
      <w:r>
        <w:rPr>
          <w:rFonts w:hint="eastAsia" w:ascii="宋体" w:hAnsi="宋体" w:eastAsia="宋体" w:cs="宋体"/>
          <w:bCs/>
          <w:color w:val="auto"/>
          <w:sz w:val="24"/>
          <w:szCs w:val="28"/>
          <w:highlight w:val="none"/>
          <w:u w:val="single"/>
        </w:rPr>
        <w:t xml:space="preserve">                    </w:t>
      </w:r>
    </w:p>
    <w:p w14:paraId="74358999">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      期：</w:t>
      </w:r>
      <w:r>
        <w:rPr>
          <w:rFonts w:hint="eastAsia" w:ascii="宋体" w:hAnsi="宋体" w:eastAsia="宋体" w:cs="宋体"/>
          <w:color w:val="auto"/>
          <w:sz w:val="24"/>
          <w:szCs w:val="28"/>
          <w:highlight w:val="none"/>
          <w:u w:val="single"/>
        </w:rPr>
        <w:t xml:space="preserve">                    </w:t>
      </w:r>
    </w:p>
    <w:p w14:paraId="44ECB19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注：</w:t>
      </w:r>
    </w:p>
    <w:p w14:paraId="47659CD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1.本项目只允许有唯一的投标人授权代表，提供身份证明扫描件或影印件；</w:t>
      </w:r>
    </w:p>
    <w:p w14:paraId="203E93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2.法定代表人参加磋商的无需提供授权书，仅提供身份证明扫描件或影印件。</w:t>
      </w:r>
    </w:p>
    <w:p w14:paraId="1BA6282D">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05FFE1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五、商务响应表</w:t>
      </w:r>
    </w:p>
    <w:p w14:paraId="0DA3BDF5">
      <w:pPr>
        <w:spacing w:line="360" w:lineRule="auto"/>
        <w:ind w:firstLine="435"/>
        <w:rPr>
          <w:rFonts w:hint="eastAsia" w:ascii="宋体" w:hAnsi="宋体" w:eastAsia="宋体" w:cs="宋体"/>
          <w:b/>
          <w:color w:val="auto"/>
          <w:sz w:val="24"/>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AE5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DBB0E4F">
            <w:pPr>
              <w:pStyle w:val="13"/>
              <w:jc w:val="center"/>
              <w:rPr>
                <w:rFonts w:hint="eastAsia" w:hAnsi="宋体" w:cs="宋体"/>
                <w:b/>
                <w:color w:val="auto"/>
                <w:sz w:val="24"/>
                <w:highlight w:val="none"/>
              </w:rPr>
            </w:pPr>
            <w:r>
              <w:rPr>
                <w:rFonts w:hint="eastAsia" w:hAnsi="宋体" w:cs="宋体"/>
                <w:b/>
                <w:color w:val="auto"/>
                <w:sz w:val="24"/>
                <w:highlight w:val="none"/>
              </w:rPr>
              <w:t>序号</w:t>
            </w:r>
          </w:p>
        </w:tc>
        <w:tc>
          <w:tcPr>
            <w:tcW w:w="1916" w:type="dxa"/>
            <w:vAlign w:val="center"/>
          </w:tcPr>
          <w:p w14:paraId="6C20D047">
            <w:pPr>
              <w:pStyle w:val="13"/>
              <w:jc w:val="center"/>
              <w:rPr>
                <w:rFonts w:hint="eastAsia" w:hAnsi="宋体" w:cs="宋体"/>
                <w:b/>
                <w:color w:val="auto"/>
                <w:sz w:val="24"/>
                <w:highlight w:val="none"/>
              </w:rPr>
            </w:pPr>
            <w:r>
              <w:rPr>
                <w:rFonts w:hint="eastAsia" w:hAnsi="宋体" w:cs="宋体"/>
                <w:b/>
                <w:bCs/>
                <w:color w:val="auto"/>
                <w:sz w:val="24"/>
                <w:szCs w:val="24"/>
                <w:highlight w:val="none"/>
              </w:rPr>
              <w:t>商务条款</w:t>
            </w:r>
          </w:p>
        </w:tc>
        <w:tc>
          <w:tcPr>
            <w:tcW w:w="2497" w:type="dxa"/>
            <w:vAlign w:val="center"/>
          </w:tcPr>
          <w:p w14:paraId="41E31CFE">
            <w:pPr>
              <w:pStyle w:val="13"/>
              <w:jc w:val="center"/>
              <w:rPr>
                <w:rFonts w:hint="eastAsia" w:hAnsi="宋体" w:cs="宋体"/>
                <w:b/>
                <w:color w:val="auto"/>
                <w:sz w:val="24"/>
                <w:highlight w:val="none"/>
              </w:rPr>
            </w:pPr>
            <w:r>
              <w:rPr>
                <w:rFonts w:hint="eastAsia" w:hAnsi="宋体" w:cs="宋体"/>
                <w:b/>
                <w:color w:val="auto"/>
                <w:sz w:val="24"/>
                <w:highlight w:val="none"/>
              </w:rPr>
              <w:t>磋商文件要求</w:t>
            </w:r>
          </w:p>
        </w:tc>
        <w:tc>
          <w:tcPr>
            <w:tcW w:w="2575" w:type="dxa"/>
            <w:vAlign w:val="center"/>
          </w:tcPr>
          <w:p w14:paraId="40DC1703">
            <w:pPr>
              <w:pStyle w:val="13"/>
              <w:jc w:val="center"/>
              <w:rPr>
                <w:rFonts w:hint="eastAsia" w:hAnsi="宋体" w:cs="宋体"/>
                <w:b/>
                <w:color w:val="auto"/>
                <w:sz w:val="24"/>
                <w:highlight w:val="none"/>
              </w:rPr>
            </w:pPr>
            <w:r>
              <w:rPr>
                <w:rFonts w:hint="eastAsia" w:hAnsi="宋体" w:cs="宋体"/>
                <w:b/>
                <w:color w:val="auto"/>
                <w:sz w:val="24"/>
                <w:highlight w:val="none"/>
              </w:rPr>
              <w:t>投标人承诺</w:t>
            </w:r>
          </w:p>
        </w:tc>
        <w:tc>
          <w:tcPr>
            <w:tcW w:w="810" w:type="dxa"/>
            <w:vAlign w:val="center"/>
          </w:tcPr>
          <w:p w14:paraId="566BA6A7">
            <w:pPr>
              <w:pStyle w:val="13"/>
              <w:jc w:val="center"/>
              <w:rPr>
                <w:rFonts w:hint="eastAsia" w:hAnsi="宋体" w:cs="宋体"/>
                <w:b/>
                <w:color w:val="auto"/>
                <w:sz w:val="24"/>
                <w:highlight w:val="none"/>
              </w:rPr>
            </w:pPr>
            <w:r>
              <w:rPr>
                <w:rFonts w:hint="eastAsia" w:hAnsi="宋体" w:cs="宋体"/>
                <w:b/>
                <w:color w:val="auto"/>
                <w:sz w:val="24"/>
                <w:highlight w:val="none"/>
              </w:rPr>
              <w:t>偏离说明</w:t>
            </w:r>
          </w:p>
        </w:tc>
      </w:tr>
      <w:tr w14:paraId="1F19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93B149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vAlign w:val="center"/>
          </w:tcPr>
          <w:p w14:paraId="7A921F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vAlign w:val="center"/>
          </w:tcPr>
          <w:p w14:paraId="52DADCBB">
            <w:pPr>
              <w:jc w:val="center"/>
              <w:rPr>
                <w:rFonts w:hint="eastAsia" w:ascii="宋体" w:hAnsi="宋体" w:eastAsia="宋体" w:cs="宋体"/>
                <w:color w:val="auto"/>
                <w:sz w:val="24"/>
                <w:highlight w:val="none"/>
              </w:rPr>
            </w:pPr>
          </w:p>
        </w:tc>
        <w:tc>
          <w:tcPr>
            <w:tcW w:w="2575" w:type="dxa"/>
            <w:vAlign w:val="center"/>
          </w:tcPr>
          <w:p w14:paraId="3152C315">
            <w:pPr>
              <w:jc w:val="center"/>
              <w:rPr>
                <w:rFonts w:hint="eastAsia" w:ascii="宋体" w:hAnsi="宋体" w:eastAsia="宋体" w:cs="宋体"/>
                <w:color w:val="auto"/>
                <w:sz w:val="24"/>
                <w:highlight w:val="none"/>
              </w:rPr>
            </w:pPr>
          </w:p>
        </w:tc>
        <w:tc>
          <w:tcPr>
            <w:tcW w:w="810" w:type="dxa"/>
            <w:vAlign w:val="center"/>
          </w:tcPr>
          <w:p w14:paraId="4F12CB9A">
            <w:pPr>
              <w:jc w:val="center"/>
              <w:rPr>
                <w:rFonts w:hint="eastAsia" w:ascii="宋体" w:hAnsi="宋体" w:eastAsia="宋体" w:cs="宋体"/>
                <w:color w:val="auto"/>
                <w:sz w:val="24"/>
                <w:highlight w:val="none"/>
              </w:rPr>
            </w:pPr>
          </w:p>
        </w:tc>
      </w:tr>
      <w:tr w14:paraId="16C9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99B8E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vAlign w:val="center"/>
          </w:tcPr>
          <w:p w14:paraId="1FC7BE8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2497" w:type="dxa"/>
            <w:vAlign w:val="center"/>
          </w:tcPr>
          <w:p w14:paraId="4CE5B229">
            <w:pPr>
              <w:jc w:val="center"/>
              <w:rPr>
                <w:rFonts w:hint="eastAsia" w:ascii="宋体" w:hAnsi="宋体" w:eastAsia="宋体" w:cs="宋体"/>
                <w:color w:val="auto"/>
                <w:sz w:val="24"/>
                <w:highlight w:val="none"/>
              </w:rPr>
            </w:pPr>
          </w:p>
        </w:tc>
        <w:tc>
          <w:tcPr>
            <w:tcW w:w="2575" w:type="dxa"/>
            <w:vAlign w:val="center"/>
          </w:tcPr>
          <w:p w14:paraId="22F0BCAB">
            <w:pPr>
              <w:jc w:val="center"/>
              <w:rPr>
                <w:rFonts w:hint="eastAsia" w:ascii="宋体" w:hAnsi="宋体" w:eastAsia="宋体" w:cs="宋体"/>
                <w:color w:val="auto"/>
                <w:sz w:val="24"/>
                <w:highlight w:val="none"/>
              </w:rPr>
            </w:pPr>
          </w:p>
        </w:tc>
        <w:tc>
          <w:tcPr>
            <w:tcW w:w="810" w:type="dxa"/>
            <w:vAlign w:val="center"/>
          </w:tcPr>
          <w:p w14:paraId="0882A392">
            <w:pPr>
              <w:jc w:val="center"/>
              <w:rPr>
                <w:rFonts w:hint="eastAsia" w:ascii="宋体" w:hAnsi="宋体" w:eastAsia="宋体" w:cs="宋体"/>
                <w:color w:val="auto"/>
                <w:sz w:val="24"/>
                <w:highlight w:val="none"/>
              </w:rPr>
            </w:pPr>
          </w:p>
        </w:tc>
      </w:tr>
      <w:tr w14:paraId="33A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8F2BD3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916" w:type="dxa"/>
            <w:vAlign w:val="center"/>
          </w:tcPr>
          <w:p w14:paraId="73517C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2497" w:type="dxa"/>
            <w:vAlign w:val="center"/>
          </w:tcPr>
          <w:p w14:paraId="181BC02B">
            <w:pPr>
              <w:jc w:val="center"/>
              <w:rPr>
                <w:rFonts w:hint="eastAsia" w:ascii="宋体" w:hAnsi="宋体" w:eastAsia="宋体" w:cs="宋体"/>
                <w:color w:val="auto"/>
                <w:sz w:val="24"/>
                <w:highlight w:val="none"/>
              </w:rPr>
            </w:pPr>
          </w:p>
        </w:tc>
        <w:tc>
          <w:tcPr>
            <w:tcW w:w="2575" w:type="dxa"/>
            <w:vAlign w:val="center"/>
          </w:tcPr>
          <w:p w14:paraId="7BA7EBB0">
            <w:pPr>
              <w:pStyle w:val="32"/>
              <w:jc w:val="center"/>
              <w:rPr>
                <w:rFonts w:hint="eastAsia" w:ascii="宋体" w:hAnsi="宋体" w:cs="宋体"/>
                <w:color w:val="auto"/>
                <w:highlight w:val="none"/>
              </w:rPr>
            </w:pPr>
          </w:p>
        </w:tc>
        <w:tc>
          <w:tcPr>
            <w:tcW w:w="810" w:type="dxa"/>
            <w:vAlign w:val="center"/>
          </w:tcPr>
          <w:p w14:paraId="7409B65F">
            <w:pPr>
              <w:jc w:val="center"/>
              <w:rPr>
                <w:rFonts w:hint="eastAsia" w:ascii="宋体" w:hAnsi="宋体" w:eastAsia="宋体" w:cs="宋体"/>
                <w:color w:val="auto"/>
                <w:sz w:val="24"/>
                <w:highlight w:val="none"/>
              </w:rPr>
            </w:pPr>
          </w:p>
        </w:tc>
      </w:tr>
      <w:tr w14:paraId="271E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D4C8E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vAlign w:val="center"/>
          </w:tcPr>
          <w:p w14:paraId="4D0D233B">
            <w:pPr>
              <w:jc w:val="center"/>
              <w:rPr>
                <w:rFonts w:hint="eastAsia" w:ascii="宋体" w:hAnsi="宋体" w:eastAsia="宋体" w:cs="宋体"/>
                <w:color w:val="auto"/>
                <w:sz w:val="24"/>
                <w:highlight w:val="none"/>
              </w:rPr>
            </w:pPr>
          </w:p>
        </w:tc>
        <w:tc>
          <w:tcPr>
            <w:tcW w:w="2497" w:type="dxa"/>
            <w:vAlign w:val="center"/>
          </w:tcPr>
          <w:p w14:paraId="0C0D7337">
            <w:pPr>
              <w:jc w:val="center"/>
              <w:rPr>
                <w:rFonts w:hint="eastAsia" w:ascii="宋体" w:hAnsi="宋体" w:eastAsia="宋体" w:cs="宋体"/>
                <w:color w:val="auto"/>
                <w:sz w:val="24"/>
                <w:highlight w:val="none"/>
              </w:rPr>
            </w:pPr>
          </w:p>
        </w:tc>
        <w:tc>
          <w:tcPr>
            <w:tcW w:w="2575" w:type="dxa"/>
            <w:vAlign w:val="center"/>
          </w:tcPr>
          <w:p w14:paraId="7B09C437">
            <w:pPr>
              <w:jc w:val="center"/>
              <w:rPr>
                <w:rFonts w:hint="eastAsia" w:ascii="宋体" w:hAnsi="宋体" w:eastAsia="宋体" w:cs="宋体"/>
                <w:color w:val="auto"/>
                <w:sz w:val="24"/>
                <w:highlight w:val="none"/>
              </w:rPr>
            </w:pPr>
          </w:p>
        </w:tc>
        <w:tc>
          <w:tcPr>
            <w:tcW w:w="810" w:type="dxa"/>
            <w:vAlign w:val="center"/>
          </w:tcPr>
          <w:p w14:paraId="40B97DDF">
            <w:pPr>
              <w:jc w:val="center"/>
              <w:rPr>
                <w:rFonts w:hint="eastAsia" w:ascii="宋体" w:hAnsi="宋体" w:eastAsia="宋体" w:cs="宋体"/>
                <w:color w:val="auto"/>
                <w:sz w:val="24"/>
                <w:highlight w:val="none"/>
              </w:rPr>
            </w:pPr>
          </w:p>
        </w:tc>
      </w:tr>
    </w:tbl>
    <w:p w14:paraId="5FB84D97">
      <w:pPr>
        <w:pStyle w:val="14"/>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3C85780A">
      <w:pPr>
        <w:spacing w:line="360" w:lineRule="auto"/>
        <w:jc w:val="center"/>
        <w:outlineLvl w:val="2"/>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六、</w:t>
      </w:r>
      <w:r>
        <w:rPr>
          <w:rFonts w:hint="eastAsia" w:ascii="宋体" w:hAnsi="宋体" w:eastAsia="宋体" w:cs="宋体"/>
          <w:b/>
          <w:color w:val="auto"/>
          <w:sz w:val="24"/>
          <w:highlight w:val="none"/>
          <w:lang w:val="en-US" w:eastAsia="zh-CN"/>
        </w:rPr>
        <w:t>课程及活动服务方案</w:t>
      </w:r>
    </w:p>
    <w:p w14:paraId="675AFDD5">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28C8CB4B">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A2BB9D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w:t>
      </w:r>
      <w:r>
        <w:rPr>
          <w:rFonts w:hint="eastAsia" w:ascii="宋体" w:hAnsi="宋体" w:eastAsia="宋体" w:cs="宋体"/>
          <w:b/>
          <w:color w:val="auto"/>
          <w:sz w:val="24"/>
          <w:highlight w:val="none"/>
          <w:lang w:val="en-US" w:eastAsia="zh-CN"/>
        </w:rPr>
        <w:t>师资配备</w:t>
      </w:r>
      <w:r>
        <w:rPr>
          <w:rFonts w:hint="eastAsia" w:ascii="宋体" w:hAnsi="宋体" w:eastAsia="宋体" w:cs="宋体"/>
          <w:b/>
          <w:color w:val="auto"/>
          <w:sz w:val="24"/>
          <w:highlight w:val="none"/>
        </w:rPr>
        <w:t>方案</w:t>
      </w:r>
    </w:p>
    <w:p w14:paraId="3A852C6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7F2D23BB">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lang w:val="en-US" w:eastAsia="zh-CN"/>
        </w:rPr>
        <w:t>八</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安全保障</w:t>
      </w:r>
      <w:r>
        <w:rPr>
          <w:rFonts w:hint="eastAsia" w:ascii="宋体" w:hAnsi="宋体" w:eastAsia="宋体" w:cs="宋体"/>
          <w:b/>
          <w:color w:val="auto"/>
          <w:sz w:val="24"/>
          <w:highlight w:val="none"/>
        </w:rPr>
        <w:t>方案</w:t>
      </w:r>
    </w:p>
    <w:p w14:paraId="7D66AB85">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0FACFD7E">
      <w:pPr>
        <w:rPr>
          <w:rFonts w:hint="eastAsia" w:ascii="宋体" w:hAnsi="宋体" w:eastAsia="宋体" w:cs="宋体"/>
          <w:b/>
          <w:color w:val="auto"/>
          <w:sz w:val="24"/>
          <w:highlight w:val="none"/>
        </w:rPr>
      </w:pPr>
    </w:p>
    <w:p w14:paraId="30ADDF5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6F7B970">
      <w:pPr>
        <w:spacing w:line="360" w:lineRule="auto"/>
        <w:jc w:val="center"/>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服务经验</w:t>
      </w:r>
    </w:p>
    <w:p w14:paraId="260E2501">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5F2E67E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9097D9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w:t>
      </w:r>
      <w:r>
        <w:rPr>
          <w:rFonts w:hint="eastAsia" w:ascii="宋体" w:hAnsi="宋体" w:eastAsia="宋体" w:cs="宋体"/>
          <w:b/>
          <w:color w:val="auto"/>
          <w:sz w:val="24"/>
          <w:highlight w:val="none"/>
        </w:rPr>
        <w:t>、服务承诺</w:t>
      </w:r>
    </w:p>
    <w:p w14:paraId="5C23C68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6384C7A4">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7EBD629">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十一</w:t>
      </w:r>
      <w:r>
        <w:rPr>
          <w:rFonts w:hint="eastAsia" w:ascii="宋体" w:hAnsi="宋体" w:eastAsia="宋体" w:cs="宋体"/>
          <w:b/>
          <w:color w:val="auto"/>
          <w:sz w:val="24"/>
          <w:highlight w:val="none"/>
        </w:rPr>
        <w:t>、磋商业绩承诺函</w:t>
      </w:r>
    </w:p>
    <w:p w14:paraId="2D83DF34">
      <w:pPr>
        <w:spacing w:line="360" w:lineRule="auto"/>
        <w:ind w:firstLine="435"/>
        <w:rPr>
          <w:rFonts w:hint="eastAsia" w:ascii="宋体" w:hAnsi="宋体" w:eastAsia="宋体" w:cs="宋体"/>
          <w:color w:val="auto"/>
          <w:sz w:val="24"/>
          <w:highlight w:val="none"/>
        </w:rPr>
      </w:pPr>
    </w:p>
    <w:p w14:paraId="37168E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我单位同意中标候选人公示中公示以下业绩并承诺：响应文件中所提供的业绩均真实有效，若被发现存在任何虚假、隐瞒情况，我单位承担由此产生的一切后果。</w:t>
      </w:r>
    </w:p>
    <w:p w14:paraId="7767AE0E">
      <w:pPr>
        <w:spacing w:line="360" w:lineRule="auto"/>
        <w:ind w:firstLine="435"/>
        <w:rPr>
          <w:rFonts w:hint="eastAsia" w:ascii="宋体" w:hAnsi="宋体" w:eastAsia="宋体" w:cs="宋体"/>
          <w:color w:val="auto"/>
          <w:sz w:val="24"/>
          <w:highlight w:val="none"/>
        </w:rPr>
      </w:pPr>
    </w:p>
    <w:p w14:paraId="5F8D526F">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p>
    <w:p w14:paraId="4BA05633">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117AF41">
      <w:pPr>
        <w:tabs>
          <w:tab w:val="left" w:pos="630"/>
        </w:tabs>
        <w:spacing w:line="360" w:lineRule="auto"/>
        <w:ind w:firstLine="3700" w:firstLineChars="1762"/>
        <w:rPr>
          <w:rFonts w:hint="eastAsia" w:ascii="宋体" w:hAnsi="宋体" w:eastAsia="宋体" w:cs="宋体"/>
          <w:color w:val="auto"/>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16A6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64AB2A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06" w:type="dxa"/>
            <w:vAlign w:val="center"/>
          </w:tcPr>
          <w:p w14:paraId="158875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28" w:type="dxa"/>
            <w:vAlign w:val="center"/>
          </w:tcPr>
          <w:p w14:paraId="2F1C85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948" w:type="dxa"/>
            <w:vAlign w:val="center"/>
          </w:tcPr>
          <w:p w14:paraId="744BAF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B83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D772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06" w:type="dxa"/>
            <w:vAlign w:val="center"/>
          </w:tcPr>
          <w:p w14:paraId="114F4D73">
            <w:pPr>
              <w:spacing w:line="360" w:lineRule="auto"/>
              <w:rPr>
                <w:rFonts w:hint="eastAsia" w:ascii="宋体" w:hAnsi="宋体" w:eastAsia="宋体" w:cs="宋体"/>
                <w:color w:val="auto"/>
                <w:sz w:val="24"/>
                <w:szCs w:val="24"/>
                <w:highlight w:val="none"/>
              </w:rPr>
            </w:pPr>
          </w:p>
        </w:tc>
        <w:tc>
          <w:tcPr>
            <w:tcW w:w="2528" w:type="dxa"/>
            <w:vAlign w:val="center"/>
          </w:tcPr>
          <w:p w14:paraId="2A5ADED0">
            <w:pPr>
              <w:spacing w:line="360" w:lineRule="auto"/>
              <w:rPr>
                <w:rFonts w:hint="eastAsia" w:ascii="宋体" w:hAnsi="宋体" w:eastAsia="宋体" w:cs="宋体"/>
                <w:color w:val="auto"/>
                <w:sz w:val="24"/>
                <w:szCs w:val="24"/>
                <w:highlight w:val="none"/>
              </w:rPr>
            </w:pPr>
          </w:p>
        </w:tc>
        <w:tc>
          <w:tcPr>
            <w:tcW w:w="948" w:type="dxa"/>
            <w:vAlign w:val="center"/>
          </w:tcPr>
          <w:p w14:paraId="7B22A794">
            <w:pPr>
              <w:spacing w:line="360" w:lineRule="auto"/>
              <w:rPr>
                <w:rFonts w:hint="eastAsia" w:ascii="宋体" w:hAnsi="宋体" w:eastAsia="宋体" w:cs="宋体"/>
                <w:color w:val="auto"/>
                <w:sz w:val="24"/>
                <w:szCs w:val="24"/>
                <w:highlight w:val="none"/>
              </w:rPr>
            </w:pPr>
          </w:p>
        </w:tc>
      </w:tr>
      <w:tr w14:paraId="02C7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96A13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06" w:type="dxa"/>
            <w:vAlign w:val="center"/>
          </w:tcPr>
          <w:p w14:paraId="4576F237">
            <w:pPr>
              <w:spacing w:line="360" w:lineRule="auto"/>
              <w:rPr>
                <w:rFonts w:hint="eastAsia" w:ascii="宋体" w:hAnsi="宋体" w:eastAsia="宋体" w:cs="宋体"/>
                <w:color w:val="auto"/>
                <w:sz w:val="24"/>
                <w:szCs w:val="24"/>
                <w:highlight w:val="none"/>
              </w:rPr>
            </w:pPr>
          </w:p>
        </w:tc>
        <w:tc>
          <w:tcPr>
            <w:tcW w:w="2528" w:type="dxa"/>
            <w:vAlign w:val="center"/>
          </w:tcPr>
          <w:p w14:paraId="7F3710BA">
            <w:pPr>
              <w:spacing w:line="360" w:lineRule="auto"/>
              <w:rPr>
                <w:rFonts w:hint="eastAsia" w:ascii="宋体" w:hAnsi="宋体" w:eastAsia="宋体" w:cs="宋体"/>
                <w:color w:val="auto"/>
                <w:sz w:val="24"/>
                <w:szCs w:val="24"/>
                <w:highlight w:val="none"/>
              </w:rPr>
            </w:pPr>
          </w:p>
        </w:tc>
        <w:tc>
          <w:tcPr>
            <w:tcW w:w="948" w:type="dxa"/>
            <w:vAlign w:val="center"/>
          </w:tcPr>
          <w:p w14:paraId="7E89AD39">
            <w:pPr>
              <w:spacing w:line="360" w:lineRule="auto"/>
              <w:rPr>
                <w:rFonts w:hint="eastAsia" w:ascii="宋体" w:hAnsi="宋体" w:eastAsia="宋体" w:cs="宋体"/>
                <w:color w:val="auto"/>
                <w:sz w:val="24"/>
                <w:szCs w:val="24"/>
                <w:highlight w:val="none"/>
              </w:rPr>
            </w:pPr>
          </w:p>
        </w:tc>
      </w:tr>
      <w:tr w14:paraId="34AA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4178D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06" w:type="dxa"/>
            <w:vAlign w:val="center"/>
          </w:tcPr>
          <w:p w14:paraId="0688FD57">
            <w:pPr>
              <w:spacing w:line="360" w:lineRule="auto"/>
              <w:rPr>
                <w:rFonts w:hint="eastAsia" w:ascii="宋体" w:hAnsi="宋体" w:eastAsia="宋体" w:cs="宋体"/>
                <w:color w:val="auto"/>
                <w:sz w:val="24"/>
                <w:szCs w:val="24"/>
                <w:highlight w:val="none"/>
              </w:rPr>
            </w:pPr>
          </w:p>
        </w:tc>
        <w:tc>
          <w:tcPr>
            <w:tcW w:w="2528" w:type="dxa"/>
            <w:vAlign w:val="center"/>
          </w:tcPr>
          <w:p w14:paraId="506BAFE5">
            <w:pPr>
              <w:spacing w:line="360" w:lineRule="auto"/>
              <w:rPr>
                <w:rFonts w:hint="eastAsia" w:ascii="宋体" w:hAnsi="宋体" w:eastAsia="宋体" w:cs="宋体"/>
                <w:color w:val="auto"/>
                <w:sz w:val="24"/>
                <w:szCs w:val="24"/>
                <w:highlight w:val="none"/>
              </w:rPr>
            </w:pPr>
          </w:p>
        </w:tc>
        <w:tc>
          <w:tcPr>
            <w:tcW w:w="948" w:type="dxa"/>
            <w:vAlign w:val="center"/>
          </w:tcPr>
          <w:p w14:paraId="4E47D45C">
            <w:pPr>
              <w:spacing w:line="360" w:lineRule="auto"/>
              <w:rPr>
                <w:rFonts w:hint="eastAsia" w:ascii="宋体" w:hAnsi="宋体" w:eastAsia="宋体" w:cs="宋体"/>
                <w:color w:val="auto"/>
                <w:sz w:val="24"/>
                <w:szCs w:val="24"/>
                <w:highlight w:val="none"/>
              </w:rPr>
            </w:pPr>
          </w:p>
        </w:tc>
      </w:tr>
      <w:tr w14:paraId="7B8A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63EC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06" w:type="dxa"/>
            <w:vAlign w:val="center"/>
          </w:tcPr>
          <w:p w14:paraId="41778E2E">
            <w:pPr>
              <w:spacing w:line="360" w:lineRule="auto"/>
              <w:rPr>
                <w:rFonts w:hint="eastAsia" w:ascii="宋体" w:hAnsi="宋体" w:eastAsia="宋体" w:cs="宋体"/>
                <w:color w:val="auto"/>
                <w:sz w:val="24"/>
                <w:szCs w:val="24"/>
                <w:highlight w:val="none"/>
              </w:rPr>
            </w:pPr>
          </w:p>
        </w:tc>
        <w:tc>
          <w:tcPr>
            <w:tcW w:w="2528" w:type="dxa"/>
            <w:vAlign w:val="center"/>
          </w:tcPr>
          <w:p w14:paraId="22965F31">
            <w:pPr>
              <w:spacing w:line="360" w:lineRule="auto"/>
              <w:rPr>
                <w:rFonts w:hint="eastAsia" w:ascii="宋体" w:hAnsi="宋体" w:eastAsia="宋体" w:cs="宋体"/>
                <w:color w:val="auto"/>
                <w:sz w:val="24"/>
                <w:szCs w:val="24"/>
                <w:highlight w:val="none"/>
              </w:rPr>
            </w:pPr>
          </w:p>
        </w:tc>
        <w:tc>
          <w:tcPr>
            <w:tcW w:w="948" w:type="dxa"/>
            <w:vAlign w:val="center"/>
          </w:tcPr>
          <w:p w14:paraId="7DCEA487">
            <w:pPr>
              <w:spacing w:line="360" w:lineRule="auto"/>
              <w:rPr>
                <w:rFonts w:hint="eastAsia" w:ascii="宋体" w:hAnsi="宋体" w:eastAsia="宋体" w:cs="宋体"/>
                <w:color w:val="auto"/>
                <w:sz w:val="24"/>
                <w:szCs w:val="24"/>
                <w:highlight w:val="none"/>
              </w:rPr>
            </w:pPr>
          </w:p>
        </w:tc>
      </w:tr>
      <w:tr w14:paraId="1C7B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5B687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06" w:type="dxa"/>
            <w:vAlign w:val="center"/>
          </w:tcPr>
          <w:p w14:paraId="166E6728">
            <w:pPr>
              <w:spacing w:line="360" w:lineRule="auto"/>
              <w:rPr>
                <w:rFonts w:hint="eastAsia" w:ascii="宋体" w:hAnsi="宋体" w:eastAsia="宋体" w:cs="宋体"/>
                <w:color w:val="auto"/>
                <w:sz w:val="24"/>
                <w:szCs w:val="24"/>
                <w:highlight w:val="none"/>
              </w:rPr>
            </w:pPr>
          </w:p>
        </w:tc>
        <w:tc>
          <w:tcPr>
            <w:tcW w:w="2528" w:type="dxa"/>
            <w:vAlign w:val="center"/>
          </w:tcPr>
          <w:p w14:paraId="24782E05">
            <w:pPr>
              <w:spacing w:line="360" w:lineRule="auto"/>
              <w:rPr>
                <w:rFonts w:hint="eastAsia" w:ascii="宋体" w:hAnsi="宋体" w:eastAsia="宋体" w:cs="宋体"/>
                <w:color w:val="auto"/>
                <w:sz w:val="24"/>
                <w:szCs w:val="24"/>
                <w:highlight w:val="none"/>
              </w:rPr>
            </w:pPr>
          </w:p>
        </w:tc>
        <w:tc>
          <w:tcPr>
            <w:tcW w:w="948" w:type="dxa"/>
            <w:vAlign w:val="center"/>
          </w:tcPr>
          <w:p w14:paraId="318A2A0B">
            <w:pPr>
              <w:spacing w:line="360" w:lineRule="auto"/>
              <w:rPr>
                <w:rFonts w:hint="eastAsia" w:ascii="宋体" w:hAnsi="宋体" w:eastAsia="宋体" w:cs="宋体"/>
                <w:color w:val="auto"/>
                <w:sz w:val="24"/>
                <w:szCs w:val="24"/>
                <w:highlight w:val="none"/>
              </w:rPr>
            </w:pPr>
          </w:p>
        </w:tc>
      </w:tr>
      <w:tr w14:paraId="4AA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0807A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106" w:type="dxa"/>
            <w:vAlign w:val="center"/>
          </w:tcPr>
          <w:p w14:paraId="6BEEC417">
            <w:pPr>
              <w:spacing w:line="360" w:lineRule="auto"/>
              <w:rPr>
                <w:rFonts w:hint="eastAsia" w:ascii="宋体" w:hAnsi="宋体" w:eastAsia="宋体" w:cs="宋体"/>
                <w:color w:val="auto"/>
                <w:sz w:val="24"/>
                <w:szCs w:val="24"/>
                <w:highlight w:val="none"/>
              </w:rPr>
            </w:pPr>
          </w:p>
        </w:tc>
        <w:tc>
          <w:tcPr>
            <w:tcW w:w="2528" w:type="dxa"/>
            <w:vAlign w:val="center"/>
          </w:tcPr>
          <w:p w14:paraId="41E59B9E">
            <w:pPr>
              <w:spacing w:line="360" w:lineRule="auto"/>
              <w:rPr>
                <w:rFonts w:hint="eastAsia" w:ascii="宋体" w:hAnsi="宋体" w:eastAsia="宋体" w:cs="宋体"/>
                <w:color w:val="auto"/>
                <w:sz w:val="24"/>
                <w:szCs w:val="24"/>
                <w:highlight w:val="none"/>
              </w:rPr>
            </w:pPr>
          </w:p>
        </w:tc>
        <w:tc>
          <w:tcPr>
            <w:tcW w:w="948" w:type="dxa"/>
            <w:vAlign w:val="center"/>
          </w:tcPr>
          <w:p w14:paraId="208FE094">
            <w:pPr>
              <w:spacing w:line="360" w:lineRule="auto"/>
              <w:rPr>
                <w:rFonts w:hint="eastAsia" w:ascii="宋体" w:hAnsi="宋体" w:eastAsia="宋体" w:cs="宋体"/>
                <w:color w:val="auto"/>
                <w:sz w:val="24"/>
                <w:szCs w:val="24"/>
                <w:highlight w:val="none"/>
              </w:rPr>
            </w:pPr>
          </w:p>
        </w:tc>
      </w:tr>
    </w:tbl>
    <w:p w14:paraId="1266E0AF">
      <w:pPr>
        <w:adjustRightInd w:val="0"/>
        <w:snapToGrid w:val="0"/>
        <w:spacing w:line="360" w:lineRule="auto"/>
        <w:rPr>
          <w:rFonts w:hint="eastAsia" w:ascii="宋体" w:hAnsi="宋体" w:eastAsia="宋体" w:cs="宋体"/>
          <w:b/>
          <w:bCs/>
          <w:color w:val="auto"/>
          <w:sz w:val="24"/>
          <w:szCs w:val="28"/>
          <w:highlight w:val="none"/>
        </w:rPr>
      </w:pPr>
    </w:p>
    <w:p w14:paraId="0FC64EC7">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备注：</w:t>
      </w:r>
    </w:p>
    <w:p w14:paraId="45C8DA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1.表中所列业绩应为投标人满足磋商文件要求的业绩；</w:t>
      </w:r>
    </w:p>
    <w:p w14:paraId="457028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2.中标候选人提供的以上业绩情况，如磋商文件《投标人须知前附表》有约定的，将按约定随中标候选人公示同时公告。</w:t>
      </w:r>
    </w:p>
    <w:p w14:paraId="70863D12">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8E1CE67">
      <w:pPr>
        <w:spacing w:line="360" w:lineRule="auto"/>
        <w:ind w:right="480" w:firstLine="4680" w:firstLineChars="1950"/>
        <w:rPr>
          <w:rFonts w:hint="eastAsia" w:ascii="宋体" w:hAnsi="宋体" w:eastAsia="宋体" w:cs="宋体"/>
          <w:color w:val="auto"/>
          <w:sz w:val="24"/>
          <w:highlight w:val="none"/>
        </w:rPr>
      </w:pPr>
    </w:p>
    <w:p w14:paraId="39B830CA">
      <w:pPr>
        <w:spacing w:line="360" w:lineRule="auto"/>
        <w:ind w:right="480" w:firstLine="5460" w:firstLineChars="1950"/>
        <w:rPr>
          <w:rFonts w:hint="eastAsia" w:ascii="宋体" w:hAnsi="宋体" w:eastAsia="宋体" w:cs="宋体"/>
          <w:color w:val="auto"/>
          <w:sz w:val="28"/>
          <w:highlight w:val="none"/>
        </w:rPr>
      </w:pPr>
    </w:p>
    <w:p w14:paraId="22329E43">
      <w:pPr>
        <w:widowControl/>
        <w:jc w:val="left"/>
        <w:rPr>
          <w:rFonts w:hint="eastAsia" w:ascii="宋体" w:hAnsi="宋体" w:eastAsia="宋体" w:cs="宋体"/>
          <w:b/>
          <w:bCs/>
          <w:color w:val="auto"/>
          <w:sz w:val="24"/>
          <w:szCs w:val="24"/>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66D58D6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、其他相关证明材料</w:t>
      </w:r>
    </w:p>
    <w:p w14:paraId="299EC71F">
      <w:pPr>
        <w:tabs>
          <w:tab w:val="left" w:pos="4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提供符合磋商邀请（磋商公告）、招标需求及评审方法和标准规定的相关证明文件。</w:t>
      </w:r>
    </w:p>
    <w:p w14:paraId="4B49A66F">
      <w:pPr>
        <w:spacing w:line="360" w:lineRule="auto"/>
        <w:ind w:firstLine="435"/>
        <w:rPr>
          <w:rFonts w:hint="eastAsia" w:ascii="宋体" w:hAnsi="宋体" w:eastAsia="宋体" w:cs="宋体"/>
          <w:color w:val="auto"/>
          <w:sz w:val="24"/>
          <w:highlight w:val="none"/>
        </w:rPr>
      </w:pPr>
    </w:p>
    <w:p w14:paraId="6382D6AD">
      <w:pPr>
        <w:spacing w:line="360" w:lineRule="auto"/>
        <w:ind w:firstLine="480" w:firstLineChars="200"/>
        <w:rPr>
          <w:rFonts w:hint="eastAsia" w:ascii="宋体" w:hAnsi="宋体" w:eastAsia="宋体" w:cs="宋体"/>
          <w:color w:val="auto"/>
          <w:sz w:val="24"/>
          <w:highlight w:val="none"/>
        </w:rPr>
      </w:pPr>
    </w:p>
    <w:p w14:paraId="2D72895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E0B5D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投标人在响应文件制作时可在此栏内上传磋商文件要求上传的证明资料，如营业执照、税务登记证、人员证书、资质证书、荣誉奖项等，应将上述证明材料制作成扫描件上传。</w:t>
      </w:r>
    </w:p>
    <w:p w14:paraId="35125049">
      <w:pPr>
        <w:spacing w:line="360" w:lineRule="auto"/>
        <w:jc w:val="center"/>
        <w:rPr>
          <w:rFonts w:hint="eastAsia" w:ascii="宋体" w:hAnsi="宋体" w:eastAsia="宋体" w:cs="宋体"/>
          <w:b/>
          <w:color w:val="auto"/>
          <w:sz w:val="24"/>
          <w:highlight w:val="none"/>
        </w:rPr>
      </w:pPr>
    </w:p>
    <w:p w14:paraId="1A9EBF9D">
      <w:pPr>
        <w:spacing w:line="360" w:lineRule="auto"/>
        <w:rPr>
          <w:rFonts w:hint="eastAsia" w:ascii="宋体" w:hAnsi="宋体" w:eastAsia="宋体" w:cs="宋体"/>
          <w:bCs/>
          <w:color w:val="auto"/>
          <w:sz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简标宋">
    <w:altName w:val="方正书宋_GBK"/>
    <w:panose1 w:val="00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imesNewRomanPSMT">
    <w:altName w:val="Times New Roman"/>
    <w:panose1 w:val="00000000000000000000"/>
    <w:charset w:val="00"/>
    <w:family w:val="auto"/>
    <w:pitch w:val="default"/>
    <w:sig w:usb0="00000000" w:usb1="00000000" w:usb2="00000000" w:usb3="00000000" w:csb0="00040001" w:csb1="00000000"/>
  </w:font>
  <w:font w:name="Sylfaen">
    <w:altName w:val="阳光吾坚体"/>
    <w:panose1 w:val="010A0502050306030303"/>
    <w:charset w:val="00"/>
    <w:family w:val="roman"/>
    <w:pitch w:val="default"/>
    <w:sig w:usb0="00000000" w:usb1="00000000" w:usb2="00000000" w:usb3="00000000" w:csb0="2000009F" w:csb1="00000000"/>
  </w:font>
  <w:font w:name="阳光吾坚体">
    <w:panose1 w:val="01010100010101010101"/>
    <w:charset w:val="00"/>
    <w:family w:val="auto"/>
    <w:pitch w:val="default"/>
    <w:sig w:usb0="80000003" w:usb1="00010000" w:usb2="00000040" w:usb3="00000000" w:csb0="00000001" w:csb1="00000000"/>
  </w:font>
  <w:font w:name="MingLiU">
    <w:altName w:val="方正书宋_GBK"/>
    <w:panose1 w:val="02010609000101010101"/>
    <w:charset w:val="88"/>
    <w:family w:val="modern"/>
    <w:pitch w:val="default"/>
    <w:sig w:usb0="00000000" w:usb1="00000000" w:usb2="00000016" w:usb3="00000000" w:csb0="00100001" w:csb1="00000000"/>
  </w:font>
  <w:font w:name="DotumChe">
    <w:altName w:val="方正书宋_GBK"/>
    <w:panose1 w:val="00000000000000000000"/>
    <w:charset w:val="81"/>
    <w:family w:val="modern"/>
    <w:pitch w:val="default"/>
    <w:sig w:usb0="00000000" w:usb1="00000000" w:usb2="00000030" w:usb3="00000000" w:csb0="0008009F" w:csb1="00000000"/>
  </w:font>
  <w:font w:name="仿宋">
    <w:altName w:val="方正仿宋_GBK"/>
    <w:panose1 w:val="02010609060101010101"/>
    <w:charset w:val="86"/>
    <w:family w:val="modern"/>
    <w:pitch w:val="default"/>
    <w:sig w:usb0="00000000" w:usb1="00000000" w:usb2="00000016" w:usb3="00000000" w:csb0="00040001" w:csb1="00000000"/>
  </w:font>
  <w:font w:name="Wingdings 2">
    <w:altName w:val="MathJax_Vector"/>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1A1E0">
    <w:pPr>
      <w:pStyle w:val="16"/>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C763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1EC763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3F7C">
    <w:pPr>
      <w:pStyle w:val="16"/>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3DC361">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E3DC361">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7026">
    <w:pPr>
      <w:keepNext w:val="0"/>
      <w:keepLines w:val="0"/>
      <w:pageBreakBefore w:val="0"/>
      <w:widowControl w:val="0"/>
      <w:tabs>
        <w:tab w:val="center" w:pos="4153"/>
        <w:tab w:val="right" w:pos="8306"/>
      </w:tabs>
      <w:kinsoku/>
      <w:wordWrap/>
      <w:overflowPunct/>
      <w:topLinePunct w:val="0"/>
      <w:bidi w:val="0"/>
      <w:adjustRightInd/>
      <w:snapToGrid w:val="0"/>
      <w:textAlignment w:val="auto"/>
      <w:rPr>
        <w:rFonts w:ascii="Calibri" w:hAnsi="Calibri"/>
        <w:sz w:val="18"/>
        <w:szCs w:val="18"/>
      </w:rPr>
    </w:pPr>
  </w:p>
  <w:p w14:paraId="47E6BA1D">
    <w:pPr>
      <w:jc w:val="left"/>
      <w:rPr>
        <w:rFonts w:ascii="Calibri" w:hAnsi="Calibri"/>
        <w:kern w:val="0"/>
        <w:sz w:val="22"/>
        <w:szCs w:val="22"/>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posOffset>2352675</wp:posOffset>
              </wp:positionH>
              <wp:positionV relativeFrom="paragraph">
                <wp:posOffset>33655</wp:posOffset>
              </wp:positionV>
              <wp:extent cx="1008380" cy="1473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08380" cy="147320"/>
                      </a:xfrm>
                      <a:prstGeom prst="rect">
                        <a:avLst/>
                      </a:prstGeom>
                      <a:noFill/>
                      <a:ln w="6350">
                        <a:noFill/>
                      </a:ln>
                      <a:effectLst/>
                    </wps:spPr>
                    <wps:txbx>
                      <w:txbxContent>
                        <w:p w14:paraId="15806702">
                          <w:pPr>
                            <w:pStyle w:val="16"/>
                            <w:spacing w:line="240" w:lineRule="auto"/>
                            <w:jc w:val="both"/>
                            <w:rPr>
                              <w:rFonts w:hint="default" w:ascii="宋体" w:hAnsi="宋体" w:eastAsia="宋体" w:cs="宋体"/>
                              <w:lang w:val="en-US"/>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lang w:val="en-US"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5.25pt;margin-top:2.65pt;height:11.6pt;width:79.4pt;mso-position-horizontal-relative:margin;z-index:251660288;mso-width-relative:page;mso-height-relative:page;" filled="f" stroked="f" coordsize="21600,21600" o:gfxdata="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vfMUrYAAAACAEAAA8AAAAAAAAAAQAgAAAAIgAAAGRy&#10;cy9kb3ducmV2LnhtbFBLAQIUABQAAAAIAIdO4kD2KG6OPgIAAHAEAAAOAAAAAAAAAAEAIAAAACcB&#10;AABkcnMvZTJvRG9jLnhtbFBLBQYAAAAABgAGAFkBAADXBQAAAAA=&#10;">
              <v:fill on="f" focussize="0,0"/>
              <v:stroke on="f" weight="0.5pt"/>
              <v:imagedata o:title=""/>
              <o:lock v:ext="edit" aspectratio="f"/>
              <v:textbox inset="0mm,0mm,0mm,0mm">
                <w:txbxContent>
                  <w:p w14:paraId="15806702">
                    <w:pPr>
                      <w:pStyle w:val="16"/>
                      <w:spacing w:line="240" w:lineRule="auto"/>
                      <w:jc w:val="both"/>
                      <w:rPr>
                        <w:rFonts w:hint="default" w:ascii="宋体" w:hAnsi="宋体" w:eastAsia="宋体" w:cs="宋体"/>
                        <w:lang w:val="en-US"/>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lang w:val="en-US"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3E14">
    <w:pPr>
      <w:pStyle w:val="16"/>
      <w:jc w:val="center"/>
      <w:rPr>
        <w:rFonts w:hint="eastAsia" w:ascii="宋体" w:hAnsi="宋体" w:eastAsia="宋体"/>
        <w:sz w:val="21"/>
        <w:szCs w:val="21"/>
      </w:rPr>
    </w:pPr>
    <w:r>
      <w:rPr>
        <w:rFonts w:hint="eastAsia"/>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A034F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2A034F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D301">
    <w:pPr>
      <w:pStyle w:val="17"/>
      <w:jc w:val="both"/>
      <w:rPr>
        <w:rFonts w:hint="eastAsia"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9C1B">
    <w:pPr>
      <w:pStyle w:val="17"/>
      <w:jc w:val="both"/>
      <w:rPr>
        <w:rFonts w:hint="eastAsia"/>
      </w:rPr>
    </w:pPr>
    <w:r>
      <w:rPr>
        <w:rFonts w:hint="eastAsia" w:ascii="宋体" w:hAnsi="宋体" w:eastAsia="宋体"/>
      </w:rPr>
      <w:t>包河交易公司货物和服务范本</w:t>
    </w:r>
    <w:r>
      <w:rPr>
        <w:rFonts w:ascii="宋体" w:hAnsi="宋体" w:eastAsia="宋体"/>
      </w:rPr>
      <w:t>-竞争性</w:t>
    </w:r>
    <w:r>
      <w:rPr>
        <w:rFonts w:hint="eastAsia" w:ascii="宋体" w:hAnsi="宋体" w:eastAsia="宋体"/>
      </w:rPr>
      <w:t>磋商</w:t>
    </w:r>
    <w:r>
      <w:rPr>
        <w:rFonts w:ascii="宋体" w:hAnsi="宋体" w:eastAsia="宋体"/>
      </w:rPr>
      <w:t>文件（</w:t>
    </w:r>
    <w:r>
      <w:rPr>
        <w:rFonts w:hint="eastAsia" w:ascii="宋体" w:hAnsi="宋体" w:eastAsia="宋体"/>
      </w:rPr>
      <w:t>服务</w:t>
    </w:r>
    <w:r>
      <w:rPr>
        <w:rFonts w:ascii="宋体" w:hAnsi="宋体" w:eastAsia="宋体"/>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939D0"/>
    <w:multiLevelType w:val="singleLevel"/>
    <w:tmpl w:val="C6D939D0"/>
    <w:lvl w:ilvl="0" w:tentative="0">
      <w:start w:val="2"/>
      <w:numFmt w:val="chineseCounting"/>
      <w:suff w:val="nothing"/>
      <w:lvlText w:val="%1、"/>
      <w:lvlJc w:val="left"/>
      <w:rPr>
        <w:rFonts w:hint="eastAsia"/>
      </w:rPr>
    </w:lvl>
  </w:abstractNum>
  <w:abstractNum w:abstractNumId="1">
    <w:nsid w:val="E70769B1"/>
    <w:multiLevelType w:val="singleLevel"/>
    <w:tmpl w:val="E70769B1"/>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2">
    <w:nsid w:val="621A2861"/>
    <w:multiLevelType w:val="singleLevel"/>
    <w:tmpl w:val="621A2861"/>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WVhYWQ4ZGY4YzE5NjE0YjY5MDU3NTgyMDhmOWQifQ=="/>
    <w:docVar w:name="KSO_WPS_MARK_KEY" w:val="d25e825c-24a9-418a-9f6b-1060ba31a447"/>
  </w:docVars>
  <w:rsids>
    <w:rsidRoot w:val="007478F7"/>
    <w:rsid w:val="0000197E"/>
    <w:rsid w:val="00012DA2"/>
    <w:rsid w:val="00017261"/>
    <w:rsid w:val="00017A49"/>
    <w:rsid w:val="0002619C"/>
    <w:rsid w:val="00034526"/>
    <w:rsid w:val="00040076"/>
    <w:rsid w:val="00052F7F"/>
    <w:rsid w:val="00082C3F"/>
    <w:rsid w:val="00083443"/>
    <w:rsid w:val="000851E9"/>
    <w:rsid w:val="0009045A"/>
    <w:rsid w:val="000E3D6E"/>
    <w:rsid w:val="0010229B"/>
    <w:rsid w:val="00132F6E"/>
    <w:rsid w:val="001430C7"/>
    <w:rsid w:val="00144D2E"/>
    <w:rsid w:val="00151647"/>
    <w:rsid w:val="00152D99"/>
    <w:rsid w:val="00176190"/>
    <w:rsid w:val="001B7333"/>
    <w:rsid w:val="001C2BE9"/>
    <w:rsid w:val="001C773F"/>
    <w:rsid w:val="001D3F65"/>
    <w:rsid w:val="001E0211"/>
    <w:rsid w:val="001E1DE1"/>
    <w:rsid w:val="001E3758"/>
    <w:rsid w:val="001F2657"/>
    <w:rsid w:val="001F4E2A"/>
    <w:rsid w:val="00223762"/>
    <w:rsid w:val="0023318E"/>
    <w:rsid w:val="00255ACA"/>
    <w:rsid w:val="0025670F"/>
    <w:rsid w:val="002661C2"/>
    <w:rsid w:val="002743D8"/>
    <w:rsid w:val="002853F0"/>
    <w:rsid w:val="00287235"/>
    <w:rsid w:val="002947ED"/>
    <w:rsid w:val="002A5893"/>
    <w:rsid w:val="002C70D6"/>
    <w:rsid w:val="002F1E76"/>
    <w:rsid w:val="002F4567"/>
    <w:rsid w:val="00315B4D"/>
    <w:rsid w:val="003177BD"/>
    <w:rsid w:val="0032609E"/>
    <w:rsid w:val="00332C95"/>
    <w:rsid w:val="00335549"/>
    <w:rsid w:val="003436EB"/>
    <w:rsid w:val="00353735"/>
    <w:rsid w:val="0035415C"/>
    <w:rsid w:val="00354A28"/>
    <w:rsid w:val="003933D0"/>
    <w:rsid w:val="003958B5"/>
    <w:rsid w:val="003A7ABA"/>
    <w:rsid w:val="003B7832"/>
    <w:rsid w:val="003C4E32"/>
    <w:rsid w:val="003D4ECB"/>
    <w:rsid w:val="003D690F"/>
    <w:rsid w:val="003F0A55"/>
    <w:rsid w:val="003F3A02"/>
    <w:rsid w:val="0041449E"/>
    <w:rsid w:val="00422E3D"/>
    <w:rsid w:val="00424905"/>
    <w:rsid w:val="00435CBE"/>
    <w:rsid w:val="00457101"/>
    <w:rsid w:val="00482989"/>
    <w:rsid w:val="00486675"/>
    <w:rsid w:val="00497149"/>
    <w:rsid w:val="004A3C17"/>
    <w:rsid w:val="004B559B"/>
    <w:rsid w:val="004C3021"/>
    <w:rsid w:val="004D1813"/>
    <w:rsid w:val="00504FD9"/>
    <w:rsid w:val="00523CAF"/>
    <w:rsid w:val="0052673B"/>
    <w:rsid w:val="005327F1"/>
    <w:rsid w:val="0053646C"/>
    <w:rsid w:val="0054461B"/>
    <w:rsid w:val="00564DC6"/>
    <w:rsid w:val="00565841"/>
    <w:rsid w:val="00595F71"/>
    <w:rsid w:val="005B1406"/>
    <w:rsid w:val="005D6A4E"/>
    <w:rsid w:val="005F2FF9"/>
    <w:rsid w:val="00602AD4"/>
    <w:rsid w:val="00630326"/>
    <w:rsid w:val="00654777"/>
    <w:rsid w:val="0067562F"/>
    <w:rsid w:val="00677CD4"/>
    <w:rsid w:val="00686E44"/>
    <w:rsid w:val="006942A4"/>
    <w:rsid w:val="006A61A1"/>
    <w:rsid w:val="006A71C3"/>
    <w:rsid w:val="006B0994"/>
    <w:rsid w:val="006D478B"/>
    <w:rsid w:val="006E35CF"/>
    <w:rsid w:val="006E3B3C"/>
    <w:rsid w:val="006F46FC"/>
    <w:rsid w:val="006F64F1"/>
    <w:rsid w:val="00700F2C"/>
    <w:rsid w:val="007148C9"/>
    <w:rsid w:val="00726ADD"/>
    <w:rsid w:val="00731FCC"/>
    <w:rsid w:val="00732DD5"/>
    <w:rsid w:val="00744ED8"/>
    <w:rsid w:val="007478F7"/>
    <w:rsid w:val="00763ABA"/>
    <w:rsid w:val="00773A28"/>
    <w:rsid w:val="00787C41"/>
    <w:rsid w:val="007B16A6"/>
    <w:rsid w:val="007B382E"/>
    <w:rsid w:val="007F0B4C"/>
    <w:rsid w:val="008078BD"/>
    <w:rsid w:val="00810853"/>
    <w:rsid w:val="008118F8"/>
    <w:rsid w:val="00814F29"/>
    <w:rsid w:val="008328E0"/>
    <w:rsid w:val="008364C4"/>
    <w:rsid w:val="0084474C"/>
    <w:rsid w:val="00850A67"/>
    <w:rsid w:val="0086728E"/>
    <w:rsid w:val="00867936"/>
    <w:rsid w:val="008A2A4E"/>
    <w:rsid w:val="008B024B"/>
    <w:rsid w:val="008D44C9"/>
    <w:rsid w:val="008F089C"/>
    <w:rsid w:val="008F185B"/>
    <w:rsid w:val="00913014"/>
    <w:rsid w:val="009310D3"/>
    <w:rsid w:val="00932828"/>
    <w:rsid w:val="00945461"/>
    <w:rsid w:val="0095683F"/>
    <w:rsid w:val="00972764"/>
    <w:rsid w:val="00997D0C"/>
    <w:rsid w:val="009B1D89"/>
    <w:rsid w:val="009C70F5"/>
    <w:rsid w:val="009D6484"/>
    <w:rsid w:val="009E7029"/>
    <w:rsid w:val="00A04660"/>
    <w:rsid w:val="00A05EDD"/>
    <w:rsid w:val="00A1625E"/>
    <w:rsid w:val="00A30BC7"/>
    <w:rsid w:val="00A37DD4"/>
    <w:rsid w:val="00A42D90"/>
    <w:rsid w:val="00A65AFC"/>
    <w:rsid w:val="00A74ED0"/>
    <w:rsid w:val="00A77198"/>
    <w:rsid w:val="00A8581B"/>
    <w:rsid w:val="00A85E99"/>
    <w:rsid w:val="00AB2011"/>
    <w:rsid w:val="00AC192C"/>
    <w:rsid w:val="00B129AF"/>
    <w:rsid w:val="00B236B5"/>
    <w:rsid w:val="00B422B6"/>
    <w:rsid w:val="00B47FBF"/>
    <w:rsid w:val="00B57D4A"/>
    <w:rsid w:val="00B826ED"/>
    <w:rsid w:val="00BA1ADF"/>
    <w:rsid w:val="00BA2C37"/>
    <w:rsid w:val="00BB3634"/>
    <w:rsid w:val="00BC2D61"/>
    <w:rsid w:val="00BF578B"/>
    <w:rsid w:val="00C0433B"/>
    <w:rsid w:val="00C138C7"/>
    <w:rsid w:val="00C21AEE"/>
    <w:rsid w:val="00C346E9"/>
    <w:rsid w:val="00C37FCC"/>
    <w:rsid w:val="00C42C25"/>
    <w:rsid w:val="00C45F7C"/>
    <w:rsid w:val="00C51EBE"/>
    <w:rsid w:val="00C52C8B"/>
    <w:rsid w:val="00C703D7"/>
    <w:rsid w:val="00C76DA3"/>
    <w:rsid w:val="00C77C79"/>
    <w:rsid w:val="00C97CEC"/>
    <w:rsid w:val="00CB00E2"/>
    <w:rsid w:val="00CE0719"/>
    <w:rsid w:val="00D02275"/>
    <w:rsid w:val="00D10A49"/>
    <w:rsid w:val="00D11594"/>
    <w:rsid w:val="00D11EF6"/>
    <w:rsid w:val="00D268E9"/>
    <w:rsid w:val="00D36471"/>
    <w:rsid w:val="00D53149"/>
    <w:rsid w:val="00D54C5C"/>
    <w:rsid w:val="00D631AE"/>
    <w:rsid w:val="00D80436"/>
    <w:rsid w:val="00D87A8E"/>
    <w:rsid w:val="00D95A0B"/>
    <w:rsid w:val="00DB2E0B"/>
    <w:rsid w:val="00DB60B2"/>
    <w:rsid w:val="00DC1906"/>
    <w:rsid w:val="00DD0E8A"/>
    <w:rsid w:val="00DE1572"/>
    <w:rsid w:val="00DE2987"/>
    <w:rsid w:val="00E20B78"/>
    <w:rsid w:val="00E36058"/>
    <w:rsid w:val="00E42941"/>
    <w:rsid w:val="00E55F1D"/>
    <w:rsid w:val="00E56C38"/>
    <w:rsid w:val="00E60108"/>
    <w:rsid w:val="00E76433"/>
    <w:rsid w:val="00E84F66"/>
    <w:rsid w:val="00EA22C8"/>
    <w:rsid w:val="00EA6C9E"/>
    <w:rsid w:val="00EC137C"/>
    <w:rsid w:val="00ED40C7"/>
    <w:rsid w:val="00EF0BD6"/>
    <w:rsid w:val="00EF1C8B"/>
    <w:rsid w:val="00F04CCA"/>
    <w:rsid w:val="00F16D42"/>
    <w:rsid w:val="00F212FE"/>
    <w:rsid w:val="00F23A55"/>
    <w:rsid w:val="00F2460F"/>
    <w:rsid w:val="00F248B3"/>
    <w:rsid w:val="00F25E01"/>
    <w:rsid w:val="00F542C8"/>
    <w:rsid w:val="00F62024"/>
    <w:rsid w:val="00F83A76"/>
    <w:rsid w:val="00F87482"/>
    <w:rsid w:val="00F938B7"/>
    <w:rsid w:val="00FA1A5B"/>
    <w:rsid w:val="00FB0891"/>
    <w:rsid w:val="00FB4428"/>
    <w:rsid w:val="00FC751A"/>
    <w:rsid w:val="00FD0D1B"/>
    <w:rsid w:val="00FD10DA"/>
    <w:rsid w:val="00FD6EC5"/>
    <w:rsid w:val="00FF1EDC"/>
    <w:rsid w:val="010D7DD7"/>
    <w:rsid w:val="01255111"/>
    <w:rsid w:val="012A6BDB"/>
    <w:rsid w:val="01E14C55"/>
    <w:rsid w:val="02182ED7"/>
    <w:rsid w:val="022950E4"/>
    <w:rsid w:val="022A6766"/>
    <w:rsid w:val="02313F99"/>
    <w:rsid w:val="028C11CF"/>
    <w:rsid w:val="029307AF"/>
    <w:rsid w:val="02C204F6"/>
    <w:rsid w:val="02CD5FA7"/>
    <w:rsid w:val="03595555"/>
    <w:rsid w:val="04082EC9"/>
    <w:rsid w:val="040E5A73"/>
    <w:rsid w:val="049D3B67"/>
    <w:rsid w:val="04FE63B4"/>
    <w:rsid w:val="052102F4"/>
    <w:rsid w:val="05EA06E6"/>
    <w:rsid w:val="061340E1"/>
    <w:rsid w:val="061B0173"/>
    <w:rsid w:val="062A31D9"/>
    <w:rsid w:val="06656831"/>
    <w:rsid w:val="069111DA"/>
    <w:rsid w:val="07B17031"/>
    <w:rsid w:val="07E812A9"/>
    <w:rsid w:val="084A44DB"/>
    <w:rsid w:val="08E52FDA"/>
    <w:rsid w:val="092F7093"/>
    <w:rsid w:val="099F54E4"/>
    <w:rsid w:val="09CB4B3C"/>
    <w:rsid w:val="09D908CA"/>
    <w:rsid w:val="0A2D0C8C"/>
    <w:rsid w:val="0A4725AB"/>
    <w:rsid w:val="0A603F05"/>
    <w:rsid w:val="0A655FA3"/>
    <w:rsid w:val="0A8C4462"/>
    <w:rsid w:val="0A9D0FD4"/>
    <w:rsid w:val="0B0A5B53"/>
    <w:rsid w:val="0B375212"/>
    <w:rsid w:val="0BC61173"/>
    <w:rsid w:val="0C264442"/>
    <w:rsid w:val="0CA30B98"/>
    <w:rsid w:val="0CB90E13"/>
    <w:rsid w:val="0CD830F8"/>
    <w:rsid w:val="0CE353E6"/>
    <w:rsid w:val="0D4E30D1"/>
    <w:rsid w:val="0D7E611E"/>
    <w:rsid w:val="0DCB704F"/>
    <w:rsid w:val="0DFC545B"/>
    <w:rsid w:val="0E7F64D9"/>
    <w:rsid w:val="0F143B2E"/>
    <w:rsid w:val="0F84040B"/>
    <w:rsid w:val="0F865D03"/>
    <w:rsid w:val="0FFC5BE6"/>
    <w:rsid w:val="10503F7E"/>
    <w:rsid w:val="10D85FB9"/>
    <w:rsid w:val="10DA2500"/>
    <w:rsid w:val="11143410"/>
    <w:rsid w:val="11152FCB"/>
    <w:rsid w:val="12437AFC"/>
    <w:rsid w:val="126169EF"/>
    <w:rsid w:val="128B51CD"/>
    <w:rsid w:val="12B837F0"/>
    <w:rsid w:val="12C55939"/>
    <w:rsid w:val="13927349"/>
    <w:rsid w:val="14294080"/>
    <w:rsid w:val="147A0A87"/>
    <w:rsid w:val="14B00D4D"/>
    <w:rsid w:val="15327079"/>
    <w:rsid w:val="15391894"/>
    <w:rsid w:val="156A6FD9"/>
    <w:rsid w:val="156F628E"/>
    <w:rsid w:val="167F131F"/>
    <w:rsid w:val="16CB1E6E"/>
    <w:rsid w:val="16EB5A42"/>
    <w:rsid w:val="16F70B78"/>
    <w:rsid w:val="172F4AF3"/>
    <w:rsid w:val="176B0585"/>
    <w:rsid w:val="17950107"/>
    <w:rsid w:val="17976192"/>
    <w:rsid w:val="17F9321A"/>
    <w:rsid w:val="18027B12"/>
    <w:rsid w:val="185B6A30"/>
    <w:rsid w:val="194E46EF"/>
    <w:rsid w:val="1A4A57A0"/>
    <w:rsid w:val="1B283D33"/>
    <w:rsid w:val="1B821F9D"/>
    <w:rsid w:val="1C026BA9"/>
    <w:rsid w:val="1CF81B63"/>
    <w:rsid w:val="1D592B25"/>
    <w:rsid w:val="1DA17DCD"/>
    <w:rsid w:val="1DF13E8E"/>
    <w:rsid w:val="1DF76F01"/>
    <w:rsid w:val="1E074A7C"/>
    <w:rsid w:val="1E127F44"/>
    <w:rsid w:val="1E256308"/>
    <w:rsid w:val="1E37603B"/>
    <w:rsid w:val="1E8F318E"/>
    <w:rsid w:val="1EEB0355"/>
    <w:rsid w:val="1F78690B"/>
    <w:rsid w:val="20311DDA"/>
    <w:rsid w:val="205D4886"/>
    <w:rsid w:val="20A20B23"/>
    <w:rsid w:val="20E57FD0"/>
    <w:rsid w:val="20EA3839"/>
    <w:rsid w:val="21157F22"/>
    <w:rsid w:val="21E169EA"/>
    <w:rsid w:val="21EA1C0A"/>
    <w:rsid w:val="221A12F6"/>
    <w:rsid w:val="223B09D7"/>
    <w:rsid w:val="22EF42C4"/>
    <w:rsid w:val="23867849"/>
    <w:rsid w:val="23EE554A"/>
    <w:rsid w:val="2408466E"/>
    <w:rsid w:val="24281096"/>
    <w:rsid w:val="242A50A9"/>
    <w:rsid w:val="2430513A"/>
    <w:rsid w:val="246128B3"/>
    <w:rsid w:val="247A36AC"/>
    <w:rsid w:val="2492046F"/>
    <w:rsid w:val="24C543A1"/>
    <w:rsid w:val="2558196F"/>
    <w:rsid w:val="25C903D8"/>
    <w:rsid w:val="25F9090A"/>
    <w:rsid w:val="26C03808"/>
    <w:rsid w:val="26CD578F"/>
    <w:rsid w:val="27030D16"/>
    <w:rsid w:val="27335F39"/>
    <w:rsid w:val="27383550"/>
    <w:rsid w:val="275E2CB1"/>
    <w:rsid w:val="2786327B"/>
    <w:rsid w:val="279938C3"/>
    <w:rsid w:val="27CD7F02"/>
    <w:rsid w:val="284D6B87"/>
    <w:rsid w:val="2852419D"/>
    <w:rsid w:val="28546167"/>
    <w:rsid w:val="286F4EFB"/>
    <w:rsid w:val="287E1436"/>
    <w:rsid w:val="28C50E13"/>
    <w:rsid w:val="28C66939"/>
    <w:rsid w:val="297F9BA4"/>
    <w:rsid w:val="29BC7FB3"/>
    <w:rsid w:val="29BF22FB"/>
    <w:rsid w:val="29F01EC0"/>
    <w:rsid w:val="29F76FE6"/>
    <w:rsid w:val="29F7E7D6"/>
    <w:rsid w:val="2A4577CC"/>
    <w:rsid w:val="2ABC1FD1"/>
    <w:rsid w:val="2ADE61BC"/>
    <w:rsid w:val="2B08148B"/>
    <w:rsid w:val="2B852ADC"/>
    <w:rsid w:val="2BFD08C4"/>
    <w:rsid w:val="2C6170A5"/>
    <w:rsid w:val="2D0C6328"/>
    <w:rsid w:val="2D45420C"/>
    <w:rsid w:val="2D746964"/>
    <w:rsid w:val="2D764EB2"/>
    <w:rsid w:val="2D906F19"/>
    <w:rsid w:val="2DAC4350"/>
    <w:rsid w:val="2DCF573A"/>
    <w:rsid w:val="2E171871"/>
    <w:rsid w:val="2E1D349F"/>
    <w:rsid w:val="2ECB4359"/>
    <w:rsid w:val="2EED2E72"/>
    <w:rsid w:val="2F4800A8"/>
    <w:rsid w:val="2F837038"/>
    <w:rsid w:val="2F860BD0"/>
    <w:rsid w:val="2FCF7C19"/>
    <w:rsid w:val="30006BD5"/>
    <w:rsid w:val="307155E8"/>
    <w:rsid w:val="308147BA"/>
    <w:rsid w:val="30EF42CE"/>
    <w:rsid w:val="31024A42"/>
    <w:rsid w:val="310E0E7D"/>
    <w:rsid w:val="31436D79"/>
    <w:rsid w:val="318F1FBE"/>
    <w:rsid w:val="319C2FFC"/>
    <w:rsid w:val="31BE0B72"/>
    <w:rsid w:val="32DC04AA"/>
    <w:rsid w:val="32E7188B"/>
    <w:rsid w:val="32EB5356"/>
    <w:rsid w:val="342C7F98"/>
    <w:rsid w:val="346C2A8B"/>
    <w:rsid w:val="350500CE"/>
    <w:rsid w:val="350C1B78"/>
    <w:rsid w:val="35460218"/>
    <w:rsid w:val="35BD0021"/>
    <w:rsid w:val="37126B4F"/>
    <w:rsid w:val="371F6A93"/>
    <w:rsid w:val="37320B19"/>
    <w:rsid w:val="378F4D1C"/>
    <w:rsid w:val="37A41B60"/>
    <w:rsid w:val="37BE184F"/>
    <w:rsid w:val="37CB5D1A"/>
    <w:rsid w:val="386341A5"/>
    <w:rsid w:val="38C75250"/>
    <w:rsid w:val="38E30E42"/>
    <w:rsid w:val="399565E0"/>
    <w:rsid w:val="3A287454"/>
    <w:rsid w:val="3A2B0CF2"/>
    <w:rsid w:val="3A571AE7"/>
    <w:rsid w:val="3AF525D5"/>
    <w:rsid w:val="3B456579"/>
    <w:rsid w:val="3B9E1FFF"/>
    <w:rsid w:val="3BE5FD11"/>
    <w:rsid w:val="3C485465"/>
    <w:rsid w:val="3C805325"/>
    <w:rsid w:val="3CA57EFF"/>
    <w:rsid w:val="3CCF4817"/>
    <w:rsid w:val="3D7C7B72"/>
    <w:rsid w:val="3DEB2C72"/>
    <w:rsid w:val="3DFA5EE2"/>
    <w:rsid w:val="3E614CE2"/>
    <w:rsid w:val="3E7E188F"/>
    <w:rsid w:val="3E8D5AD7"/>
    <w:rsid w:val="3E952C04"/>
    <w:rsid w:val="3F2F146E"/>
    <w:rsid w:val="3FDB2873"/>
    <w:rsid w:val="40451ECE"/>
    <w:rsid w:val="404B17A6"/>
    <w:rsid w:val="40602D9E"/>
    <w:rsid w:val="40BA692C"/>
    <w:rsid w:val="415316D4"/>
    <w:rsid w:val="420C64FE"/>
    <w:rsid w:val="42894808"/>
    <w:rsid w:val="42DB305B"/>
    <w:rsid w:val="43406C73"/>
    <w:rsid w:val="434B5121"/>
    <w:rsid w:val="44B926F4"/>
    <w:rsid w:val="44E126D9"/>
    <w:rsid w:val="44F71EFD"/>
    <w:rsid w:val="45183779"/>
    <w:rsid w:val="453C68D9"/>
    <w:rsid w:val="457419E8"/>
    <w:rsid w:val="4574354D"/>
    <w:rsid w:val="45C2075D"/>
    <w:rsid w:val="4697F5D1"/>
    <w:rsid w:val="46D74157"/>
    <w:rsid w:val="473849AD"/>
    <w:rsid w:val="477C3309"/>
    <w:rsid w:val="477E630A"/>
    <w:rsid w:val="47E421F2"/>
    <w:rsid w:val="48114D0B"/>
    <w:rsid w:val="48142086"/>
    <w:rsid w:val="484C4685"/>
    <w:rsid w:val="48E97888"/>
    <w:rsid w:val="49484AB1"/>
    <w:rsid w:val="49BF6D61"/>
    <w:rsid w:val="4AEA064F"/>
    <w:rsid w:val="4AFA6A2A"/>
    <w:rsid w:val="4B35552D"/>
    <w:rsid w:val="4B58746D"/>
    <w:rsid w:val="4C8204F1"/>
    <w:rsid w:val="4CE65172"/>
    <w:rsid w:val="4D0C7DEB"/>
    <w:rsid w:val="4D29302F"/>
    <w:rsid w:val="4D420F23"/>
    <w:rsid w:val="4D664477"/>
    <w:rsid w:val="4DC4703C"/>
    <w:rsid w:val="4DD714F2"/>
    <w:rsid w:val="4E523562"/>
    <w:rsid w:val="4E742810"/>
    <w:rsid w:val="4ED37286"/>
    <w:rsid w:val="4EDC4DD3"/>
    <w:rsid w:val="4FA33596"/>
    <w:rsid w:val="504F7091"/>
    <w:rsid w:val="5067691E"/>
    <w:rsid w:val="51055266"/>
    <w:rsid w:val="513E2C61"/>
    <w:rsid w:val="51BF0246"/>
    <w:rsid w:val="51F53ED9"/>
    <w:rsid w:val="52150CFD"/>
    <w:rsid w:val="52214A5D"/>
    <w:rsid w:val="52946FDD"/>
    <w:rsid w:val="52B8399B"/>
    <w:rsid w:val="531243A6"/>
    <w:rsid w:val="5331648C"/>
    <w:rsid w:val="536400AE"/>
    <w:rsid w:val="54014CC7"/>
    <w:rsid w:val="545C60F6"/>
    <w:rsid w:val="54C618EB"/>
    <w:rsid w:val="54CE266B"/>
    <w:rsid w:val="55216931"/>
    <w:rsid w:val="55534175"/>
    <w:rsid w:val="557B6411"/>
    <w:rsid w:val="55D1678A"/>
    <w:rsid w:val="560B3A5A"/>
    <w:rsid w:val="56127A30"/>
    <w:rsid w:val="56905D0D"/>
    <w:rsid w:val="578266DD"/>
    <w:rsid w:val="57FB5557"/>
    <w:rsid w:val="58690F0C"/>
    <w:rsid w:val="58B33F4C"/>
    <w:rsid w:val="58F91537"/>
    <w:rsid w:val="59245B38"/>
    <w:rsid w:val="5927612C"/>
    <w:rsid w:val="59747B68"/>
    <w:rsid w:val="59A10231"/>
    <w:rsid w:val="59C1489E"/>
    <w:rsid w:val="59DA4A83"/>
    <w:rsid w:val="5AA004E9"/>
    <w:rsid w:val="5ACB12ED"/>
    <w:rsid w:val="5B266C40"/>
    <w:rsid w:val="5BA313DA"/>
    <w:rsid w:val="5BC579BD"/>
    <w:rsid w:val="5BF70FF6"/>
    <w:rsid w:val="5C31229C"/>
    <w:rsid w:val="5C4A67B6"/>
    <w:rsid w:val="5CC83F63"/>
    <w:rsid w:val="5D746FF5"/>
    <w:rsid w:val="5DEF86DE"/>
    <w:rsid w:val="5E080586"/>
    <w:rsid w:val="5E191120"/>
    <w:rsid w:val="5E27164D"/>
    <w:rsid w:val="5EB4FE17"/>
    <w:rsid w:val="5EEF6B9C"/>
    <w:rsid w:val="5F0FC36D"/>
    <w:rsid w:val="5F13692B"/>
    <w:rsid w:val="5F3B7E95"/>
    <w:rsid w:val="5F5114D9"/>
    <w:rsid w:val="5F571ABE"/>
    <w:rsid w:val="5F8623A3"/>
    <w:rsid w:val="5F8D0B1A"/>
    <w:rsid w:val="5FF9313F"/>
    <w:rsid w:val="5FFA68C7"/>
    <w:rsid w:val="5FFB0509"/>
    <w:rsid w:val="5FFDF99A"/>
    <w:rsid w:val="6005776C"/>
    <w:rsid w:val="60443CE5"/>
    <w:rsid w:val="608F7578"/>
    <w:rsid w:val="60CC2CA1"/>
    <w:rsid w:val="60D96503"/>
    <w:rsid w:val="61CF0031"/>
    <w:rsid w:val="61FB296E"/>
    <w:rsid w:val="61FC3E95"/>
    <w:rsid w:val="62292CBC"/>
    <w:rsid w:val="6239194F"/>
    <w:rsid w:val="623E6F65"/>
    <w:rsid w:val="628946EB"/>
    <w:rsid w:val="62D603FD"/>
    <w:rsid w:val="630841E4"/>
    <w:rsid w:val="63E93A50"/>
    <w:rsid w:val="64655FDA"/>
    <w:rsid w:val="65530F79"/>
    <w:rsid w:val="657B158C"/>
    <w:rsid w:val="659C0D88"/>
    <w:rsid w:val="65F52031"/>
    <w:rsid w:val="66061B48"/>
    <w:rsid w:val="6654319A"/>
    <w:rsid w:val="6684682F"/>
    <w:rsid w:val="66C43787"/>
    <w:rsid w:val="674D095E"/>
    <w:rsid w:val="67582877"/>
    <w:rsid w:val="679D4754"/>
    <w:rsid w:val="67C72304"/>
    <w:rsid w:val="67DF08A2"/>
    <w:rsid w:val="680F1A61"/>
    <w:rsid w:val="68555008"/>
    <w:rsid w:val="6860114C"/>
    <w:rsid w:val="68841710"/>
    <w:rsid w:val="689E075E"/>
    <w:rsid w:val="68AC53C7"/>
    <w:rsid w:val="68BC5088"/>
    <w:rsid w:val="690B56C7"/>
    <w:rsid w:val="691655E4"/>
    <w:rsid w:val="696EEB09"/>
    <w:rsid w:val="69E95A08"/>
    <w:rsid w:val="6A4102A6"/>
    <w:rsid w:val="6B1747F7"/>
    <w:rsid w:val="6B2807B2"/>
    <w:rsid w:val="6B9419A4"/>
    <w:rsid w:val="6BAA621F"/>
    <w:rsid w:val="6BF30DC0"/>
    <w:rsid w:val="6C737520"/>
    <w:rsid w:val="6CAB0511"/>
    <w:rsid w:val="6CEF4128"/>
    <w:rsid w:val="6E4C2A0A"/>
    <w:rsid w:val="6E602011"/>
    <w:rsid w:val="6E9D5013"/>
    <w:rsid w:val="6EB56977"/>
    <w:rsid w:val="6F543924"/>
    <w:rsid w:val="6F7BB8FC"/>
    <w:rsid w:val="6FC177C1"/>
    <w:rsid w:val="6FE219CE"/>
    <w:rsid w:val="70E60EF4"/>
    <w:rsid w:val="710908F8"/>
    <w:rsid w:val="7109314A"/>
    <w:rsid w:val="712826AB"/>
    <w:rsid w:val="71294E67"/>
    <w:rsid w:val="712B2CEC"/>
    <w:rsid w:val="718C0BF9"/>
    <w:rsid w:val="71E52F59"/>
    <w:rsid w:val="73221F8B"/>
    <w:rsid w:val="73463ECB"/>
    <w:rsid w:val="739310B1"/>
    <w:rsid w:val="73BF4A5C"/>
    <w:rsid w:val="73E16EA2"/>
    <w:rsid w:val="742665FA"/>
    <w:rsid w:val="74471CA9"/>
    <w:rsid w:val="744E128A"/>
    <w:rsid w:val="74816591"/>
    <w:rsid w:val="749B0247"/>
    <w:rsid w:val="74B975DA"/>
    <w:rsid w:val="74F6722B"/>
    <w:rsid w:val="75CE35B2"/>
    <w:rsid w:val="75E75997"/>
    <w:rsid w:val="762A482C"/>
    <w:rsid w:val="765C73A0"/>
    <w:rsid w:val="76F779E7"/>
    <w:rsid w:val="777F3EA6"/>
    <w:rsid w:val="778C3E77"/>
    <w:rsid w:val="77F7D26C"/>
    <w:rsid w:val="786A41B8"/>
    <w:rsid w:val="78756A91"/>
    <w:rsid w:val="788E628B"/>
    <w:rsid w:val="797AA6F5"/>
    <w:rsid w:val="79B0209F"/>
    <w:rsid w:val="79B31B8F"/>
    <w:rsid w:val="79C43D9C"/>
    <w:rsid w:val="79D2240C"/>
    <w:rsid w:val="79FD37BC"/>
    <w:rsid w:val="7A6C4192"/>
    <w:rsid w:val="7AC57DCC"/>
    <w:rsid w:val="7AEC6AE1"/>
    <w:rsid w:val="7AF610B8"/>
    <w:rsid w:val="7B237658"/>
    <w:rsid w:val="7B753A39"/>
    <w:rsid w:val="7BDC3EBF"/>
    <w:rsid w:val="7C1B5475"/>
    <w:rsid w:val="7C75312C"/>
    <w:rsid w:val="7C816B78"/>
    <w:rsid w:val="7DDF7680"/>
    <w:rsid w:val="7DF3F4C5"/>
    <w:rsid w:val="7DF416F4"/>
    <w:rsid w:val="7DF7952C"/>
    <w:rsid w:val="7DFF35F5"/>
    <w:rsid w:val="7EFF0F82"/>
    <w:rsid w:val="7F4703DF"/>
    <w:rsid w:val="7F4F291E"/>
    <w:rsid w:val="7F7FD459"/>
    <w:rsid w:val="7FBE0D77"/>
    <w:rsid w:val="7FD37DD4"/>
    <w:rsid w:val="7FEF21AA"/>
    <w:rsid w:val="7FFF32E0"/>
    <w:rsid w:val="7FFF5F02"/>
    <w:rsid w:val="7FFF9C46"/>
    <w:rsid w:val="7FFFA3A0"/>
    <w:rsid w:val="98BD9F5D"/>
    <w:rsid w:val="9EFF4A00"/>
    <w:rsid w:val="AF654A31"/>
    <w:rsid w:val="B4BD92A3"/>
    <w:rsid w:val="B776BF71"/>
    <w:rsid w:val="BB9C4930"/>
    <w:rsid w:val="BD7DF799"/>
    <w:rsid w:val="BEBB2629"/>
    <w:rsid w:val="BFBEAE8F"/>
    <w:rsid w:val="BFD52013"/>
    <w:rsid w:val="CBBD1DF2"/>
    <w:rsid w:val="CDB793E6"/>
    <w:rsid w:val="DBDDF45C"/>
    <w:rsid w:val="DDB43266"/>
    <w:rsid w:val="DFAC3B18"/>
    <w:rsid w:val="DFF3E6C9"/>
    <w:rsid w:val="E5B7C449"/>
    <w:rsid w:val="EB1F7DD7"/>
    <w:rsid w:val="EBFF202D"/>
    <w:rsid w:val="EF5DB48E"/>
    <w:rsid w:val="EFE59E3F"/>
    <w:rsid w:val="EFF5AFC6"/>
    <w:rsid w:val="F6FD71DE"/>
    <w:rsid w:val="F7E9276D"/>
    <w:rsid w:val="F8B7BA0D"/>
    <w:rsid w:val="FB5F6265"/>
    <w:rsid w:val="FB7F398E"/>
    <w:rsid w:val="FCB911F8"/>
    <w:rsid w:val="FDFCA17E"/>
    <w:rsid w:val="FE2F8E23"/>
    <w:rsid w:val="FEF7B8E0"/>
    <w:rsid w:val="FEFB68DC"/>
    <w:rsid w:val="FF4FCE68"/>
    <w:rsid w:val="FF7EFB01"/>
    <w:rsid w:val="FFF6671A"/>
    <w:rsid w:val="FFF7264D"/>
    <w:rsid w:val="FFF7D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微软简标宋" w:hAnsi="@微软简标宋" w:eastAsia="@微软简标宋"/>
      <w:b/>
      <w:bCs/>
      <w:sz w:val="32"/>
      <w:szCs w:val="32"/>
    </w:rPr>
  </w:style>
  <w:style w:type="paragraph" w:styleId="2">
    <w:name w:val="heading 3"/>
    <w:basedOn w:val="1"/>
    <w:next w:val="1"/>
    <w:link w:val="47"/>
    <w:autoRedefine/>
    <w:unhideWhenUsed/>
    <w:qFormat/>
    <w:uiPriority w:val="9"/>
    <w:pPr>
      <w:keepNext/>
      <w:keepLines/>
      <w:spacing w:line="360" w:lineRule="auto"/>
      <w:outlineLvl w:val="2"/>
    </w:pPr>
    <w:rPr>
      <w:rFonts w:ascii="宋体" w:hAnsi="宋体" w:eastAsia="宋体" w:cs="宋体"/>
      <w:b/>
      <w:bCs/>
      <w:color w:val="C00000"/>
      <w:sz w:val="24"/>
      <w:szCs w:val="24"/>
    </w:rPr>
  </w:style>
  <w:style w:type="paragraph" w:styleId="5">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5"/>
    <w:autoRedefine/>
    <w:qFormat/>
    <w:uiPriority w:val="0"/>
    <w:pPr>
      <w:jc w:val="left"/>
    </w:pPr>
    <w:rPr>
      <w:rFonts w:ascii="Arial" w:hAnsi="Arial" w:eastAsia="黑体" w:cs="Arial"/>
    </w:rPr>
  </w:style>
  <w:style w:type="paragraph" w:styleId="8">
    <w:name w:val="Body Text"/>
    <w:basedOn w:val="1"/>
    <w:next w:val="9"/>
    <w:link w:val="53"/>
    <w:qFormat/>
    <w:uiPriority w:val="0"/>
    <w:pPr>
      <w:spacing w:after="120"/>
    </w:pPr>
    <w:rPr>
      <w:rFonts w:ascii="@微软简标宋" w:hAnsi="@微软简标宋" w:eastAsia="@微软简标宋" w:cs="@微软简标宋"/>
      <w:szCs w:val="24"/>
      <w:lang w:val="zh-CN"/>
    </w:rPr>
  </w:style>
  <w:style w:type="paragraph" w:styleId="9">
    <w:name w:val="List Bullet 5"/>
    <w:basedOn w:val="1"/>
    <w:semiHidden/>
    <w:unhideWhenUsed/>
    <w:qFormat/>
    <w:uiPriority w:val="99"/>
    <w:pPr>
      <w:numPr>
        <w:ilvl w:val="0"/>
        <w:numId w:val="1"/>
      </w:numPr>
    </w:pPr>
  </w:style>
  <w:style w:type="paragraph" w:styleId="10">
    <w:name w:val="Body Text Indent"/>
    <w:basedOn w:val="1"/>
    <w:next w:val="11"/>
    <w:autoRedefine/>
    <w:qFormat/>
    <w:uiPriority w:val="0"/>
    <w:pPr>
      <w:ind w:firstLine="560" w:firstLineChars="200"/>
    </w:pPr>
    <w:rPr>
      <w:rFonts w:ascii="宋体" w:hAnsi="宋体"/>
      <w:bCs/>
      <w:sz w:val="28"/>
      <w:szCs w:val="32"/>
    </w:rPr>
  </w:style>
  <w:style w:type="paragraph" w:styleId="11">
    <w:name w:val="envelope return"/>
    <w:basedOn w:val="1"/>
    <w:autoRedefine/>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3">
    <w:name w:val="Plain Text"/>
    <w:basedOn w:val="1"/>
    <w:link w:val="38"/>
    <w:autoRedefine/>
    <w:qFormat/>
    <w:uiPriority w:val="99"/>
    <w:rPr>
      <w:rFonts w:ascii="宋体" w:hAnsi="Courier New" w:eastAsia="宋体" w:cs="黑体"/>
      <w:szCs w:val="22"/>
    </w:rPr>
  </w:style>
  <w:style w:type="paragraph" w:styleId="14">
    <w:name w:val="Date"/>
    <w:basedOn w:val="1"/>
    <w:next w:val="1"/>
    <w:link w:val="42"/>
    <w:autoRedefine/>
    <w:qFormat/>
    <w:uiPriority w:val="0"/>
    <w:rPr>
      <w:rFonts w:ascii="Arial" w:hAnsi="Arial" w:eastAsia="宋体" w:cs="Arial"/>
      <w:b/>
      <w:sz w:val="28"/>
    </w:rPr>
  </w:style>
  <w:style w:type="paragraph" w:styleId="15">
    <w:name w:val="Balloon Text"/>
    <w:basedOn w:val="1"/>
    <w:link w:val="35"/>
    <w:autoRedefine/>
    <w:semiHidden/>
    <w:unhideWhenUsed/>
    <w:qFormat/>
    <w:uiPriority w:val="99"/>
    <w:rPr>
      <w:sz w:val="18"/>
      <w:szCs w:val="18"/>
    </w:rPr>
  </w:style>
  <w:style w:type="paragraph" w:styleId="16">
    <w:name w:val="footer"/>
    <w:basedOn w:val="1"/>
    <w:link w:val="37"/>
    <w:autoRedefine/>
    <w:unhideWhenUsed/>
    <w:qFormat/>
    <w:uiPriority w:val="99"/>
    <w:pPr>
      <w:tabs>
        <w:tab w:val="center" w:pos="4153"/>
        <w:tab w:val="right" w:pos="8306"/>
      </w:tabs>
      <w:snapToGrid w:val="0"/>
      <w:jc w:val="left"/>
    </w:pPr>
    <w:rPr>
      <w:sz w:val="18"/>
      <w:szCs w:val="18"/>
    </w:rPr>
  </w:style>
  <w:style w:type="paragraph" w:styleId="17">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Calibri" w:hAnsi="Calibri" w:eastAsia="宋体" w:cs="黑体"/>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54"/>
    <w:autoRedefine/>
    <w:semiHidden/>
    <w:unhideWhenUsed/>
    <w:qFormat/>
    <w:uiPriority w:val="99"/>
    <w:rPr>
      <w:rFonts w:ascii="@仿宋_GB2312" w:hAnsi="@仿宋_GB2312" w:eastAsia="@仿宋_GB2312" w:cs="@仿宋_GB2312"/>
      <w:b/>
      <w:bCs/>
    </w:rPr>
  </w:style>
  <w:style w:type="paragraph" w:styleId="22">
    <w:name w:val="Body Text First Indent 2"/>
    <w:basedOn w:val="10"/>
    <w:next w:val="1"/>
    <w:autoRedefine/>
    <w:qFormat/>
    <w:uiPriority w:val="0"/>
    <w:pPr>
      <w:ind w:left="420" w:firstLine="420"/>
    </w:pPr>
  </w:style>
  <w:style w:type="character" w:styleId="25">
    <w:name w:val="Strong"/>
    <w:autoRedefine/>
    <w:qFormat/>
    <w:uiPriority w:val="0"/>
    <w:rPr>
      <w:b/>
      <w:bCs/>
    </w:rPr>
  </w:style>
  <w:style w:type="character" w:styleId="26">
    <w:name w:val="Hyperlink"/>
    <w:autoRedefine/>
    <w:unhideWhenUsed/>
    <w:qFormat/>
    <w:uiPriority w:val="99"/>
    <w:rPr>
      <w:color w:val="0000FF"/>
      <w:u w:val="single"/>
    </w:rPr>
  </w:style>
  <w:style w:type="character" w:styleId="27">
    <w:name w:val="annotation reference"/>
    <w:autoRedefine/>
    <w:semiHidden/>
    <w:unhideWhenUsed/>
    <w:qFormat/>
    <w:uiPriority w:val="99"/>
    <w:rPr>
      <w:sz w:val="21"/>
      <w:szCs w:val="21"/>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spacing w:line="360" w:lineRule="auto"/>
    </w:pPr>
    <w:rPr>
      <w:rFonts w:ascii="宋体" w:hAnsi="宋体" w:eastAsia="宋体" w:cs="宋体"/>
      <w:bCs/>
      <w:kern w:val="0"/>
      <w:sz w:val="24"/>
      <w:szCs w:val="28"/>
    </w:rPr>
  </w:style>
  <w:style w:type="paragraph" w:customStyle="1" w:styleId="30">
    <w:name w:val="D&amp;L"/>
    <w:basedOn w:val="17"/>
    <w:autoRedefine/>
    <w:qFormat/>
    <w:uiPriority w:val="0"/>
    <w:pPr>
      <w:pBdr>
        <w:bottom w:val="none" w:color="auto" w:sz="0" w:space="0"/>
      </w:pBdr>
      <w:tabs>
        <w:tab w:val="clear" w:pos="4153"/>
        <w:tab w:val="clear" w:pos="8306"/>
      </w:tabs>
      <w:snapToGrid/>
    </w:pPr>
    <w:rPr>
      <w:kern w:val="0"/>
      <w:sz w:val="24"/>
      <w:szCs w:val="20"/>
    </w:rPr>
  </w:style>
  <w:style w:type="paragraph" w:customStyle="1" w:styleId="31">
    <w:name w:val="列表段落1"/>
    <w:basedOn w:val="1"/>
    <w:autoRedefine/>
    <w:qFormat/>
    <w:uiPriority w:val="34"/>
    <w:pPr>
      <w:ind w:firstLine="420" w:firstLineChars="200"/>
    </w:pPr>
  </w:style>
  <w:style w:type="paragraph" w:customStyle="1" w:styleId="32">
    <w:name w:val="Char Char Char Char Char Char Char1 Char"/>
    <w:basedOn w:val="1"/>
    <w:autoRedefine/>
    <w:qFormat/>
    <w:uiPriority w:val="0"/>
    <w:rPr>
      <w:rFonts w:ascii="Arial" w:hAnsi="Arial" w:eastAsia="宋体" w:cs="Arial"/>
      <w:sz w:val="24"/>
    </w:rPr>
  </w:style>
  <w:style w:type="paragraph" w:customStyle="1" w:styleId="33">
    <w:name w:val="纯文本1"/>
    <w:basedOn w:val="1"/>
    <w:link w:val="43"/>
    <w:autoRedefine/>
    <w:qFormat/>
    <w:uiPriority w:val="0"/>
    <w:rPr>
      <w:rFonts w:ascii="Arial" w:hAnsi="Arial" w:eastAsia="Arial" w:cs="黑体"/>
    </w:rPr>
  </w:style>
  <w:style w:type="paragraph" w:customStyle="1" w:styleId="34">
    <w:name w:val="TOC 标题1"/>
    <w:basedOn w:val="3"/>
    <w:next w:val="1"/>
    <w:autoRedefine/>
    <w:semiHidden/>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35">
    <w:name w:val="批注框文本 字符"/>
    <w:link w:val="15"/>
    <w:autoRedefine/>
    <w:semiHidden/>
    <w:qFormat/>
    <w:uiPriority w:val="99"/>
    <w:rPr>
      <w:rFonts w:ascii="@仿宋_GB2312" w:hAnsi="@仿宋_GB2312" w:eastAsia="@仿宋_GB2312" w:cs="@仿宋_GB2312"/>
      <w:sz w:val="18"/>
      <w:szCs w:val="18"/>
    </w:rPr>
  </w:style>
  <w:style w:type="character" w:customStyle="1" w:styleId="36">
    <w:name w:val="页眉 字符"/>
    <w:link w:val="17"/>
    <w:autoRedefine/>
    <w:qFormat/>
    <w:uiPriority w:val="0"/>
    <w:rPr>
      <w:rFonts w:ascii="@仿宋_GB2312" w:hAnsi="@仿宋_GB2312" w:eastAsia="@仿宋_GB2312" w:cs="@仿宋_GB2312"/>
      <w:sz w:val="18"/>
      <w:szCs w:val="18"/>
    </w:rPr>
  </w:style>
  <w:style w:type="character" w:customStyle="1" w:styleId="37">
    <w:name w:val="页脚 字符"/>
    <w:link w:val="16"/>
    <w:autoRedefine/>
    <w:qFormat/>
    <w:uiPriority w:val="99"/>
    <w:rPr>
      <w:rFonts w:ascii="@仿宋_GB2312" w:hAnsi="@仿宋_GB2312" w:eastAsia="@仿宋_GB2312" w:cs="@仿宋_GB2312"/>
      <w:sz w:val="18"/>
      <w:szCs w:val="18"/>
    </w:rPr>
  </w:style>
  <w:style w:type="character" w:customStyle="1" w:styleId="38">
    <w:name w:val="纯文本 字符"/>
    <w:link w:val="13"/>
    <w:autoRedefine/>
    <w:qFormat/>
    <w:uiPriority w:val="0"/>
    <w:rPr>
      <w:rFonts w:ascii="宋体" w:hAnsi="Courier New"/>
    </w:rPr>
  </w:style>
  <w:style w:type="character" w:customStyle="1" w:styleId="39">
    <w:name w:val="纯文本 字符1"/>
    <w:autoRedefine/>
    <w:semiHidden/>
    <w:qFormat/>
    <w:uiPriority w:val="99"/>
    <w:rPr>
      <w:rFonts w:ascii="宋体" w:hAnsi="Courier New" w:cs="Courier New"/>
      <w:szCs w:val="20"/>
    </w:rPr>
  </w:style>
  <w:style w:type="character" w:customStyle="1" w:styleId="40">
    <w:name w:val="未处理的提及1"/>
    <w:autoRedefine/>
    <w:semiHidden/>
    <w:unhideWhenUsed/>
    <w:qFormat/>
    <w:uiPriority w:val="99"/>
    <w:rPr>
      <w:color w:val="605E5C"/>
      <w:shd w:val="clear" w:color="auto" w:fill="E1DFDD"/>
    </w:rPr>
  </w:style>
  <w:style w:type="character" w:customStyle="1" w:styleId="41">
    <w:name w:val="日期 字符"/>
    <w:autoRedefine/>
    <w:semiHidden/>
    <w:qFormat/>
    <w:uiPriority w:val="99"/>
    <w:rPr>
      <w:rFonts w:ascii="@仿宋_GB2312" w:hAnsi="@仿宋_GB2312" w:eastAsia="@仿宋_GB2312" w:cs="@仿宋_GB2312"/>
      <w:szCs w:val="20"/>
    </w:rPr>
  </w:style>
  <w:style w:type="character" w:customStyle="1" w:styleId="42">
    <w:name w:val="日期 字符1"/>
    <w:link w:val="14"/>
    <w:autoRedefine/>
    <w:qFormat/>
    <w:uiPriority w:val="0"/>
    <w:rPr>
      <w:rFonts w:ascii="Arial" w:hAnsi="Arial" w:eastAsia="宋体" w:cs="Arial"/>
      <w:b/>
      <w:sz w:val="28"/>
      <w:szCs w:val="20"/>
    </w:rPr>
  </w:style>
  <w:style w:type="character" w:customStyle="1" w:styleId="43">
    <w:name w:val="纯文本 Char1"/>
    <w:link w:val="33"/>
    <w:autoRedefine/>
    <w:qFormat/>
    <w:locked/>
    <w:uiPriority w:val="0"/>
    <w:rPr>
      <w:rFonts w:ascii="Arial" w:hAnsi="Arial" w:eastAsia="Arial"/>
      <w:kern w:val="2"/>
      <w:sz w:val="21"/>
      <w:lang w:val="en-US" w:eastAsia="zh-CN" w:bidi="ar-SA"/>
    </w:rPr>
  </w:style>
  <w:style w:type="character" w:customStyle="1" w:styleId="44">
    <w:name w:val="批注文字 Char"/>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rPr>
      <w:rFonts w:ascii="Arial" w:hAnsi="Arial" w:eastAsia="黑体" w:cs="Arial"/>
      <w:szCs w:val="20"/>
    </w:rPr>
  </w:style>
  <w:style w:type="character" w:customStyle="1" w:styleId="46">
    <w:name w:val="标题 1 字符"/>
    <w:link w:val="3"/>
    <w:autoRedefine/>
    <w:qFormat/>
    <w:uiPriority w:val="9"/>
    <w:rPr>
      <w:rFonts w:ascii="@仿宋_GB2312" w:hAnsi="@仿宋_GB2312" w:eastAsia="@仿宋_GB2312" w:cs="@仿宋_GB2312"/>
      <w:b/>
      <w:bCs/>
      <w:kern w:val="44"/>
      <w:sz w:val="44"/>
      <w:szCs w:val="44"/>
    </w:rPr>
  </w:style>
  <w:style w:type="character" w:customStyle="1" w:styleId="47">
    <w:name w:val="标题 3 字符"/>
    <w:link w:val="2"/>
    <w:autoRedefine/>
    <w:qFormat/>
    <w:uiPriority w:val="9"/>
    <w:rPr>
      <w:rFonts w:ascii="宋体" w:hAnsi="宋体" w:cs="宋体"/>
      <w:b/>
      <w:bCs/>
      <w:color w:val="C00000"/>
      <w:kern w:val="2"/>
      <w:sz w:val="24"/>
      <w:szCs w:val="24"/>
    </w:rPr>
  </w:style>
  <w:style w:type="character" w:customStyle="1" w:styleId="48">
    <w:name w:val="fontstyle01"/>
    <w:autoRedefine/>
    <w:qFormat/>
    <w:uiPriority w:val="0"/>
    <w:rPr>
      <w:rFonts w:hint="eastAsia" w:ascii="宋体" w:hAnsi="宋体" w:eastAsia="宋体"/>
      <w:color w:val="000000"/>
      <w:sz w:val="22"/>
      <w:szCs w:val="22"/>
    </w:rPr>
  </w:style>
  <w:style w:type="character" w:customStyle="1" w:styleId="49">
    <w:name w:val="fontstyle21"/>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autoRedefine/>
    <w:semiHidden/>
    <w:qFormat/>
    <w:uiPriority w:val="9"/>
    <w:rPr>
      <w:rFonts w:ascii="Cambria" w:hAnsi="Cambria" w:eastAsia="宋体" w:cs="黑体"/>
      <w:b/>
      <w:bCs/>
      <w:sz w:val="28"/>
      <w:szCs w:val="28"/>
    </w:rPr>
  </w:style>
  <w:style w:type="character" w:customStyle="1" w:styleId="52">
    <w:name w:val="标题 4 字符1"/>
    <w:link w:val="5"/>
    <w:autoRedefine/>
    <w:qFormat/>
    <w:uiPriority w:val="0"/>
    <w:rPr>
      <w:rFonts w:ascii="@仿宋_GB2312" w:hAnsi="@仿宋_GB2312" w:eastAsia="@仿宋_GB2312" w:cs="@仿宋_GB2312"/>
      <w:b/>
      <w:bCs/>
      <w:sz w:val="28"/>
      <w:szCs w:val="28"/>
    </w:rPr>
  </w:style>
  <w:style w:type="character" w:customStyle="1" w:styleId="53">
    <w:name w:val="正文文本 字符"/>
    <w:link w:val="8"/>
    <w:autoRedefine/>
    <w:qFormat/>
    <w:uiPriority w:val="0"/>
    <w:rPr>
      <w:rFonts w:ascii="@微软简标宋" w:hAnsi="@微软简标宋" w:eastAsia="@微软简标宋" w:cs="@微软简标宋"/>
      <w:szCs w:val="24"/>
      <w:lang w:val="zh-CN" w:eastAsia="zh-CN"/>
    </w:rPr>
  </w:style>
  <w:style w:type="character" w:customStyle="1" w:styleId="54">
    <w:name w:val="批注主题 字符"/>
    <w:link w:val="21"/>
    <w:autoRedefine/>
    <w:semiHidden/>
    <w:qFormat/>
    <w:uiPriority w:val="99"/>
    <w:rPr>
      <w:rFonts w:ascii="@仿宋_GB2312" w:hAnsi="@仿宋_GB2312" w:eastAsia="@仿宋_GB2312" w:cs="@仿宋_GB2312"/>
      <w:b/>
      <w:bCs/>
      <w:kern w:val="2"/>
      <w:sz w:val="21"/>
      <w:szCs w:val="20"/>
    </w:rPr>
  </w:style>
  <w:style w:type="paragraph" w:customStyle="1" w:styleId="55">
    <w:name w:val="标题 2_0"/>
    <w:basedOn w:val="1"/>
    <w:next w:val="56"/>
    <w:autoRedefine/>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5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8">
    <w:name w:val="List Paragraph"/>
    <w:basedOn w:val="1"/>
    <w:qFormat/>
    <w:uiPriority w:val="1"/>
    <w:pPr>
      <w:widowControl/>
      <w:kinsoku w:val="0"/>
      <w:autoSpaceDE w:val="0"/>
      <w:autoSpaceDN w:val="0"/>
      <w:adjustRightInd w:val="0"/>
      <w:snapToGrid w:val="0"/>
      <w:ind w:left="247" w:firstLine="55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72</Pages>
  <Words>28781</Words>
  <Characters>30083</Characters>
  <Lines>218</Lines>
  <Paragraphs>61</Paragraphs>
  <TotalTime>48</TotalTime>
  <ScaleCrop>false</ScaleCrop>
  <LinksUpToDate>false</LinksUpToDate>
  <CharactersWithSpaces>30689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2019-05-10T14:32:00Z</dcterms:created>
  <dc:creator>Anakin</dc:creator>
  <cp:lastModifiedBy>Y</cp:lastModifiedBy>
  <cp:lastPrinted>2024-10-12T08:07:00Z</cp:lastPrinted>
  <dcterms:modified xsi:type="dcterms:W3CDTF">2025-06-05T17:37:07Z</dcterms:modified>
  <dc:title>竞争性磋商文件</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B4A5C73E6605D67299E39267463F8B22_43</vt:lpwstr>
  </property>
  <property fmtid="{D5CDD505-2E9C-101B-9397-08002B2CF9AE}" pid="4" name="commondata">
    <vt:lpwstr>eyJoZGlkIjoiYmI2NDUwYjViNjdjMjE3YmI2NjllZGI2ZDQxNDQxMDMifQ==</vt:lpwstr>
  </property>
  <property fmtid="{D5CDD505-2E9C-101B-9397-08002B2CF9AE}" pid="5" name="KSOTemplateDocerSaveRecord">
    <vt:lpwstr>eyJoZGlkIjoiNTFlYTQxN2I4YWExYWM0MzgyOGM1YmViMTZhN2U2YWEiLCJ1c2VySWQiOiIyOTE2NTA1NDQifQ==</vt:lpwstr>
  </property>
</Properties>
</file>