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方正小标宋简体" w:cs="Times New Roman"/>
          <w:color w:val="auto"/>
          <w:sz w:val="32"/>
          <w:szCs w:val="32"/>
          <w:highlight w:val="none"/>
        </w:rPr>
      </w:pPr>
      <w:bookmarkStart w:id="0" w:name="_Hlk9544796"/>
      <w:bookmarkStart w:id="168" w:name="_GoBack"/>
      <w:bookmarkEnd w:id="168"/>
    </w:p>
    <w:p>
      <w:pPr>
        <w:widowControl/>
        <w:jc w:val="center"/>
        <w:rPr>
          <w:rFonts w:hint="default" w:ascii="Times New Roman" w:hAnsi="Times New Roman" w:eastAsia="方正小标宋简体" w:cs="Times New Roman"/>
          <w:color w:val="auto"/>
          <w:sz w:val="32"/>
          <w:szCs w:val="32"/>
          <w:highlight w:val="none"/>
        </w:rPr>
      </w:pPr>
    </w:p>
    <w:p>
      <w:pPr>
        <w:pStyle w:val="39"/>
        <w:ind w:firstLine="560"/>
        <w:rPr>
          <w:rFonts w:hint="default" w:ascii="Times New Roman" w:hAnsi="Times New Roman" w:eastAsia="方正小标宋简体" w:cs="Times New Roman"/>
          <w:snapToGrid w:val="0"/>
          <w:color w:val="auto"/>
          <w:kern w:val="0"/>
          <w:sz w:val="28"/>
          <w:szCs w:val="28"/>
          <w:highlight w:val="none"/>
        </w:rPr>
      </w:pPr>
    </w:p>
    <w:p>
      <w:pPr>
        <w:rPr>
          <w:rFonts w:hint="default" w:ascii="Times New Roman" w:hAnsi="Times New Roman" w:cs="Times New Roman"/>
          <w:color w:val="auto"/>
          <w:highlight w:val="none"/>
        </w:rPr>
      </w:pPr>
    </w:p>
    <w:p>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cs="Times New Roman"/>
          <w:b/>
          <w:color w:val="auto"/>
          <w:spacing w:val="20"/>
          <w:kern w:val="0"/>
          <w:sz w:val="32"/>
          <w:szCs w:val="32"/>
          <w:highlight w:val="none"/>
          <w:u w:val="single"/>
        </w:rPr>
        <w:t>包河区公共文化空间咨询服务单位采购</w:t>
      </w:r>
    </w:p>
    <w:p>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项目编号：BHSG-ZTB-2025-29</w:t>
      </w:r>
    </w:p>
    <w:p>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w:t>
      </w:r>
      <w:r>
        <w:rPr>
          <w:rFonts w:hint="eastAsia" w:ascii="Times New Roman" w:hAnsi="Times New Roman" w:cs="Times New Roman"/>
          <w:b/>
          <w:color w:val="auto"/>
          <w:spacing w:val="20"/>
          <w:kern w:val="0"/>
          <w:sz w:val="32"/>
          <w:szCs w:val="32"/>
          <w:highlight w:val="none"/>
          <w:u w:val="single"/>
          <w:lang w:eastAsia="zh-CN"/>
        </w:rPr>
        <w:t>空间运营管理</w:t>
      </w:r>
      <w:r>
        <w:rPr>
          <w:rFonts w:hint="default" w:ascii="Times New Roman" w:hAnsi="Times New Roman" w:eastAsia="宋体" w:cs="Times New Roman"/>
          <w:b/>
          <w:color w:val="auto"/>
          <w:spacing w:val="20"/>
          <w:kern w:val="0"/>
          <w:sz w:val="32"/>
          <w:szCs w:val="32"/>
          <w:highlight w:val="none"/>
          <w:u w:val="single"/>
        </w:rPr>
        <w:t>有限公司</w:t>
      </w:r>
    </w:p>
    <w:p>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6</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35393622"/>
      <w:bookmarkStart w:id="4" w:name="_Toc35393791"/>
      <w:bookmarkStart w:id="5" w:name="_Toc28359003"/>
      <w:r>
        <w:rPr>
          <w:rFonts w:hint="default" w:ascii="Times New Roman" w:hAnsi="Times New Roman" w:cs="Times New Roman"/>
          <w:color w:val="auto"/>
          <w:spacing w:val="20"/>
          <w:sz w:val="24"/>
          <w:szCs w:val="24"/>
          <w:highlight w:val="none"/>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0"/>
          <w:sz w:val="24"/>
          <w:szCs w:val="24"/>
          <w:highlight w:val="none"/>
          <w:u w:val="single"/>
        </w:rPr>
        <w:t>包河区公共文化空间咨询服务单位采购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pPr>
        <w:snapToGrid w:val="0"/>
        <w:spacing w:line="360" w:lineRule="auto"/>
        <w:rPr>
          <w:rFonts w:hint="default" w:ascii="Times New Roman" w:hAnsi="Times New Roman" w:cs="Times New Roman"/>
          <w:color w:val="auto"/>
          <w:sz w:val="24"/>
          <w:szCs w:val="24"/>
          <w:highlight w:val="none"/>
        </w:rPr>
      </w:pPr>
    </w:p>
    <w:p>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621"/>
      <w:bookmarkStart w:id="7" w:name="_Toc35393790"/>
      <w:bookmarkStart w:id="8" w:name="_Toc28359079"/>
      <w:bookmarkStart w:id="9" w:name="_Toc28359002"/>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：BHSG-ZTB-2025-29</w:t>
      </w:r>
    </w:p>
    <w:p>
      <w:pPr>
        <w:snapToGrid w:val="0"/>
        <w:spacing w:line="360" w:lineRule="auto"/>
        <w:ind w:firstLine="480" w:firstLineChars="200"/>
        <w:rPr>
          <w:rFonts w:hint="default" w:ascii="Times New Roman" w:hAnsi="Times New Roman" w:cs="Times New Roman"/>
          <w:color w:val="auto"/>
          <w:sz w:val="24"/>
          <w:szCs w:val="24"/>
          <w:highlight w:val="none"/>
          <w:u w:val="single"/>
          <w:lang w:val="en-US"/>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pacing w:val="20"/>
          <w:sz w:val="24"/>
          <w:szCs w:val="24"/>
          <w:highlight w:val="none"/>
          <w:u w:val="single"/>
        </w:rPr>
        <w:t>包河区公共文化空间咨询服务单位采购</w:t>
      </w:r>
    </w:p>
    <w:p>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eastAsia" w:ascii="宋体" w:hAnsi="宋体" w:eastAsia="宋体" w:cs="宋体"/>
          <w:color w:val="auto"/>
          <w:sz w:val="24"/>
          <w:szCs w:val="18"/>
          <w:highlight w:val="none"/>
          <w:u w:val="single"/>
        </w:rPr>
        <w:t>包河区公共文化空间咨询服务单位采购</w:t>
      </w:r>
      <w:r>
        <w:rPr>
          <w:rFonts w:hint="eastAsia" w:ascii="宋体" w:hAnsi="宋体" w:cs="宋体"/>
          <w:color w:val="auto"/>
          <w:sz w:val="24"/>
          <w:szCs w:val="18"/>
          <w:highlight w:val="none"/>
          <w:u w:val="single"/>
          <w:lang w:eastAsia="zh-CN"/>
        </w:rPr>
        <w:t>。</w:t>
      </w:r>
      <w:r>
        <w:rPr>
          <w:rFonts w:hint="default" w:ascii="Times New Roman" w:hAnsi="Times New Roman" w:cs="Times New Roman"/>
          <w:color w:val="auto"/>
          <w:sz w:val="24"/>
          <w:szCs w:val="24"/>
          <w:highlight w:val="none"/>
          <w:u w:val="single"/>
          <w:lang w:val="en-US" w:eastAsia="zh-CN"/>
        </w:rPr>
        <w:t>具体内容详见本项目招标文件。</w:t>
      </w:r>
    </w:p>
    <w:p>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26</w:t>
      </w:r>
      <w:r>
        <w:rPr>
          <w:rFonts w:hint="default" w:ascii="Times New Roman" w:hAnsi="Times New Roman" w:cs="Times New Roman"/>
          <w:color w:val="auto"/>
          <w:sz w:val="24"/>
          <w:szCs w:val="24"/>
          <w:highlight w:val="none"/>
          <w:u w:val="single"/>
        </w:rPr>
        <w:t>万元</w:t>
      </w:r>
    </w:p>
    <w:p>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260000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贰拾陆万元整</w:t>
      </w:r>
      <w:r>
        <w:rPr>
          <w:rFonts w:hint="default" w:ascii="Times New Roman" w:hAnsi="Times New Roman" w:cs="Times New Roman"/>
          <w:color w:val="auto"/>
          <w:sz w:val="24"/>
          <w:szCs w:val="24"/>
          <w:highlight w:val="none"/>
          <w:u w:val="single"/>
          <w:lang w:val="en-US" w:eastAsia="zh-CN"/>
        </w:rPr>
        <w:t>）</w:t>
      </w:r>
    </w:p>
    <w:p>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pPr>
        <w:spacing w:line="360" w:lineRule="auto"/>
        <w:ind w:firstLine="435"/>
        <w:rPr>
          <w:rFonts w:hint="default"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18"/>
          <w:highlight w:val="none"/>
        </w:rPr>
        <w:t>2.资质要求：</w:t>
      </w:r>
      <w:r>
        <w:rPr>
          <w:rFonts w:hint="eastAsia" w:ascii="Times New Roman" w:hAnsi="Times New Roman" w:cs="Times New Roman"/>
          <w:color w:val="auto"/>
          <w:sz w:val="24"/>
          <w:szCs w:val="18"/>
          <w:highlight w:val="none"/>
          <w:lang w:eastAsia="zh-CN"/>
        </w:rPr>
        <w:t>投标供应商须具有</w:t>
      </w:r>
      <w:r>
        <w:rPr>
          <w:rFonts w:hint="eastAsia" w:ascii="Times New Roman" w:hAnsi="Times New Roman" w:cs="Times New Roman"/>
          <w:color w:val="auto"/>
          <w:sz w:val="24"/>
          <w:szCs w:val="18"/>
          <w:highlight w:val="none"/>
          <w:lang w:val="en-US" w:eastAsia="zh-CN"/>
        </w:rPr>
        <w:t>合法有效的营业执照。</w:t>
      </w:r>
    </w:p>
    <w:p>
      <w:pPr>
        <w:spacing w:line="360" w:lineRule="auto"/>
        <w:ind w:firstLine="435"/>
        <w:rPr>
          <w:rFonts w:hint="default" w:ascii="宋体" w:hAnsi="宋体" w:eastAsia="宋体" w:cs="宋体"/>
          <w:color w:val="auto"/>
          <w:spacing w:val="-1"/>
          <w:sz w:val="24"/>
          <w:szCs w:val="24"/>
          <w:highlight w:val="none"/>
          <w:lang w:val="en-US" w:eastAsia="zh-CN"/>
        </w:rPr>
      </w:pPr>
      <w:r>
        <w:rPr>
          <w:rFonts w:hint="default" w:ascii="Times New Roman" w:hAnsi="Times New Roman" w:cs="Times New Roman"/>
          <w:color w:val="auto"/>
          <w:sz w:val="24"/>
          <w:szCs w:val="18"/>
          <w:highlight w:val="none"/>
        </w:rPr>
        <w:t>3.业绩要求：</w:t>
      </w:r>
      <w:r>
        <w:rPr>
          <w:rFonts w:ascii="宋体" w:hAnsi="宋体" w:eastAsia="宋体" w:cs="宋体"/>
          <w:color w:val="auto"/>
          <w:spacing w:val="-1"/>
          <w:sz w:val="24"/>
          <w:szCs w:val="24"/>
          <w:highlight w:val="none"/>
        </w:rPr>
        <w:t>投标人</w:t>
      </w:r>
      <w:r>
        <w:rPr>
          <w:rFonts w:hint="eastAsia" w:ascii="宋体" w:hAnsi="宋体" w:cs="宋体"/>
          <w:color w:val="auto"/>
          <w:spacing w:val="-1"/>
          <w:sz w:val="24"/>
          <w:szCs w:val="24"/>
          <w:highlight w:val="none"/>
          <w:lang w:val="en-US" w:eastAsia="zh-CN"/>
        </w:rPr>
        <w:t>需</w:t>
      </w:r>
      <w:r>
        <w:rPr>
          <w:rFonts w:ascii="宋体" w:hAnsi="宋体" w:eastAsia="宋体" w:cs="宋体"/>
          <w:color w:val="auto"/>
          <w:spacing w:val="-1"/>
          <w:sz w:val="24"/>
          <w:szCs w:val="24"/>
          <w:highlight w:val="none"/>
        </w:rPr>
        <w:t>具备以下</w:t>
      </w:r>
      <w:r>
        <w:rPr>
          <w:rFonts w:hint="eastAsia" w:ascii="宋体" w:hAnsi="宋体" w:cs="宋体"/>
          <w:color w:val="auto"/>
          <w:spacing w:val="-1"/>
          <w:sz w:val="24"/>
          <w:szCs w:val="24"/>
          <w:highlight w:val="none"/>
          <w:lang w:eastAsia="zh-CN"/>
        </w:rPr>
        <w:t>业绩</w:t>
      </w:r>
      <w:r>
        <w:rPr>
          <w:rFonts w:hint="eastAsia" w:ascii="宋体" w:hAnsi="宋体" w:eastAsia="宋体" w:cs="宋体"/>
          <w:color w:val="auto"/>
          <w:spacing w:val="-1"/>
          <w:sz w:val="24"/>
          <w:szCs w:val="24"/>
          <w:highlight w:val="none"/>
          <w:lang w:val="en-US" w:eastAsia="zh-CN"/>
        </w:rPr>
        <w:t>之一：</w:t>
      </w:r>
      <w:r>
        <w:rPr>
          <w:rFonts w:hint="eastAsia" w:ascii="宋体" w:hAnsi="宋体" w:cs="宋体"/>
          <w:color w:val="auto"/>
          <w:spacing w:val="-1"/>
          <w:sz w:val="24"/>
          <w:szCs w:val="24"/>
          <w:highlight w:val="none"/>
          <w:lang w:val="en-US" w:eastAsia="zh-CN"/>
        </w:rPr>
        <w:t>/。</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pPr>
        <w:spacing w:line="440" w:lineRule="exact"/>
        <w:ind w:firstLine="435"/>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5</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6</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12</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6</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18</w:t>
      </w:r>
      <w:r>
        <w:rPr>
          <w:rFonts w:hint="default" w:ascii="Times New Roman" w:hAnsi="Times New Roman" w:cs="Times New Roman"/>
          <w:b w:val="0"/>
          <w:bCs w:val="0"/>
          <w:color w:val="auto"/>
          <w:sz w:val="24"/>
          <w:szCs w:val="24"/>
          <w:highlight w:val="none"/>
          <w:u w:val="single"/>
        </w:rPr>
        <w:t>日</w:t>
      </w:r>
    </w:p>
    <w:p>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w:t>
      </w:r>
      <w:r>
        <w:rPr>
          <w:rFonts w:hint="default" w:ascii="Times New Roman" w:hAnsi="Times New Roman" w:cs="Times New Roman"/>
          <w:color w:val="auto"/>
          <w:sz w:val="24"/>
          <w:szCs w:val="24"/>
          <w:highlight w:val="none"/>
          <w:u w:val="single"/>
          <w:lang w:eastAsia="zh-CN"/>
        </w:rPr>
        <w:t>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09时30</w:t>
      </w:r>
      <w:r>
        <w:rPr>
          <w:rFonts w:hint="default" w:ascii="Times New Roman" w:hAnsi="Times New Roman" w:cs="Times New Roman"/>
          <w:color w:val="auto"/>
          <w:sz w:val="24"/>
          <w:szCs w:val="24"/>
          <w:highlight w:val="none"/>
          <w:u w:val="single"/>
        </w:rPr>
        <w:t>分</w:t>
      </w:r>
      <w:r>
        <w:rPr>
          <w:rFonts w:hint="default" w:ascii="Times New Roman" w:hAnsi="Times New Roman" w:cs="Times New Roman"/>
          <w:color w:val="auto"/>
          <w:sz w:val="24"/>
          <w:szCs w:val="24"/>
          <w:highlight w:val="none"/>
          <w:u w:val="single"/>
        </w:rPr>
        <w:t xml:space="preserve"> </w:t>
      </w:r>
    </w:p>
    <w:p>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eastAsia" w:ascii="Times New Roman" w:hAnsi="Times New Roman" w:cs="Times New Roman"/>
          <w:color w:val="auto"/>
          <w:sz w:val="24"/>
          <w:szCs w:val="24"/>
          <w:highlight w:val="none"/>
          <w:u w:val="single"/>
          <w:lang w:eastAsia="zh-CN"/>
        </w:rPr>
        <w:t>合肥滨湖时光空间运营管理有限公司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崔工</w:t>
      </w:r>
      <w:r>
        <w:rPr>
          <w:rFonts w:hint="default" w:ascii="Times New Roman" w:hAnsi="Times New Roman" w:eastAsia="宋体" w:cs="Times New Roman"/>
          <w:color w:val="auto"/>
          <w:kern w:val="2"/>
          <w:sz w:val="24"/>
          <w:szCs w:val="24"/>
          <w:highlight w:val="none"/>
          <w:u w:val="single"/>
          <w:lang w:val="en-US" w:eastAsia="zh-CN" w:bidi="ar-SA"/>
        </w:rPr>
        <w:t xml:space="preserve">      </w:t>
      </w:r>
    </w:p>
    <w:p>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18326167098</w:t>
      </w:r>
      <w:r>
        <w:rPr>
          <w:rFonts w:hint="default" w:ascii="Times New Roman" w:hAnsi="Times New Roman" w:eastAsia="宋体" w:cs="Times New Roman"/>
          <w:color w:val="auto"/>
          <w:sz w:val="24"/>
          <w:szCs w:val="24"/>
          <w:highlight w:val="none"/>
          <w:u w:val="single"/>
          <w:lang w:val="en-US" w:eastAsia="zh-CN"/>
        </w:rPr>
        <w:t xml:space="preserve">  </w:t>
      </w:r>
    </w:p>
    <w:p>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eastAsia" w:ascii="Times New Roman" w:hAnsi="Times New Roman" w:cs="Times New Roman"/>
                <w:b w:val="0"/>
                <w:bCs w:val="0"/>
                <w:color w:val="auto"/>
                <w:sz w:val="24"/>
                <w:szCs w:val="18"/>
                <w:highlight w:val="none"/>
                <w:lang w:eastAsia="zh-CN"/>
              </w:rPr>
              <w:t>合肥滨湖时光空间运营管理有限公司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pPr>
              <w:spacing w:line="360" w:lineRule="auto"/>
              <w:rPr>
                <w:rFonts w:hint="default" w:ascii="Times New Roman" w:hAnsi="Times New Roman" w:cs="Times New Roman"/>
                <w:bCs w:val="0"/>
                <w:color w:val="auto"/>
                <w:sz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w:t>
            </w:r>
            <w:r>
              <w:rPr>
                <w:rFonts w:hint="default" w:ascii="Times New Roman" w:hAnsi="Times New Roman" w:cs="Times New Roman"/>
                <w:bCs/>
                <w:color w:val="auto"/>
                <w:sz w:val="24"/>
                <w:szCs w:val="24"/>
                <w:highlight w:val="none"/>
              </w:rPr>
              <w:t>金来源：自筹资金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p>
        </w:tc>
        <w:tc>
          <w:tcPr>
            <w:tcW w:w="6687" w:type="dxa"/>
            <w:vAlign w:val="center"/>
          </w:tcPr>
          <w:p>
            <w:pPr>
              <w:spacing w:line="360" w:lineRule="auto"/>
              <w:rPr>
                <w:rFonts w:hint="default" w:ascii="Times New Roman" w:hAnsi="Times New Roman" w:cs="Times New Roman"/>
                <w:bCs/>
                <w:color w:val="auto"/>
                <w:sz w:val="24"/>
                <w:szCs w:val="24"/>
                <w:highlight w:val="none"/>
                <w:u w:val="single"/>
              </w:rPr>
            </w:pPr>
          </w:p>
        </w:tc>
      </w:tr>
    </w:tbl>
    <w:p>
      <w:pPr>
        <w:spacing w:line="360" w:lineRule="auto"/>
        <w:ind w:firstLine="435"/>
        <w:rPr>
          <w:rFonts w:hint="default" w:ascii="Times New Roman" w:hAnsi="Times New Roman" w:cs="Times New Roman"/>
          <w:color w:val="auto"/>
          <w:sz w:val="24"/>
          <w:szCs w:val="18"/>
          <w:highlight w:val="none"/>
        </w:rPr>
      </w:pPr>
    </w:p>
    <w:p>
      <w:pPr>
        <w:rPr>
          <w:rFonts w:hint="default" w:ascii="Times New Roman" w:hAnsi="Times New Roman" w:cs="Times New Roman"/>
          <w:b/>
          <w:color w:val="auto"/>
          <w:highlight w:val="none"/>
        </w:rPr>
      </w:pPr>
      <w:bookmarkStart w:id="13" w:name="_Toc421916975"/>
      <w:bookmarkStart w:id="14" w:name="_Toc460226989"/>
      <w:bookmarkStart w:id="15" w:name="_Toc460226720"/>
      <w:bookmarkStart w:id="16" w:name="_Toc283798416"/>
      <w:bookmarkStart w:id="17" w:name="_Toc460660062"/>
      <w:bookmarkStart w:id="18" w:name="_Toc26766"/>
      <w:bookmarkStart w:id="19" w:name="_Toc11078137"/>
      <w:r>
        <w:rPr>
          <w:rFonts w:hint="default" w:ascii="Times New Roman" w:hAnsi="Times New Roman" w:cs="Times New Roman"/>
          <w:b/>
          <w:color w:val="auto"/>
          <w:highlight w:val="none"/>
        </w:rPr>
        <w:br w:type="page"/>
      </w:r>
    </w:p>
    <w:p>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项目招标。</w:t>
      </w:r>
    </w:p>
    <w:p>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pPr>
        <w:spacing w:line="360" w:lineRule="auto"/>
        <w:ind w:firstLine="435"/>
        <w:rPr>
          <w:rFonts w:hint="default" w:ascii="Times New Roman" w:hAnsi="Times New Roman" w:cs="Times New Roman"/>
          <w:b/>
          <w:color w:val="auto"/>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第一章  </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公告</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之间与磋商有关的所有往来通知、函件和响应文件均用中文表述。投标人随响应文件提供的证明文件和资料可以为其它语言，但必须附中文译文。翻译的中文资料与外文资料如果出现差异时，以中文为准。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0"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pPr>
        <w:spacing w:line="360" w:lineRule="auto"/>
        <w:ind w:firstLine="435"/>
        <w:rPr>
          <w:rFonts w:hint="default" w:ascii="Times New Roman" w:hAnsi="Times New Roman" w:cs="Times New Roman"/>
          <w:color w:val="auto"/>
          <w:sz w:val="24"/>
          <w:highlight w:val="none"/>
        </w:rPr>
      </w:pPr>
      <w:bookmarkStart w:id="21" w:name="_Hlk24663338"/>
      <w:r>
        <w:rPr>
          <w:rFonts w:hint="default" w:ascii="Times New Roman" w:hAnsi="Times New Roman" w:cs="Times New Roman"/>
          <w:color w:val="auto"/>
          <w:sz w:val="24"/>
          <w:highlight w:val="none"/>
        </w:rPr>
        <w:t>信用信息查询时间为投标截止时间前2个工作日内。</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0"/>
    <w:bookmarkEnd w:id="21"/>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pPr>
        <w:spacing w:line="360" w:lineRule="auto"/>
        <w:ind w:firstLine="437"/>
        <w:outlineLvl w:val="3"/>
        <w:rPr>
          <w:rFonts w:hint="default" w:ascii="Times New Roman" w:hAnsi="Times New Roman" w:cs="Times New Roman"/>
          <w:b/>
          <w:color w:val="auto"/>
          <w:sz w:val="24"/>
          <w:highlight w:val="none"/>
        </w:rPr>
      </w:pPr>
      <w:bookmarkStart w:id="22" w:name="_Toc2583661"/>
      <w:bookmarkStart w:id="23" w:name="_Toc518923100"/>
      <w:r>
        <w:rPr>
          <w:rFonts w:hint="default" w:ascii="Times New Roman" w:hAnsi="Times New Roman" w:cs="Times New Roman"/>
          <w:b/>
          <w:color w:val="auto"/>
          <w:sz w:val="24"/>
          <w:highlight w:val="none"/>
        </w:rPr>
        <w:t>34.廉洁自律规定</w:t>
      </w:r>
      <w:bookmarkEnd w:id="22"/>
      <w:bookmarkEnd w:id="23"/>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pPr>
        <w:spacing w:line="360" w:lineRule="auto"/>
        <w:ind w:firstLine="437"/>
        <w:outlineLvl w:val="3"/>
        <w:rPr>
          <w:rFonts w:hint="default" w:ascii="Times New Roman" w:hAnsi="Times New Roman" w:cs="Times New Roman"/>
          <w:b/>
          <w:color w:val="auto"/>
          <w:sz w:val="24"/>
          <w:highlight w:val="none"/>
        </w:rPr>
      </w:pPr>
      <w:bookmarkStart w:id="24" w:name="_Toc2583662"/>
      <w:bookmarkStart w:id="25" w:name="_Toc518923101"/>
      <w:r>
        <w:rPr>
          <w:rFonts w:hint="default" w:ascii="Times New Roman" w:hAnsi="Times New Roman" w:cs="Times New Roman"/>
          <w:b/>
          <w:color w:val="auto"/>
          <w:sz w:val="24"/>
          <w:highlight w:val="none"/>
        </w:rPr>
        <w:t>35.人员回避</w:t>
      </w:r>
      <w:bookmarkEnd w:id="24"/>
      <w:bookmarkEnd w:id="25"/>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Times New Roman" w:hAnsi="Times New Roman" w:eastAsia="宋体" w:cs="Times New Roman"/>
                <w:b w:val="0"/>
                <w:bCs w:val="0"/>
                <w:color w:val="auto"/>
                <w:kern w:val="2"/>
                <w:sz w:val="24"/>
                <w:szCs w:val="20"/>
                <w:highlight w:val="none"/>
                <w:lang w:val="en-US" w:eastAsia="zh-CN" w:bidi="ar-SA"/>
              </w:rPr>
            </w:pPr>
            <w:r>
              <w:rPr>
                <w:rFonts w:hint="eastAsia" w:ascii="Times New Roman" w:hAnsi="Times New Roman" w:eastAsia="宋体" w:cs="Times New Roman"/>
                <w:b w:val="0"/>
                <w:bCs w:val="0"/>
                <w:color w:val="auto"/>
                <w:kern w:val="2"/>
                <w:sz w:val="24"/>
                <w:szCs w:val="20"/>
                <w:highlight w:val="none"/>
                <w:lang w:val="en-US" w:eastAsia="zh-CN" w:bidi="ar-SA"/>
              </w:rPr>
              <w:t>协议签订后20个工作日，向乙方支付首期服务费，占服务费用总额的30%作为预付款。合同签订6个月后，甲方向乙方支付年度委咨询服务费用的30%，在考核后一次性支付剩余尾款，招标人按照比例向乙方支付结算款项，中标人需提供相应服务费的增值税发票。</w:t>
            </w:r>
          </w:p>
          <w:p>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default" w:ascii="Times New Roman" w:hAnsi="Times New Roman" w:cs="Times New Roman"/>
                <w:b/>
                <w:bCs w:val="0"/>
                <w:color w:val="auto"/>
                <w:kern w:val="0"/>
                <w:sz w:val="24"/>
                <w:highlight w:val="none"/>
                <w:lang w:val="en-US"/>
              </w:rPr>
              <w:t>注：投标人提交的响应文件中如有关于付款条件的表述与磋商文件规定负偏离的，响应无效。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w:t>
            </w:r>
            <w:r>
              <w:rPr>
                <w:rStyle w:val="103"/>
                <w:rFonts w:hint="eastAsia" w:ascii="Times New Roman" w:hAnsi="Times New Roman" w:cs="Times New Roman"/>
                <w:b w:val="0"/>
                <w:color w:val="auto"/>
                <w:kern w:val="0"/>
                <w:sz w:val="24"/>
                <w:highlight w:val="none"/>
                <w:lang w:val="en-US"/>
              </w:rPr>
              <w:t>17家阅读空间</w:t>
            </w:r>
            <w:r>
              <w:rPr>
                <w:rStyle w:val="103"/>
                <w:rFonts w:hint="default" w:ascii="Times New Roman" w:hAnsi="Times New Roman" w:cs="Times New Roman"/>
                <w:b w:val="0"/>
                <w:color w:val="auto"/>
                <w:kern w:val="0"/>
                <w:sz w:val="24"/>
                <w:highlight w:val="none"/>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自合同签订之日起一年。</w:t>
            </w:r>
          </w:p>
        </w:tc>
      </w:tr>
    </w:tbl>
    <w:p>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pPr>
        <w:spacing w:line="360" w:lineRule="auto"/>
        <w:ind w:firstLine="437"/>
        <w:rPr>
          <w:rFonts w:hint="default" w:ascii="Times New Roman" w:hAnsi="Times New Roman" w:cs="Times New Roman"/>
          <w:color w:val="auto"/>
          <w:sz w:val="24"/>
          <w:szCs w:val="24"/>
          <w:highlight w:val="none"/>
          <w:u w:val="none"/>
          <w:lang w:val="en-US" w:eastAsia="zh-CN"/>
        </w:rPr>
      </w:pPr>
      <w:r>
        <w:rPr>
          <w:rFonts w:hint="eastAsia" w:ascii="宋体" w:hAnsi="宋体" w:eastAsia="宋体" w:cs="宋体"/>
          <w:color w:val="auto"/>
          <w:sz w:val="24"/>
          <w:szCs w:val="24"/>
          <w:highlight w:val="none"/>
        </w:rPr>
        <w:t>为贯彻落实安徽省委宣传部、省文旅厅《安徽省公共文化空间工程实施方案》文件要求，加强包河区</w:t>
      </w:r>
      <w:r>
        <w:rPr>
          <w:rFonts w:hint="eastAsia" w:ascii="宋体" w:hAnsi="宋体" w:eastAsia="宋体" w:cs="宋体"/>
          <w:color w:val="auto"/>
          <w:sz w:val="24"/>
          <w:szCs w:val="24"/>
          <w:highlight w:val="none"/>
          <w:lang w:val="en-US" w:eastAsia="zh-CN"/>
        </w:rPr>
        <w:t>公共文化空间建设，融合多元业态，打通可持续发展底层逻辑，探索场馆市场化经营思路，增强公共文化设施“造血”能力</w:t>
      </w:r>
      <w:r>
        <w:rPr>
          <w:rFonts w:hint="default" w:ascii="Times New Roman" w:hAnsi="Times New Roman" w:cs="Times New Roman"/>
          <w:color w:val="auto"/>
          <w:sz w:val="24"/>
          <w:szCs w:val="24"/>
          <w:highlight w:val="none"/>
          <w:u w:val="none"/>
          <w:lang w:val="en-US" w:eastAsia="zh-CN"/>
        </w:rPr>
        <w:t>。具体内容详见本项目招标文件。</w:t>
      </w:r>
    </w:p>
    <w:p>
      <w:pPr>
        <w:spacing w:line="360" w:lineRule="auto"/>
        <w:ind w:firstLine="437"/>
        <w:rPr>
          <w:rFonts w:hint="default"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lang w:val="en-US" w:eastAsia="zh-CN"/>
        </w:rPr>
        <w:t>三</w:t>
      </w:r>
      <w:r>
        <w:rPr>
          <w:rFonts w:hint="default" w:ascii="Times New Roman" w:hAnsi="Times New Roman" w:eastAsia="宋体" w:cs="Times New Roman"/>
          <w:b/>
          <w:color w:val="auto"/>
          <w:sz w:val="24"/>
          <w:szCs w:val="18"/>
          <w:highlight w:val="none"/>
          <w:lang w:val="en-US" w:eastAsia="zh-CN"/>
        </w:rPr>
        <w:t>、服务</w:t>
      </w:r>
      <w:r>
        <w:rPr>
          <w:rFonts w:hint="default" w:ascii="Times New Roman" w:hAnsi="Times New Roman" w:eastAsia="宋体" w:cs="Times New Roman"/>
          <w:b/>
          <w:color w:val="auto"/>
          <w:sz w:val="24"/>
          <w:szCs w:val="18"/>
          <w:highlight w:val="none"/>
        </w:rPr>
        <w:t>需求</w:t>
      </w:r>
    </w:p>
    <w:p>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公共文化空间咨询服务</w:t>
      </w:r>
      <w:r>
        <w:rPr>
          <w:rFonts w:hint="eastAsia" w:ascii="宋体" w:hAnsi="宋体" w:eastAsia="宋体" w:cs="宋体"/>
          <w:bCs/>
          <w:color w:val="auto"/>
          <w:sz w:val="24"/>
          <w:szCs w:val="18"/>
          <w:highlight w:val="none"/>
        </w:rPr>
        <w:t>进行招标，负责</w:t>
      </w:r>
      <w:r>
        <w:rPr>
          <w:rFonts w:hint="eastAsia" w:ascii="宋体" w:hAnsi="宋体" w:eastAsia="宋体" w:cs="宋体"/>
          <w:bCs/>
          <w:color w:val="auto"/>
          <w:sz w:val="24"/>
          <w:szCs w:val="18"/>
          <w:highlight w:val="none"/>
          <w:lang w:val="en-US" w:eastAsia="zh-CN"/>
        </w:rPr>
        <w:t>滨湖时光空间公共文化空间咨询服务</w:t>
      </w:r>
      <w:r>
        <w:rPr>
          <w:rFonts w:hint="eastAsia" w:ascii="宋体" w:hAnsi="宋体" w:eastAsia="宋体" w:cs="宋体"/>
          <w:bCs/>
          <w:color w:val="auto"/>
          <w:sz w:val="24"/>
          <w:szCs w:val="18"/>
          <w:highlight w:val="none"/>
        </w:rPr>
        <w:t>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1.1服务内容</w:t>
      </w:r>
    </w:p>
    <w:p>
      <w:pPr>
        <w:numPr>
          <w:ilvl w:val="0"/>
          <w:numId w:val="0"/>
        </w:numPr>
        <w:spacing w:line="360" w:lineRule="auto"/>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kern w:val="2"/>
          <w:sz w:val="24"/>
          <w:szCs w:val="18"/>
          <w:highlight w:val="none"/>
          <w:lang w:val="en-US" w:eastAsia="zh-CN" w:bidi="ar-SA"/>
        </w:rPr>
        <w:t>1.</w:t>
      </w:r>
      <w:r>
        <w:rPr>
          <w:rFonts w:hint="eastAsia" w:ascii="宋体" w:hAnsi="宋体" w:eastAsia="宋体" w:cs="宋体"/>
          <w:bCs/>
          <w:color w:val="auto"/>
          <w:sz w:val="24"/>
          <w:szCs w:val="18"/>
          <w:highlight w:val="none"/>
          <w:lang w:val="en-US" w:eastAsia="zh-CN"/>
        </w:rPr>
        <w:t>组织执行各空间的文化活动。</w:t>
      </w:r>
    </w:p>
    <w:p>
      <w:pPr>
        <w:numPr>
          <w:ilvl w:val="0"/>
          <w:numId w:val="0"/>
        </w:numPr>
        <w:spacing w:line="360" w:lineRule="auto"/>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kern w:val="2"/>
          <w:sz w:val="24"/>
          <w:szCs w:val="18"/>
          <w:highlight w:val="none"/>
          <w:lang w:val="en-US" w:eastAsia="zh-CN" w:bidi="ar-SA"/>
        </w:rPr>
        <w:t>2.</w:t>
      </w:r>
      <w:r>
        <w:rPr>
          <w:rFonts w:hint="eastAsia" w:ascii="宋体" w:hAnsi="宋体" w:eastAsia="宋体" w:cs="宋体"/>
          <w:bCs/>
          <w:color w:val="auto"/>
          <w:sz w:val="24"/>
          <w:szCs w:val="18"/>
          <w:highlight w:val="none"/>
          <w:lang w:val="en-US" w:eastAsia="zh-CN"/>
        </w:rPr>
        <w:t>异业合作（资源导入，各协会</w:t>
      </w:r>
      <w:r>
        <w:rPr>
          <w:rFonts w:hint="eastAsia" w:ascii="宋体" w:hAnsi="宋体" w:eastAsia="宋体" w:cs="宋体"/>
          <w:color w:val="auto"/>
          <w:sz w:val="24"/>
          <w:highlight w:val="none"/>
        </w:rPr>
        <w:t>、</w:t>
      </w:r>
      <w:r>
        <w:rPr>
          <w:rFonts w:hint="eastAsia" w:ascii="宋体" w:hAnsi="宋体" w:eastAsia="宋体" w:cs="宋体"/>
          <w:bCs/>
          <w:color w:val="auto"/>
          <w:sz w:val="24"/>
          <w:szCs w:val="18"/>
          <w:highlight w:val="none"/>
          <w:lang w:val="en-US" w:eastAsia="zh-CN"/>
        </w:rPr>
        <w:t>品牌特色挂牌入驻公共文化空间）。</w:t>
      </w:r>
    </w:p>
    <w:p>
      <w:pPr>
        <w:numPr>
          <w:ilvl w:val="0"/>
          <w:numId w:val="0"/>
        </w:numPr>
        <w:spacing w:line="360" w:lineRule="auto"/>
        <w:rPr>
          <w:rFonts w:hint="default" w:ascii="宋体" w:hAnsi="宋体" w:eastAsia="宋体" w:cs="宋体"/>
          <w:bCs/>
          <w:color w:val="auto"/>
          <w:sz w:val="24"/>
          <w:szCs w:val="18"/>
          <w:highlight w:val="none"/>
          <w:lang w:val="en-US" w:eastAsia="zh-CN"/>
        </w:rPr>
      </w:pPr>
      <w:r>
        <w:rPr>
          <w:rFonts w:hint="default" w:ascii="宋体" w:hAnsi="宋体" w:eastAsia="宋体" w:cs="宋体"/>
          <w:bCs/>
          <w:color w:val="auto"/>
          <w:kern w:val="2"/>
          <w:sz w:val="24"/>
          <w:szCs w:val="18"/>
          <w:highlight w:val="none"/>
          <w:lang w:val="en-US" w:eastAsia="zh-CN" w:bidi="ar-SA"/>
        </w:rPr>
        <w:t>3.</w:t>
      </w:r>
      <w:r>
        <w:rPr>
          <w:rFonts w:hint="eastAsia" w:ascii="宋体" w:hAnsi="宋体" w:eastAsia="宋体" w:cs="宋体"/>
          <w:bCs/>
          <w:color w:val="auto"/>
          <w:sz w:val="24"/>
          <w:szCs w:val="18"/>
          <w:highlight w:val="none"/>
          <w:lang w:val="en-US" w:eastAsia="zh-CN"/>
        </w:rPr>
        <w:t>名人名家入驻、非遗传承人入驻。</w:t>
      </w:r>
    </w:p>
    <w:p>
      <w:pPr>
        <w:numPr>
          <w:ilvl w:val="0"/>
          <w:numId w:val="0"/>
        </w:numPr>
        <w:spacing w:line="360" w:lineRule="auto"/>
        <w:rPr>
          <w:rFonts w:hint="default" w:ascii="宋体" w:hAnsi="宋体" w:eastAsia="宋体" w:cs="宋体"/>
          <w:bCs/>
          <w:color w:val="auto"/>
          <w:sz w:val="24"/>
          <w:szCs w:val="18"/>
          <w:highlight w:val="none"/>
          <w:lang w:val="en-US" w:eastAsia="zh-CN"/>
        </w:rPr>
      </w:pPr>
      <w:r>
        <w:rPr>
          <w:rFonts w:hint="default" w:ascii="宋体" w:hAnsi="宋体" w:eastAsia="宋体" w:cs="宋体"/>
          <w:bCs/>
          <w:color w:val="auto"/>
          <w:kern w:val="2"/>
          <w:sz w:val="24"/>
          <w:szCs w:val="18"/>
          <w:highlight w:val="none"/>
          <w:lang w:val="en-US" w:eastAsia="zh-CN" w:bidi="ar-SA"/>
        </w:rPr>
        <w:t>4.</w:t>
      </w:r>
      <w:r>
        <w:rPr>
          <w:rFonts w:hint="eastAsia" w:ascii="宋体" w:hAnsi="宋体" w:eastAsia="宋体" w:cs="宋体"/>
          <w:bCs/>
          <w:color w:val="auto"/>
          <w:sz w:val="24"/>
          <w:szCs w:val="18"/>
          <w:highlight w:val="none"/>
          <w:lang w:val="en-US" w:eastAsia="zh-CN"/>
        </w:rPr>
        <w:t>线上线下宣传推广公共文化空间，对接媒体资源，增加曝光度。</w:t>
      </w:r>
    </w:p>
    <w:p>
      <w:pPr>
        <w:numPr>
          <w:ilvl w:val="0"/>
          <w:numId w:val="0"/>
        </w:numPr>
        <w:spacing w:line="360" w:lineRule="auto"/>
        <w:rPr>
          <w:rFonts w:hint="eastAsia" w:ascii="宋体" w:hAnsi="宋体" w:eastAsia="宋体" w:cs="宋体"/>
          <w:bCs/>
          <w:color w:val="auto"/>
          <w:sz w:val="24"/>
          <w:szCs w:val="18"/>
          <w:highlight w:val="none"/>
          <w:lang w:val="en-US" w:eastAsia="zh-CN"/>
        </w:rPr>
      </w:pPr>
      <w:r>
        <w:rPr>
          <w:rFonts w:hint="default" w:ascii="宋体" w:hAnsi="宋体" w:eastAsia="宋体" w:cs="宋体"/>
          <w:bCs/>
          <w:color w:val="auto"/>
          <w:kern w:val="2"/>
          <w:sz w:val="24"/>
          <w:szCs w:val="18"/>
          <w:highlight w:val="none"/>
          <w:lang w:val="en-US" w:eastAsia="zh-CN" w:bidi="ar-SA"/>
        </w:rPr>
        <w:t>5.</w:t>
      </w:r>
      <w:r>
        <w:rPr>
          <w:rFonts w:hint="eastAsia" w:ascii="宋体" w:hAnsi="宋体" w:eastAsia="宋体" w:cs="宋体"/>
          <w:bCs/>
          <w:color w:val="auto"/>
          <w:sz w:val="24"/>
          <w:szCs w:val="18"/>
          <w:highlight w:val="none"/>
          <w:lang w:val="en-US" w:eastAsia="zh-CN"/>
        </w:rPr>
        <w:t>中标人在服务期限内，应牢固树立问题意识</w:t>
      </w:r>
      <w:r>
        <w:rPr>
          <w:rFonts w:hint="eastAsia" w:ascii="宋体" w:hAnsi="宋体" w:eastAsia="宋体" w:cs="宋体"/>
          <w:bCs/>
          <w:color w:val="auto"/>
          <w:sz w:val="24"/>
          <w:szCs w:val="18"/>
          <w:highlight w:val="none"/>
          <w:lang w:val="en-US" w:eastAsia="zh-CN"/>
        </w:rPr>
        <w:t>、安全意识、风险意识、责任意识、廉洁意识，全面加强防范和控制，不得收售赠礼，礼品和现金。防止出现意识形态领域问题和重大安全事故。如出现相关问题，招标人有权解除合同并进行追责。</w:t>
      </w:r>
    </w:p>
    <w:p>
      <w:pPr>
        <w:numPr>
          <w:ilvl w:val="0"/>
          <w:numId w:val="0"/>
        </w:numPr>
        <w:spacing w:line="360" w:lineRule="auto"/>
        <w:ind w:firstLine="480" w:firstLineChars="200"/>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1.2考核标准</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
        <w:gridCol w:w="596"/>
        <w:gridCol w:w="1176"/>
        <w:gridCol w:w="346"/>
        <w:gridCol w:w="1057"/>
        <w:gridCol w:w="3132"/>
        <w:gridCol w:w="695"/>
        <w:gridCol w:w="690"/>
        <w:gridCol w:w="5"/>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时光成长空间考核指标评分表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考核指标</w:t>
            </w:r>
          </w:p>
        </w:tc>
        <w:tc>
          <w:tcPr>
            <w:tcW w:w="1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指标内容</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活动打造</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活动数量指标</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策划全年集团大型活动10场（负责方案制定、活动落实执行，活动经费由时光集团支出，如集团不同意举办活动不扣分）。每次活动2分</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扣完为止</w:t>
            </w:r>
            <w:r>
              <w:rPr>
                <w:rFonts w:hint="eastAsia" w:ascii="宋体" w:hAnsi="宋体" w:cs="宋体"/>
                <w:i w:val="0"/>
                <w:iCs w:val="0"/>
                <w:color w:val="auto"/>
                <w:kern w:val="0"/>
                <w:sz w:val="24"/>
                <w:szCs w:val="24"/>
                <w:highlight w:val="none"/>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异业合作</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资源导入</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以合同签订为准，全部公共文化空间签约10家合作，其中与邻里坊合作不低4家。少一家扣2分，扣完为止.</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品牌影响</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各场馆品牌影响</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开设名家工作室不少于5家，所有名家均为全国一级演员、编导、教授等，少一家扣2分。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时光空间品牌影响</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时光空间开设特色品牌不少于三家，，如：双语小剧场 、国学剧场、票友俱乐部、少儿艺术团、时光合唱团等等。少一家扣3分，扣完为止。</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20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加分项</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品牌特色挂牌服务</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每个牌子2分，上限10分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宣传报道</w:t>
            </w:r>
          </w:p>
        </w:tc>
        <w:tc>
          <w:tcPr>
            <w:tcW w:w="1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国家级媒体报道每篇加5分。省级媒体报道每篇加3分。市级媒体报道每篇加2分，区级媒体报道每篇加1分。此项最高10分。</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57" w:type="pct"/>
          <w:wAfter w:w="414" w:type="pct"/>
          <w:trHeight w:val="300" w:hRule="atLeast"/>
        </w:trPr>
        <w:tc>
          <w:tcPr>
            <w:tcW w:w="1246"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90-100分</w:t>
            </w:r>
          </w:p>
        </w:tc>
        <w:tc>
          <w:tcPr>
            <w:tcW w:w="328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扣除服务费用总额0%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2"/>
          <w:wBefore w:w="57" w:type="pct"/>
          <w:wAfter w:w="414" w:type="pct"/>
          <w:trHeight w:val="300" w:hRule="atLeast"/>
        </w:trPr>
        <w:tc>
          <w:tcPr>
            <w:tcW w:w="1246"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80-90分</w:t>
            </w:r>
          </w:p>
        </w:tc>
        <w:tc>
          <w:tcPr>
            <w:tcW w:w="328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扣除服务费用总额</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57" w:type="pct"/>
          <w:wAfter w:w="414" w:type="pct"/>
          <w:trHeight w:val="300" w:hRule="atLeast"/>
        </w:trPr>
        <w:tc>
          <w:tcPr>
            <w:tcW w:w="1246"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70-80分</w:t>
            </w:r>
          </w:p>
        </w:tc>
        <w:tc>
          <w:tcPr>
            <w:tcW w:w="328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扣除服务费用总额</w:t>
            </w:r>
            <w:r>
              <w:rPr>
                <w:rFonts w:hint="eastAsia" w:ascii="宋体" w:hAnsi="宋体" w:cs="宋体"/>
                <w:i w:val="0"/>
                <w:iCs w:val="0"/>
                <w:color w:val="auto"/>
                <w:kern w:val="0"/>
                <w:sz w:val="24"/>
                <w:szCs w:val="24"/>
                <w:highlight w:val="none"/>
                <w:u w:val="none"/>
                <w:lang w:val="en-US" w:eastAsia="zh-CN" w:bidi="ar"/>
              </w:rPr>
              <w:t>20</w:t>
            </w: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57" w:type="pct"/>
          <w:wAfter w:w="414" w:type="pct"/>
          <w:trHeight w:val="300" w:hRule="atLeast"/>
        </w:trPr>
        <w:tc>
          <w:tcPr>
            <w:tcW w:w="1246"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60-70分</w:t>
            </w:r>
          </w:p>
        </w:tc>
        <w:tc>
          <w:tcPr>
            <w:tcW w:w="328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扣除服务费用总额</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2"/>
          <w:wBefore w:w="57" w:type="pct"/>
          <w:wAfter w:w="414" w:type="pct"/>
          <w:trHeight w:val="300" w:hRule="atLeast"/>
        </w:trPr>
        <w:tc>
          <w:tcPr>
            <w:tcW w:w="1246"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60分以下</w:t>
            </w:r>
          </w:p>
        </w:tc>
        <w:tc>
          <w:tcPr>
            <w:tcW w:w="328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扣除服务费用总额</w:t>
            </w:r>
            <w:r>
              <w:rPr>
                <w:rFonts w:hint="eastAsia" w:ascii="宋体" w:hAnsi="宋体" w:cs="宋体"/>
                <w:i w:val="0"/>
                <w:iCs w:val="0"/>
                <w:color w:val="auto"/>
                <w:kern w:val="0"/>
                <w:sz w:val="24"/>
                <w:szCs w:val="24"/>
                <w:highlight w:val="none"/>
                <w:u w:val="none"/>
                <w:lang w:val="en-US" w:eastAsia="zh-CN" w:bidi="ar"/>
              </w:rPr>
              <w:t>40</w:t>
            </w:r>
            <w:r>
              <w:rPr>
                <w:rFonts w:hint="eastAsia" w:ascii="宋体" w:hAnsi="宋体" w:eastAsia="宋体" w:cs="宋体"/>
                <w:i w:val="0"/>
                <w:iCs w:val="0"/>
                <w:color w:val="auto"/>
                <w:kern w:val="0"/>
                <w:sz w:val="24"/>
                <w:szCs w:val="24"/>
                <w:highlight w:val="none"/>
                <w:u w:val="none"/>
                <w:lang w:val="en-US" w:eastAsia="zh-CN" w:bidi="ar"/>
              </w:rPr>
              <w:t>%</w:t>
            </w:r>
          </w:p>
        </w:tc>
      </w:tr>
    </w:tbl>
    <w:p>
      <w:pPr>
        <w:numPr>
          <w:ilvl w:val="0"/>
          <w:numId w:val="0"/>
        </w:numPr>
        <w:spacing w:line="360" w:lineRule="auto"/>
        <w:ind w:firstLine="480" w:firstLineChars="200"/>
        <w:rPr>
          <w:rFonts w:hint="eastAsia" w:ascii="宋体" w:hAnsi="宋体" w:eastAsia="宋体" w:cs="宋体"/>
          <w:bCs/>
          <w:color w:val="auto"/>
          <w:sz w:val="24"/>
          <w:szCs w:val="18"/>
          <w:highlight w:val="none"/>
          <w:lang w:val="en-US" w:eastAsia="zh-CN"/>
        </w:rPr>
      </w:pPr>
    </w:p>
    <w:p>
      <w:pPr>
        <w:spacing w:line="360" w:lineRule="auto"/>
        <w:ind w:left="437"/>
        <w:rPr>
          <w:rFonts w:hint="default" w:ascii="Times New Roman" w:hAnsi="Times New Roman" w:cs="Times New Roman"/>
          <w:b/>
          <w:bCs/>
          <w:color w:val="auto"/>
          <w:sz w:val="24"/>
          <w:szCs w:val="18"/>
          <w:highlight w:val="none"/>
        </w:rPr>
      </w:pPr>
      <w:r>
        <w:rPr>
          <w:rFonts w:hint="eastAsia" w:ascii="Times New Roman" w:hAnsi="Times New Roman" w:cs="Times New Roman"/>
          <w:b/>
          <w:bCs/>
          <w:color w:val="auto"/>
          <w:sz w:val="24"/>
          <w:szCs w:val="18"/>
          <w:highlight w:val="none"/>
          <w:lang w:val="en-US" w:eastAsia="zh-CN"/>
        </w:rPr>
        <w:t>四</w:t>
      </w:r>
      <w:r>
        <w:rPr>
          <w:rFonts w:hint="default" w:ascii="Times New Roman" w:hAnsi="Times New Roman" w:cs="Times New Roman"/>
          <w:b/>
          <w:bCs/>
          <w:color w:val="auto"/>
          <w:sz w:val="24"/>
          <w:szCs w:val="18"/>
          <w:highlight w:val="none"/>
        </w:rPr>
        <w:t>、报价要求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color w:val="auto"/>
          <w:sz w:val="24"/>
          <w:szCs w:val="24"/>
          <w:highlight w:val="none"/>
          <w:u w:val="none"/>
          <w:lang w:val="en-US" w:eastAsia="zh-CN"/>
        </w:rPr>
        <w:t>本项目</w:t>
      </w:r>
      <w:r>
        <w:rPr>
          <w:rFonts w:hint="eastAsia" w:ascii="Times New Roman" w:hAnsi="Times New Roman" w:cs="Times New Roman"/>
          <w:color w:val="auto"/>
          <w:sz w:val="24"/>
          <w:szCs w:val="24"/>
          <w:highlight w:val="none"/>
          <w:u w:val="none"/>
          <w:lang w:val="en-US" w:eastAsia="zh-CN"/>
        </w:rPr>
        <w:t>为固定总价合同，</w:t>
      </w:r>
      <w:r>
        <w:rPr>
          <w:rFonts w:hint="eastAsia" w:ascii="宋体" w:hAnsi="宋体" w:eastAsia="宋体" w:cs="宋体"/>
          <w:color w:val="auto"/>
          <w:sz w:val="24"/>
          <w:szCs w:val="24"/>
          <w:highlight w:val="none"/>
          <w:lang w:val="en-US" w:eastAsia="zh-CN"/>
        </w:rPr>
        <w:t>投标人投标报价不得高于最高限价，本项目最高限价26万，否则报价无效。</w:t>
      </w:r>
    </w:p>
    <w:p>
      <w:pPr>
        <w:spacing w:line="360" w:lineRule="auto"/>
        <w:ind w:left="437"/>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eastAsia="宋体" w:cs="Times New Roman"/>
          <w:b/>
          <w:bCs/>
          <w:color w:val="auto"/>
          <w:sz w:val="24"/>
          <w:szCs w:val="18"/>
          <w:highlight w:val="none"/>
          <w:lang w:val="en-US" w:eastAsia="zh-CN"/>
        </w:rPr>
        <w:t>五</w:t>
      </w:r>
      <w:r>
        <w:rPr>
          <w:rFonts w:hint="default" w:ascii="Times New Roman" w:hAnsi="Times New Roman" w:eastAsia="宋体" w:cs="Times New Roman"/>
          <w:b/>
          <w:bCs/>
          <w:color w:val="auto"/>
          <w:sz w:val="24"/>
          <w:szCs w:val="18"/>
          <w:highlight w:val="none"/>
          <w:lang w:val="en-US" w:eastAsia="zh-CN"/>
        </w:rPr>
        <w:t>、其他要求</w:t>
      </w:r>
    </w:p>
    <w:p>
      <w:pPr>
        <w:spacing w:line="360" w:lineRule="auto"/>
        <w:ind w:firstLine="480" w:firstLineChars="200"/>
        <w:rPr>
          <w:rFonts w:hint="eastAsia" w:ascii="宋体" w:hAnsi="宋体" w:eastAsia="宋体"/>
          <w:bCs/>
          <w:color w:val="auto"/>
          <w:sz w:val="24"/>
          <w:szCs w:val="18"/>
          <w:highlight w:val="none"/>
        </w:rPr>
      </w:pPr>
      <w:bookmarkStart w:id="26" w:name="_Toc7286"/>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、中标人</w:t>
      </w:r>
      <w:r>
        <w:rPr>
          <w:rFonts w:hint="eastAsia" w:ascii="宋体" w:hAnsi="宋体" w:eastAsia="宋体"/>
          <w:bCs/>
          <w:color w:val="auto"/>
          <w:sz w:val="24"/>
          <w:szCs w:val="18"/>
          <w:highlight w:val="none"/>
          <w:lang w:val="en-US" w:eastAsia="zh-CN"/>
        </w:rPr>
        <w:t>的服务项目</w:t>
      </w:r>
      <w:r>
        <w:rPr>
          <w:rFonts w:hint="eastAsia" w:ascii="宋体" w:hAnsi="宋体" w:eastAsia="宋体"/>
          <w:bCs/>
          <w:color w:val="auto"/>
          <w:sz w:val="24"/>
          <w:szCs w:val="18"/>
          <w:highlight w:val="none"/>
        </w:rPr>
        <w:t>，须在业务范围或经营许可范围内，不得超范围经营。</w:t>
      </w:r>
    </w:p>
    <w:p>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、因</w:t>
      </w:r>
      <w:r>
        <w:rPr>
          <w:rFonts w:hint="eastAsia" w:ascii="宋体" w:hAnsi="宋体" w:eastAsia="宋体"/>
          <w:bCs/>
          <w:color w:val="auto"/>
          <w:sz w:val="24"/>
          <w:szCs w:val="18"/>
          <w:highlight w:val="none"/>
        </w:rPr>
        <w:t>上级政策原因需要提前终止合作，合同自行终止</w:t>
      </w:r>
      <w:r>
        <w:rPr>
          <w:rFonts w:hint="eastAsia" w:ascii="宋体" w:hAnsi="宋体" w:eastAsia="宋体"/>
          <w:bCs/>
          <w:color w:val="auto"/>
          <w:sz w:val="24"/>
          <w:szCs w:val="18"/>
          <w:highlight w:val="none"/>
        </w:rPr>
        <w:t>，双方互不补偿由此产生的损失。</w:t>
      </w:r>
    </w:p>
    <w:p>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、由于不可抗力导致合同不能履行的，</w:t>
      </w:r>
      <w:bookmarkStart w:id="27" w:name="OLE_LINK11"/>
      <w:r>
        <w:rPr>
          <w:rFonts w:hint="eastAsia" w:ascii="宋体" w:hAnsi="宋体" w:eastAsia="宋体"/>
          <w:bCs/>
          <w:color w:val="auto"/>
          <w:sz w:val="24"/>
          <w:szCs w:val="18"/>
          <w:highlight w:val="none"/>
        </w:rPr>
        <w:t>甲乙双方互不承担违约责任</w:t>
      </w:r>
      <w:bookmarkEnd w:id="27"/>
      <w:r>
        <w:rPr>
          <w:rFonts w:hint="eastAsia" w:ascii="宋体" w:hAnsi="宋体" w:eastAsia="宋体"/>
          <w:bCs/>
          <w:color w:val="auto"/>
          <w:sz w:val="24"/>
          <w:szCs w:val="18"/>
          <w:highlight w:val="none"/>
        </w:rPr>
        <w:t>，受不可抗力影响的一方应及时书面通知对方。</w:t>
      </w:r>
    </w:p>
    <w:p>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、如因上级主管部门要求或其他政策性原因导致招标人不再负责包河区</w:t>
      </w:r>
      <w:r>
        <w:rPr>
          <w:rFonts w:hint="eastAsia" w:ascii="宋体" w:hAnsi="宋体" w:eastAsia="宋体"/>
          <w:bCs/>
          <w:color w:val="auto"/>
          <w:sz w:val="24"/>
          <w:szCs w:val="18"/>
          <w:highlight w:val="none"/>
          <w:lang w:val="en-US" w:eastAsia="zh-CN"/>
        </w:rPr>
        <w:t>公共阅读空间</w:t>
      </w:r>
      <w:r>
        <w:rPr>
          <w:rFonts w:hint="eastAsia" w:ascii="宋体" w:hAnsi="宋体" w:eastAsia="宋体"/>
          <w:bCs/>
          <w:color w:val="auto"/>
          <w:sz w:val="24"/>
          <w:szCs w:val="18"/>
          <w:highlight w:val="none"/>
        </w:rPr>
        <w:t>运营等相关事宜，合同自动失效。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如中标人在履行合同期间内，因中标人原因退出</w:t>
      </w:r>
      <w:r>
        <w:rPr>
          <w:rFonts w:hint="eastAsia" w:ascii="宋体" w:hAnsi="宋体" w:eastAsia="宋体"/>
          <w:bCs/>
          <w:color w:val="auto"/>
          <w:sz w:val="24"/>
          <w:szCs w:val="18"/>
          <w:highlight w:val="none"/>
          <w:lang w:eastAsia="zh-CN"/>
        </w:rPr>
        <w:t>本项目</w:t>
      </w:r>
      <w:r>
        <w:rPr>
          <w:rFonts w:hint="eastAsia" w:ascii="宋体" w:hAnsi="宋体" w:eastAsia="宋体"/>
          <w:bCs/>
          <w:color w:val="auto"/>
          <w:sz w:val="24"/>
          <w:szCs w:val="18"/>
          <w:highlight w:val="none"/>
        </w:rPr>
        <w:t>的，招标人有权解除合同，甲方不承担违约责任，乙方在解除合同前需将</w:t>
      </w:r>
      <w:r>
        <w:rPr>
          <w:rFonts w:hint="eastAsia" w:ascii="宋体" w:hAnsi="宋体" w:eastAsia="宋体"/>
          <w:bCs/>
          <w:color w:val="auto"/>
          <w:sz w:val="24"/>
          <w:szCs w:val="18"/>
          <w:highlight w:val="none"/>
          <w:lang w:val="en-US" w:eastAsia="zh-CN"/>
        </w:rPr>
        <w:t>现场所有前期投放的产品、陈列设施等7个工作日内完成撤场</w:t>
      </w:r>
      <w:r>
        <w:rPr>
          <w:rFonts w:hint="eastAsia" w:ascii="宋体" w:hAnsi="宋体" w:eastAsia="宋体"/>
          <w:bCs/>
          <w:color w:val="auto"/>
          <w:sz w:val="24"/>
          <w:szCs w:val="18"/>
          <w:highlight w:val="none"/>
        </w:rPr>
        <w:t>。</w:t>
      </w:r>
    </w:p>
    <w:p>
      <w:pPr>
        <w:spacing w:line="360" w:lineRule="auto"/>
        <w:jc w:val="center"/>
        <w:outlineLvl w:val="1"/>
        <w:rPr>
          <w:rFonts w:hint="default" w:ascii="Times New Roman" w:hAnsi="Times New Roman" w:cs="Times New Roman"/>
          <w:b/>
          <w:color w:val="auto"/>
          <w:sz w:val="28"/>
          <w:highlight w:val="none"/>
        </w:rPr>
      </w:pPr>
    </w:p>
    <w:p>
      <w:pPr>
        <w:spacing w:line="360" w:lineRule="auto"/>
        <w:jc w:val="center"/>
        <w:outlineLvl w:val="1"/>
        <w:rPr>
          <w:rFonts w:hint="default" w:ascii="Times New Roman" w:hAnsi="Times New Roman" w:cs="Times New Roman"/>
          <w:b/>
          <w:color w:val="auto"/>
          <w:sz w:val="28"/>
          <w:highlight w:val="none"/>
        </w:rPr>
      </w:pPr>
    </w:p>
    <w:p>
      <w:pPr>
        <w:spacing w:line="360" w:lineRule="auto"/>
        <w:jc w:val="center"/>
        <w:outlineLvl w:val="1"/>
        <w:rPr>
          <w:rFonts w:hint="default" w:ascii="Times New Roman" w:hAnsi="Times New Roman" w:cs="Times New Roman"/>
          <w:b/>
          <w:color w:val="auto"/>
          <w:sz w:val="28"/>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pPr>
              <w:spacing w:after="50" w:line="360" w:lineRule="auto"/>
              <w:ind w:right="-10" w:rightChars="0"/>
              <w:jc w:val="center"/>
              <w:rPr>
                <w:rFonts w:hint="eastAsia"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pPr>
              <w:spacing w:after="50" w:line="360" w:lineRule="auto"/>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pPr>
              <w:adjustRightInd w:val="0"/>
              <w:snapToGrid w:val="0"/>
              <w:spacing w:line="360" w:lineRule="auto"/>
              <w:ind w:right="-10" w:rightChars="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pPr>
        <w:spacing w:line="360" w:lineRule="auto"/>
        <w:rPr>
          <w:rFonts w:hint="default" w:ascii="Times New Roman" w:hAnsi="Times New Roman" w:cs="Times New Roman"/>
          <w:color w:val="auto"/>
          <w:sz w:val="24"/>
          <w:highlight w:val="none"/>
        </w:rPr>
      </w:pP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投标人报价</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p>
        </w:tc>
        <w:tc>
          <w:tcPr>
            <w:tcW w:w="2117"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pPr>
        <w:pStyle w:val="58"/>
        <w:ind w:left="0" w:leftChars="0" w:firstLine="0" w:firstLineChars="0"/>
        <w:rPr>
          <w:rFonts w:hint="default"/>
          <w:color w:val="auto"/>
          <w:highlight w:val="none"/>
        </w:rPr>
      </w:pPr>
    </w:p>
    <w:p>
      <w:pPr>
        <w:spacing w:line="360" w:lineRule="auto"/>
        <w:ind w:firstLine="435"/>
        <w:rPr>
          <w:rFonts w:hint="default" w:ascii="Times New Roman" w:hAnsi="Times New Roman" w:cs="Times New Roman"/>
          <w:color w:val="auto"/>
          <w:sz w:val="24"/>
          <w:highlight w:val="none"/>
        </w:rPr>
      </w:pPr>
      <w:bookmarkStart w:id="28" w:name="_Toc66363490"/>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w:t>
      </w:r>
      <w:r>
        <w:rPr>
          <w:rFonts w:hint="eastAsia" w:ascii="Times New Roman" w:hAnsi="Times New Roman" w:cs="Times New Roman"/>
          <w:color w:val="auto"/>
          <w:sz w:val="24"/>
          <w:highlight w:val="none"/>
          <w:lang w:val="en-US" w:eastAsia="zh-CN"/>
        </w:rPr>
        <w:t>综合评分</w:t>
      </w:r>
      <w:r>
        <w:rPr>
          <w:rFonts w:hint="default" w:ascii="Times New Roman" w:hAnsi="Times New Roman" w:cs="Times New Roman"/>
          <w:color w:val="auto"/>
          <w:sz w:val="24"/>
          <w:highlight w:val="none"/>
        </w:rPr>
        <w:t>法</w:t>
      </w:r>
    </w:p>
    <w:p>
      <w:pPr>
        <w:adjustRightInd w:val="0"/>
        <w:spacing w:line="360" w:lineRule="auto"/>
        <w:ind w:firstLine="480" w:firstLineChars="200"/>
        <w:jc w:val="left"/>
        <w:outlineLvl w:val="1"/>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综合评分</w:t>
      </w:r>
      <w:r>
        <w:rPr>
          <w:rFonts w:hint="default" w:ascii="Times New Roman" w:hAnsi="Times New Roman" w:cs="Times New Roman"/>
          <w:color w:val="auto"/>
          <w:sz w:val="24"/>
          <w:highlight w:val="none"/>
        </w:rPr>
        <w:t>法，是指</w:t>
      </w:r>
      <w:r>
        <w:rPr>
          <w:rFonts w:hint="default" w:ascii="Times New Roman" w:hAnsi="Times New Roman" w:cs="Times New Roman"/>
          <w:color w:val="auto"/>
          <w:sz w:val="24"/>
          <w:highlight w:val="none"/>
          <w:lang w:val="en-US" w:eastAsia="zh-CN"/>
        </w:rPr>
        <w:t>将通过资格审查及符合性审查且</w:t>
      </w:r>
      <w:r>
        <w:rPr>
          <w:rFonts w:hint="eastAsia" w:ascii="Times New Roman" w:hAnsi="Times New Roman" w:cs="Times New Roman"/>
          <w:color w:val="auto"/>
          <w:sz w:val="24"/>
          <w:highlight w:val="none"/>
          <w:lang w:val="en-US" w:eastAsia="zh-CN"/>
        </w:rPr>
        <w:t>综合得分</w:t>
      </w:r>
      <w:r>
        <w:rPr>
          <w:rFonts w:hint="default" w:ascii="Times New Roman" w:hAnsi="Times New Roman" w:cs="Times New Roman"/>
          <w:color w:val="auto"/>
          <w:sz w:val="24"/>
          <w:highlight w:val="none"/>
          <w:lang w:val="en-US" w:eastAsia="zh-CN"/>
        </w:rPr>
        <w:t>最</w:t>
      </w:r>
      <w:r>
        <w:rPr>
          <w:rFonts w:hint="eastAsia" w:ascii="Times New Roman" w:hAnsi="Times New Roman" w:cs="Times New Roman"/>
          <w:color w:val="auto"/>
          <w:sz w:val="24"/>
          <w:highlight w:val="none"/>
          <w:lang w:val="en-US" w:eastAsia="zh-CN"/>
        </w:rPr>
        <w:t>高</w:t>
      </w:r>
      <w:r>
        <w:rPr>
          <w:rFonts w:hint="default" w:ascii="Times New Roman" w:hAnsi="Times New Roman" w:cs="Times New Roman"/>
          <w:color w:val="auto"/>
          <w:sz w:val="24"/>
          <w:highlight w:val="none"/>
          <w:lang w:val="en-US" w:eastAsia="zh-CN"/>
        </w:rPr>
        <w:t>的投标人作为第一中标候选人。</w:t>
      </w:r>
    </w:p>
    <w:p>
      <w:pPr>
        <w:adjustRightInd w:val="0"/>
        <w:spacing w:line="360" w:lineRule="auto"/>
        <w:ind w:firstLine="480" w:firstLineChars="200"/>
        <w:jc w:val="left"/>
        <w:outlineLvl w:val="1"/>
        <w:rPr>
          <w:color w:val="auto"/>
          <w:highlight w:val="none"/>
        </w:rPr>
      </w:pPr>
      <w:r>
        <w:rPr>
          <w:rFonts w:hint="eastAsia" w:ascii="Times New Roman" w:hAnsi="Times New Roman" w:cs="Times New Roman"/>
          <w:color w:val="auto"/>
          <w:sz w:val="24"/>
          <w:highlight w:val="none"/>
          <w:lang w:val="en-US" w:eastAsia="zh-CN"/>
        </w:rPr>
        <w:t>2.3.1商务标评审内容及标准</w:t>
      </w:r>
    </w:p>
    <w:p>
      <w:pPr>
        <w:adjustRightInd w:val="0"/>
        <w:spacing w:line="360" w:lineRule="auto"/>
        <w:ind w:firstLine="480" w:firstLineChars="200"/>
        <w:jc w:val="left"/>
        <w:outlineLvl w:val="1"/>
        <w:rPr>
          <w:rFonts w:hint="eastAsia"/>
          <w:color w:val="auto"/>
          <w:highlight w:val="none"/>
          <w:lang w:val="en-US" w:eastAsia="zh-CN"/>
        </w:rPr>
      </w:pPr>
      <w:r>
        <w:rPr>
          <w:rFonts w:hint="eastAsia" w:ascii="宋体" w:hAnsi="宋体" w:eastAsia="宋体" w:cs="宋体"/>
          <w:color w:val="auto"/>
          <w:sz w:val="24"/>
          <w:highlight w:val="none"/>
        </w:rPr>
        <w:t>本项目综合评分</w:t>
      </w:r>
      <w:r>
        <w:rPr>
          <w:rFonts w:hint="eastAsia" w:ascii="宋体" w:hAnsi="宋体" w:eastAsia="宋体" w:cs="宋体"/>
          <w:color w:val="auto"/>
          <w:sz w:val="24"/>
          <w:highlight w:val="none"/>
        </w:rPr>
        <w:t>满分为100分，其中：技术资信分值占总分值的权重为</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40</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具体评分细则如下：</w:t>
      </w:r>
    </w:p>
    <w:tbl>
      <w:tblPr>
        <w:tblStyle w:val="4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pPr>
              <w:spacing w:line="596" w:lineRule="exact"/>
              <w:rPr>
                <w:rFonts w:eastAsia="仿宋_GB2312"/>
                <w:color w:val="auto"/>
                <w:spacing w:val="-20"/>
                <w:sz w:val="32"/>
                <w:szCs w:val="32"/>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rPr>
              <w:t>分）</w:t>
            </w:r>
          </w:p>
          <w:p>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line="400" w:lineRule="atLeast"/>
              <w:ind w:right="-1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rPr>
              <w:t>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每运营一个场馆，每提供1个合同，得5分,总分10分。</w:t>
            </w:r>
          </w:p>
          <w:p>
            <w:pPr>
              <w:numPr>
                <w:ilvl w:val="0"/>
                <w:numId w:val="2"/>
              </w:numPr>
              <w:spacing w:line="400" w:lineRule="atLeast"/>
              <w:ind w:right="-11"/>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rPr>
              <w:t>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每承办一次省级活动，提供一个合同，得5分</w:t>
            </w:r>
            <w:r>
              <w:rPr>
                <w:rFonts w:hint="eastAsia" w:ascii="宋体" w:hAnsi="宋体" w:eastAsia="宋体" w:cs="宋体"/>
                <w:color w:val="auto"/>
                <w:sz w:val="24"/>
                <w:szCs w:val="24"/>
                <w:highlight w:val="none"/>
                <w:lang w:val="en-US" w:eastAsia="zh-CN"/>
              </w:rPr>
              <w:t>,总分10分</w:t>
            </w:r>
            <w:r>
              <w:rPr>
                <w:rFonts w:hint="eastAsia" w:ascii="宋体" w:hAnsi="宋体" w:eastAsia="宋体" w:cs="宋体"/>
                <w:color w:val="auto"/>
                <w:sz w:val="24"/>
                <w:szCs w:val="24"/>
                <w:highlight w:val="none"/>
                <w:lang w:val="en-US" w:eastAsia="zh-CN"/>
              </w:rPr>
              <w:t>。</w:t>
            </w:r>
          </w:p>
          <w:p>
            <w:pPr>
              <w:numPr>
                <w:ilvl w:val="0"/>
                <w:numId w:val="2"/>
              </w:numPr>
              <w:spacing w:line="400" w:lineRule="atLeast"/>
              <w:ind w:right="-11"/>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rPr>
              <w:t>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与第三方咨询服务合作（</w:t>
            </w:r>
            <w:r>
              <w:rPr>
                <w:rFonts w:hint="eastAsia" w:ascii="宋体" w:hAnsi="宋体" w:eastAsia="宋体" w:cs="宋体"/>
                <w:bCs/>
                <w:color w:val="auto"/>
                <w:sz w:val="24"/>
                <w:szCs w:val="18"/>
                <w:highlight w:val="none"/>
                <w:lang w:val="en-US" w:eastAsia="zh-CN"/>
              </w:rPr>
              <w:t>协会</w:t>
            </w:r>
            <w:r>
              <w:rPr>
                <w:rFonts w:hint="eastAsia" w:ascii="宋体" w:hAnsi="宋体" w:eastAsia="宋体" w:cs="宋体"/>
                <w:color w:val="auto"/>
                <w:sz w:val="24"/>
                <w:highlight w:val="none"/>
              </w:rPr>
              <w:t>、</w:t>
            </w:r>
            <w:r>
              <w:rPr>
                <w:rFonts w:hint="eastAsia" w:ascii="宋体" w:hAnsi="宋体" w:eastAsia="宋体" w:cs="宋体"/>
                <w:bCs/>
                <w:color w:val="auto"/>
                <w:sz w:val="24"/>
                <w:szCs w:val="18"/>
                <w:highlight w:val="none"/>
                <w:lang w:val="en-US" w:eastAsia="zh-CN"/>
              </w:rPr>
              <w:t>品牌特色挂牌入驻公共文化空间</w:t>
            </w:r>
            <w:r>
              <w:rPr>
                <w:rFonts w:hint="eastAsia" w:ascii="宋体" w:hAnsi="宋体" w:eastAsia="宋体" w:cs="宋体"/>
                <w:color w:val="auto"/>
                <w:sz w:val="24"/>
                <w:szCs w:val="24"/>
                <w:highlight w:val="none"/>
                <w:lang w:val="en-US" w:eastAsia="zh-CN"/>
              </w:rPr>
              <w:t>），每提供一个得5分</w:t>
            </w:r>
            <w:r>
              <w:rPr>
                <w:rFonts w:hint="eastAsia" w:ascii="宋体" w:hAnsi="宋体" w:eastAsia="宋体" w:cs="宋体"/>
                <w:color w:val="auto"/>
                <w:sz w:val="24"/>
                <w:szCs w:val="24"/>
                <w:highlight w:val="none"/>
                <w:lang w:val="en-US" w:eastAsia="zh-CN"/>
              </w:rPr>
              <w:t>,总分10分</w:t>
            </w:r>
            <w:r>
              <w:rPr>
                <w:rFonts w:hint="eastAsia" w:ascii="宋体" w:hAnsi="宋体" w:eastAsia="宋体" w:cs="宋体"/>
                <w:color w:val="auto"/>
                <w:sz w:val="24"/>
                <w:szCs w:val="24"/>
                <w:highlight w:val="none"/>
                <w:lang w:val="en-US" w:eastAsia="zh-CN"/>
              </w:rPr>
              <w:t>。</w:t>
            </w:r>
          </w:p>
          <w:p>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numPr>
                <w:ilvl w:val="0"/>
                <w:numId w:val="3"/>
              </w:num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本项满分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0-30</w:t>
            </w:r>
            <w:r>
              <w:rPr>
                <w:rFonts w:hint="eastAsia" w:ascii="宋体" w:hAnsi="宋体" w:eastAsia="宋体" w:cs="宋体"/>
                <w:b/>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已合作的名人名家</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ind w:right="-1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提供公司已签约名人名家名单、协议及聘书（有效期内），一级职称得4分、二级职称资质得3分，满分20分。</w:t>
            </w:r>
          </w:p>
          <w:p>
            <w:pPr>
              <w:spacing w:line="400" w:lineRule="atLeast"/>
              <w:ind w:right="-1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cs="宋体"/>
                <w:b/>
                <w:bCs/>
                <w:color w:val="auto"/>
                <w:sz w:val="24"/>
                <w:szCs w:val="24"/>
                <w:highlight w:val="none"/>
                <w:lang w:val="en-US" w:eastAsia="zh-CN"/>
              </w:rPr>
              <w:t>以上</w:t>
            </w:r>
            <w:r>
              <w:rPr>
                <w:rFonts w:hint="eastAsia" w:ascii="宋体" w:hAnsi="宋体" w:eastAsia="宋体" w:cs="宋体"/>
                <w:b/>
                <w:bCs/>
                <w:color w:val="auto"/>
                <w:sz w:val="24"/>
                <w:szCs w:val="24"/>
                <w:highlight w:val="none"/>
                <w:lang w:val="en-US" w:eastAsia="zh-CN"/>
              </w:rPr>
              <w:t>名人名家</w:t>
            </w:r>
            <w:r>
              <w:rPr>
                <w:rFonts w:hint="eastAsia" w:ascii="宋体" w:hAnsi="宋体" w:cs="宋体"/>
                <w:b/>
                <w:bCs/>
                <w:color w:val="auto"/>
                <w:sz w:val="24"/>
                <w:szCs w:val="24"/>
                <w:highlight w:val="none"/>
                <w:lang w:val="en-US" w:eastAsia="zh-CN"/>
              </w:rPr>
              <w:t>名单</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协议</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聘书都需同时提供齐全，且名人名家</w:t>
            </w:r>
            <w:r>
              <w:rPr>
                <w:rFonts w:hint="eastAsia" w:ascii="宋体" w:hAnsi="宋体" w:eastAsia="宋体" w:cs="宋体"/>
                <w:b/>
                <w:bCs/>
                <w:color w:val="auto"/>
                <w:sz w:val="24"/>
                <w:szCs w:val="24"/>
                <w:highlight w:val="none"/>
                <w:lang w:val="en-US" w:eastAsia="zh-CN"/>
              </w:rPr>
              <w:t>需有国家一级职称或二级职称（演员、导演、教授等）。</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创意文化服务方案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投标方具有设计创意文创的经验，提供做过的相关案例。</w:t>
            </w:r>
            <w:r>
              <w:rPr>
                <w:rFonts w:hint="eastAsia" w:ascii="宋体" w:hAnsi="宋体" w:eastAsia="宋体" w:cs="宋体"/>
                <w:color w:val="auto"/>
                <w:sz w:val="24"/>
                <w:szCs w:val="24"/>
                <w:highlight w:val="none"/>
              </w:rPr>
              <w:t>由评标委员会进行综合评审：</w:t>
            </w:r>
          </w:p>
          <w:p>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eastAsia="zh-CN"/>
              </w:rPr>
              <w:t>10</w:t>
            </w:r>
            <w:r>
              <w:rPr>
                <w:rFonts w:hint="eastAsia" w:ascii="宋体" w:hAnsi="宋体" w:eastAsia="宋体" w:cs="宋体"/>
                <w:b/>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40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价格分统一采用低价优先法（投标人报价越</w:t>
            </w:r>
            <w:r>
              <w:rPr>
                <w:rFonts w:hint="eastAsia" w:ascii="宋体" w:hAnsi="宋体" w:eastAsia="宋体" w:cs="宋体"/>
                <w:color w:val="auto"/>
                <w:sz w:val="24"/>
                <w:highlight w:val="none"/>
                <w:lang w:val="en-US" w:eastAsia="zh-CN"/>
              </w:rPr>
              <w:t>低</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价格分</w:t>
            </w:r>
            <w:r>
              <w:rPr>
                <w:rFonts w:hint="eastAsia" w:ascii="宋体" w:hAnsi="宋体" w:eastAsia="宋体" w:cs="宋体"/>
                <w:color w:val="auto"/>
                <w:sz w:val="24"/>
                <w:highlight w:val="none"/>
              </w:rPr>
              <w:t>越高），按照报价，即满足磋商文件要求且投标人分成比例最</w:t>
            </w:r>
            <w:r>
              <w:rPr>
                <w:rFonts w:hint="eastAsia" w:ascii="宋体" w:hAnsi="宋体" w:eastAsia="宋体" w:cs="宋体"/>
                <w:color w:val="auto"/>
                <w:sz w:val="24"/>
                <w:highlight w:val="none"/>
                <w:lang w:val="en-US" w:eastAsia="zh-CN"/>
              </w:rPr>
              <w:t>低</w:t>
            </w:r>
            <w:r>
              <w:rPr>
                <w:rFonts w:hint="eastAsia" w:ascii="宋体" w:hAnsi="宋体" w:eastAsia="宋体" w:cs="宋体"/>
                <w:color w:val="auto"/>
                <w:sz w:val="24"/>
                <w:highlight w:val="none"/>
              </w:rPr>
              <w:t>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40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40</w:t>
            </w:r>
          </w:p>
        </w:tc>
      </w:tr>
    </w:tbl>
    <w:p>
      <w:pPr>
        <w:pStyle w:val="39"/>
        <w:ind w:left="0" w:leftChars="0" w:firstLine="0" w:firstLineChars="0"/>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pStyle w:val="39"/>
        <w:rPr>
          <w:rFonts w:hint="default" w:ascii="Times New Roman" w:hAnsi="Times New Roman" w:cs="Times New Roman"/>
          <w:color w:val="auto"/>
          <w:highlight w:val="none"/>
        </w:rPr>
      </w:pPr>
    </w:p>
    <w:p>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28"/>
    </w:p>
    <w:p>
      <w:pPr>
        <w:spacing w:line="360" w:lineRule="auto"/>
        <w:rPr>
          <w:rFonts w:hint="default" w:ascii="Times New Roman" w:hAnsi="Times New Roman" w:cs="Times New Roman"/>
          <w:color w:val="auto"/>
          <w:szCs w:val="21"/>
          <w:highlight w:val="none"/>
          <w:lang w:bidi="ar"/>
        </w:rPr>
      </w:pPr>
    </w:p>
    <w:p>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pPr>
        <w:spacing w:line="480" w:lineRule="auto"/>
        <w:jc w:val="center"/>
        <w:rPr>
          <w:rFonts w:hint="default" w:ascii="Times New Roman" w:hAnsi="Times New Roman" w:cs="Times New Roman"/>
          <w:b/>
          <w:color w:val="auto"/>
          <w:sz w:val="24"/>
          <w:highlight w:val="none"/>
        </w:rPr>
      </w:pPr>
    </w:p>
    <w:p>
      <w:pPr>
        <w:spacing w:line="480" w:lineRule="auto"/>
        <w:jc w:val="center"/>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pPr>
        <w:spacing w:line="480" w:lineRule="auto"/>
        <w:rPr>
          <w:rFonts w:hint="default" w:ascii="Times New Roman" w:hAnsi="Times New Roman" w:cs="Times New Roman"/>
          <w:b/>
          <w:color w:val="auto"/>
          <w:sz w:val="24"/>
          <w:highlight w:val="none"/>
        </w:rPr>
      </w:pPr>
    </w:p>
    <w:p>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宋体" w:hAnsi="宋体" w:eastAsia="宋体" w:cs="宋体"/>
          <w:color w:val="auto"/>
          <w:sz w:val="24"/>
          <w:highlight w:val="none"/>
          <w:u w:val="single"/>
        </w:rPr>
        <w:t>包河区</w:t>
      </w:r>
      <w:r>
        <w:rPr>
          <w:rFonts w:hint="eastAsia" w:ascii="宋体" w:hAnsi="宋体" w:eastAsia="宋体" w:cs="宋体"/>
          <w:color w:val="auto"/>
          <w:sz w:val="24"/>
          <w:highlight w:val="none"/>
          <w:u w:val="single"/>
          <w:lang w:val="en-US" w:eastAsia="zh-CN"/>
        </w:rPr>
        <w:t>公共文化空间咨询服务</w:t>
      </w:r>
      <w:r>
        <w:rPr>
          <w:rFonts w:hint="eastAsia" w:ascii="宋体" w:hAnsi="宋体" w:eastAsia="宋体" w:cs="宋体"/>
          <w:color w:val="auto"/>
          <w:sz w:val="24"/>
          <w:highlight w:val="none"/>
          <w:u w:val="single"/>
        </w:rPr>
        <w:t>采购招标</w:t>
      </w:r>
    </w:p>
    <w:p>
      <w:pPr>
        <w:spacing w:before="120" w:line="480" w:lineRule="auto"/>
        <w:ind w:left="960"/>
        <w:rPr>
          <w:rFonts w:hint="eastAsia"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eastAsia" w:ascii="宋体" w:hAnsi="宋体" w:eastAsia="宋体" w:cs="宋体"/>
          <w:b/>
          <w:bCs/>
          <w:color w:val="auto"/>
          <w:sz w:val="24"/>
          <w:szCs w:val="18"/>
          <w:highlight w:val="none"/>
          <w:u w:val="single"/>
          <w:lang w:val="en-US" w:eastAsia="zh-CN"/>
        </w:rPr>
        <w:t xml:space="preserve"> BHSG-ZTB-2025-29                  </w:t>
      </w:r>
    </w:p>
    <w:p>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eastAsia" w:ascii="Times New Roman" w:hAnsi="Times New Roman" w:cs="Times New Roman"/>
          <w:b w:val="0"/>
          <w:bCs w:val="0"/>
          <w:color w:val="auto"/>
          <w:sz w:val="24"/>
          <w:szCs w:val="18"/>
          <w:highlight w:val="none"/>
          <w:u w:val="single"/>
          <w:lang w:eastAsia="zh-CN"/>
        </w:rPr>
        <w:t>合肥滨湖时光空间运营管理有限公司</w:t>
      </w:r>
    </w:p>
    <w:p>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hint="default" w:ascii="Times New Roman" w:hAnsi="Times New Roman" w:cs="Times New Roman"/>
          <w:b/>
          <w:bCs/>
          <w:color w:val="auto"/>
          <w:sz w:val="24"/>
          <w:highlight w:val="none"/>
          <w:lang w:val="zh-CN"/>
        </w:rPr>
      </w:pPr>
      <w:bookmarkStart w:id="29" w:name="_Toc24059"/>
      <w:bookmarkStart w:id="30" w:name="_Toc2232"/>
      <w:bookmarkStart w:id="31" w:name="_Toc3029"/>
      <w:r>
        <w:rPr>
          <w:rFonts w:hint="default" w:ascii="Times New Roman" w:hAnsi="Times New Roman" w:cs="Times New Roman"/>
          <w:b/>
          <w:bCs/>
          <w:color w:val="auto"/>
          <w:sz w:val="24"/>
          <w:highlight w:val="none"/>
          <w:lang w:val="zh-CN"/>
        </w:rPr>
        <w:t>1.1 合同组成部分</w:t>
      </w:r>
      <w:bookmarkEnd w:id="29"/>
      <w:bookmarkEnd w:id="30"/>
      <w:bookmarkEnd w:id="31"/>
    </w:p>
    <w:p>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pPr>
        <w:spacing w:line="360" w:lineRule="auto"/>
        <w:ind w:firstLine="437"/>
        <w:outlineLvl w:val="3"/>
        <w:rPr>
          <w:rFonts w:hint="eastAsia" w:ascii="Times New Roman" w:hAnsi="Times New Roman" w:eastAsia="宋体" w:cs="Times New Roman"/>
          <w:b/>
          <w:bCs/>
          <w:color w:val="auto"/>
          <w:sz w:val="24"/>
          <w:highlight w:val="none"/>
          <w:lang w:val="en-US" w:eastAsia="zh-CN"/>
        </w:rPr>
      </w:pPr>
      <w:bookmarkStart w:id="32" w:name="_Toc27126"/>
      <w:bookmarkStart w:id="33" w:name="_Toc24300"/>
      <w:bookmarkStart w:id="34" w:name="_Toc21295"/>
      <w:r>
        <w:rPr>
          <w:rFonts w:hint="default" w:ascii="Times New Roman" w:hAnsi="Times New Roman" w:cs="Times New Roman"/>
          <w:b/>
          <w:bCs/>
          <w:color w:val="auto"/>
          <w:sz w:val="24"/>
          <w:highlight w:val="none"/>
          <w:lang w:val="zh-CN"/>
        </w:rPr>
        <w:t xml:space="preserve">1.2 </w:t>
      </w:r>
      <w:bookmarkEnd w:id="32"/>
      <w:bookmarkEnd w:id="33"/>
      <w:bookmarkEnd w:id="34"/>
      <w:r>
        <w:rPr>
          <w:rFonts w:hint="eastAsia" w:ascii="Times New Roman" w:hAnsi="Times New Roman" w:cs="Times New Roman"/>
          <w:b/>
          <w:bCs/>
          <w:color w:val="auto"/>
          <w:sz w:val="24"/>
          <w:highlight w:val="none"/>
          <w:lang w:val="en-US" w:eastAsia="zh-CN"/>
        </w:rPr>
        <w:t>服务</w:t>
      </w:r>
    </w:p>
    <w:p>
      <w:pPr>
        <w:spacing w:line="360" w:lineRule="auto"/>
        <w:ind w:firstLine="435"/>
        <w:rPr>
          <w:rFonts w:hint="default" w:ascii="Times New Roman" w:hAnsi="Times New Roman" w:eastAsia="宋体" w:cs="Times New Roman"/>
          <w:color w:val="auto"/>
          <w:sz w:val="24"/>
          <w:highlight w:val="none"/>
          <w:u w:val="single"/>
          <w:lang w:val="en-US" w:eastAsia="zh-CN"/>
        </w:rPr>
      </w:pPr>
      <w:bookmarkStart w:id="35" w:name="_Toc23292"/>
      <w:bookmarkStart w:id="36" w:name="_Toc21551"/>
      <w:bookmarkStart w:id="37" w:name="_Toc21631"/>
      <w:r>
        <w:rPr>
          <w:rFonts w:hint="eastAsia" w:ascii="Times New Roman" w:hAnsi="Times New Roman" w:eastAsia="宋体" w:cs="Times New Roman"/>
          <w:color w:val="auto"/>
          <w:sz w:val="24"/>
          <w:highlight w:val="none"/>
          <w:lang w:val="en-US" w:eastAsia="zh-CN"/>
        </w:rPr>
        <w:t>1.2.1 服务名称：</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 xml:space="preserve"> ；</w:t>
      </w:r>
    </w:p>
    <w:p>
      <w:pPr>
        <w:spacing w:line="360" w:lineRule="auto"/>
        <w:ind w:firstLine="435"/>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lang w:val="en-US" w:eastAsia="zh-CN"/>
        </w:rPr>
        <w:t>1.2.2 服务内容</w:t>
      </w:r>
      <w:r>
        <w:rPr>
          <w:rFonts w:hint="eastAsia" w:ascii="Times New Roman" w:hAnsi="Times New Roman" w:eastAsia="宋体" w:cs="Times New Roman"/>
          <w:color w:val="auto"/>
          <w:sz w:val="24"/>
          <w:highlight w:val="none"/>
          <w:u w:val="none"/>
          <w:lang w:val="en-US" w:eastAsia="zh-CN"/>
        </w:rPr>
        <w:t>：</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pPr>
        <w:spacing w:line="360" w:lineRule="auto"/>
        <w:ind w:firstLine="435"/>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1.2.3 服务质量：</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1.3 价款</w:t>
      </w:r>
      <w:bookmarkEnd w:id="35"/>
      <w:bookmarkEnd w:id="36"/>
      <w:bookmarkEnd w:id="37"/>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pPr>
              <w:pStyle w:val="9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pPr>
              <w:pStyle w:val="95"/>
              <w:ind w:firstLine="20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pPr>
              <w:pStyle w:val="95"/>
              <w:ind w:firstLine="20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pPr>
              <w:pStyle w:val="95"/>
              <w:ind w:firstLine="20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pPr>
              <w:pStyle w:val="95"/>
              <w:ind w:firstLine="20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pPr>
              <w:pStyle w:val="95"/>
              <w:ind w:firstLine="200"/>
              <w:jc w:val="center"/>
              <w:rPr>
                <w:rFonts w:hint="default" w:ascii="Times New Roman" w:hAnsi="Times New Roman" w:eastAsia="宋体" w:cs="Times New Roman"/>
                <w:color w:val="auto"/>
                <w:sz w:val="24"/>
                <w:szCs w:val="24"/>
                <w:highlight w:val="none"/>
              </w:rPr>
            </w:pPr>
          </w:p>
        </w:tc>
      </w:tr>
    </w:tbl>
    <w:p>
      <w:pPr>
        <w:spacing w:line="360" w:lineRule="auto"/>
        <w:ind w:firstLine="437"/>
        <w:outlineLvl w:val="3"/>
        <w:rPr>
          <w:rFonts w:hint="default" w:ascii="Times New Roman" w:hAnsi="Times New Roman" w:cs="Times New Roman"/>
          <w:b/>
          <w:bCs/>
          <w:color w:val="auto"/>
          <w:sz w:val="24"/>
          <w:highlight w:val="none"/>
          <w:lang w:val="zh-CN"/>
        </w:rPr>
      </w:pPr>
      <w:bookmarkStart w:id="38" w:name="_Toc22618"/>
      <w:bookmarkStart w:id="39" w:name="_Toc1814"/>
      <w:bookmarkStart w:id="40" w:name="_Toc10340"/>
      <w:r>
        <w:rPr>
          <w:rFonts w:hint="default" w:ascii="Times New Roman" w:hAnsi="Times New Roman" w:cs="Times New Roman"/>
          <w:b/>
          <w:bCs/>
          <w:color w:val="auto"/>
          <w:sz w:val="24"/>
          <w:highlight w:val="none"/>
          <w:lang w:val="zh-CN"/>
        </w:rPr>
        <w:t>1.4 付款和发票</w:t>
      </w:r>
      <w:bookmarkEnd w:id="38"/>
      <w:bookmarkEnd w:id="39"/>
      <w:bookmarkEnd w:id="40"/>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pPr>
        <w:spacing w:line="360" w:lineRule="auto"/>
        <w:ind w:firstLine="437"/>
        <w:outlineLvl w:val="3"/>
        <w:rPr>
          <w:rFonts w:hint="default" w:ascii="Times New Roman" w:hAnsi="Times New Roman" w:cs="Times New Roman"/>
          <w:b/>
          <w:bCs/>
          <w:color w:val="auto"/>
          <w:sz w:val="24"/>
          <w:highlight w:val="none"/>
          <w:lang w:val="zh-CN"/>
        </w:rPr>
      </w:pPr>
      <w:bookmarkStart w:id="41" w:name="_Toc19304"/>
      <w:bookmarkStart w:id="42" w:name="_Toc32071"/>
      <w:bookmarkStart w:id="43"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1"/>
      <w:bookmarkEnd w:id="42"/>
      <w:bookmarkEnd w:id="43"/>
    </w:p>
    <w:p>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pPr>
        <w:spacing w:line="360" w:lineRule="auto"/>
        <w:ind w:firstLine="437"/>
        <w:outlineLvl w:val="3"/>
        <w:rPr>
          <w:rFonts w:hint="default" w:ascii="Times New Roman" w:hAnsi="Times New Roman" w:cs="Times New Roman"/>
          <w:b/>
          <w:bCs/>
          <w:color w:val="auto"/>
          <w:sz w:val="24"/>
          <w:highlight w:val="none"/>
          <w:lang w:val="zh-CN"/>
        </w:rPr>
      </w:pPr>
      <w:bookmarkStart w:id="44" w:name="_Toc27250"/>
      <w:bookmarkStart w:id="45" w:name="_Toc19554"/>
      <w:bookmarkStart w:id="46" w:name="_Toc21423"/>
      <w:r>
        <w:rPr>
          <w:rFonts w:hint="default" w:ascii="Times New Roman" w:hAnsi="Times New Roman" w:cs="Times New Roman"/>
          <w:b/>
          <w:bCs/>
          <w:color w:val="auto"/>
          <w:sz w:val="24"/>
          <w:highlight w:val="none"/>
          <w:lang w:val="zh-CN"/>
        </w:rPr>
        <w:t>1.6 违约责任</w:t>
      </w:r>
      <w:bookmarkEnd w:id="44"/>
      <w:bookmarkEnd w:id="45"/>
      <w:bookmarkEnd w:id="46"/>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，那么甲方可要求乙方支付违约金，违约金按每迟延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的违约金计算数额达到前述最高限额之日起，甲方有权在要求乙方支付违约金的同时，书面通知乙方解除本合同；</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pPr>
        <w:spacing w:line="360" w:lineRule="auto"/>
        <w:ind w:firstLine="437"/>
        <w:outlineLvl w:val="3"/>
        <w:rPr>
          <w:rFonts w:hint="default" w:ascii="Times New Roman" w:hAnsi="Times New Roman" w:cs="Times New Roman"/>
          <w:b/>
          <w:bCs/>
          <w:color w:val="auto"/>
          <w:sz w:val="24"/>
          <w:highlight w:val="none"/>
          <w:lang w:val="zh-CN"/>
        </w:rPr>
      </w:pPr>
      <w:bookmarkStart w:id="47" w:name="_Toc15583"/>
      <w:bookmarkStart w:id="48" w:name="_Toc16021"/>
      <w:bookmarkStart w:id="49" w:name="_Toc28375"/>
      <w:r>
        <w:rPr>
          <w:rFonts w:hint="default" w:ascii="Times New Roman" w:hAnsi="Times New Roman" w:cs="Times New Roman"/>
          <w:b/>
          <w:bCs/>
          <w:color w:val="auto"/>
          <w:sz w:val="24"/>
          <w:highlight w:val="none"/>
          <w:lang w:val="zh-CN"/>
        </w:rPr>
        <w:t>1.7 合同争议的解决</w:t>
      </w:r>
      <w:bookmarkEnd w:id="47"/>
      <w:bookmarkEnd w:id="48"/>
      <w:bookmarkEnd w:id="49"/>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pPr>
        <w:spacing w:line="360" w:lineRule="auto"/>
        <w:ind w:firstLine="437"/>
        <w:outlineLvl w:val="3"/>
        <w:rPr>
          <w:rFonts w:hint="default" w:ascii="Times New Roman" w:hAnsi="Times New Roman" w:cs="Times New Roman"/>
          <w:b/>
          <w:bCs/>
          <w:color w:val="auto"/>
          <w:sz w:val="24"/>
          <w:highlight w:val="none"/>
          <w:lang w:val="zh-CN"/>
        </w:rPr>
      </w:pPr>
      <w:bookmarkStart w:id="50" w:name="_Toc7245"/>
      <w:bookmarkStart w:id="51" w:name="_Toc11173"/>
      <w:bookmarkStart w:id="52" w:name="_Toc15322"/>
      <w:r>
        <w:rPr>
          <w:rFonts w:hint="default" w:ascii="Times New Roman" w:hAnsi="Times New Roman" w:cs="Times New Roman"/>
          <w:b/>
          <w:bCs/>
          <w:color w:val="auto"/>
          <w:sz w:val="24"/>
          <w:highlight w:val="none"/>
          <w:lang w:val="zh-CN"/>
        </w:rPr>
        <w:t>1.8 合同生效</w:t>
      </w:r>
      <w:bookmarkEnd w:id="50"/>
      <w:bookmarkEnd w:id="51"/>
      <w:bookmarkEnd w:id="52"/>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pPr>
        <w:autoSpaceDE w:val="0"/>
        <w:autoSpaceDN w:val="0"/>
        <w:adjustRightInd w:val="0"/>
        <w:spacing w:line="560" w:lineRule="exact"/>
        <w:rPr>
          <w:rFonts w:hint="default" w:ascii="Times New Roman" w:hAnsi="Times New Roman" w:cs="Times New Roman"/>
          <w:color w:val="auto"/>
          <w:sz w:val="24"/>
          <w:highlight w:val="none"/>
          <w:lang w:val="zh-CN"/>
        </w:rPr>
      </w:pPr>
    </w:p>
    <w:p>
      <w:pPr>
        <w:autoSpaceDE w:val="0"/>
        <w:autoSpaceDN w:val="0"/>
        <w:adjustRightInd w:val="0"/>
        <w:spacing w:line="560" w:lineRule="exact"/>
        <w:rPr>
          <w:rFonts w:hint="default" w:ascii="Times New Roman" w:hAnsi="Times New Roman" w:cs="Times New Roman"/>
          <w:color w:val="auto"/>
          <w:sz w:val="24"/>
          <w:highlight w:val="none"/>
          <w:lang w:val="zh-CN"/>
        </w:rPr>
      </w:pPr>
    </w:p>
    <w:p>
      <w:pPr>
        <w:autoSpaceDE w:val="0"/>
        <w:autoSpaceDN w:val="0"/>
        <w:adjustRightInd w:val="0"/>
        <w:spacing w:line="560" w:lineRule="exact"/>
        <w:rPr>
          <w:rFonts w:hint="default" w:ascii="Times New Roman" w:hAnsi="Times New Roman" w:cs="Times New Roman"/>
          <w:color w:val="auto"/>
          <w:sz w:val="24"/>
          <w:highlight w:val="none"/>
          <w:lang w:val="zh-CN"/>
        </w:rPr>
      </w:pPr>
    </w:p>
    <w:p>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pPr>
        <w:widowControl/>
        <w:spacing w:line="560" w:lineRule="exact"/>
        <w:jc w:val="left"/>
        <w:rPr>
          <w:rFonts w:hint="default" w:ascii="Times New Roman" w:hAnsi="Times New Roman" w:cs="Times New Roman"/>
          <w:bCs/>
          <w:color w:val="auto"/>
          <w:sz w:val="24"/>
          <w:highlight w:val="none"/>
        </w:rPr>
      </w:pPr>
      <w:bookmarkStart w:id="53"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3"/>
    <w:p>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p>
    <w:p>
      <w:pPr>
        <w:spacing w:line="360" w:lineRule="auto"/>
        <w:ind w:firstLine="437"/>
        <w:outlineLvl w:val="3"/>
        <w:rPr>
          <w:rFonts w:hint="eastAsia" w:ascii="宋体" w:hAnsi="宋体" w:eastAsia="宋体" w:cs="宋体"/>
          <w:b/>
          <w:bCs/>
          <w:color w:val="auto"/>
          <w:sz w:val="24"/>
          <w:highlight w:val="none"/>
          <w:lang w:val="zh-CN"/>
        </w:rPr>
      </w:pPr>
      <w:bookmarkStart w:id="54" w:name="_Toc487900349"/>
      <w:bookmarkStart w:id="55" w:name="_Toc16917"/>
      <w:bookmarkStart w:id="56" w:name="_Ref467378463"/>
      <w:bookmarkStart w:id="57" w:name="_Ref467379214"/>
      <w:bookmarkStart w:id="58" w:name="_Toc259093669"/>
      <w:bookmarkStart w:id="59" w:name="_Ref467378499"/>
      <w:bookmarkStart w:id="60" w:name="_Ref467379205"/>
      <w:bookmarkStart w:id="61" w:name="_Toc279701240"/>
      <w:bookmarkStart w:id="62" w:name="_Ref467378404"/>
      <w:bookmarkStart w:id="63" w:name="_Ref467379195"/>
      <w:bookmarkStart w:id="64" w:name="_Toc19614"/>
      <w:bookmarkStart w:id="65" w:name="_Toc28763"/>
      <w:bookmarkStart w:id="66" w:name="_Ref467379109"/>
      <w:bookmarkStart w:id="67" w:name="_Ref467379225"/>
      <w:bookmarkStart w:id="68" w:name="_Ref467379101"/>
      <w:bookmarkStart w:id="69" w:name="_Ref467379094"/>
      <w:r>
        <w:rPr>
          <w:rFonts w:hint="eastAsia" w:ascii="宋体" w:hAnsi="宋体" w:eastAsia="宋体" w:cs="宋体"/>
          <w:b/>
          <w:bCs/>
          <w:color w:val="auto"/>
          <w:sz w:val="24"/>
          <w:highlight w:val="none"/>
          <w:lang w:val="zh-CN"/>
        </w:rPr>
        <w:t>2.1 定义</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hint="eastAsia" w:ascii="宋体" w:hAnsi="宋体" w:eastAsia="宋体" w:cs="宋体"/>
          <w:color w:val="auto"/>
          <w:sz w:val="24"/>
          <w:highlight w:val="none"/>
        </w:rPr>
      </w:pPr>
      <w:bookmarkStart w:id="70" w:name="_Ref467378840"/>
      <w:r>
        <w:rPr>
          <w:rFonts w:hint="eastAsia" w:ascii="宋体" w:hAnsi="宋体" w:eastAsia="宋体" w:cs="宋体"/>
          <w:color w:val="auto"/>
          <w:sz w:val="24"/>
          <w:highlight w:val="none"/>
        </w:rPr>
        <w:t>2.1.4“甲方”系指与中标人签署合同的招标人</w:t>
      </w:r>
      <w:bookmarkEnd w:id="70"/>
      <w:r>
        <w:rPr>
          <w:rFonts w:hint="eastAsia" w:ascii="宋体" w:hAnsi="宋体" w:eastAsia="宋体" w:cs="宋体"/>
          <w:color w:val="auto"/>
          <w:sz w:val="24"/>
          <w:highlight w:val="none"/>
        </w:rPr>
        <w:t>；招标人委托招标代理机构代表其与乙方签订合同的，招标人的授权委托书作为合同附件。</w:t>
      </w:r>
    </w:p>
    <w:p>
      <w:pPr>
        <w:spacing w:line="360" w:lineRule="auto"/>
        <w:ind w:firstLine="435"/>
        <w:rPr>
          <w:rFonts w:hint="eastAsia" w:ascii="宋体" w:hAnsi="宋体" w:eastAsia="宋体" w:cs="宋体"/>
          <w:color w:val="auto"/>
          <w:sz w:val="24"/>
          <w:highlight w:val="none"/>
        </w:rPr>
      </w:pPr>
      <w:bookmarkStart w:id="71" w:name="_Ref467379400"/>
      <w:r>
        <w:rPr>
          <w:rFonts w:hint="eastAsia" w:ascii="宋体" w:hAnsi="宋体" w:eastAsia="宋体" w:cs="宋体"/>
          <w:color w:val="auto"/>
          <w:sz w:val="24"/>
          <w:highlight w:val="none"/>
        </w:rPr>
        <w:t>2.1.5“乙方”系指根据合同约定提供服务的中标人</w:t>
      </w:r>
      <w:bookmarkEnd w:id="71"/>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pPr>
        <w:spacing w:line="360" w:lineRule="auto"/>
        <w:ind w:firstLine="435"/>
        <w:rPr>
          <w:rFonts w:hint="eastAsia" w:ascii="宋体" w:hAnsi="宋体" w:eastAsia="宋体" w:cs="宋体"/>
          <w:color w:val="auto"/>
          <w:sz w:val="24"/>
          <w:highlight w:val="none"/>
        </w:rPr>
      </w:pPr>
      <w:bookmarkStart w:id="72" w:name="_Ref467379436"/>
      <w:r>
        <w:rPr>
          <w:rFonts w:hint="eastAsia" w:ascii="宋体" w:hAnsi="宋体" w:eastAsia="宋体" w:cs="宋体"/>
          <w:color w:val="auto"/>
          <w:sz w:val="24"/>
          <w:highlight w:val="none"/>
        </w:rPr>
        <w:t>2.1.6“现场”系指合同约定提供服务的地点。</w:t>
      </w:r>
      <w:bookmarkEnd w:id="72"/>
    </w:p>
    <w:p>
      <w:pPr>
        <w:spacing w:line="360" w:lineRule="auto"/>
        <w:ind w:firstLine="437"/>
        <w:outlineLvl w:val="3"/>
        <w:rPr>
          <w:rFonts w:hint="eastAsia" w:ascii="宋体" w:hAnsi="宋体" w:eastAsia="宋体" w:cs="宋体"/>
          <w:b/>
          <w:bCs/>
          <w:color w:val="auto"/>
          <w:sz w:val="24"/>
          <w:highlight w:val="none"/>
          <w:lang w:val="zh-CN"/>
        </w:rPr>
      </w:pPr>
      <w:bookmarkStart w:id="73" w:name="_Toc487900350"/>
      <w:bookmarkStart w:id="74" w:name="_Toc27635"/>
      <w:bookmarkStart w:id="75" w:name="_Toc279701241"/>
      <w:bookmarkStart w:id="76" w:name="_Toc259093670"/>
      <w:bookmarkStart w:id="77" w:name="_Toc32504"/>
      <w:r>
        <w:rPr>
          <w:rFonts w:hint="eastAsia" w:ascii="宋体" w:hAnsi="宋体" w:eastAsia="宋体" w:cs="宋体"/>
          <w:b/>
          <w:bCs/>
          <w:color w:val="auto"/>
          <w:sz w:val="24"/>
          <w:highlight w:val="none"/>
          <w:lang w:val="zh-CN"/>
        </w:rPr>
        <w:t>2.2 技术规范</w:t>
      </w:r>
      <w:bookmarkEnd w:id="73"/>
      <w:bookmarkEnd w:id="74"/>
      <w:bookmarkEnd w:id="75"/>
      <w:bookmarkEnd w:id="76"/>
      <w:bookmarkEnd w:id="77"/>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37"/>
        <w:outlineLvl w:val="3"/>
        <w:rPr>
          <w:rFonts w:hint="eastAsia" w:ascii="宋体" w:hAnsi="宋体" w:eastAsia="宋体" w:cs="宋体"/>
          <w:b/>
          <w:bCs/>
          <w:color w:val="auto"/>
          <w:sz w:val="24"/>
          <w:highlight w:val="none"/>
          <w:lang w:val="zh-CN"/>
        </w:rPr>
      </w:pPr>
      <w:bookmarkStart w:id="78" w:name="_Toc9829"/>
      <w:bookmarkStart w:id="79" w:name="_Toc31634"/>
      <w:bookmarkStart w:id="80" w:name="_Toc279701242"/>
      <w:bookmarkStart w:id="81" w:name="_Toc259093671"/>
      <w:bookmarkStart w:id="82" w:name="_Toc487900351"/>
      <w:bookmarkStart w:id="83" w:name="_Toc27853"/>
      <w:r>
        <w:rPr>
          <w:rFonts w:hint="eastAsia" w:ascii="宋体" w:hAnsi="宋体" w:eastAsia="宋体" w:cs="宋体"/>
          <w:b/>
          <w:bCs/>
          <w:color w:val="auto"/>
          <w:sz w:val="24"/>
          <w:highlight w:val="none"/>
          <w:lang w:val="zh-CN"/>
        </w:rPr>
        <w:t>2.3 知识产权</w:t>
      </w:r>
      <w:bookmarkEnd w:id="78"/>
      <w:bookmarkEnd w:id="79"/>
      <w:bookmarkEnd w:id="80"/>
      <w:bookmarkEnd w:id="81"/>
      <w:bookmarkEnd w:id="82"/>
      <w:bookmarkEnd w:id="83"/>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360" w:lineRule="auto"/>
        <w:ind w:firstLine="437"/>
        <w:outlineLvl w:val="3"/>
        <w:rPr>
          <w:rFonts w:hint="eastAsia" w:ascii="宋体" w:hAnsi="宋体" w:eastAsia="宋体" w:cs="宋体"/>
          <w:b/>
          <w:bCs/>
          <w:color w:val="auto"/>
          <w:sz w:val="24"/>
          <w:highlight w:val="none"/>
          <w:lang w:val="zh-CN"/>
        </w:rPr>
      </w:pPr>
      <w:bookmarkStart w:id="84" w:name="_Toc487900354"/>
      <w:bookmarkStart w:id="85" w:name="_Ref467378541"/>
      <w:bookmarkStart w:id="86" w:name="_Ref467379542"/>
      <w:bookmarkStart w:id="87" w:name="_Ref467379536"/>
      <w:bookmarkStart w:id="88" w:name="_Toc279701245"/>
      <w:bookmarkStart w:id="89" w:name="_Ref467379527"/>
      <w:bookmarkStart w:id="90" w:name="_Toc259093674"/>
      <w:bookmarkStart w:id="91" w:name="_Ref467378591"/>
      <w:bookmarkStart w:id="92" w:name="_Toc19074"/>
      <w:bookmarkStart w:id="93" w:name="_Toc30272"/>
      <w:bookmarkStart w:id="94" w:name="_Toc26182"/>
      <w:r>
        <w:rPr>
          <w:rFonts w:hint="eastAsia" w:ascii="宋体" w:hAnsi="宋体" w:eastAsia="宋体" w:cs="宋体"/>
          <w:b/>
          <w:bCs/>
          <w:color w:val="auto"/>
          <w:sz w:val="24"/>
          <w:highlight w:val="none"/>
          <w:lang w:val="zh-CN"/>
        </w:rPr>
        <w:t>2.</w:t>
      </w:r>
      <w:bookmarkEnd w:id="84"/>
      <w:bookmarkEnd w:id="85"/>
      <w:bookmarkEnd w:id="86"/>
      <w:bookmarkEnd w:id="87"/>
      <w:bookmarkEnd w:id="88"/>
      <w:bookmarkEnd w:id="89"/>
      <w:bookmarkEnd w:id="90"/>
      <w:bookmarkEnd w:id="91"/>
      <w:r>
        <w:rPr>
          <w:rFonts w:hint="eastAsia" w:ascii="宋体" w:hAnsi="宋体" w:eastAsia="宋体" w:cs="宋体"/>
          <w:b/>
          <w:bCs/>
          <w:color w:val="auto"/>
          <w:sz w:val="24"/>
          <w:highlight w:val="none"/>
          <w:lang w:val="zh-CN"/>
        </w:rPr>
        <w:t>4 履约检查和问题反馈</w:t>
      </w:r>
      <w:bookmarkEnd w:id="92"/>
      <w:bookmarkEnd w:id="93"/>
      <w:bookmarkEnd w:id="9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Start w:id="95" w:name="_Toc186431855"/>
      <w:r>
        <w:rPr>
          <w:rFonts w:hint="eastAsia" w:ascii="宋体" w:hAnsi="宋体" w:eastAsia="宋体" w:cs="宋体"/>
          <w:color w:val="auto"/>
          <w:sz w:val="24"/>
          <w:highlight w:val="none"/>
        </w:rPr>
        <w:t>。</w:t>
      </w:r>
    </w:p>
    <w:bookmarkEnd w:id="95"/>
    <w:p>
      <w:pPr>
        <w:spacing w:line="360" w:lineRule="auto"/>
        <w:ind w:firstLine="437"/>
        <w:outlineLvl w:val="3"/>
        <w:rPr>
          <w:rFonts w:hint="eastAsia" w:ascii="宋体" w:hAnsi="宋体" w:eastAsia="宋体" w:cs="宋体"/>
          <w:b/>
          <w:bCs/>
          <w:color w:val="auto"/>
          <w:sz w:val="24"/>
          <w:highlight w:val="none"/>
          <w:lang w:val="zh-CN"/>
        </w:rPr>
      </w:pPr>
      <w:bookmarkStart w:id="96" w:name="_Toc28451"/>
      <w:bookmarkStart w:id="97" w:name="_Toc7836"/>
      <w:bookmarkStart w:id="98" w:name="_Toc19219"/>
      <w:r>
        <w:rPr>
          <w:rFonts w:hint="eastAsia" w:ascii="宋体" w:hAnsi="宋体" w:eastAsia="宋体" w:cs="宋体"/>
          <w:b/>
          <w:bCs/>
          <w:color w:val="auto"/>
          <w:sz w:val="24"/>
          <w:highlight w:val="none"/>
          <w:lang w:val="zh-CN"/>
        </w:rPr>
        <w:t>2.5 结算方式和付款条件</w:t>
      </w:r>
      <w:bookmarkEnd w:id="96"/>
      <w:bookmarkEnd w:id="97"/>
      <w:bookmarkEnd w:id="98"/>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360" w:lineRule="auto"/>
        <w:ind w:firstLine="437"/>
        <w:outlineLvl w:val="3"/>
        <w:rPr>
          <w:rFonts w:hint="eastAsia" w:ascii="宋体" w:hAnsi="宋体" w:eastAsia="宋体" w:cs="宋体"/>
          <w:b/>
          <w:bCs/>
          <w:color w:val="auto"/>
          <w:sz w:val="24"/>
          <w:highlight w:val="none"/>
          <w:lang w:val="zh-CN"/>
        </w:rPr>
      </w:pPr>
      <w:bookmarkStart w:id="99" w:name="_Ref467379852"/>
      <w:bookmarkStart w:id="100" w:name="_Ref467379863"/>
      <w:bookmarkStart w:id="101" w:name="_Toc487900358"/>
      <w:bookmarkStart w:id="102" w:name="_Toc259093677"/>
      <w:bookmarkStart w:id="103" w:name="_Ref467379923"/>
      <w:bookmarkStart w:id="104" w:name="_Toc279701248"/>
      <w:bookmarkStart w:id="105" w:name="_Toc774"/>
      <w:bookmarkStart w:id="106" w:name="_Toc3225"/>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hint="eastAsia" w:ascii="宋体" w:hAnsi="宋体" w:eastAsia="宋体" w:cs="宋体"/>
          <w:b/>
          <w:bCs/>
          <w:color w:val="auto"/>
          <w:sz w:val="24"/>
          <w:highlight w:val="none"/>
          <w:lang w:val="zh-CN"/>
        </w:rPr>
      </w:pPr>
      <w:bookmarkStart w:id="107" w:name="_Toc7860"/>
      <w:r>
        <w:rPr>
          <w:rFonts w:hint="eastAsia" w:ascii="宋体" w:hAnsi="宋体" w:eastAsia="宋体" w:cs="宋体"/>
          <w:b/>
          <w:bCs/>
          <w:color w:val="auto"/>
          <w:sz w:val="24"/>
          <w:highlight w:val="none"/>
          <w:lang w:val="zh-CN"/>
        </w:rPr>
        <w:t>2.7 质量保证</w:t>
      </w:r>
      <w:bookmarkEnd w:id="107"/>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hint="eastAsia" w:ascii="宋体" w:hAnsi="宋体" w:eastAsia="宋体" w:cs="宋体"/>
          <w:b/>
          <w:color w:val="auto"/>
          <w:sz w:val="24"/>
          <w:highlight w:val="none"/>
        </w:rPr>
      </w:pPr>
      <w:bookmarkStart w:id="108" w:name="_Toc22267"/>
      <w:r>
        <w:rPr>
          <w:rFonts w:hint="eastAsia" w:ascii="宋体" w:hAnsi="宋体" w:eastAsia="宋体" w:cs="宋体"/>
          <w:b/>
          <w:color w:val="auto"/>
          <w:sz w:val="24"/>
          <w:highlight w:val="none"/>
        </w:rPr>
        <w:t>2.8 延迟履行</w:t>
      </w:r>
      <w:bookmarkEnd w:id="108"/>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hint="eastAsia" w:ascii="宋体" w:hAnsi="宋体" w:eastAsia="宋体" w:cs="宋体"/>
          <w:b/>
          <w:bCs/>
          <w:color w:val="auto"/>
          <w:sz w:val="24"/>
          <w:highlight w:val="none"/>
          <w:lang w:val="zh-CN"/>
        </w:rPr>
      </w:pPr>
      <w:bookmarkStart w:id="109" w:name="_Toc7502"/>
      <w:r>
        <w:rPr>
          <w:rFonts w:hint="eastAsia" w:ascii="宋体" w:hAnsi="宋体" w:eastAsia="宋体" w:cs="宋体"/>
          <w:b/>
          <w:bCs/>
          <w:color w:val="auto"/>
          <w:sz w:val="24"/>
          <w:highlight w:val="none"/>
          <w:lang w:val="zh-CN"/>
        </w:rPr>
        <w:t>2.9 合同变更</w:t>
      </w:r>
      <w:bookmarkEnd w:id="109"/>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0" w:name="_Toc487900369"/>
      <w:bookmarkStart w:id="111" w:name="_Toc279701259"/>
      <w:bookmarkStart w:id="112" w:name="_Toc259093688"/>
    </w:p>
    <w:p>
      <w:pPr>
        <w:spacing w:line="360" w:lineRule="auto"/>
        <w:ind w:firstLine="437"/>
        <w:outlineLvl w:val="3"/>
        <w:rPr>
          <w:rFonts w:hint="eastAsia" w:ascii="宋体" w:hAnsi="宋体" w:eastAsia="宋体" w:cs="宋体"/>
          <w:b/>
          <w:bCs/>
          <w:color w:val="auto"/>
          <w:sz w:val="24"/>
          <w:highlight w:val="none"/>
          <w:lang w:val="zh-CN"/>
        </w:rPr>
      </w:pPr>
      <w:bookmarkStart w:id="113" w:name="_Toc15237"/>
      <w:bookmarkStart w:id="114" w:name="_Toc22955"/>
      <w:bookmarkStart w:id="115" w:name="_Toc10366"/>
      <w:r>
        <w:rPr>
          <w:rFonts w:hint="eastAsia" w:ascii="宋体" w:hAnsi="宋体" w:eastAsia="宋体" w:cs="宋体"/>
          <w:b/>
          <w:bCs/>
          <w:color w:val="auto"/>
          <w:sz w:val="24"/>
          <w:highlight w:val="none"/>
          <w:lang w:val="zh-CN"/>
        </w:rPr>
        <w:t>2.10 合同转让</w:t>
      </w:r>
      <w:bookmarkEnd w:id="110"/>
      <w:bookmarkEnd w:id="111"/>
      <w:bookmarkEnd w:id="112"/>
      <w:r>
        <w:rPr>
          <w:rFonts w:hint="eastAsia" w:ascii="宋体" w:hAnsi="宋体" w:eastAsia="宋体" w:cs="宋体"/>
          <w:b/>
          <w:bCs/>
          <w:color w:val="auto"/>
          <w:sz w:val="24"/>
          <w:highlight w:val="none"/>
          <w:lang w:val="zh-CN"/>
        </w:rPr>
        <w:t>和分包</w:t>
      </w:r>
      <w:bookmarkEnd w:id="113"/>
      <w:bookmarkEnd w:id="114"/>
      <w:bookmarkEnd w:id="115"/>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360" w:lineRule="auto"/>
        <w:ind w:firstLine="437"/>
        <w:outlineLvl w:val="3"/>
        <w:rPr>
          <w:rFonts w:hint="eastAsia" w:ascii="宋体" w:hAnsi="宋体" w:eastAsia="宋体" w:cs="宋体"/>
          <w:b/>
          <w:bCs/>
          <w:color w:val="auto"/>
          <w:sz w:val="24"/>
          <w:highlight w:val="none"/>
          <w:lang w:val="zh-CN"/>
        </w:rPr>
      </w:pPr>
      <w:bookmarkStart w:id="116" w:name="_Toc13566"/>
      <w:bookmarkStart w:id="117" w:name="_Toc16508"/>
      <w:bookmarkStart w:id="118" w:name="_Toc14066"/>
      <w:r>
        <w:rPr>
          <w:rFonts w:hint="eastAsia" w:ascii="宋体" w:hAnsi="宋体" w:eastAsia="宋体" w:cs="宋体"/>
          <w:b/>
          <w:bCs/>
          <w:color w:val="auto"/>
          <w:sz w:val="24"/>
          <w:highlight w:val="none"/>
          <w:lang w:val="zh-CN"/>
        </w:rPr>
        <w:t>2.11 不可抗力</w:t>
      </w:r>
      <w:bookmarkEnd w:id="116"/>
      <w:bookmarkEnd w:id="117"/>
      <w:bookmarkEnd w:id="118"/>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w:t>
      </w:r>
      <w:r>
        <w:rPr>
          <w:rFonts w:hint="eastAsia" w:ascii="宋体" w:hAnsi="宋体" w:eastAsia="宋体" w:cs="宋体"/>
          <w:color w:val="auto"/>
          <w:sz w:val="24"/>
          <w:highlight w:val="none"/>
          <w:lang w:eastAsia="zh-CN"/>
        </w:rPr>
        <w:t>报监管部门处理</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360" w:lineRule="auto"/>
        <w:ind w:firstLine="437"/>
        <w:outlineLvl w:val="3"/>
        <w:rPr>
          <w:rFonts w:hint="eastAsia" w:ascii="宋体" w:hAnsi="宋体" w:eastAsia="宋体" w:cs="宋体"/>
          <w:b/>
          <w:bCs/>
          <w:color w:val="auto"/>
          <w:sz w:val="24"/>
          <w:highlight w:val="none"/>
          <w:lang w:val="zh-CN"/>
        </w:rPr>
      </w:pPr>
      <w:bookmarkStart w:id="119" w:name="_Toc259093684"/>
      <w:bookmarkStart w:id="120" w:name="_Toc6969"/>
      <w:bookmarkStart w:id="121" w:name="_Toc279701255"/>
      <w:bookmarkStart w:id="122" w:name="_Toc30676"/>
      <w:bookmarkStart w:id="123" w:name="_Toc487900365"/>
      <w:bookmarkStart w:id="124" w:name="_Toc689"/>
      <w:r>
        <w:rPr>
          <w:rFonts w:hint="eastAsia" w:ascii="宋体" w:hAnsi="宋体" w:eastAsia="宋体" w:cs="宋体"/>
          <w:b/>
          <w:bCs/>
          <w:color w:val="auto"/>
          <w:sz w:val="24"/>
          <w:highlight w:val="none"/>
          <w:lang w:val="zh-CN"/>
        </w:rPr>
        <w:t>2.12 税费</w:t>
      </w:r>
      <w:bookmarkEnd w:id="119"/>
      <w:bookmarkEnd w:id="120"/>
      <w:bookmarkEnd w:id="121"/>
      <w:bookmarkEnd w:id="122"/>
      <w:bookmarkEnd w:id="123"/>
      <w:bookmarkEnd w:id="12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360" w:lineRule="auto"/>
        <w:ind w:firstLine="437"/>
        <w:outlineLvl w:val="3"/>
        <w:rPr>
          <w:rFonts w:hint="eastAsia" w:ascii="宋体" w:hAnsi="宋体" w:eastAsia="宋体" w:cs="宋体"/>
          <w:b/>
          <w:bCs/>
          <w:color w:val="auto"/>
          <w:sz w:val="24"/>
          <w:highlight w:val="none"/>
          <w:lang w:val="zh-CN"/>
        </w:rPr>
      </w:pPr>
      <w:bookmarkStart w:id="125" w:name="_Toc279701258"/>
      <w:bookmarkStart w:id="126" w:name="_Toc16959"/>
      <w:bookmarkStart w:id="127" w:name="_Toc8298"/>
      <w:bookmarkStart w:id="128" w:name="_Toc7102"/>
      <w:bookmarkStart w:id="129" w:name="_Toc259093687"/>
      <w:bookmarkStart w:id="130" w:name="_Toc487900368"/>
      <w:r>
        <w:rPr>
          <w:rFonts w:hint="eastAsia" w:ascii="宋体" w:hAnsi="宋体" w:eastAsia="宋体" w:cs="宋体"/>
          <w:b/>
          <w:bCs/>
          <w:color w:val="auto"/>
          <w:sz w:val="24"/>
          <w:highlight w:val="none"/>
          <w:lang w:val="zh-CN"/>
        </w:rPr>
        <w:t>2.13 乙方破产</w:t>
      </w:r>
      <w:bookmarkEnd w:id="125"/>
      <w:bookmarkEnd w:id="126"/>
      <w:bookmarkEnd w:id="127"/>
      <w:bookmarkEnd w:id="128"/>
      <w:bookmarkEnd w:id="129"/>
      <w:bookmarkEnd w:id="130"/>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hint="eastAsia" w:ascii="宋体" w:hAnsi="宋体" w:eastAsia="宋体" w:cs="宋体"/>
          <w:b/>
          <w:color w:val="auto"/>
          <w:sz w:val="24"/>
          <w:highlight w:val="none"/>
        </w:rPr>
      </w:pPr>
      <w:bookmarkStart w:id="131" w:name="_Toc6134"/>
      <w:bookmarkStart w:id="132" w:name="_Toc29333"/>
      <w:bookmarkStart w:id="133" w:name="_Toc15387"/>
      <w:r>
        <w:rPr>
          <w:rFonts w:hint="eastAsia" w:ascii="宋体" w:hAnsi="宋体" w:eastAsia="宋体" w:cs="宋体"/>
          <w:b/>
          <w:bCs/>
          <w:color w:val="auto"/>
          <w:sz w:val="24"/>
          <w:highlight w:val="none"/>
          <w:lang w:val="zh-CN"/>
        </w:rPr>
        <w:t>2.14 合同中止、终止</w:t>
      </w:r>
      <w:bookmarkEnd w:id="131"/>
      <w:bookmarkEnd w:id="132"/>
      <w:bookmarkEnd w:id="133"/>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hint="eastAsia" w:ascii="宋体" w:hAnsi="宋体" w:eastAsia="宋体" w:cs="宋体"/>
          <w:b/>
          <w:bCs/>
          <w:color w:val="auto"/>
          <w:sz w:val="24"/>
          <w:highlight w:val="none"/>
          <w:lang w:val="zh-CN"/>
        </w:rPr>
      </w:pPr>
      <w:bookmarkStart w:id="134" w:name="_Toc14563"/>
      <w:bookmarkStart w:id="135" w:name="_Toc6596"/>
      <w:bookmarkStart w:id="136" w:name="_Toc1125"/>
      <w:r>
        <w:rPr>
          <w:rFonts w:hint="eastAsia" w:ascii="宋体" w:hAnsi="宋体" w:eastAsia="宋体" w:cs="宋体"/>
          <w:b/>
          <w:bCs/>
          <w:color w:val="auto"/>
          <w:sz w:val="24"/>
          <w:highlight w:val="none"/>
          <w:lang w:val="zh-CN"/>
        </w:rPr>
        <w:t>2.15 检验和验收</w:t>
      </w:r>
      <w:bookmarkEnd w:id="134"/>
      <w:bookmarkEnd w:id="135"/>
      <w:bookmarkEnd w:id="136"/>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pPr>
        <w:spacing w:line="360" w:lineRule="auto"/>
        <w:ind w:firstLine="437"/>
        <w:outlineLvl w:val="3"/>
        <w:rPr>
          <w:rFonts w:hint="eastAsia" w:ascii="宋体" w:hAnsi="宋体" w:eastAsia="宋体" w:cs="宋体"/>
          <w:b/>
          <w:bCs/>
          <w:color w:val="auto"/>
          <w:sz w:val="24"/>
          <w:highlight w:val="none"/>
        </w:rPr>
      </w:pPr>
      <w:bookmarkStart w:id="137" w:name="_Toc12773"/>
      <w:bookmarkStart w:id="138" w:name="_Toc487900373"/>
      <w:bookmarkStart w:id="139" w:name="_Toc18567"/>
      <w:bookmarkStart w:id="140" w:name="_Toc10330"/>
      <w:bookmarkStart w:id="141" w:name="_Toc259093692"/>
      <w:bookmarkStart w:id="142" w:name="_Toc279701263"/>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37"/>
      <w:bookmarkEnd w:id="138"/>
      <w:bookmarkEnd w:id="139"/>
      <w:bookmarkEnd w:id="140"/>
      <w:bookmarkEnd w:id="141"/>
      <w:bookmarkEnd w:id="142"/>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pPr>
        <w:spacing w:line="360" w:lineRule="auto"/>
        <w:ind w:firstLine="437"/>
        <w:outlineLvl w:val="3"/>
        <w:rPr>
          <w:rFonts w:hint="eastAsia" w:ascii="宋体" w:hAnsi="宋体" w:eastAsia="宋体" w:cs="宋体"/>
          <w:b/>
          <w:color w:val="auto"/>
          <w:sz w:val="24"/>
          <w:highlight w:val="none"/>
        </w:rPr>
      </w:pPr>
      <w:bookmarkStart w:id="143" w:name="_Toc12004"/>
      <w:bookmarkStart w:id="144" w:name="_Toc279701264"/>
      <w:bookmarkStart w:id="145" w:name="_Toc16673"/>
      <w:bookmarkStart w:id="146" w:name="_Toc3148"/>
      <w:bookmarkStart w:id="147" w:name="_Toc259093693"/>
      <w:bookmarkStart w:id="148" w:name="_Toc487900374"/>
      <w:r>
        <w:rPr>
          <w:rFonts w:hint="eastAsia" w:ascii="宋体" w:hAnsi="宋体" w:eastAsia="宋体" w:cs="宋体"/>
          <w:b/>
          <w:bCs/>
          <w:color w:val="auto"/>
          <w:sz w:val="24"/>
          <w:highlight w:val="none"/>
          <w:lang w:val="zh-CN"/>
        </w:rPr>
        <w:t>2.17 履约保证金</w:t>
      </w:r>
      <w:bookmarkEnd w:id="143"/>
      <w:bookmarkEnd w:id="144"/>
      <w:bookmarkEnd w:id="145"/>
      <w:bookmarkEnd w:id="146"/>
      <w:bookmarkEnd w:id="147"/>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8"/>
    <w:p>
      <w:pPr>
        <w:spacing w:line="360" w:lineRule="auto"/>
        <w:ind w:firstLine="437"/>
        <w:outlineLvl w:val="3"/>
        <w:rPr>
          <w:rFonts w:hint="eastAsia" w:ascii="宋体" w:hAnsi="宋体" w:eastAsia="宋体" w:cs="宋体"/>
          <w:b/>
          <w:color w:val="auto"/>
          <w:sz w:val="24"/>
          <w:highlight w:val="none"/>
        </w:rPr>
      </w:pPr>
      <w:bookmarkStart w:id="149" w:name="_Toc14001"/>
      <w:bookmarkStart w:id="150" w:name="_Toc6885"/>
      <w:r>
        <w:rPr>
          <w:rFonts w:hint="eastAsia" w:ascii="宋体" w:hAnsi="宋体" w:eastAsia="宋体" w:cs="宋体"/>
          <w:b/>
          <w:bCs/>
          <w:color w:val="auto"/>
          <w:sz w:val="24"/>
          <w:highlight w:val="none"/>
          <w:lang w:val="zh-CN"/>
        </w:rPr>
        <w:t>2.18 合同份数</w:t>
      </w:r>
      <w:bookmarkEnd w:id="149"/>
      <w:bookmarkEnd w:id="150"/>
    </w:p>
    <w:p>
      <w:pPr>
        <w:spacing w:line="360" w:lineRule="auto"/>
        <w:ind w:firstLine="435"/>
        <w:rPr>
          <w:rFonts w:hint="default" w:ascii="Times New Roman" w:hAnsi="Times New Roman" w:cs="Times New Roman"/>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51" w:name="_Toc331685784"/>
      <w:r>
        <w:rPr>
          <w:rFonts w:hint="default" w:ascii="Times New Roman" w:hAnsi="Times New Roman" w:cs="Times New Roman"/>
          <w:b/>
          <w:color w:val="auto"/>
          <w:sz w:val="24"/>
          <w:highlight w:val="none"/>
        </w:rPr>
        <w:t>第三部分 合同专用条款</w:t>
      </w:r>
      <w:bookmarkEnd w:id="151"/>
    </w:p>
    <w:p>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default" w:ascii="Times New Roman" w:hAnsi="Times New Roman" w:cs="Times New Roman"/>
                <w:color w:val="auto"/>
                <w:sz w:val="24"/>
                <w:highlight w:val="none"/>
              </w:rPr>
            </w:pPr>
          </w:p>
        </w:tc>
        <w:tc>
          <w:tcPr>
            <w:tcW w:w="7568" w:type="dxa"/>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default" w:ascii="Times New Roman" w:hAnsi="Times New Roman" w:cs="Times New Roman"/>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default" w:ascii="Times New Roman" w:hAnsi="Times New Roman" w:cs="Times New Roman"/>
                <w:color w:val="auto"/>
                <w:sz w:val="24"/>
                <w:highlight w:val="none"/>
              </w:rPr>
            </w:pPr>
          </w:p>
        </w:tc>
      </w:tr>
    </w:tbl>
    <w:p>
      <w:pPr>
        <w:widowControl/>
        <w:jc w:val="left"/>
        <w:rPr>
          <w:rFonts w:hint="default" w:ascii="Times New Roman" w:hAnsi="Times New Roman" w:cs="Times New Roman"/>
          <w:color w:val="auto"/>
          <w:sz w:val="24"/>
          <w:highlight w:val="none"/>
        </w:rPr>
      </w:pPr>
    </w:p>
    <w:p>
      <w:pPr>
        <w:spacing w:line="360" w:lineRule="auto"/>
        <w:ind w:firstLine="435"/>
        <w:rPr>
          <w:rFonts w:hint="default" w:ascii="Times New Roman" w:hAnsi="Times New Roman" w:cs="Times New Roman"/>
          <w:color w:val="auto"/>
          <w:sz w:val="24"/>
          <w:highlight w:val="none"/>
        </w:rPr>
      </w:pPr>
    </w:p>
    <w:p>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52" w:name="_Toc247514198"/>
      <w:bookmarkStart w:id="153" w:name="_Toc247527799"/>
      <w:bookmarkStart w:id="154" w:name="_Toc184635123"/>
      <w:bookmarkStart w:id="155" w:name="_Toc26646056"/>
      <w:bookmarkStart w:id="156" w:name="_Toc300835200"/>
    </w:p>
    <w:p>
      <w:pPr>
        <w:pStyle w:val="39"/>
        <w:rPr>
          <w:rFonts w:hint="default" w:ascii="Times New Roman" w:hAnsi="Times New Roman" w:cs="Times New Roman"/>
          <w:color w:val="auto"/>
          <w:highlight w:val="none"/>
        </w:rPr>
      </w:pPr>
    </w:p>
    <w:p>
      <w:pPr>
        <w:pStyle w:val="38"/>
        <w:ind w:right="-21" w:firstLine="630"/>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32"/>
        <w:jc w:val="center"/>
        <w:rPr>
          <w:rFonts w:hint="default" w:ascii="Times New Roman" w:hAnsi="Times New Roman" w:cs="Times New Roman"/>
          <w:b/>
          <w:color w:val="auto"/>
          <w:sz w:val="24"/>
          <w:highlight w:val="none"/>
        </w:rPr>
      </w:pPr>
    </w:p>
    <w:p>
      <w:pPr>
        <w:pStyle w:val="32"/>
        <w:jc w:val="center"/>
        <w:rPr>
          <w:rFonts w:hint="default" w:ascii="Times New Roman" w:hAnsi="Times New Roman" w:cs="Times New Roman"/>
          <w:b/>
          <w:color w:val="auto"/>
          <w:sz w:val="24"/>
          <w:highlight w:val="none"/>
        </w:rPr>
      </w:pPr>
    </w:p>
    <w:p>
      <w:pPr>
        <w:pStyle w:val="32"/>
        <w:ind w:left="0" w:leftChars="0" w:firstLine="0" w:firstLineChars="0"/>
        <w:jc w:val="both"/>
        <w:rPr>
          <w:rFonts w:hint="default" w:ascii="Times New Roman" w:hAnsi="Times New Roman" w:cs="Times New Roman"/>
          <w:b/>
          <w:color w:val="auto"/>
          <w:sz w:val="24"/>
          <w:highlight w:val="none"/>
        </w:rPr>
      </w:pPr>
    </w:p>
    <w:bookmarkEnd w:id="152"/>
    <w:bookmarkEnd w:id="153"/>
    <w:bookmarkEnd w:id="154"/>
    <w:bookmarkEnd w:id="155"/>
    <w:bookmarkEnd w:id="156"/>
    <w:p>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合肥滨湖时光空间运营管理有限公司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pPr>
        <w:widowControl/>
        <w:spacing w:line="360" w:lineRule="auto"/>
        <w:ind w:firstLine="420" w:firstLineChars="200"/>
        <w:jc w:val="left"/>
        <w:rPr>
          <w:rFonts w:hint="default" w:ascii="Times New Roman" w:hAnsi="Times New Roman" w:cs="Times New Roman"/>
          <w:color w:val="auto"/>
          <w:kern w:val="0"/>
          <w:szCs w:val="21"/>
          <w:highlight w:val="none"/>
        </w:rPr>
      </w:pPr>
    </w:p>
    <w:p>
      <w:pPr>
        <w:widowControl/>
        <w:spacing w:line="360" w:lineRule="auto"/>
        <w:ind w:firstLine="420" w:firstLineChars="200"/>
        <w:jc w:val="left"/>
        <w:rPr>
          <w:rFonts w:hint="default" w:ascii="Times New Roman" w:hAnsi="Times New Roman" w:cs="Times New Roman"/>
          <w:color w:val="auto"/>
          <w:kern w:val="0"/>
          <w:szCs w:val="21"/>
          <w:highlight w:val="none"/>
        </w:rPr>
      </w:pP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pPr>
        <w:widowControl/>
        <w:spacing w:line="360" w:lineRule="auto"/>
        <w:ind w:firstLine="420" w:firstLineChars="200"/>
        <w:jc w:val="left"/>
        <w:rPr>
          <w:rFonts w:hint="default" w:ascii="Times New Roman" w:hAnsi="Times New Roman" w:cs="Times New Roman"/>
          <w:color w:val="auto"/>
          <w:kern w:val="0"/>
          <w:szCs w:val="21"/>
          <w:highlight w:val="none"/>
        </w:rPr>
      </w:pP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pPr>
        <w:widowControl/>
        <w:spacing w:line="360" w:lineRule="auto"/>
        <w:ind w:firstLine="420" w:firstLineChars="200"/>
        <w:jc w:val="left"/>
        <w:rPr>
          <w:rFonts w:hint="default" w:ascii="Times New Roman" w:hAnsi="Times New Roman" w:cs="Times New Roman"/>
          <w:color w:val="auto"/>
          <w:kern w:val="0"/>
          <w:szCs w:val="21"/>
          <w:highlight w:val="none"/>
        </w:rPr>
      </w:pP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6"/>
      <w:bookmarkStart w:id="157" w:name="_Toc29760"/>
      <w:bookmarkStart w:id="158" w:name="_Toc10441"/>
    </w:p>
    <w:p>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57"/>
      <w:bookmarkEnd w:id="158"/>
    </w:p>
    <w:p>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pPr>
        <w:spacing w:line="500" w:lineRule="exact"/>
        <w:jc w:val="center"/>
        <w:rPr>
          <w:rFonts w:hint="default" w:ascii="Times New Roman" w:hAnsi="Times New Roman" w:cs="Times New Roman"/>
          <w:b/>
          <w:color w:val="auto"/>
          <w:sz w:val="32"/>
          <w:highlight w:val="none"/>
        </w:rPr>
      </w:pPr>
    </w:p>
    <w:p>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包河区公共文化空间咨询服务采购招标</w:t>
      </w:r>
    </w:p>
    <w:p>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z w:val="32"/>
          <w:highlight w:val="none"/>
          <w:u w:val="single"/>
          <w:lang w:val="en-US" w:eastAsia="zh-CN"/>
        </w:rPr>
        <w:t>BHSG-ZTB-2025-29</w:t>
      </w:r>
      <w:r>
        <w:rPr>
          <w:rFonts w:hint="default" w:ascii="Times New Roman" w:hAnsi="Times New Roman" w:cs="Times New Roman"/>
          <w:b/>
          <w:color w:val="auto"/>
          <w:sz w:val="32"/>
          <w:highlight w:val="none"/>
        </w:rPr>
        <w:t xml:space="preserve"> ）</w:t>
      </w:r>
    </w:p>
    <w:p>
      <w:pPr>
        <w:spacing w:line="900" w:lineRule="exact"/>
        <w:jc w:val="center"/>
        <w:rPr>
          <w:rFonts w:hint="default" w:ascii="Times New Roman" w:hAnsi="Times New Roman" w:cs="Times New Roman"/>
          <w:b/>
          <w:color w:val="auto"/>
          <w:sz w:val="72"/>
          <w:highlight w:val="none"/>
        </w:rPr>
      </w:pPr>
    </w:p>
    <w:p>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pPr>
        <w:spacing w:line="900" w:lineRule="exact"/>
        <w:jc w:val="center"/>
        <w:rPr>
          <w:rFonts w:hint="default" w:ascii="Times New Roman" w:hAnsi="Times New Roman" w:cs="Times New Roman"/>
          <w:b/>
          <w:color w:val="auto"/>
          <w:sz w:val="52"/>
          <w:szCs w:val="52"/>
          <w:highlight w:val="none"/>
        </w:rPr>
      </w:pPr>
    </w:p>
    <w:p>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pPr>
        <w:spacing w:line="900" w:lineRule="exact"/>
        <w:jc w:val="center"/>
        <w:rPr>
          <w:rFonts w:hint="default" w:ascii="Times New Roman" w:hAnsi="Times New Roman" w:cs="Times New Roman"/>
          <w:b/>
          <w:color w:val="auto"/>
          <w:sz w:val="52"/>
          <w:szCs w:val="52"/>
          <w:highlight w:val="none"/>
        </w:rPr>
      </w:pPr>
    </w:p>
    <w:p>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pPr>
        <w:spacing w:line="900" w:lineRule="exact"/>
        <w:jc w:val="both"/>
        <w:rPr>
          <w:rFonts w:hint="default" w:ascii="Times New Roman" w:hAnsi="Times New Roman" w:cs="Times New Roman"/>
          <w:b/>
          <w:color w:val="auto"/>
          <w:sz w:val="52"/>
          <w:szCs w:val="52"/>
          <w:highlight w:val="none"/>
        </w:rPr>
      </w:pPr>
    </w:p>
    <w:p>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59" w:name="_Toc461056631"/>
      <w:bookmarkStart w:id="160" w:name="_Toc461053086"/>
      <w:bookmarkStart w:id="161" w:name="_Toc520983587"/>
      <w:r>
        <w:rPr>
          <w:rFonts w:hint="default" w:ascii="Times New Roman" w:hAnsi="Times New Roman" w:eastAsia="宋体" w:cs="Times New Roman"/>
          <w:color w:val="auto"/>
          <w:szCs w:val="28"/>
          <w:highlight w:val="none"/>
        </w:rPr>
        <w:t>投标文件资料清单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62" w:name="_Toc477794142"/>
      <w:bookmarkStart w:id="163" w:name="_Toc507694547"/>
      <w:r>
        <w:rPr>
          <w:rFonts w:hint="default" w:ascii="Times New Roman" w:hAnsi="Times New Roman" w:eastAsia="宋体" w:cs="Times New Roman"/>
          <w:b/>
          <w:color w:val="auto"/>
          <w:sz w:val="24"/>
          <w:highlight w:val="none"/>
        </w:rPr>
        <w:t>投标文件格式</w:t>
      </w:r>
      <w:bookmarkEnd w:id="162"/>
      <w:bookmarkEnd w:id="163"/>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响应表</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投标人详细报价</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其他相关证明材料</w:t>
            </w:r>
          </w:p>
        </w:tc>
        <w:tc>
          <w:tcPr>
            <w:tcW w:w="1779" w:type="dxa"/>
            <w:noWrap w:val="0"/>
            <w:vAlign w:val="center"/>
          </w:tcPr>
          <w:p>
            <w:pPr>
              <w:spacing w:line="360" w:lineRule="auto"/>
              <w:jc w:val="center"/>
              <w:outlineLvl w:val="2"/>
              <w:rPr>
                <w:rFonts w:hint="default" w:ascii="Times New Roman" w:hAnsi="Times New Roman" w:eastAsia="宋体" w:cs="Times New Roman"/>
                <w:b/>
                <w:color w:val="auto"/>
                <w:sz w:val="24"/>
                <w:highlight w:val="none"/>
              </w:rPr>
            </w:pPr>
          </w:p>
        </w:tc>
      </w:tr>
    </w:tbl>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p>
      <w:pPr>
        <w:spacing w:line="360" w:lineRule="auto"/>
        <w:jc w:val="center"/>
        <w:outlineLvl w:val="2"/>
        <w:rPr>
          <w:rFonts w:hint="default" w:ascii="Times New Roman" w:hAnsi="Times New Roman" w:cs="Times New Roman"/>
          <w:b/>
          <w:color w:val="auto"/>
          <w:sz w:val="24"/>
          <w:highlight w:val="none"/>
        </w:rPr>
      </w:pPr>
    </w:p>
    <w:bookmarkEnd w:id="159"/>
    <w:bookmarkEnd w:id="160"/>
    <w:bookmarkEnd w:id="161"/>
    <w:p>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53" w:type="dxa"/>
            <w:tcBorders>
              <w:top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包河区公共文化空间咨询服务采购招标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53" w:type="dxa"/>
            <w:tcBorders>
              <w:top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BHSG-ZTB-2025-29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53" w:type="dxa"/>
            <w:tcBorders>
              <w:top w:val="nil"/>
            </w:tcBorders>
            <w:noWrap w:val="0"/>
            <w:vAlign w:val="center"/>
          </w:tcPr>
          <w:p>
            <w:pPr>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53" w:type="dxa"/>
            <w:tcBorders>
              <w:top w:val="nil"/>
            </w:tcBorders>
            <w:noWrap w:val="0"/>
            <w:vAlign w:val="center"/>
          </w:tcPr>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noWrap w:val="0"/>
            <w:vAlign w:val="center"/>
          </w:tcPr>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53" w:type="dxa"/>
            <w:tcBorders>
              <w:top w:val="nil"/>
            </w:tcBorders>
            <w:noWrap w:val="0"/>
            <w:vAlign w:val="center"/>
          </w:tcPr>
          <w:p>
            <w:pPr>
              <w:spacing w:line="360" w:lineRule="auto"/>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pPr>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noWrap w:val="0"/>
            <w:vAlign w:val="center"/>
          </w:tcPr>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53" w:type="dxa"/>
            <w:tcBorders>
              <w:top w:val="nil"/>
            </w:tcBorders>
            <w:noWrap w:val="0"/>
            <w:vAlign w:val="center"/>
          </w:tcPr>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noWrap w:val="0"/>
            <w:vAlign w:val="center"/>
          </w:tcPr>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53" w:type="dxa"/>
            <w:tcBorders>
              <w:top w:val="nil"/>
            </w:tcBorders>
            <w:noWrap w:val="0"/>
            <w:vAlign w:val="center"/>
          </w:tcPr>
          <w:p>
            <w:pPr>
              <w:spacing w:line="360" w:lineRule="auto"/>
              <w:rPr>
                <w:rFonts w:hint="default" w:ascii="Times New Roman" w:hAnsi="Times New Roman" w:eastAsia="宋体" w:cs="Times New Roman"/>
                <w:color w:val="auto"/>
                <w:sz w:val="24"/>
                <w:highlight w:val="none"/>
              </w:rPr>
            </w:pPr>
          </w:p>
        </w:tc>
      </w:tr>
    </w:tbl>
    <w:p>
      <w:pPr>
        <w:spacing w:line="360" w:lineRule="auto"/>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pPr>
        <w:spacing w:line="360" w:lineRule="auto"/>
        <w:ind w:firstLine="435"/>
        <w:rPr>
          <w:rFonts w:hint="default" w:ascii="Times New Roman" w:hAnsi="Times New Roman" w:cs="Times New Roman"/>
          <w:color w:val="auto"/>
          <w:sz w:val="24"/>
          <w:highlight w:val="none"/>
        </w:rPr>
      </w:pPr>
      <w:bookmarkStart w:id="164" w:name="_Toc461053087"/>
      <w:bookmarkStart w:id="165" w:name="_Toc520983588"/>
      <w:bookmarkStart w:id="166" w:name="_Toc461056632"/>
      <w:r>
        <w:rPr>
          <w:rFonts w:hint="default" w:ascii="Times New Roman" w:hAnsi="Times New Roman" w:cs="Times New Roman"/>
          <w:color w:val="auto"/>
          <w:sz w:val="24"/>
          <w:highlight w:val="none"/>
        </w:rPr>
        <w:br w:type="page"/>
      </w:r>
    </w:p>
    <w:bookmarkEnd w:id="164"/>
    <w:bookmarkEnd w:id="165"/>
    <w:bookmarkEnd w:id="166"/>
    <w:p>
      <w:pPr>
        <w:spacing w:line="360" w:lineRule="auto"/>
        <w:jc w:val="center"/>
        <w:outlineLvl w:val="2"/>
        <w:rPr>
          <w:rFonts w:hint="default" w:ascii="Times New Roman" w:hAnsi="Times New Roman" w:cs="Times New Roman"/>
          <w:b/>
          <w:color w:val="auto"/>
          <w:sz w:val="28"/>
          <w:szCs w:val="28"/>
          <w:highlight w:val="none"/>
        </w:rPr>
      </w:pPr>
      <w:bookmarkStart w:id="167" w:name="_Toc520983591"/>
      <w:r>
        <w:rPr>
          <w:rFonts w:hint="default" w:ascii="Times New Roman" w:hAnsi="Times New Roman" w:cs="Times New Roman"/>
          <w:b/>
          <w:color w:val="auto"/>
          <w:sz w:val="28"/>
          <w:szCs w:val="28"/>
          <w:highlight w:val="none"/>
        </w:rPr>
        <w:t>二、投标函</w:t>
      </w:r>
    </w:p>
    <w:p>
      <w:pPr>
        <w:pStyle w:val="21"/>
        <w:spacing w:line="360" w:lineRule="auto"/>
        <w:rPr>
          <w:rFonts w:hint="default" w:ascii="Times New Roman" w:hAnsi="Times New Roman" w:cs="Times New Roman"/>
          <w:color w:val="auto"/>
          <w:sz w:val="24"/>
          <w:szCs w:val="24"/>
          <w:highlight w:val="none"/>
        </w:rPr>
      </w:pPr>
    </w:p>
    <w:p>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rPr>
        <w:t>合肥滨湖时光空间运营管理有限公司</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pPr>
        <w:spacing w:line="360" w:lineRule="auto"/>
        <w:ind w:firstLine="435"/>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pPr>
        <w:pStyle w:val="32"/>
        <w:rPr>
          <w:rFonts w:hint="default" w:ascii="Times New Roman" w:hAnsi="Times New Roman" w:cs="Times New Roman"/>
          <w:color w:val="auto"/>
          <w:sz w:val="24"/>
          <w:szCs w:val="24"/>
          <w:highlight w:val="none"/>
        </w:rPr>
      </w:pPr>
    </w:p>
    <w:p>
      <w:pPr>
        <w:widowControl/>
        <w:jc w:val="center"/>
        <w:rPr>
          <w:rFonts w:hint="default" w:ascii="Times New Roman" w:hAnsi="Times New Roman" w:cs="Times New Roman"/>
          <w:b/>
          <w:color w:val="auto"/>
          <w:sz w:val="24"/>
          <w:szCs w:val="24"/>
          <w:highlight w:val="none"/>
        </w:rPr>
      </w:pPr>
    </w:p>
    <w:p>
      <w:pPr>
        <w:widowControl/>
        <w:jc w:val="center"/>
        <w:rPr>
          <w:rFonts w:hint="default" w:ascii="Times New Roman" w:hAnsi="Times New Roman" w:cs="Times New Roman"/>
          <w:b/>
          <w:color w:val="auto"/>
          <w:sz w:val="24"/>
          <w:szCs w:val="24"/>
          <w:highlight w:val="none"/>
        </w:rPr>
      </w:pPr>
    </w:p>
    <w:p>
      <w:pPr>
        <w:widowControl/>
        <w:jc w:val="center"/>
        <w:rPr>
          <w:rFonts w:hint="default" w:ascii="Times New Roman" w:hAnsi="Times New Roman" w:cs="Times New Roman"/>
          <w:b/>
          <w:color w:val="auto"/>
          <w:sz w:val="24"/>
          <w:szCs w:val="24"/>
          <w:highlight w:val="none"/>
        </w:rPr>
      </w:pPr>
    </w:p>
    <w:p>
      <w:pPr>
        <w:widowControl/>
        <w:jc w:val="center"/>
        <w:rPr>
          <w:rFonts w:hint="default" w:ascii="Times New Roman" w:hAnsi="Times New Roman" w:cs="Times New Roman"/>
          <w:b/>
          <w:color w:val="auto"/>
          <w:sz w:val="24"/>
          <w:szCs w:val="24"/>
          <w:highlight w:val="none"/>
        </w:rPr>
      </w:pPr>
    </w:p>
    <w:p>
      <w:pPr>
        <w:widowControl/>
        <w:jc w:val="center"/>
        <w:rPr>
          <w:rFonts w:hint="default" w:ascii="Times New Roman" w:hAnsi="Times New Roman" w:cs="Times New Roman"/>
          <w:b/>
          <w:color w:val="auto"/>
          <w:sz w:val="24"/>
          <w:szCs w:val="24"/>
          <w:highlight w:val="none"/>
        </w:rPr>
      </w:pPr>
    </w:p>
    <w:p>
      <w:pPr>
        <w:widowControl/>
        <w:jc w:val="center"/>
        <w:rPr>
          <w:rFonts w:hint="default" w:ascii="Times New Roman" w:hAnsi="Times New Roman" w:cs="Times New Roman"/>
          <w:b/>
          <w:color w:val="auto"/>
          <w:sz w:val="24"/>
          <w:szCs w:val="24"/>
          <w:highlight w:val="none"/>
        </w:rPr>
      </w:pPr>
    </w:p>
    <w:p>
      <w:pPr>
        <w:widowControl/>
        <w:jc w:val="center"/>
        <w:rPr>
          <w:rFonts w:hint="default" w:ascii="Times New Roman" w:hAnsi="Times New Roman" w:cs="Times New Roman"/>
          <w:b/>
          <w:color w:val="auto"/>
          <w:sz w:val="24"/>
          <w:szCs w:val="24"/>
          <w:highlight w:val="none"/>
        </w:rPr>
      </w:pPr>
    </w:p>
    <w:p>
      <w:pPr>
        <w:widowControl/>
        <w:jc w:val="both"/>
        <w:rPr>
          <w:rFonts w:hint="default" w:ascii="Times New Roman" w:hAnsi="Times New Roman" w:cs="Times New Roman"/>
          <w:b/>
          <w:color w:val="auto"/>
          <w:sz w:val="24"/>
          <w:szCs w:val="24"/>
          <w:highlight w:val="none"/>
        </w:rPr>
      </w:pPr>
    </w:p>
    <w:p>
      <w:pPr>
        <w:widowControl/>
        <w:jc w:val="cente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三、无重大违法记录、无不良信用记录</w:t>
      </w:r>
      <w:r>
        <w:rPr>
          <w:rFonts w:hint="default" w:ascii="Times New Roman" w:hAnsi="Times New Roman" w:cs="Times New Roman"/>
          <w:b/>
          <w:color w:val="auto"/>
          <w:sz w:val="28"/>
          <w:szCs w:val="28"/>
          <w:highlight w:val="none"/>
          <w:lang w:val="en-US" w:eastAsia="zh-CN"/>
        </w:rPr>
        <w:t>承诺函</w:t>
      </w:r>
    </w:p>
    <w:p>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pPr>
        <w:spacing w:line="360" w:lineRule="auto"/>
        <w:ind w:firstLine="435"/>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pPr>
        <w:spacing w:line="360" w:lineRule="auto"/>
        <w:ind w:firstLine="435"/>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pPr>
        <w:spacing w:line="360" w:lineRule="auto"/>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pPr>
        <w:spacing w:line="360" w:lineRule="auto"/>
        <w:ind w:firstLine="435"/>
        <w:rPr>
          <w:rFonts w:hint="default" w:ascii="Times New Roman" w:hAnsi="Times New Roman" w:cs="Times New Roman"/>
          <w:color w:val="auto"/>
          <w:sz w:val="24"/>
          <w:szCs w:val="24"/>
          <w:highlight w:val="none"/>
        </w:rPr>
      </w:pPr>
    </w:p>
    <w:p>
      <w:pPr>
        <w:spacing w:line="360" w:lineRule="auto"/>
        <w:ind w:firstLine="435"/>
        <w:rPr>
          <w:rFonts w:hint="default" w:ascii="Times New Roman" w:hAnsi="Times New Roman" w:cs="Times New Roman"/>
          <w:color w:val="auto"/>
          <w:sz w:val="24"/>
          <w:szCs w:val="24"/>
          <w:highlight w:val="none"/>
        </w:rPr>
      </w:pPr>
    </w:p>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67"/>
    <w:p>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五、</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both"/>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六、投标人详细报价</w:t>
      </w: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both"/>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eastAsia" w:ascii="Times New Roman" w:hAnsi="Times New Roman" w:cs="Times New Roman"/>
          <w:b/>
          <w:color w:val="auto"/>
          <w:sz w:val="28"/>
          <w:szCs w:val="28"/>
          <w:highlight w:val="none"/>
          <w:lang w:val="en-US" w:eastAsia="zh-CN"/>
        </w:rPr>
      </w:pPr>
    </w:p>
    <w:p>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七</w:t>
      </w:r>
      <w:r>
        <w:rPr>
          <w:rFonts w:hint="default" w:ascii="Times New Roman" w:hAnsi="Times New Roman" w:cs="Times New Roman"/>
          <w:b/>
          <w:color w:val="auto"/>
          <w:sz w:val="28"/>
          <w:szCs w:val="28"/>
          <w:highlight w:val="none"/>
        </w:rPr>
        <w:t>、其他相关证明材料</w:t>
      </w:r>
    </w:p>
    <w:p>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pPr>
        <w:spacing w:line="360" w:lineRule="auto"/>
        <w:ind w:firstLine="435"/>
        <w:rPr>
          <w:rFonts w:hint="default" w:ascii="Times New Roman" w:hAnsi="Times New Roman" w:cs="Times New Roman"/>
          <w:color w:val="auto"/>
          <w:sz w:val="24"/>
          <w:highlight w:val="none"/>
        </w:rPr>
      </w:pPr>
    </w:p>
    <w:p>
      <w:pPr>
        <w:pStyle w:val="32"/>
        <w:rPr>
          <w:rFonts w:hint="default" w:ascii="Times New Roman" w:hAnsi="Times New Roman" w:cs="Times New Roman"/>
          <w:color w:val="auto"/>
          <w:sz w:val="24"/>
          <w:highlight w:val="none"/>
        </w:rPr>
      </w:pPr>
    </w:p>
    <w:p>
      <w:pPr>
        <w:rPr>
          <w:rFonts w:hint="default" w:ascii="Times New Roman" w:hAnsi="Times New Roman" w:cs="Times New Roman"/>
          <w:color w:val="auto"/>
          <w:sz w:val="24"/>
          <w:highlight w:val="none"/>
        </w:rPr>
      </w:pPr>
    </w:p>
    <w:p>
      <w:pPr>
        <w:pStyle w:val="32"/>
        <w:rPr>
          <w:rFonts w:hint="default" w:ascii="Times New Roman" w:hAnsi="Times New Roman" w:cs="Times New Roman"/>
          <w:color w:val="auto"/>
          <w:sz w:val="24"/>
          <w:highlight w:val="none"/>
        </w:rPr>
      </w:pPr>
    </w:p>
    <w:p>
      <w:pP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32"/>
          <w:szCs w:val="28"/>
          <w:highlight w:val="none"/>
          <w:lang w:val="en-US" w:eastAsia="zh-CN"/>
        </w:rPr>
      </w:pPr>
    </w:p>
    <w:p>
      <w:pPr>
        <w:jc w:val="center"/>
        <w:rPr>
          <w:rFonts w:hint="default" w:ascii="Times New Roman" w:hAnsi="Times New Roman" w:eastAsia="宋体" w:cs="Times New Roman"/>
          <w:color w:val="auto"/>
          <w:sz w:val="32"/>
          <w:szCs w:val="28"/>
          <w:highlight w:val="none"/>
          <w:lang w:val="en-US" w:eastAsia="zh-CN"/>
        </w:rPr>
      </w:pPr>
    </w:p>
    <w:p>
      <w:pPr>
        <w:pStyle w:val="58"/>
        <w:rPr>
          <w:rFonts w:hint="default"/>
          <w:color w:val="auto"/>
          <w:highlight w:val="none"/>
          <w:lang w:val="en-US" w:eastAsia="zh-CN"/>
        </w:rPr>
      </w:pPr>
    </w:p>
    <w:p>
      <w:pPr>
        <w:jc w:val="center"/>
        <w:rPr>
          <w:rFonts w:hint="default" w:ascii="Times New Roman" w:hAnsi="Times New Roman" w:eastAsia="宋体" w:cs="Times New Roman"/>
          <w:color w:val="auto"/>
          <w:sz w:val="32"/>
          <w:szCs w:val="28"/>
          <w:highlight w:val="none"/>
          <w:lang w:val="en-US" w:eastAsia="zh-CN"/>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CDA152-29B2-4864-AE4D-C01476CD3E92}"/>
  </w:font>
  <w:font w:name="黑体">
    <w:panose1 w:val="02010609060101010101"/>
    <w:charset w:val="86"/>
    <w:family w:val="auto"/>
    <w:pitch w:val="default"/>
    <w:sig w:usb0="800002BF" w:usb1="38CF7CFA" w:usb2="00000016" w:usb3="00000000" w:csb0="00040001" w:csb1="00000000"/>
    <w:embedRegular r:id="rId2" w:fontKey="{93A243D7-95A2-42C1-BD4F-82123477B3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D5D40C3B-69B6-4356-B693-8D4893B7752A}"/>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4B9AD5B0-BC2A-4873-83DF-550C8D8AF37C}"/>
  </w:font>
  <w:font w:name="微软雅黑">
    <w:panose1 w:val="020B0503020204020204"/>
    <w:charset w:val="86"/>
    <w:family w:val="auto"/>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6B217"/>
    <w:multiLevelType w:val="singleLevel"/>
    <w:tmpl w:val="C4E6B217"/>
    <w:lvl w:ilvl="0" w:tentative="0">
      <w:start w:val="1"/>
      <w:numFmt w:val="decimal"/>
      <w:lvlText w:val="%1."/>
      <w:lvlJc w:val="left"/>
      <w:pPr>
        <w:tabs>
          <w:tab w:val="left" w:pos="312"/>
        </w:tabs>
      </w:pPr>
    </w:lvl>
  </w:abstractNum>
  <w:abstractNum w:abstractNumId="1">
    <w:nsid w:val="C8AD724D"/>
    <w:multiLevelType w:val="singleLevel"/>
    <w:tmpl w:val="C8AD724D"/>
    <w:lvl w:ilvl="0" w:tentative="0">
      <w:start w:val="13"/>
      <w:numFmt w:val="decimal"/>
      <w:lvlText w:val="%1."/>
      <w:lvlJc w:val="left"/>
      <w:pPr>
        <w:tabs>
          <w:tab w:val="left" w:pos="312"/>
        </w:tabs>
      </w:pPr>
    </w:lvl>
  </w:abstractNum>
  <w:abstractNum w:abstractNumId="2">
    <w:nsid w:val="6D7B3AE6"/>
    <w:multiLevelType w:val="singleLevel"/>
    <w:tmpl w:val="6D7B3AE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jNWViNGNjOWVjNDBhM2Q2YjViMDQ1YWQzMTkwNDc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043AA"/>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575AC4"/>
    <w:rsid w:val="057D0F55"/>
    <w:rsid w:val="057D520D"/>
    <w:rsid w:val="058A03B9"/>
    <w:rsid w:val="058E754E"/>
    <w:rsid w:val="05A05B06"/>
    <w:rsid w:val="05AC08F7"/>
    <w:rsid w:val="05CA5B9D"/>
    <w:rsid w:val="05CB3411"/>
    <w:rsid w:val="05D30528"/>
    <w:rsid w:val="05D4629F"/>
    <w:rsid w:val="05ED6429"/>
    <w:rsid w:val="05EE3E1D"/>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3C3E"/>
    <w:rsid w:val="07B45450"/>
    <w:rsid w:val="07B87556"/>
    <w:rsid w:val="07E61381"/>
    <w:rsid w:val="07F33DC6"/>
    <w:rsid w:val="085F62D4"/>
    <w:rsid w:val="08935065"/>
    <w:rsid w:val="08B50556"/>
    <w:rsid w:val="08D12F8B"/>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A216FE"/>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B044B"/>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3E8D"/>
    <w:rsid w:val="1AD05CA5"/>
    <w:rsid w:val="1AD67E21"/>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CB02F8"/>
    <w:rsid w:val="33F72671"/>
    <w:rsid w:val="34037804"/>
    <w:rsid w:val="34041F1A"/>
    <w:rsid w:val="341D7D55"/>
    <w:rsid w:val="342F5CDB"/>
    <w:rsid w:val="345C74F2"/>
    <w:rsid w:val="34B6208F"/>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004E54"/>
    <w:rsid w:val="3A1005E3"/>
    <w:rsid w:val="3A1F5EA9"/>
    <w:rsid w:val="3A3047A5"/>
    <w:rsid w:val="3A3A65D2"/>
    <w:rsid w:val="3A447A1F"/>
    <w:rsid w:val="3A4B643A"/>
    <w:rsid w:val="3A7D1016"/>
    <w:rsid w:val="3A8C23C1"/>
    <w:rsid w:val="3A9A444B"/>
    <w:rsid w:val="3AAA7E69"/>
    <w:rsid w:val="3AE838BC"/>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F4508"/>
    <w:rsid w:val="41C25A06"/>
    <w:rsid w:val="41D50910"/>
    <w:rsid w:val="41DB4DAC"/>
    <w:rsid w:val="41F4499C"/>
    <w:rsid w:val="42350960"/>
    <w:rsid w:val="42397D6D"/>
    <w:rsid w:val="425A0117"/>
    <w:rsid w:val="4291174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7E72CB"/>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995B9E"/>
    <w:rsid w:val="47AA14E5"/>
    <w:rsid w:val="47E937D8"/>
    <w:rsid w:val="4820238E"/>
    <w:rsid w:val="484E5585"/>
    <w:rsid w:val="486E0728"/>
    <w:rsid w:val="48844C6D"/>
    <w:rsid w:val="488C0F58"/>
    <w:rsid w:val="48971D34"/>
    <w:rsid w:val="49122810"/>
    <w:rsid w:val="491267DF"/>
    <w:rsid w:val="49226F0A"/>
    <w:rsid w:val="49362D3A"/>
    <w:rsid w:val="493A685C"/>
    <w:rsid w:val="49557B3A"/>
    <w:rsid w:val="495F603B"/>
    <w:rsid w:val="498B57D8"/>
    <w:rsid w:val="49A37EB3"/>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DFB5128"/>
    <w:rsid w:val="4E17245D"/>
    <w:rsid w:val="4E1C0C26"/>
    <w:rsid w:val="4E1E04FA"/>
    <w:rsid w:val="4E5D1AB9"/>
    <w:rsid w:val="4E6B7E80"/>
    <w:rsid w:val="4E6D1139"/>
    <w:rsid w:val="4EBD4EA8"/>
    <w:rsid w:val="4EDD2F44"/>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452242"/>
    <w:rsid w:val="516D5B98"/>
    <w:rsid w:val="516E1798"/>
    <w:rsid w:val="5179477F"/>
    <w:rsid w:val="51B04CD5"/>
    <w:rsid w:val="51B318A1"/>
    <w:rsid w:val="522220BC"/>
    <w:rsid w:val="522B1438"/>
    <w:rsid w:val="52416EAD"/>
    <w:rsid w:val="524B7D2C"/>
    <w:rsid w:val="527C6137"/>
    <w:rsid w:val="52A64F11"/>
    <w:rsid w:val="52A65DDA"/>
    <w:rsid w:val="52D15A02"/>
    <w:rsid w:val="52DE64B1"/>
    <w:rsid w:val="52E0059C"/>
    <w:rsid w:val="52E23FE1"/>
    <w:rsid w:val="530348CC"/>
    <w:rsid w:val="533B38FC"/>
    <w:rsid w:val="53595EB0"/>
    <w:rsid w:val="537D2167"/>
    <w:rsid w:val="538771E8"/>
    <w:rsid w:val="53DF072C"/>
    <w:rsid w:val="546450D5"/>
    <w:rsid w:val="546A3CB6"/>
    <w:rsid w:val="547A60F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020E8D"/>
    <w:rsid w:val="58102C16"/>
    <w:rsid w:val="582160FE"/>
    <w:rsid w:val="582165A1"/>
    <w:rsid w:val="582A050E"/>
    <w:rsid w:val="589809DC"/>
    <w:rsid w:val="589F4805"/>
    <w:rsid w:val="58AD4AF5"/>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EFD23F"/>
    <w:rsid w:val="5BF57AC9"/>
    <w:rsid w:val="5C074CC3"/>
    <w:rsid w:val="5C3D00E9"/>
    <w:rsid w:val="5C7D4C4C"/>
    <w:rsid w:val="5C9522CF"/>
    <w:rsid w:val="5C9F6CAA"/>
    <w:rsid w:val="5CA93F38"/>
    <w:rsid w:val="5CD62855"/>
    <w:rsid w:val="5CE13766"/>
    <w:rsid w:val="5CE15514"/>
    <w:rsid w:val="5CE371E2"/>
    <w:rsid w:val="5CEB5280"/>
    <w:rsid w:val="5D13024E"/>
    <w:rsid w:val="5D1D5D61"/>
    <w:rsid w:val="5D213B63"/>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9B7345"/>
    <w:rsid w:val="5EFD7E9A"/>
    <w:rsid w:val="5F3A5CEE"/>
    <w:rsid w:val="5F40721D"/>
    <w:rsid w:val="5F5A480F"/>
    <w:rsid w:val="5F743C57"/>
    <w:rsid w:val="5F7E4861"/>
    <w:rsid w:val="5FB35030"/>
    <w:rsid w:val="5FB46F10"/>
    <w:rsid w:val="5FD01870"/>
    <w:rsid w:val="5FE77A37"/>
    <w:rsid w:val="5FEB7BC5"/>
    <w:rsid w:val="5FF01979"/>
    <w:rsid w:val="5FF91BB5"/>
    <w:rsid w:val="600F1A46"/>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B04B1B"/>
    <w:rsid w:val="64B04CD0"/>
    <w:rsid w:val="64BB18DC"/>
    <w:rsid w:val="64C175E6"/>
    <w:rsid w:val="650608D1"/>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636B7"/>
    <w:rsid w:val="67281F92"/>
    <w:rsid w:val="67C938CC"/>
    <w:rsid w:val="67EC408F"/>
    <w:rsid w:val="67F56318"/>
    <w:rsid w:val="67FE046D"/>
    <w:rsid w:val="680829E6"/>
    <w:rsid w:val="68095FB7"/>
    <w:rsid w:val="68174F57"/>
    <w:rsid w:val="681D0C52"/>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6F389E"/>
    <w:rsid w:val="6A9122B5"/>
    <w:rsid w:val="6AEE5468"/>
    <w:rsid w:val="6AFC29D0"/>
    <w:rsid w:val="6B0D5727"/>
    <w:rsid w:val="6B157DBF"/>
    <w:rsid w:val="6B1C1E0E"/>
    <w:rsid w:val="6B322169"/>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E317C"/>
    <w:rsid w:val="6CBF6BEA"/>
    <w:rsid w:val="6CC85483"/>
    <w:rsid w:val="6CCB5899"/>
    <w:rsid w:val="6CF86B53"/>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70525"/>
    <w:rsid w:val="6ED924EF"/>
    <w:rsid w:val="6F0A3320"/>
    <w:rsid w:val="6F173018"/>
    <w:rsid w:val="6F345978"/>
    <w:rsid w:val="6F3C270D"/>
    <w:rsid w:val="6F531AAA"/>
    <w:rsid w:val="6F6238F1"/>
    <w:rsid w:val="6F7A0897"/>
    <w:rsid w:val="6F7E6748"/>
    <w:rsid w:val="6F8E49DA"/>
    <w:rsid w:val="6FF463F0"/>
    <w:rsid w:val="701B08E6"/>
    <w:rsid w:val="70417478"/>
    <w:rsid w:val="705F139B"/>
    <w:rsid w:val="706611D1"/>
    <w:rsid w:val="70725AA9"/>
    <w:rsid w:val="70756B0C"/>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4252C"/>
    <w:rsid w:val="76970D1E"/>
    <w:rsid w:val="76984A3E"/>
    <w:rsid w:val="76AB6601"/>
    <w:rsid w:val="76BB31AD"/>
    <w:rsid w:val="76DD4B47"/>
    <w:rsid w:val="76EF6628"/>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5DB2A3"/>
    <w:rsid w:val="7F74E094"/>
    <w:rsid w:val="7F7676A4"/>
    <w:rsid w:val="7F873A64"/>
    <w:rsid w:val="7F8F3FAC"/>
    <w:rsid w:val="7F970ECA"/>
    <w:rsid w:val="7F9E036E"/>
    <w:rsid w:val="7FA53646"/>
    <w:rsid w:val="7FAD558D"/>
    <w:rsid w:val="7FEB33E1"/>
    <w:rsid w:val="D76B00FE"/>
    <w:rsid w:val="EB670CA2"/>
    <w:rsid w:val="EBDE8426"/>
    <w:rsid w:val="EFFBA4ED"/>
    <w:rsid w:val="FEFD8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autoRedefine/>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autoRedefine/>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0"/>
    <w:rPr>
      <w:rFonts w:ascii="宋体" w:hAnsi="Arial" w:cs="Times New Roman"/>
      <w:sz w:val="28"/>
    </w:rPr>
  </w:style>
  <w:style w:type="paragraph" w:styleId="17">
    <w:name w:val="Body Text Indent"/>
    <w:basedOn w:val="1"/>
    <w:next w:val="18"/>
    <w:link w:val="140"/>
    <w:autoRedefine/>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autoRedefine/>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autoRedefine/>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autoRedefine/>
    <w:qFormat/>
    <w:uiPriority w:val="0"/>
    <w:pPr>
      <w:ind w:firstLine="420" w:firstLineChars="200"/>
    </w:pPr>
  </w:style>
  <w:style w:type="table" w:styleId="41">
    <w:name w:val="Table Grid"/>
    <w:basedOn w:val="4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autoRedefine/>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autoRedefine/>
    <w:qFormat/>
    <w:uiPriority w:val="0"/>
    <w:rPr>
      <w:rFonts w:hint="eastAsia" w:ascii="宋体" w:hAnsi="宋体" w:eastAsia="宋体" w:cs="宋体"/>
      <w:color w:val="000000"/>
      <w:sz w:val="22"/>
      <w:szCs w:val="22"/>
      <w:u w:val="none"/>
    </w:rPr>
  </w:style>
  <w:style w:type="character" w:customStyle="1" w:styleId="195">
    <w:name w:val="font81"/>
    <w:basedOn w:val="42"/>
    <w:autoRedefine/>
    <w:qFormat/>
    <w:uiPriority w:val="0"/>
    <w:rPr>
      <w:rFonts w:ascii="Calibri" w:hAnsi="Calibri" w:cs="Calibri"/>
      <w:color w:val="000000"/>
      <w:sz w:val="22"/>
      <w:szCs w:val="22"/>
      <w:u w:val="none"/>
    </w:rPr>
  </w:style>
  <w:style w:type="character" w:customStyle="1" w:styleId="196">
    <w:name w:val="font61"/>
    <w:basedOn w:val="4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46</Pages>
  <Words>9669</Words>
  <Characters>10245</Characters>
  <Lines>305</Lines>
  <Paragraphs>86</Paragraphs>
  <TotalTime>8</TotalTime>
  <ScaleCrop>false</ScaleCrop>
  <LinksUpToDate>false</LinksUpToDate>
  <CharactersWithSpaces>10329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2023-07-12T06:24:00Z</dcterms:created>
  <dc:creator>Anakin</dc:creator>
  <cp:lastModifiedBy>亚兵</cp:lastModifiedBy>
  <cp:lastPrinted>2024-09-24T21:39:00Z</cp:lastPrinted>
  <dcterms:modified xsi:type="dcterms:W3CDTF">2025-06-12T02:59:41Z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238CBAFCD80B427DA4DA6AD29A64EECF_13</vt:lpwstr>
  </property>
  <property fmtid="{D5CDD505-2E9C-101B-9397-08002B2CF9AE}" pid="4" name="KSOTemplateDocerSaveRecord">
    <vt:lpwstr>eyJoZGlkIjoiNTQwYTExMzYzYmE5OWFiMThiNTAxMzVjNDdjOTVhM2QiLCJ1c2VySWQiOiI0MDg3NjE2NDMifQ==</vt:lpwstr>
  </property>
</Properties>
</file>