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u w:val="single"/>
          <w:lang w:val="en-US" w:eastAsia="zh-CN"/>
        </w:rPr>
        <w:t>华兴路小学地块室外体育场地及部分配套工程监理</w:t>
      </w:r>
      <w:r>
        <w:rPr>
          <w:rFonts w:hint="default" w:ascii="Times New Roman" w:hAnsi="Times New Roman" w:cs="Times New Roman"/>
          <w:b/>
          <w:color w:val="auto"/>
          <w:spacing w:val="20"/>
          <w:kern w:val="0"/>
          <w:sz w:val="32"/>
          <w:szCs w:val="32"/>
          <w:highlight w:val="none"/>
          <w:u w:val="singl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color w:val="auto"/>
          <w:spacing w:val="20"/>
          <w:kern w:val="0"/>
          <w:sz w:val="32"/>
          <w:szCs w:val="32"/>
          <w:highlight w:val="none"/>
          <w:u w:val="single"/>
        </w:rPr>
        <w:t>BHSG-ZTB-2025-</w:t>
      </w:r>
      <w:r>
        <w:rPr>
          <w:rFonts w:hint="eastAsia" w:ascii="Times New Roman" w:hAnsi="Times New Roman" w:cs="Times New Roman"/>
          <w:b/>
          <w:color w:val="auto"/>
          <w:spacing w:val="20"/>
          <w:kern w:val="0"/>
          <w:sz w:val="32"/>
          <w:szCs w:val="32"/>
          <w:highlight w:val="none"/>
          <w:u w:val="single"/>
          <w:lang w:val="en-US" w:eastAsia="zh-CN"/>
        </w:rPr>
        <w:t>37</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8</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327A483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5" w:h="16838"/>
          <w:pgMar w:top="2098" w:right="1474" w:bottom="1701" w:left="1587" w:header="850" w:footer="992" w:gutter="0"/>
          <w:pgNumType w:start="1"/>
          <w:cols w:space="0" w:num="1"/>
          <w:rtlGutter w:val="0"/>
          <w:docGrid w:type="lines" w:linePitch="318"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w:t>
      </w:r>
      <w:r>
        <w:rPr>
          <w:rFonts w:hint="eastAsia" w:ascii="Times New Roman" w:hAnsi="Times New Roman" w:cs="Times New Roman"/>
          <w:color w:val="auto"/>
          <w:highlight w:val="none"/>
          <w:lang w:val="en-US" w:eastAsia="zh-CN"/>
        </w:rPr>
        <w:t>需求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0C70BCB9">
      <w:pPr>
        <w:rPr>
          <w:rFonts w:hint="default" w:ascii="Times New Roman" w:hAnsi="Times New Roman" w:cs="Times New Roman"/>
          <w:color w:val="auto"/>
          <w:highlight w:val="none"/>
        </w:rPr>
        <w:sectPr>
          <w:headerReference r:id="rId4" w:type="default"/>
          <w:footerReference r:id="rId5" w:type="default"/>
          <w:pgSz w:w="11905" w:h="16838"/>
          <w:pgMar w:top="2098" w:right="1474" w:bottom="1701" w:left="1587" w:header="850" w:footer="992" w:gutter="0"/>
          <w:cols w:space="0" w:num="1"/>
          <w:rtlGutter w:val="0"/>
          <w:docGrid w:type="lines" w:linePitch="318"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03"/>
      <w:bookmarkStart w:id="3" w:name="_Toc28359080"/>
      <w:bookmarkStart w:id="4" w:name="_Toc35393791"/>
      <w:bookmarkStart w:id="5" w:name="_Toc35393622"/>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华兴路小学地块室外体育场地及部分配套工程监理</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8</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18</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02"/>
      <w:bookmarkStart w:id="7" w:name="_Toc28359079"/>
      <w:bookmarkStart w:id="8" w:name="_Toc35393621"/>
      <w:bookmarkStart w:id="9" w:name="_Toc35393790"/>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single"/>
          <w:lang w:val="en-US" w:eastAsia="zh-CN"/>
        </w:rPr>
        <w:t>BHSG-ZTB-2025-</w:t>
      </w:r>
      <w:r>
        <w:rPr>
          <w:rFonts w:hint="eastAsia" w:ascii="Times New Roman" w:hAnsi="Times New Roman" w:cs="Times New Roman"/>
          <w:color w:val="auto"/>
          <w:sz w:val="24"/>
          <w:szCs w:val="24"/>
          <w:highlight w:val="none"/>
          <w:u w:val="single"/>
          <w:lang w:val="en-US" w:eastAsia="zh-CN"/>
        </w:rPr>
        <w:t>37</w:t>
      </w:r>
    </w:p>
    <w:p w14:paraId="5A9DF25C">
      <w:pPr>
        <w:snapToGrid w:val="0"/>
        <w:spacing w:line="360" w:lineRule="auto"/>
        <w:ind w:firstLine="480" w:firstLineChars="200"/>
        <w:rPr>
          <w:rFonts w:hint="default" w:ascii="Times New Roman" w:hAnsi="Times New Roman" w:cs="Times New Roman"/>
          <w:color w:val="auto"/>
          <w:sz w:val="24"/>
          <w:szCs w:val="24"/>
          <w:highlight w:val="none"/>
          <w:u w:val="single"/>
          <w:lang w:val="en-US"/>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华兴路小学地块室外体育场地及部分配套工程监理</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default" w:ascii="Times New Roman" w:hAnsi="Times New Roman" w:cs="Times New Roman"/>
          <w:color w:val="auto"/>
          <w:sz w:val="24"/>
          <w:szCs w:val="24"/>
          <w:highlight w:val="none"/>
          <w:u w:val="single"/>
          <w:lang w:val="en-US" w:eastAsia="zh-CN"/>
        </w:rPr>
        <w:t>华兴路小学地块室外体育场地及部分配套工程监理。具体内容详见本项目招标文件。</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9.24</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92400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玖万贰仟肆佰元</w:t>
      </w:r>
      <w:r>
        <w:rPr>
          <w:rFonts w:hint="default" w:ascii="Times New Roman" w:hAnsi="Times New Roman" w:cs="Times New Roman"/>
          <w:color w:val="auto"/>
          <w:sz w:val="24"/>
          <w:szCs w:val="24"/>
          <w:highlight w:val="none"/>
          <w:u w:val="single"/>
          <w:lang w:val="en-US" w:eastAsia="zh-CN"/>
        </w:rPr>
        <w:t>整）</w:t>
      </w:r>
    </w:p>
    <w:p w14:paraId="6F73A0D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工程</w:t>
      </w:r>
      <w:r>
        <w:rPr>
          <w:rFonts w:hint="default" w:ascii="Times New Roman" w:hAnsi="Times New Roman" w:cs="Times New Roman"/>
          <w:color w:val="auto"/>
          <w:sz w:val="24"/>
          <w:szCs w:val="24"/>
          <w:highlight w:val="none"/>
          <w:u w:val="single"/>
          <w:lang w:val="en-US" w:eastAsia="zh-CN"/>
        </w:rPr>
        <w:t>服务</w:t>
      </w:r>
    </w:p>
    <w:p w14:paraId="64665BAA">
      <w:pPr>
        <w:spacing w:line="360" w:lineRule="auto"/>
        <w:ind w:firstLine="435"/>
        <w:rPr>
          <w:rFonts w:hint="eastAsia" w:ascii="Times New Roman" w:hAnsi="Times New Roman" w:eastAsia="宋体" w:cs="Times New Roman"/>
          <w:color w:val="0000FF"/>
          <w:sz w:val="24"/>
          <w:szCs w:val="18"/>
          <w:highlight w:val="none"/>
          <w:u w:val="single"/>
          <w:lang w:eastAsia="zh-CN"/>
        </w:rPr>
      </w:pPr>
      <w:r>
        <w:rPr>
          <w:rFonts w:hint="eastAsia" w:ascii="Times New Roman" w:hAnsi="Times New Roman" w:eastAsia="宋体" w:cs="Times New Roman"/>
          <w:color w:val="auto"/>
          <w:sz w:val="24"/>
          <w:szCs w:val="18"/>
          <w:highlight w:val="none"/>
        </w:rPr>
        <w:t>8</w:t>
      </w:r>
      <w:r>
        <w:rPr>
          <w:rFonts w:hint="default" w:ascii="Times New Roman" w:hAnsi="Times New Roman" w:eastAsia="宋体" w:cs="Times New Roman"/>
          <w:color w:val="auto"/>
          <w:sz w:val="24"/>
          <w:szCs w:val="18"/>
          <w:highlight w:val="none"/>
        </w:rPr>
        <w:t>.工程项目施工预计开工日期和建设周期：</w:t>
      </w:r>
      <w:r>
        <w:rPr>
          <w:rFonts w:hint="default" w:ascii="Times New Roman" w:hAnsi="Times New Roman" w:eastAsia="宋体" w:cs="Times New Roman"/>
          <w:color w:val="auto"/>
          <w:sz w:val="24"/>
          <w:szCs w:val="18"/>
          <w:highlight w:val="none"/>
          <w:u w:val="single"/>
        </w:rPr>
        <w:t>具体开工日期以开工令（开工报告）为准，建设周期暂定3个月</w:t>
      </w:r>
      <w:r>
        <w:rPr>
          <w:rFonts w:hint="eastAsia" w:ascii="Times New Roman" w:hAnsi="Times New Roman" w:eastAsia="宋体" w:cs="Times New Roman"/>
          <w:color w:val="auto"/>
          <w:sz w:val="24"/>
          <w:szCs w:val="18"/>
          <w:highlight w:val="none"/>
          <w:u w:val="single"/>
          <w:lang w:eastAsia="zh-CN"/>
        </w:rPr>
        <w:t>。</w:t>
      </w:r>
    </w:p>
    <w:p w14:paraId="544B2BB2">
      <w:pPr>
        <w:spacing w:line="360" w:lineRule="auto"/>
        <w:ind w:firstLine="435"/>
        <w:rPr>
          <w:rFonts w:hint="eastAsia" w:ascii="Times New Roman" w:hAnsi="Times New Roman" w:eastAsia="宋体" w:cs="Times New Roman"/>
          <w:color w:val="auto"/>
          <w:sz w:val="24"/>
          <w:szCs w:val="18"/>
          <w:highlight w:val="none"/>
          <w:u w:val="single"/>
        </w:rPr>
      </w:pPr>
      <w:r>
        <w:rPr>
          <w:rFonts w:hint="eastAsia" w:ascii="Times New Roman" w:hAnsi="Times New Roman" w:eastAsia="宋体" w:cs="Times New Roman"/>
          <w:color w:val="auto"/>
          <w:sz w:val="24"/>
          <w:szCs w:val="18"/>
          <w:highlight w:val="none"/>
        </w:rPr>
        <w:t>9.监理服务期限：</w:t>
      </w:r>
      <w:r>
        <w:rPr>
          <w:rFonts w:hint="eastAsia" w:ascii="Times New Roman" w:hAnsi="Times New Roman" w:eastAsia="宋体" w:cs="Times New Roman"/>
          <w:color w:val="auto"/>
          <w:sz w:val="24"/>
          <w:szCs w:val="18"/>
          <w:highlight w:val="none"/>
          <w:u w:val="single"/>
        </w:rPr>
        <w:t xml:space="preserve">自合同签订之日起至竣工验收合格移交且保修期满回访合格止。  </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4DCB1E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18"/>
          <w:highlight w:val="none"/>
          <w:lang w:eastAsia="zh-CN"/>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r>
        <w:rPr>
          <w:rFonts w:hint="eastAsia" w:ascii="Times New Roman" w:hAnsi="Times New Roman" w:cs="Times New Roman"/>
          <w:color w:val="auto"/>
          <w:sz w:val="24"/>
          <w:szCs w:val="18"/>
          <w:highlight w:val="none"/>
          <w:lang w:eastAsia="zh-CN"/>
        </w:rPr>
        <w:t>；</w:t>
      </w:r>
    </w:p>
    <w:p w14:paraId="0949FF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18"/>
          <w:highlight w:val="none"/>
        </w:rPr>
      </w:pPr>
      <w:r>
        <w:rPr>
          <w:rFonts w:hint="default" w:ascii="Times New Roman" w:hAnsi="Times New Roman" w:cs="Times New Roman"/>
          <w:color w:val="auto"/>
          <w:sz w:val="24"/>
          <w:szCs w:val="18"/>
          <w:highlight w:val="none"/>
        </w:rPr>
        <w:t>2.</w:t>
      </w:r>
      <w:r>
        <w:rPr>
          <w:rFonts w:hint="eastAsia" w:ascii="Times New Roman" w:hAnsi="Times New Roman" w:cs="Times New Roman"/>
          <w:color w:val="auto"/>
          <w:sz w:val="24"/>
          <w:szCs w:val="18"/>
          <w:highlight w:val="none"/>
          <w:lang w:val="en-US" w:eastAsia="zh-CN"/>
        </w:rPr>
        <w:t>投标人</w:t>
      </w:r>
      <w:r>
        <w:rPr>
          <w:rFonts w:hint="default" w:ascii="Times New Roman" w:hAnsi="Times New Roman" w:cs="Times New Roman"/>
          <w:color w:val="auto"/>
          <w:sz w:val="24"/>
          <w:szCs w:val="18"/>
          <w:highlight w:val="none"/>
        </w:rPr>
        <w:t>资质要求：</w:t>
      </w:r>
      <w:r>
        <w:rPr>
          <w:rFonts w:hint="eastAsia" w:ascii="Times New Roman" w:hAnsi="Times New Roman" w:eastAsia="宋体" w:cs="Times New Roman"/>
          <w:color w:val="auto"/>
          <w:sz w:val="24"/>
          <w:szCs w:val="18"/>
          <w:highlight w:val="none"/>
        </w:rPr>
        <w:t>须符合下列条件之一：</w:t>
      </w:r>
    </w:p>
    <w:p w14:paraId="4DECF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18"/>
          <w:highlight w:val="none"/>
        </w:rPr>
      </w:pPr>
      <w:r>
        <w:rPr>
          <w:rFonts w:hint="eastAsia" w:ascii="Times New Roman" w:hAnsi="Times New Roman" w:eastAsia="宋体" w:cs="Times New Roman"/>
          <w:color w:val="auto"/>
          <w:sz w:val="24"/>
          <w:szCs w:val="18"/>
          <w:highlight w:val="none"/>
          <w:lang w:val="en-US" w:eastAsia="zh-CN"/>
        </w:rPr>
        <w:t>（1）</w:t>
      </w:r>
      <w:r>
        <w:rPr>
          <w:rFonts w:hint="default" w:ascii="Times New Roman" w:hAnsi="Times New Roman" w:cs="Times New Roman"/>
          <w:color w:val="auto"/>
          <w:sz w:val="24"/>
          <w:szCs w:val="18"/>
          <w:highlight w:val="none"/>
          <w:lang w:val="en-US" w:eastAsia="zh-CN"/>
        </w:rPr>
        <w:t>具备</w:t>
      </w:r>
      <w:r>
        <w:rPr>
          <w:rFonts w:hint="default" w:ascii="Times New Roman" w:hAnsi="Times New Roman" w:cs="Times New Roman"/>
          <w:color w:val="auto"/>
          <w:sz w:val="24"/>
          <w:szCs w:val="18"/>
          <w:highlight w:val="none"/>
        </w:rPr>
        <w:t>住建部门颁发的房屋建筑工程</w:t>
      </w:r>
      <w:r>
        <w:rPr>
          <w:rFonts w:hint="default" w:ascii="Times New Roman" w:hAnsi="Times New Roman" w:cs="Times New Roman"/>
          <w:color w:val="auto"/>
          <w:sz w:val="24"/>
          <w:szCs w:val="18"/>
          <w:highlight w:val="none"/>
          <w:lang w:val="en-US" w:eastAsia="zh-CN"/>
        </w:rPr>
        <w:t>乙</w:t>
      </w:r>
      <w:r>
        <w:rPr>
          <w:rFonts w:hint="default" w:ascii="Times New Roman" w:hAnsi="Times New Roman" w:cs="Times New Roman"/>
          <w:color w:val="auto"/>
          <w:sz w:val="24"/>
          <w:szCs w:val="18"/>
          <w:highlight w:val="none"/>
        </w:rPr>
        <w:t>级及以上监理资质</w:t>
      </w:r>
      <w:r>
        <w:rPr>
          <w:rFonts w:hint="default" w:ascii="Times New Roman" w:hAnsi="Times New Roman" w:cs="Times New Roman"/>
          <w:color w:val="auto"/>
          <w:sz w:val="24"/>
          <w:szCs w:val="18"/>
          <w:highlight w:val="none"/>
          <w:lang w:val="en-US" w:eastAsia="zh-CN"/>
        </w:rPr>
        <w:t>；</w:t>
      </w:r>
    </w:p>
    <w:p w14:paraId="1C32BC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18"/>
          <w:highlight w:val="none"/>
          <w:lang w:eastAsia="zh-CN"/>
        </w:rPr>
      </w:pPr>
      <w:r>
        <w:rPr>
          <w:rFonts w:hint="eastAsia" w:ascii="Times New Roman" w:hAnsi="Times New Roman" w:cs="Times New Roman"/>
          <w:color w:val="auto"/>
          <w:sz w:val="24"/>
          <w:szCs w:val="18"/>
          <w:highlight w:val="none"/>
          <w:lang w:val="en-US" w:eastAsia="zh-CN"/>
        </w:rPr>
        <w:t>（2）</w:t>
      </w:r>
      <w:r>
        <w:rPr>
          <w:rFonts w:hint="default" w:ascii="Times New Roman" w:hAnsi="Times New Roman" w:cs="Times New Roman"/>
          <w:color w:val="auto"/>
          <w:sz w:val="24"/>
          <w:szCs w:val="18"/>
          <w:highlight w:val="none"/>
          <w:lang w:val="en-US" w:eastAsia="zh-CN"/>
        </w:rPr>
        <w:t>具备</w:t>
      </w:r>
      <w:r>
        <w:rPr>
          <w:rFonts w:hint="default" w:ascii="Times New Roman" w:hAnsi="Times New Roman" w:cs="Times New Roman"/>
          <w:color w:val="auto"/>
          <w:sz w:val="24"/>
          <w:szCs w:val="18"/>
          <w:highlight w:val="none"/>
        </w:rPr>
        <w:t>住建部门颁发的工程监理综合资质</w:t>
      </w:r>
      <w:r>
        <w:rPr>
          <w:rFonts w:hint="eastAsia" w:ascii="Times New Roman" w:hAnsi="Times New Roman" w:cs="Times New Roman"/>
          <w:color w:val="auto"/>
          <w:sz w:val="24"/>
          <w:szCs w:val="18"/>
          <w:highlight w:val="none"/>
          <w:lang w:eastAsia="zh-CN"/>
        </w:rPr>
        <w:t>。</w:t>
      </w:r>
    </w:p>
    <w:p w14:paraId="64963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18"/>
          <w:highlight w:val="none"/>
          <w:lang w:val="en-US" w:eastAsia="zh-CN"/>
        </w:rPr>
      </w:pPr>
      <w:r>
        <w:rPr>
          <w:rFonts w:hint="eastAsia" w:ascii="Times New Roman" w:hAnsi="Times New Roman" w:eastAsia="宋体" w:cs="Times New Roman"/>
          <w:color w:val="auto"/>
          <w:sz w:val="24"/>
          <w:szCs w:val="18"/>
          <w:highlight w:val="none"/>
          <w:lang w:val="en-US" w:eastAsia="zh-CN"/>
        </w:rPr>
        <w:t>3.总监理工程师要求：具备房屋建筑工程专业国家注册监理工程师执业资格。</w:t>
      </w:r>
    </w:p>
    <w:p w14:paraId="11EFB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trike/>
          <w:dstrike w:val="0"/>
          <w:color w:val="auto"/>
          <w:spacing w:val="-1"/>
          <w:sz w:val="24"/>
          <w:szCs w:val="24"/>
          <w:highlight w:val="none"/>
          <w:lang w:val="en-US" w:eastAsia="zh-CN"/>
        </w:rPr>
      </w:pPr>
      <w:r>
        <w:rPr>
          <w:rFonts w:hint="eastAsia" w:ascii="Times New Roman" w:hAnsi="Times New Roman" w:cs="Times New Roman"/>
          <w:color w:val="auto"/>
          <w:sz w:val="24"/>
          <w:szCs w:val="18"/>
          <w:highlight w:val="none"/>
          <w:lang w:val="en-US" w:eastAsia="zh-CN"/>
        </w:rPr>
        <w:t>4</w:t>
      </w:r>
      <w:r>
        <w:rPr>
          <w:rFonts w:hint="default" w:ascii="Times New Roman" w:hAnsi="Times New Roman" w:cs="Times New Roman"/>
          <w:color w:val="auto"/>
          <w:sz w:val="24"/>
          <w:szCs w:val="18"/>
          <w:highlight w:val="none"/>
        </w:rPr>
        <w:t>.</w:t>
      </w:r>
      <w:r>
        <w:rPr>
          <w:rFonts w:hint="eastAsia" w:ascii="Times New Roman" w:hAnsi="Times New Roman" w:cs="Times New Roman"/>
          <w:color w:val="auto"/>
          <w:sz w:val="24"/>
          <w:szCs w:val="18"/>
          <w:highlight w:val="none"/>
          <w:lang w:val="en-US" w:eastAsia="zh-CN"/>
        </w:rPr>
        <w:t>投标人</w:t>
      </w:r>
      <w:r>
        <w:rPr>
          <w:rFonts w:hint="default" w:ascii="Times New Roman" w:hAnsi="Times New Roman" w:cs="Times New Roman"/>
          <w:color w:val="auto"/>
          <w:sz w:val="24"/>
          <w:szCs w:val="18"/>
          <w:highlight w:val="none"/>
        </w:rPr>
        <w:t>业绩要求：</w:t>
      </w:r>
      <w:r>
        <w:rPr>
          <w:rFonts w:ascii="宋体" w:hAnsi="宋体" w:eastAsia="宋体" w:cs="宋体"/>
          <w:color w:val="auto"/>
          <w:spacing w:val="-1"/>
          <w:sz w:val="24"/>
          <w:szCs w:val="24"/>
          <w:highlight w:val="none"/>
        </w:rPr>
        <w:t>投标人</w:t>
      </w:r>
      <w:r>
        <w:rPr>
          <w:rFonts w:hint="eastAsia" w:ascii="宋体" w:hAnsi="宋体" w:cs="宋体"/>
          <w:color w:val="auto"/>
          <w:spacing w:val="-1"/>
          <w:sz w:val="24"/>
          <w:szCs w:val="24"/>
          <w:highlight w:val="none"/>
          <w:lang w:val="en-US" w:eastAsia="zh-CN"/>
        </w:rPr>
        <w:t>需</w:t>
      </w:r>
      <w:r>
        <w:rPr>
          <w:rFonts w:ascii="宋体" w:hAnsi="宋体" w:eastAsia="宋体" w:cs="宋体"/>
          <w:color w:val="auto"/>
          <w:spacing w:val="-1"/>
          <w:sz w:val="24"/>
          <w:szCs w:val="24"/>
          <w:highlight w:val="none"/>
        </w:rPr>
        <w:t>具备以下</w:t>
      </w:r>
      <w:r>
        <w:rPr>
          <w:rFonts w:hint="eastAsia" w:ascii="宋体" w:hAnsi="宋体" w:cs="宋体"/>
          <w:color w:val="auto"/>
          <w:spacing w:val="-1"/>
          <w:sz w:val="24"/>
          <w:szCs w:val="24"/>
          <w:highlight w:val="none"/>
          <w:lang w:eastAsia="zh-CN"/>
        </w:rPr>
        <w:t>业绩</w:t>
      </w:r>
      <w:r>
        <w:rPr>
          <w:rFonts w:hint="eastAsia" w:ascii="宋体" w:hAnsi="宋体" w:eastAsia="宋体" w:cs="宋体"/>
          <w:color w:val="auto"/>
          <w:spacing w:val="-1"/>
          <w:sz w:val="24"/>
          <w:szCs w:val="24"/>
          <w:highlight w:val="none"/>
          <w:lang w:val="en-US" w:eastAsia="zh-CN"/>
        </w:rPr>
        <w:t>之一：</w:t>
      </w:r>
      <w:r>
        <w:rPr>
          <w:rFonts w:hint="eastAsia" w:ascii="宋体" w:hAnsi="宋体" w:cs="宋体"/>
          <w:color w:val="auto"/>
          <w:spacing w:val="-1"/>
          <w:sz w:val="24"/>
          <w:szCs w:val="24"/>
          <w:highlight w:val="none"/>
          <w:lang w:val="en-US" w:eastAsia="zh-CN"/>
        </w:rPr>
        <w:t>/。</w:t>
      </w:r>
    </w:p>
    <w:p w14:paraId="6D216474">
      <w:pPr>
        <w:pStyle w:val="39"/>
        <w:keepNext w:val="0"/>
        <w:keepLines w:val="0"/>
        <w:pageBreakBefore w:val="0"/>
        <w:widowControl w:val="0"/>
        <w:kinsoku/>
        <w:wordWrap/>
        <w:overflowPunct/>
        <w:topLinePunct w:val="0"/>
        <w:autoSpaceDE/>
        <w:autoSpaceDN/>
        <w:bidi w:val="0"/>
        <w:adjustRightInd/>
        <w:snapToGrid/>
        <w:ind w:left="0" w:leftChars="0" w:firstLine="476" w:firstLineChars="200"/>
        <w:textAlignment w:val="auto"/>
        <w:rPr>
          <w:rFonts w:hint="default"/>
          <w:color w:val="auto"/>
          <w:highlight w:val="none"/>
          <w:lang w:val="en-US" w:eastAsia="zh-CN"/>
        </w:rPr>
      </w:pPr>
      <w:r>
        <w:rPr>
          <w:rFonts w:hint="eastAsia" w:ascii="宋体" w:hAnsi="宋体" w:cs="宋体"/>
          <w:color w:val="auto"/>
          <w:spacing w:val="-1"/>
          <w:sz w:val="24"/>
          <w:szCs w:val="24"/>
          <w:highlight w:val="none"/>
          <w:lang w:val="en-US" w:eastAsia="zh-CN"/>
        </w:rPr>
        <w:t>5.总监理工程师业绩要求：/。</w:t>
      </w:r>
    </w:p>
    <w:p w14:paraId="01D4C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lang w:val="en-US" w:eastAsia="zh-CN"/>
        </w:rPr>
        <w:t>6</w:t>
      </w:r>
      <w:r>
        <w:rPr>
          <w:rFonts w:hint="default" w:ascii="Times New Roman" w:hAnsi="Times New Roman" w:eastAsia="宋体" w:cs="Times New Roman"/>
          <w:color w:val="auto"/>
          <w:sz w:val="24"/>
          <w:szCs w:val="18"/>
          <w:highlight w:val="none"/>
        </w:rPr>
        <w:t>.本项目不接受联合体投标；</w:t>
      </w:r>
    </w:p>
    <w:p w14:paraId="675ED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18"/>
          <w:highlight w:val="none"/>
        </w:rPr>
      </w:pPr>
      <w:r>
        <w:rPr>
          <w:rFonts w:hint="eastAsia" w:ascii="Times New Roman" w:hAnsi="Times New Roman" w:eastAsia="宋体" w:cs="Times New Roman"/>
          <w:color w:val="auto"/>
          <w:sz w:val="24"/>
          <w:szCs w:val="18"/>
          <w:highlight w:val="none"/>
          <w:lang w:val="en-US" w:eastAsia="zh-CN"/>
        </w:rPr>
        <w:t>7</w:t>
      </w:r>
      <w:r>
        <w:rPr>
          <w:rFonts w:hint="default" w:ascii="Times New Roman" w:hAnsi="Times New Roman" w:eastAsia="宋体" w:cs="Times New Roman"/>
          <w:color w:val="auto"/>
          <w:sz w:val="24"/>
          <w:szCs w:val="18"/>
          <w:highlight w:val="none"/>
        </w:rPr>
        <w:t>.投标人存在以下不良信用记录情形之一的，不得推荐为中标候选人，不得确定为中标人：</w:t>
      </w:r>
    </w:p>
    <w:p w14:paraId="0F3C61BE">
      <w:pPr>
        <w:spacing w:line="360" w:lineRule="auto"/>
        <w:ind w:firstLine="435"/>
        <w:rPr>
          <w:rFonts w:hint="default" w:ascii="Times New Roman" w:hAnsi="Times New Roman" w:eastAsia="宋体" w:cs="Times New Roman"/>
          <w:strike w:val="0"/>
          <w:dstrike w:val="0"/>
          <w:color w:val="auto"/>
          <w:sz w:val="24"/>
          <w:szCs w:val="18"/>
          <w:highlight w:val="none"/>
        </w:rPr>
      </w:pPr>
      <w:r>
        <w:rPr>
          <w:rFonts w:hint="default" w:ascii="Times New Roman" w:hAnsi="Times New Roman" w:eastAsia="宋体" w:cs="Times New Roman"/>
          <w:strike w:val="0"/>
          <w:dstrike w:val="0"/>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eastAsia="宋体" w:cs="Times New Roman"/>
          <w:strike w:val="0"/>
          <w:dstrike w:val="0"/>
          <w:color w:val="auto"/>
          <w:sz w:val="24"/>
          <w:szCs w:val="18"/>
          <w:highlight w:val="none"/>
        </w:rPr>
      </w:pPr>
      <w:r>
        <w:rPr>
          <w:rFonts w:hint="default" w:ascii="Times New Roman" w:hAnsi="Times New Roman" w:eastAsia="宋体" w:cs="Times New Roman"/>
          <w:strike w:val="0"/>
          <w:dstrike w:val="0"/>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eastAsia="宋体" w:cs="Times New Roman"/>
          <w:strike w:val="0"/>
          <w:color w:val="auto"/>
          <w:sz w:val="24"/>
          <w:szCs w:val="18"/>
          <w:highlight w:val="none"/>
        </w:rPr>
      </w:pPr>
      <w:r>
        <w:rPr>
          <w:rFonts w:hint="default" w:ascii="Times New Roman" w:hAnsi="Times New Roman" w:eastAsia="宋体" w:cs="Times New Roman"/>
          <w:strike w:val="0"/>
          <w:dstrike w:val="0"/>
          <w:color w:val="auto"/>
          <w:sz w:val="24"/>
          <w:szCs w:val="18"/>
          <w:highlight w:val="none"/>
        </w:rPr>
        <w:t>（3）在最近三年内（自投标截止之日向前追溯 3年</w:t>
      </w:r>
      <w:r>
        <w:rPr>
          <w:rFonts w:hint="eastAsia" w:ascii="Times New Roman" w:hAnsi="Times New Roman" w:eastAsia="宋体" w:cs="Times New Roman"/>
          <w:strike w:val="0"/>
          <w:dstrike w:val="0"/>
          <w:color w:val="auto"/>
          <w:sz w:val="24"/>
          <w:szCs w:val="18"/>
          <w:highlight w:val="none"/>
          <w:lang w:eastAsia="zh-CN"/>
        </w:rPr>
        <w:t>，</w:t>
      </w:r>
      <w:r>
        <w:rPr>
          <w:rFonts w:hint="default" w:ascii="Times New Roman" w:hAnsi="Times New Roman" w:eastAsia="宋体"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eastAsia" w:ascii="Times New Roman" w:hAnsi="Times New Roman" w:eastAsia="宋体" w:cs="Times New Roman"/>
          <w:strike w:val="0"/>
          <w:dstrike w:val="0"/>
          <w:color w:val="auto"/>
          <w:sz w:val="24"/>
          <w:szCs w:val="18"/>
          <w:highlight w:val="none"/>
          <w:lang w:eastAsia="zh-CN"/>
        </w:rPr>
        <w:t>，</w:t>
      </w:r>
      <w:r>
        <w:rPr>
          <w:rFonts w:hint="default" w:ascii="Times New Roman" w:hAnsi="Times New Roman" w:eastAsia="宋体"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8</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8</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8</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18</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09时30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sz w:val="24"/>
          <w:szCs w:val="24"/>
          <w:highlight w:val="none"/>
          <w:u w:val="single"/>
          <w:lang w:val="en-US" w:eastAsia="zh-CN"/>
        </w:rPr>
        <w:t>徽商银行合肥包河支行</w:t>
      </w:r>
      <w:r>
        <w:rPr>
          <w:rFonts w:hint="default" w:ascii="Times New Roman" w:hAnsi="Times New Roman" w:eastAsia="宋体" w:cs="Times New Roman"/>
          <w:color w:val="auto"/>
          <w:kern w:val="2"/>
          <w:sz w:val="24"/>
          <w:szCs w:val="24"/>
          <w:highlight w:val="none"/>
          <w:u w:val="single"/>
          <w:lang w:val="en-US" w:eastAsia="zh-CN" w:bidi="ar-SA"/>
        </w:rPr>
        <w:t xml:space="preserve"> 261680629121000002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p>
    <w:p w14:paraId="623314F9">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6418"/>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6A98FEC0">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418" w:type="dxa"/>
            <w:vAlign w:val="center"/>
          </w:tcPr>
          <w:p w14:paraId="734A2801">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439BA5E4">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418"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2682A2D9">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418"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2E3DB15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418"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0F9F0E6A">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418"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724ACDD0">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418"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31" w:type="dxa"/>
            <w:vAlign w:val="center"/>
          </w:tcPr>
          <w:p w14:paraId="69E70F95">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418"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7318513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418"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13EF587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418"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3FEFA0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418"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48BCF68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418"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283AC8ED">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418"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6622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shd w:val="clear" w:color="auto" w:fill="auto"/>
            <w:vAlign w:val="center"/>
          </w:tcPr>
          <w:p w14:paraId="6A7766CC">
            <w:pPr>
              <w:pStyle w:val="60"/>
              <w:widowControl w:val="0"/>
              <w:spacing w:before="0" w:beforeAutospacing="0" w:after="0" w:afterAutospacing="0" w:line="360" w:lineRule="auto"/>
              <w:jc w:val="both"/>
              <w:rPr>
                <w:rFonts w:hint="default" w:ascii="Times New Roman" w:hAnsi="Times New Roman" w:eastAsia="宋体" w:cs="Times New Roman"/>
                <w:b w:val="0"/>
                <w:bCs/>
                <w:color w:val="auto"/>
                <w:kern w:val="0"/>
                <w:sz w:val="24"/>
                <w:szCs w:val="28"/>
                <w:highlight w:val="none"/>
                <w:lang w:val="en-US" w:eastAsia="zh-CN" w:bidi="ar-SA"/>
              </w:rPr>
            </w:pPr>
            <w:r>
              <w:rPr>
                <w:rFonts w:hint="default" w:ascii="Times New Roman" w:hAnsi="Times New Roman" w:eastAsia="宋体" w:cs="Times New Roman"/>
                <w:color w:val="auto"/>
                <w:sz w:val="21"/>
                <w:highlight w:val="none"/>
                <w:lang w:val="en-US" w:eastAsia="zh-CN"/>
              </w:rPr>
              <w:t>报价方式</w:t>
            </w:r>
          </w:p>
        </w:tc>
        <w:tc>
          <w:tcPr>
            <w:tcW w:w="6418" w:type="dxa"/>
            <w:shd w:val="clear" w:color="auto" w:fill="auto"/>
            <w:vAlign w:val="center"/>
          </w:tcPr>
          <w:p w14:paraId="3A781272">
            <w:pPr>
              <w:keepNext w:val="0"/>
              <w:keepLines w:val="0"/>
              <w:widowControl/>
              <w:suppressLineNumbers w:val="0"/>
              <w:jc w:val="left"/>
              <w:rPr>
                <w:rFonts w:hint="eastAsia" w:ascii="Times New Roman" w:hAnsi="Times New Roman" w:eastAsia="宋体" w:cs="Times New Roman"/>
                <w:b w:val="0"/>
                <w:color w:val="auto"/>
                <w:kern w:val="2"/>
                <w:sz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rPr>
              <w:t>本项目采用固定费率招标</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监理</w:t>
            </w:r>
            <w:r>
              <w:rPr>
                <w:rFonts w:hint="default" w:ascii="Times New Roman" w:hAnsi="Times New Roman" w:eastAsia="宋体" w:cs="Times New Roman"/>
                <w:color w:val="auto"/>
                <w:sz w:val="24"/>
                <w:szCs w:val="24"/>
                <w:highlight w:val="none"/>
                <w:lang w:val="en-US" w:eastAsia="zh-CN"/>
              </w:rPr>
              <w:t>费采用“固定计价费率，暂定合同总价”计价方式，暂定合同价</w:t>
            </w:r>
            <w:r>
              <w:rPr>
                <w:rFonts w:hint="eastAsia" w:ascii="Times New Roman" w:hAnsi="Times New Roman" w:cs="Times New Roman"/>
                <w:color w:val="auto"/>
                <w:sz w:val="24"/>
                <w:szCs w:val="24"/>
                <w:highlight w:val="none"/>
                <w:lang w:val="en-US" w:eastAsia="zh-CN"/>
              </w:rPr>
              <w:t>9.24</w:t>
            </w:r>
            <w:r>
              <w:rPr>
                <w:rFonts w:hint="default" w:ascii="Times New Roman" w:hAnsi="Times New Roman" w:eastAsia="宋体" w:cs="Times New Roman"/>
                <w:color w:val="auto"/>
                <w:sz w:val="24"/>
                <w:szCs w:val="24"/>
                <w:highlight w:val="none"/>
                <w:lang w:val="en-US" w:eastAsia="zh-CN"/>
              </w:rPr>
              <w:t>万元，最终监理费以</w:t>
            </w:r>
            <w:r>
              <w:rPr>
                <w:rFonts w:hint="eastAsia" w:ascii="Times New Roman" w:hAnsi="Times New Roman" w:cs="Times New Roman"/>
                <w:color w:val="auto"/>
                <w:sz w:val="24"/>
                <w:szCs w:val="24"/>
                <w:highlight w:val="none"/>
                <w:lang w:val="en-US" w:eastAsia="zh-CN"/>
              </w:rPr>
              <w:t>施工招标</w:t>
            </w:r>
            <w:r>
              <w:rPr>
                <w:rFonts w:hint="default" w:ascii="Times New Roman" w:hAnsi="Times New Roman" w:eastAsia="宋体" w:cs="Times New Roman"/>
                <w:color w:val="auto"/>
                <w:sz w:val="24"/>
                <w:szCs w:val="24"/>
                <w:highlight w:val="none"/>
                <w:lang w:val="en-US" w:eastAsia="zh-CN"/>
              </w:rPr>
              <w:t>的清单控制价为结算依据，参照《建设工程监理与相关服务收费管理规定》（发改价格[2007]670号）计算得出的监理费基准价（专业调整系数、复杂程度调整系数、高程调整系数均为1.0）*</w:t>
            </w:r>
            <w:r>
              <w:rPr>
                <w:rFonts w:hint="default" w:ascii="Times New Roman" w:hAnsi="Times New Roman" w:eastAsia="宋体" w:cs="Times New Roman"/>
                <w:b/>
                <w:bCs/>
                <w:color w:val="auto"/>
                <w:sz w:val="24"/>
                <w:szCs w:val="24"/>
                <w:highlight w:val="none"/>
                <w:lang w:val="en-US" w:eastAsia="zh-CN"/>
              </w:rPr>
              <w:t>固定费率为70%，</w:t>
            </w:r>
            <w:r>
              <w:rPr>
                <w:rFonts w:hint="default" w:ascii="Times New Roman" w:hAnsi="Times New Roman" w:eastAsia="宋体" w:cs="Times New Roman"/>
                <w:color w:val="auto"/>
                <w:sz w:val="24"/>
                <w:szCs w:val="24"/>
                <w:highlight w:val="none"/>
                <w:lang w:val="en-US" w:eastAsia="zh-CN"/>
              </w:rPr>
              <w:t>如最终</w:t>
            </w:r>
            <w:r>
              <w:rPr>
                <w:rFonts w:hint="eastAsia" w:ascii="Times New Roman" w:hAnsi="Times New Roman" w:eastAsia="宋体" w:cs="Times New Roman"/>
                <w:color w:val="auto"/>
                <w:sz w:val="24"/>
                <w:szCs w:val="24"/>
                <w:highlight w:val="none"/>
                <w:lang w:val="en-US" w:eastAsia="zh-CN"/>
              </w:rPr>
              <w:t>监理费</w:t>
            </w:r>
            <w:r>
              <w:rPr>
                <w:rFonts w:hint="default" w:ascii="Times New Roman" w:hAnsi="Times New Roman" w:eastAsia="宋体" w:cs="Times New Roman"/>
                <w:color w:val="auto"/>
                <w:sz w:val="24"/>
                <w:szCs w:val="24"/>
                <w:highlight w:val="none"/>
                <w:lang w:val="en-US" w:eastAsia="zh-CN"/>
              </w:rPr>
              <w:t>超过暂定合同价，则最终</w:t>
            </w:r>
            <w:r>
              <w:rPr>
                <w:rFonts w:hint="eastAsia" w:ascii="Times New Roman" w:hAnsi="Times New Roman" w:eastAsia="宋体" w:cs="Times New Roman"/>
                <w:color w:val="auto"/>
                <w:sz w:val="24"/>
                <w:szCs w:val="24"/>
                <w:highlight w:val="none"/>
                <w:lang w:val="en-US" w:eastAsia="zh-CN"/>
              </w:rPr>
              <w:t>监理费按</w:t>
            </w:r>
            <w:r>
              <w:rPr>
                <w:rFonts w:hint="default" w:ascii="Times New Roman" w:hAnsi="Times New Roman" w:eastAsia="宋体" w:cs="Times New Roman"/>
                <w:color w:val="auto"/>
                <w:sz w:val="24"/>
                <w:szCs w:val="24"/>
                <w:highlight w:val="none"/>
                <w:lang w:val="en-US" w:eastAsia="zh-CN"/>
              </w:rPr>
              <w:t>暂定合同价</w:t>
            </w:r>
            <w:r>
              <w:rPr>
                <w:rFonts w:hint="eastAsia" w:ascii="Times New Roman" w:hAnsi="Times New Roman" w:eastAsia="宋体" w:cs="Times New Roman"/>
                <w:color w:val="auto"/>
                <w:sz w:val="24"/>
                <w:szCs w:val="24"/>
                <w:highlight w:val="none"/>
                <w:lang w:val="en-US" w:eastAsia="zh-CN"/>
              </w:rPr>
              <w:t>进行结算</w:t>
            </w:r>
            <w:r>
              <w:rPr>
                <w:rFonts w:hint="default" w:ascii="Times New Roman" w:hAnsi="Times New Roman" w:eastAsia="宋体" w:cs="Times New Roman"/>
                <w:color w:val="auto"/>
                <w:sz w:val="24"/>
                <w:szCs w:val="24"/>
                <w:highlight w:val="none"/>
                <w:lang w:val="en-US" w:eastAsia="zh-CN"/>
              </w:rPr>
              <w:t>，投标人须充分踏勘现场，充分考虑此风险。</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29BCD71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418"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160AAA1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418"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57389890">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418"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0A5C182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418"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4BBA13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418"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031" w:type="dxa"/>
            <w:vAlign w:val="center"/>
          </w:tcPr>
          <w:p w14:paraId="43E9BC6A">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418" w:type="dxa"/>
            <w:vAlign w:val="center"/>
          </w:tcPr>
          <w:p w14:paraId="00177F8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141304E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418"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1BD8D22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418"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094D21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418"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5827CE4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418"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64025AF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418"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7EEE818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418"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5124FEF4">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418"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31" w:type="dxa"/>
            <w:vAlign w:val="center"/>
          </w:tcPr>
          <w:p w14:paraId="311AB0B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418"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44873B72">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226989"/>
      <w:bookmarkStart w:id="14" w:name="_Toc421916975"/>
      <w:bookmarkStart w:id="15" w:name="_Toc11078137"/>
      <w:bookmarkStart w:id="16" w:name="_Toc460226720"/>
      <w:bookmarkStart w:id="17" w:name="_Toc26766"/>
      <w:bookmarkStart w:id="18" w:name="_Toc283798416"/>
      <w:bookmarkStart w:id="19" w:name="_Toc460660062"/>
      <w:r>
        <w:rPr>
          <w:rFonts w:hint="default" w:ascii="Times New Roman" w:hAnsi="Times New Roman" w:cs="Times New Roman"/>
          <w:b/>
          <w:color w:val="auto"/>
          <w:highlight w:val="none"/>
        </w:rPr>
        <w:br w:type="page"/>
      </w:r>
    </w:p>
    <w:p w14:paraId="54EAB9E9">
      <w:pPr>
        <w:pStyle w:val="4"/>
        <w:jc w:val="center"/>
        <w:rPr>
          <w:rFonts w:hint="default" w:ascii="Times New Roman" w:hAnsi="Times New Roman" w:cs="Times New Roman"/>
          <w:color w:val="auto"/>
          <w:highlight w:val="none"/>
        </w:rPr>
      </w:pPr>
      <w:bookmarkStart w:id="20" w:name="_Toc25726"/>
      <w:r>
        <w:rPr>
          <w:rFonts w:hint="default" w:ascii="Times New Roman" w:hAnsi="Times New Roman" w:cs="Times New Roman"/>
          <w:color w:val="auto"/>
          <w:highlight w:val="none"/>
        </w:rPr>
        <w:t>附录 1 资格审查条件(资质最低条件)</w:t>
      </w:r>
      <w:bookmarkEnd w:id="20"/>
    </w:p>
    <w:p w14:paraId="4A2CF05E">
      <w:pPr>
        <w:pStyle w:val="16"/>
        <w:rPr>
          <w:rFonts w:hint="default" w:ascii="Times New Roman" w:hAnsi="Times New Roman" w:cs="Times New Roman"/>
          <w:color w:val="auto"/>
          <w:sz w:val="20"/>
          <w:highlight w:val="none"/>
        </w:rPr>
      </w:pPr>
    </w:p>
    <w:p w14:paraId="7EAE6712">
      <w:pPr>
        <w:pStyle w:val="16"/>
        <w:spacing w:before="11"/>
        <w:rPr>
          <w:rFonts w:hint="default" w:ascii="Times New Roman" w:hAnsi="Times New Roman" w:cs="Times New Roman"/>
          <w:color w:val="auto"/>
          <w:sz w:val="23"/>
          <w:highlight w:val="none"/>
        </w:rPr>
      </w:pPr>
    </w:p>
    <w:tbl>
      <w:tblPr>
        <w:tblStyle w:val="40"/>
        <w:tblW w:w="0" w:type="auto"/>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6"/>
      </w:tblGrid>
      <w:tr w14:paraId="136C0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416" w:type="dxa"/>
            <w:noWrap w:val="0"/>
            <w:vAlign w:val="top"/>
          </w:tcPr>
          <w:p w14:paraId="72E278CA">
            <w:pPr>
              <w:pStyle w:val="94"/>
              <w:spacing w:before="66"/>
              <w:ind w:left="3294" w:right="3182"/>
              <w:jc w:val="center"/>
              <w:rPr>
                <w:rFonts w:hint="default" w:ascii="Times New Roman" w:hAnsi="Times New Roman" w:eastAsia="微软雅黑" w:cs="Times New Roman"/>
                <w:b/>
                <w:color w:val="auto"/>
                <w:sz w:val="21"/>
                <w:highlight w:val="none"/>
              </w:rPr>
            </w:pPr>
            <w:r>
              <w:rPr>
                <w:rFonts w:hint="default" w:ascii="Times New Roman" w:hAnsi="Times New Roman" w:eastAsia="微软雅黑" w:cs="Times New Roman"/>
                <w:b/>
                <w:color w:val="auto"/>
                <w:sz w:val="21"/>
                <w:highlight w:val="none"/>
              </w:rPr>
              <w:t>资质证书及其他要求</w:t>
            </w:r>
            <w:r>
              <w:rPr>
                <w:rFonts w:hint="default" w:ascii="Times New Roman" w:hAnsi="Times New Roman" w:eastAsia="微软雅黑" w:cs="Times New Roman"/>
                <w:b/>
                <w:color w:val="auto"/>
                <w:w w:val="168"/>
                <w:sz w:val="21"/>
                <w:highlight w:val="none"/>
              </w:rPr>
              <w:t xml:space="preserve"> </w:t>
            </w:r>
          </w:p>
        </w:tc>
      </w:tr>
      <w:tr w14:paraId="2AB67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1" w:hRule="atLeast"/>
        </w:trPr>
        <w:tc>
          <w:tcPr>
            <w:tcW w:w="8416" w:type="dxa"/>
            <w:noWrap w:val="0"/>
            <w:vAlign w:val="top"/>
          </w:tcPr>
          <w:p w14:paraId="2A819455">
            <w:pPr>
              <w:pStyle w:val="94"/>
              <w:numPr>
                <w:ilvl w:val="0"/>
                <w:numId w:val="1"/>
              </w:numPr>
              <w:tabs>
                <w:tab w:val="left" w:pos="688"/>
              </w:tabs>
              <w:spacing w:before="123" w:after="0" w:line="240" w:lineRule="auto"/>
              <w:ind w:left="687" w:right="0" w:hanging="161"/>
              <w:jc w:val="left"/>
              <w:rPr>
                <w:rFonts w:hint="default" w:ascii="Times New Roman" w:hAnsi="Times New Roman" w:cs="Times New Roman"/>
                <w:color w:val="auto"/>
                <w:sz w:val="21"/>
                <w:highlight w:val="none"/>
              </w:rPr>
            </w:pPr>
            <w:r>
              <w:rPr>
                <w:rFonts w:hint="default" w:ascii="Times New Roman" w:hAnsi="Times New Roman" w:cs="Times New Roman"/>
                <w:color w:val="auto"/>
                <w:spacing w:val="-3"/>
                <w:sz w:val="21"/>
                <w:highlight w:val="none"/>
              </w:rPr>
              <w:t>具备有效的营业执照</w:t>
            </w:r>
            <w:r>
              <w:rPr>
                <w:rFonts w:hint="default" w:ascii="Times New Roman" w:hAnsi="Times New Roman" w:eastAsia="Times New Roman" w:cs="Times New Roman"/>
                <w:color w:val="auto"/>
                <w:sz w:val="21"/>
                <w:highlight w:val="none"/>
              </w:rPr>
              <w:t>/</w:t>
            </w:r>
            <w:r>
              <w:rPr>
                <w:rFonts w:hint="default" w:ascii="Times New Roman" w:hAnsi="Times New Roman" w:cs="Times New Roman"/>
                <w:color w:val="auto"/>
                <w:spacing w:val="-3"/>
                <w:sz w:val="21"/>
                <w:highlight w:val="none"/>
              </w:rPr>
              <w:t>事业单位法人证书。</w:t>
            </w:r>
          </w:p>
          <w:p w14:paraId="1770B6AA">
            <w:pPr>
              <w:pStyle w:val="94"/>
              <w:spacing w:before="3"/>
              <w:rPr>
                <w:rFonts w:hint="default" w:ascii="Times New Roman" w:hAnsi="Times New Roman" w:cs="Times New Roman"/>
                <w:color w:val="auto"/>
                <w:sz w:val="20"/>
                <w:highlight w:val="none"/>
              </w:rPr>
            </w:pPr>
          </w:p>
          <w:p w14:paraId="790E8391">
            <w:pPr>
              <w:pStyle w:val="94"/>
              <w:numPr>
                <w:ilvl w:val="0"/>
                <w:numId w:val="1"/>
              </w:numPr>
              <w:tabs>
                <w:tab w:val="left" w:pos="688"/>
              </w:tabs>
              <w:spacing w:before="0" w:after="0" w:line="240" w:lineRule="auto"/>
              <w:ind w:left="687" w:right="0" w:hanging="161"/>
              <w:jc w:val="left"/>
              <w:rPr>
                <w:rFonts w:hint="default" w:ascii="Times New Roman" w:hAnsi="Times New Roman" w:cs="Times New Roman"/>
                <w:color w:val="auto"/>
                <w:sz w:val="21"/>
                <w:highlight w:val="none"/>
              </w:rPr>
            </w:pPr>
            <w:r>
              <w:rPr>
                <w:rFonts w:hint="default" w:ascii="Times New Roman" w:hAnsi="Times New Roman" w:cs="Times New Roman"/>
                <w:color w:val="auto"/>
                <w:spacing w:val="-3"/>
                <w:sz w:val="21"/>
                <w:highlight w:val="none"/>
              </w:rPr>
              <w:t>具备有效的资质证书（见招标公告要求</w:t>
            </w:r>
            <w:r>
              <w:rPr>
                <w:rFonts w:hint="default" w:ascii="Times New Roman" w:hAnsi="Times New Roman" w:cs="Times New Roman"/>
                <w:color w:val="auto"/>
                <w:spacing w:val="-3"/>
                <w:sz w:val="21"/>
                <w:highlight w:val="none"/>
                <w:lang w:eastAsia="zh-CN"/>
              </w:rPr>
              <w:t>）</w:t>
            </w:r>
            <w:r>
              <w:rPr>
                <w:rFonts w:hint="default" w:ascii="Times New Roman" w:hAnsi="Times New Roman" w:cs="Times New Roman"/>
                <w:color w:val="auto"/>
                <w:sz w:val="21"/>
                <w:highlight w:val="none"/>
              </w:rPr>
              <w:t>。</w:t>
            </w:r>
          </w:p>
        </w:tc>
      </w:tr>
    </w:tbl>
    <w:p w14:paraId="162B6EC1">
      <w:pPr>
        <w:pStyle w:val="16"/>
        <w:spacing w:before="30"/>
        <w:ind w:left="320"/>
        <w:rPr>
          <w:rFonts w:hint="default" w:ascii="Times New Roman" w:hAnsi="Times New Roman" w:cs="Times New Roman"/>
          <w:color w:val="auto"/>
          <w:highlight w:val="none"/>
        </w:rPr>
      </w:pPr>
      <w:r>
        <w:rPr>
          <w:rFonts w:hint="default" w:ascii="Times New Roman" w:hAnsi="Times New Roman" w:cs="Times New Roman"/>
          <w:color w:val="auto"/>
          <w:highlight w:val="none"/>
        </w:rPr>
        <w:t>注：投标人应提供营业执照</w:t>
      </w:r>
      <w:r>
        <w:rPr>
          <w:rFonts w:hint="default" w:ascii="Times New Roman" w:hAnsi="Times New Roman" w:eastAsia="Times New Roman" w:cs="Times New Roman"/>
          <w:color w:val="auto"/>
          <w:highlight w:val="none"/>
        </w:rPr>
        <w:t>/</w:t>
      </w:r>
      <w:r>
        <w:rPr>
          <w:rFonts w:hint="default" w:ascii="Times New Roman" w:hAnsi="Times New Roman" w:cs="Times New Roman"/>
          <w:color w:val="auto"/>
          <w:highlight w:val="none"/>
        </w:rPr>
        <w:t>事业单位法人证书、资质证书等材料扫描件。</w:t>
      </w:r>
    </w:p>
    <w:p w14:paraId="756098BD">
      <w:pPr>
        <w:pStyle w:val="8"/>
        <w:ind w:right="0"/>
        <w:jc w:val="left"/>
        <w:rPr>
          <w:rFonts w:hint="default" w:ascii="Times New Roman" w:hAnsi="Times New Roman" w:cs="Times New Roman"/>
          <w:color w:val="auto"/>
          <w:sz w:val="20"/>
          <w:highlight w:val="none"/>
        </w:rPr>
        <w:sectPr>
          <w:pgSz w:w="11905" w:h="16838"/>
          <w:pgMar w:top="2098" w:right="1474" w:bottom="1701" w:left="1587" w:header="850" w:footer="992" w:gutter="0"/>
          <w:pgNumType w:fmt="decimal"/>
          <w:cols w:space="0" w:num="1"/>
          <w:rtlGutter w:val="0"/>
          <w:docGrid w:type="lines" w:linePitch="318" w:charSpace="0"/>
        </w:sectPr>
      </w:pPr>
      <w:bookmarkStart w:id="21" w:name="_bookmark4"/>
      <w:bookmarkEnd w:id="21"/>
      <w:bookmarkStart w:id="22" w:name="附录2  资格审查条件(财务最低要求)"/>
      <w:bookmarkEnd w:id="22"/>
    </w:p>
    <w:p w14:paraId="45DDDB55">
      <w:pPr>
        <w:pStyle w:val="16"/>
        <w:spacing w:before="2"/>
        <w:rPr>
          <w:rFonts w:hint="default" w:ascii="Times New Roman" w:hAnsi="Times New Roman" w:cs="Times New Roman"/>
          <w:color w:val="auto"/>
          <w:sz w:val="8"/>
          <w:highlight w:val="none"/>
        </w:rPr>
      </w:pPr>
    </w:p>
    <w:p w14:paraId="420C8E1D">
      <w:pPr>
        <w:pStyle w:val="4"/>
        <w:ind w:left="1959"/>
        <w:rPr>
          <w:rFonts w:hint="default" w:ascii="Times New Roman" w:hAnsi="Times New Roman" w:cs="Times New Roman"/>
          <w:color w:val="auto"/>
          <w:highlight w:val="none"/>
        </w:rPr>
      </w:pPr>
      <w:bookmarkStart w:id="23" w:name="_Toc68098218"/>
      <w:bookmarkStart w:id="24" w:name="_Toc38879317"/>
      <w:bookmarkStart w:id="25" w:name="_Toc11078138"/>
      <w:bookmarkStart w:id="26" w:name="_Toc23076"/>
      <w:r>
        <w:rPr>
          <w:rFonts w:hint="default" w:ascii="Times New Roman" w:hAnsi="Times New Roman" w:cs="Times New Roman"/>
          <w:color w:val="auto"/>
          <w:highlight w:val="none"/>
        </w:rPr>
        <w:t>附录2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财务最低要求</w:t>
      </w:r>
      <w:r>
        <w:rPr>
          <w:rFonts w:hint="default" w:ascii="Times New Roman" w:hAnsi="Times New Roman" w:cs="Times New Roman"/>
          <w:color w:val="auto"/>
          <w:highlight w:val="none"/>
          <w:lang w:eastAsia="zh-CN"/>
        </w:rPr>
        <w:t>）</w:t>
      </w:r>
      <w:bookmarkEnd w:id="23"/>
      <w:bookmarkEnd w:id="24"/>
      <w:bookmarkEnd w:id="25"/>
      <w:bookmarkEnd w:id="26"/>
    </w:p>
    <w:tbl>
      <w:tblPr>
        <w:tblStyle w:val="40"/>
        <w:tblW w:w="4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3"/>
      </w:tblGrid>
      <w:tr w14:paraId="214A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C84A75D">
            <w:pPr>
              <w:pStyle w:val="96"/>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财务要求</w:t>
            </w:r>
          </w:p>
        </w:tc>
      </w:tr>
      <w:tr w14:paraId="2D61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0BEA152">
            <w:pPr>
              <w:pStyle w:val="96"/>
              <w:adjustRightInd w:val="0"/>
              <w:snapToGrid w:val="0"/>
              <w:spacing w:line="360" w:lineRule="auto"/>
              <w:ind w:firstLine="420" w:firstLineChars="200"/>
              <w:jc w:val="left"/>
              <w:rPr>
                <w:rFonts w:hint="default" w:ascii="Times New Roman" w:hAnsi="Times New Roman" w:cs="Times New Roman"/>
                <w:bCs/>
                <w:color w:val="auto"/>
                <w:szCs w:val="21"/>
                <w:highlight w:val="none"/>
              </w:rPr>
            </w:pPr>
            <w:r>
              <w:rPr>
                <w:rFonts w:hint="default" w:ascii="Times New Roman" w:hAnsi="Times New Roman" w:eastAsia="MS Mincho" w:cs="Times New Roman"/>
                <w:bCs/>
                <w:snapToGrid w:val="0"/>
                <w:color w:val="auto"/>
                <w:kern w:val="0"/>
                <w:szCs w:val="21"/>
                <w:highlight w:val="none"/>
              </w:rPr>
              <w:sym w:font="Wingdings 2" w:char="0052"/>
            </w:r>
            <w:r>
              <w:rPr>
                <w:rFonts w:hint="default" w:ascii="Times New Roman" w:hAnsi="Times New Roman" w:cs="Times New Roman"/>
                <w:bCs/>
                <w:color w:val="auto"/>
                <w:szCs w:val="21"/>
                <w:highlight w:val="none"/>
              </w:rPr>
              <w:t>无需提供。</w:t>
            </w:r>
          </w:p>
          <w:p w14:paraId="69DA1069">
            <w:pPr>
              <w:pStyle w:val="96"/>
              <w:adjustRightInd w:val="0"/>
              <w:snapToGrid w:val="0"/>
              <w:spacing w:line="360" w:lineRule="auto"/>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□需提供以下材料：</w:t>
            </w:r>
          </w:p>
          <w:p w14:paraId="56698A5B">
            <w:pPr>
              <w:pStyle w:val="96"/>
              <w:adjustRightInd w:val="0"/>
              <w:snapToGrid w:val="0"/>
              <w:spacing w:line="360" w:lineRule="auto"/>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经会计师事务所或审计机构审计的财务会计报表，包括资产负债表、现金流量表、利润表、财务情况说明书</w:t>
            </w:r>
          </w:p>
          <w:p w14:paraId="0D39DFBF">
            <w:pPr>
              <w:pStyle w:val="96"/>
              <w:adjustRightInd w:val="0"/>
              <w:snapToGrid w:val="0"/>
              <w:ind w:left="3"/>
              <w:jc w:val="center"/>
              <w:rPr>
                <w:rFonts w:hint="default" w:ascii="Times New Roman" w:hAnsi="Times New Roman" w:cs="Times New Roman"/>
                <w:bCs/>
                <w:color w:val="auto"/>
                <w:szCs w:val="21"/>
                <w:highlight w:val="none"/>
              </w:rPr>
            </w:pPr>
          </w:p>
          <w:p w14:paraId="1C87C884">
            <w:pPr>
              <w:pStyle w:val="96"/>
              <w:adjustRightInd w:val="0"/>
              <w:snapToGrid w:val="0"/>
              <w:ind w:left="3"/>
              <w:jc w:val="center"/>
              <w:rPr>
                <w:rFonts w:hint="default" w:ascii="Times New Roman" w:hAnsi="Times New Roman" w:cs="Times New Roman"/>
                <w:bCs/>
                <w:color w:val="auto"/>
                <w:szCs w:val="21"/>
                <w:highlight w:val="none"/>
              </w:rPr>
            </w:pPr>
          </w:p>
          <w:p w14:paraId="09FF9F5A">
            <w:pPr>
              <w:pStyle w:val="96"/>
              <w:adjustRightInd w:val="0"/>
              <w:snapToGrid w:val="0"/>
              <w:ind w:left="3"/>
              <w:jc w:val="center"/>
              <w:rPr>
                <w:rFonts w:hint="default" w:ascii="Times New Roman" w:hAnsi="Times New Roman" w:cs="Times New Roman"/>
                <w:bCs/>
                <w:color w:val="auto"/>
                <w:szCs w:val="21"/>
                <w:highlight w:val="none"/>
              </w:rPr>
            </w:pPr>
          </w:p>
          <w:p w14:paraId="08059640">
            <w:pPr>
              <w:pStyle w:val="96"/>
              <w:adjustRightInd w:val="0"/>
              <w:snapToGrid w:val="0"/>
              <w:ind w:left="3"/>
              <w:jc w:val="center"/>
              <w:rPr>
                <w:rFonts w:hint="default" w:ascii="Times New Roman" w:hAnsi="Times New Roman" w:cs="Times New Roman"/>
                <w:bCs/>
                <w:color w:val="auto"/>
                <w:szCs w:val="21"/>
                <w:highlight w:val="none"/>
              </w:rPr>
            </w:pPr>
          </w:p>
          <w:p w14:paraId="65D43A3A">
            <w:pPr>
              <w:pStyle w:val="96"/>
              <w:adjustRightInd w:val="0"/>
              <w:snapToGrid w:val="0"/>
              <w:ind w:left="3"/>
              <w:jc w:val="center"/>
              <w:rPr>
                <w:rFonts w:hint="default" w:ascii="Times New Roman" w:hAnsi="Times New Roman" w:cs="Times New Roman"/>
                <w:bCs/>
                <w:color w:val="auto"/>
                <w:szCs w:val="21"/>
                <w:highlight w:val="none"/>
              </w:rPr>
            </w:pPr>
          </w:p>
          <w:p w14:paraId="7642569B">
            <w:pPr>
              <w:pStyle w:val="96"/>
              <w:adjustRightInd w:val="0"/>
              <w:snapToGrid w:val="0"/>
              <w:ind w:left="3"/>
              <w:jc w:val="center"/>
              <w:rPr>
                <w:rFonts w:hint="default" w:ascii="Times New Roman" w:hAnsi="Times New Roman" w:cs="Times New Roman"/>
                <w:bCs/>
                <w:color w:val="auto"/>
                <w:szCs w:val="21"/>
                <w:highlight w:val="none"/>
              </w:rPr>
            </w:pPr>
          </w:p>
          <w:p w14:paraId="24CA4B18">
            <w:pPr>
              <w:pStyle w:val="96"/>
              <w:adjustRightInd w:val="0"/>
              <w:snapToGrid w:val="0"/>
              <w:rPr>
                <w:rFonts w:hint="default" w:ascii="Times New Roman" w:hAnsi="Times New Roman" w:cs="Times New Roman"/>
                <w:bCs/>
                <w:color w:val="auto"/>
                <w:szCs w:val="21"/>
                <w:highlight w:val="none"/>
              </w:rPr>
            </w:pPr>
          </w:p>
        </w:tc>
      </w:tr>
    </w:tbl>
    <w:p w14:paraId="4DF176C5">
      <w:pPr>
        <w:pStyle w:val="96"/>
        <w:adjustRightInd w:val="0"/>
        <w:snapToGrid w:val="0"/>
        <w:spacing w:line="300" w:lineRule="exact"/>
        <w:ind w:firstLine="420" w:firstLineChars="200"/>
        <w:rPr>
          <w:rFonts w:hint="default" w:ascii="Times New Roman" w:hAnsi="Times New Roman" w:cs="Times New Roman"/>
          <w:bCs/>
          <w:snapToGrid w:val="0"/>
          <w:color w:val="auto"/>
          <w:kern w:val="0"/>
          <w:szCs w:val="21"/>
          <w:highlight w:val="none"/>
        </w:rPr>
      </w:pPr>
      <w:r>
        <w:rPr>
          <w:rFonts w:hint="default" w:ascii="Times New Roman" w:hAnsi="Times New Roman" w:cs="Times New Roman"/>
          <w:bCs/>
          <w:color w:val="auto"/>
          <w:kern w:val="0"/>
          <w:szCs w:val="21"/>
          <w:highlight w:val="none"/>
        </w:rPr>
        <w:t>注：</w:t>
      </w:r>
      <w:r>
        <w:rPr>
          <w:rFonts w:hint="default" w:ascii="Times New Roman" w:hAnsi="Times New Roman" w:cs="Times New Roman"/>
          <w:bCs/>
          <w:snapToGrid w:val="0"/>
          <w:color w:val="auto"/>
          <w:kern w:val="0"/>
          <w:szCs w:val="21"/>
          <w:highlight w:val="none"/>
        </w:rPr>
        <w:t>证明材料</w:t>
      </w:r>
      <w:r>
        <w:rPr>
          <w:rFonts w:hint="default" w:ascii="Times New Roman" w:hAnsi="Times New Roman" w:cs="Times New Roman"/>
          <w:bCs/>
          <w:color w:val="auto"/>
          <w:kern w:val="0"/>
          <w:szCs w:val="21"/>
          <w:highlight w:val="none"/>
        </w:rPr>
        <w:t>的信息应完整或能充分证明满足评审需要</w:t>
      </w:r>
      <w:r>
        <w:rPr>
          <w:rFonts w:hint="default" w:ascii="Times New Roman" w:hAnsi="Times New Roman" w:cs="Times New Roman"/>
          <w:bCs/>
          <w:snapToGrid w:val="0"/>
          <w:color w:val="auto"/>
          <w:kern w:val="0"/>
          <w:szCs w:val="21"/>
          <w:highlight w:val="none"/>
        </w:rPr>
        <w:t>。</w:t>
      </w:r>
    </w:p>
    <w:p w14:paraId="7D51866C">
      <w:pPr>
        <w:pStyle w:val="16"/>
        <w:ind w:left="524"/>
        <w:rPr>
          <w:rFonts w:hint="default" w:ascii="Times New Roman" w:hAnsi="Times New Roman" w:cs="Times New Roman"/>
          <w:color w:val="auto"/>
          <w:highlight w:val="none"/>
        </w:rPr>
        <w:sectPr>
          <w:pgSz w:w="11905" w:h="16838"/>
          <w:pgMar w:top="2098" w:right="1474" w:bottom="1701" w:left="1587" w:header="850" w:footer="992" w:gutter="0"/>
          <w:pgNumType w:fmt="decimal"/>
          <w:cols w:space="0" w:num="1"/>
          <w:rtlGutter w:val="0"/>
          <w:docGrid w:type="lines" w:linePitch="318" w:charSpace="0"/>
        </w:sectPr>
      </w:pPr>
    </w:p>
    <w:p w14:paraId="73CAB493">
      <w:pPr>
        <w:pStyle w:val="4"/>
        <w:jc w:val="center"/>
        <w:rPr>
          <w:rFonts w:hint="default" w:ascii="Times New Roman" w:hAnsi="Times New Roman" w:cs="Times New Roman"/>
          <w:color w:val="auto"/>
          <w:highlight w:val="none"/>
        </w:rPr>
      </w:pPr>
      <w:bookmarkStart w:id="27" w:name="附录3  资格审查条件(业绩最低要求)"/>
      <w:bookmarkEnd w:id="27"/>
      <w:bookmarkStart w:id="28" w:name="_bookmark5"/>
      <w:bookmarkEnd w:id="28"/>
      <w:bookmarkStart w:id="29" w:name="_Toc28340"/>
      <w:r>
        <w:rPr>
          <w:rFonts w:hint="default" w:ascii="Times New Roman" w:hAnsi="Times New Roman" w:cs="Times New Roman"/>
          <w:color w:val="auto"/>
          <w:highlight w:val="none"/>
        </w:rPr>
        <w:t>附录 3 资格审查条件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业绩最低要求</w:t>
      </w:r>
      <w:r>
        <w:rPr>
          <w:rFonts w:hint="default" w:ascii="Times New Roman" w:hAnsi="Times New Roman" w:cs="Times New Roman"/>
          <w:color w:val="auto"/>
          <w:highlight w:val="none"/>
          <w:lang w:eastAsia="zh-CN"/>
        </w:rPr>
        <w:t>）</w:t>
      </w:r>
      <w:bookmarkEnd w:id="29"/>
    </w:p>
    <w:p w14:paraId="3EFC8F98">
      <w:pPr>
        <w:pStyle w:val="16"/>
        <w:rPr>
          <w:rFonts w:hint="default" w:ascii="Times New Roman" w:hAnsi="Times New Roman" w:cs="Times New Roman"/>
          <w:color w:val="auto"/>
          <w:sz w:val="20"/>
          <w:highlight w:val="none"/>
        </w:rPr>
      </w:pPr>
    </w:p>
    <w:p w14:paraId="32E8517C">
      <w:pPr>
        <w:pStyle w:val="16"/>
        <w:spacing w:before="12"/>
        <w:rPr>
          <w:rFonts w:hint="default" w:ascii="Times New Roman" w:hAnsi="Times New Roman" w:cs="Times New Roman"/>
          <w:color w:val="auto"/>
          <w:sz w:val="23"/>
          <w:highlight w:val="none"/>
        </w:rPr>
      </w:pPr>
    </w:p>
    <w:tbl>
      <w:tblPr>
        <w:tblStyle w:val="40"/>
        <w:tblW w:w="0" w:type="auto"/>
        <w:tblInd w:w="6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5"/>
      </w:tblGrid>
      <w:tr w14:paraId="3E38E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7905" w:type="dxa"/>
            <w:noWrap w:val="0"/>
            <w:vAlign w:val="top"/>
          </w:tcPr>
          <w:p w14:paraId="365A7A1B">
            <w:pPr>
              <w:pStyle w:val="94"/>
              <w:spacing w:before="73"/>
              <w:ind w:left="3250" w:right="3135"/>
              <w:jc w:val="center"/>
              <w:rPr>
                <w:rFonts w:hint="default" w:ascii="Times New Roman" w:hAnsi="Times New Roman" w:eastAsia="微软雅黑" w:cs="Times New Roman"/>
                <w:b/>
                <w:color w:val="auto"/>
                <w:sz w:val="21"/>
                <w:highlight w:val="none"/>
              </w:rPr>
            </w:pPr>
            <w:r>
              <w:rPr>
                <w:rFonts w:hint="default" w:ascii="Times New Roman" w:hAnsi="Times New Roman" w:eastAsia="微软雅黑" w:cs="Times New Roman"/>
                <w:b/>
                <w:color w:val="auto"/>
                <w:sz w:val="21"/>
                <w:highlight w:val="none"/>
              </w:rPr>
              <w:t>投标人业绩要求</w:t>
            </w:r>
            <w:r>
              <w:rPr>
                <w:rFonts w:hint="default" w:ascii="Times New Roman" w:hAnsi="Times New Roman" w:eastAsia="微软雅黑" w:cs="Times New Roman"/>
                <w:b/>
                <w:color w:val="auto"/>
                <w:w w:val="168"/>
                <w:sz w:val="21"/>
                <w:highlight w:val="none"/>
              </w:rPr>
              <w:t xml:space="preserve"> </w:t>
            </w:r>
          </w:p>
        </w:tc>
      </w:tr>
      <w:tr w14:paraId="72778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7905" w:type="dxa"/>
            <w:noWrap w:val="0"/>
            <w:vAlign w:val="top"/>
          </w:tcPr>
          <w:p w14:paraId="45125CB7">
            <w:pPr>
              <w:pStyle w:val="94"/>
              <w:rPr>
                <w:rFonts w:hint="default" w:ascii="Times New Roman" w:hAnsi="Times New Roman" w:cs="Times New Roman"/>
                <w:color w:val="auto"/>
                <w:sz w:val="20"/>
                <w:highlight w:val="none"/>
              </w:rPr>
            </w:pPr>
          </w:p>
          <w:p w14:paraId="77D6DF7E">
            <w:pPr>
              <w:pStyle w:val="94"/>
              <w:spacing w:before="131"/>
              <w:ind w:left="544"/>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业绩要求见招标公告要求。</w:t>
            </w:r>
          </w:p>
        </w:tc>
      </w:tr>
    </w:tbl>
    <w:p w14:paraId="6C350B44">
      <w:pPr>
        <w:pStyle w:val="16"/>
        <w:spacing w:before="110"/>
        <w:ind w:left="740"/>
        <w:rPr>
          <w:rFonts w:hint="default" w:ascii="Times New Roman" w:hAnsi="Times New Roman" w:cs="Times New Roman"/>
          <w:color w:val="auto"/>
          <w:highlight w:val="none"/>
        </w:rPr>
      </w:pPr>
      <w:r>
        <w:rPr>
          <w:rFonts w:hint="default" w:ascii="Times New Roman" w:hAnsi="Times New Roman" w:cs="Times New Roman"/>
          <w:color w:val="auto"/>
          <w:highlight w:val="none"/>
        </w:rPr>
        <w:t>注：</w:t>
      </w:r>
    </w:p>
    <w:p w14:paraId="557B1BAB">
      <w:pPr>
        <w:pStyle w:val="90"/>
        <w:keepNext w:val="0"/>
        <w:keepLines w:val="0"/>
        <w:pageBreakBefore w:val="0"/>
        <w:widowControl w:val="0"/>
        <w:numPr>
          <w:ilvl w:val="0"/>
          <w:numId w:val="0"/>
        </w:numPr>
        <w:tabs>
          <w:tab w:val="left" w:pos="1022"/>
        </w:tabs>
        <w:kinsoku/>
        <w:wordWrap/>
        <w:overflowPunct/>
        <w:topLinePunct w:val="0"/>
        <w:autoSpaceDE/>
        <w:autoSpaceDN/>
        <w:bidi w:val="0"/>
        <w:adjustRightInd/>
        <w:snapToGrid/>
        <w:spacing w:before="162" w:after="0" w:line="240" w:lineRule="auto"/>
        <w:ind w:right="0" w:rightChars="0" w:firstLine="560" w:firstLineChars="200"/>
        <w:jc w:val="left"/>
        <w:textAlignment w:val="auto"/>
        <w:rPr>
          <w:rFonts w:hint="default" w:ascii="Times New Roman" w:hAnsi="Times New Roman" w:eastAsia="宋体" w:cs="Times New Roman"/>
          <w:color w:val="auto"/>
          <w:kern w:val="2"/>
          <w:sz w:val="28"/>
          <w:highlight w:val="none"/>
          <w:lang w:val="en-US" w:eastAsia="zh-CN" w:bidi="ar-SA"/>
        </w:rPr>
      </w:pPr>
      <w:r>
        <w:rPr>
          <w:rFonts w:hint="default" w:ascii="Times New Roman" w:hAnsi="Times New Roman" w:eastAsia="宋体" w:cs="Times New Roman"/>
          <w:color w:val="auto"/>
          <w:kern w:val="2"/>
          <w:sz w:val="28"/>
          <w:highlight w:val="none"/>
          <w:lang w:val="en-US" w:eastAsia="zh-CN" w:bidi="ar-SA"/>
        </w:rPr>
        <w:t>投标人应按下列规定提供业绩证明资料：</w:t>
      </w:r>
    </w:p>
    <w:p w14:paraId="3453ED35">
      <w:pPr>
        <w:pStyle w:val="90"/>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before="173" w:after="0" w:line="391" w:lineRule="auto"/>
        <w:ind w:right="1131" w:rightChars="0" w:firstLine="560" w:firstLineChars="200"/>
        <w:jc w:val="left"/>
        <w:textAlignment w:val="auto"/>
        <w:rPr>
          <w:rFonts w:hint="default" w:ascii="Times New Roman" w:hAnsi="Times New Roman" w:eastAsia="宋体" w:cs="Times New Roman"/>
          <w:color w:val="auto"/>
          <w:kern w:val="2"/>
          <w:sz w:val="28"/>
          <w:highlight w:val="none"/>
          <w:lang w:val="en-US" w:eastAsia="zh-CN" w:bidi="ar-SA"/>
        </w:rPr>
      </w:pPr>
      <w:r>
        <w:rPr>
          <w:rFonts w:hint="default" w:ascii="Times New Roman" w:hAnsi="Times New Roman" w:eastAsia="宋体" w:cs="Times New Roman"/>
          <w:color w:val="auto"/>
          <w:kern w:val="2"/>
          <w:sz w:val="28"/>
          <w:highlight w:val="none"/>
          <w:lang w:val="en-US" w:eastAsia="zh-CN" w:bidi="ar-SA"/>
        </w:rPr>
        <w:t>合同协议书。投标人所提供合同协议书应与监管部门备案的合同协议书（如有）保持一致，评标结束后若发现不一致的以备案合同协议书为准，并视同提供虚假材料；</w:t>
      </w:r>
    </w:p>
    <w:p w14:paraId="78EE753C">
      <w:pPr>
        <w:pStyle w:val="16"/>
        <w:spacing w:before="4"/>
        <w:rPr>
          <w:rFonts w:hint="default" w:ascii="Times New Roman" w:hAnsi="Times New Roman" w:cs="Times New Roman"/>
          <w:color w:val="auto"/>
          <w:sz w:val="24"/>
          <w:highlight w:val="none"/>
        </w:rPr>
      </w:pPr>
    </w:p>
    <w:p w14:paraId="25252238">
      <w:pPr>
        <w:pStyle w:val="4"/>
        <w:ind w:left="1959"/>
        <w:rPr>
          <w:rFonts w:hint="default" w:ascii="Times New Roman" w:hAnsi="Times New Roman" w:cs="Times New Roman"/>
          <w:color w:val="auto"/>
          <w:highlight w:val="none"/>
        </w:rPr>
      </w:pPr>
      <w:bookmarkStart w:id="30" w:name="_bookmark6"/>
      <w:bookmarkEnd w:id="30"/>
      <w:bookmarkStart w:id="31" w:name="附录4  资格审查条件(信誉最低要求)"/>
      <w:bookmarkEnd w:id="31"/>
    </w:p>
    <w:p w14:paraId="5927E248">
      <w:pPr>
        <w:pStyle w:val="4"/>
        <w:ind w:left="1959"/>
        <w:rPr>
          <w:rFonts w:hint="default" w:ascii="Times New Roman" w:hAnsi="Times New Roman" w:cs="Times New Roman"/>
          <w:color w:val="auto"/>
          <w:highlight w:val="none"/>
        </w:rPr>
      </w:pPr>
    </w:p>
    <w:p w14:paraId="061DEF08">
      <w:pPr>
        <w:pStyle w:val="4"/>
        <w:ind w:left="1959"/>
        <w:rPr>
          <w:rFonts w:hint="default" w:ascii="Times New Roman" w:hAnsi="Times New Roman" w:cs="Times New Roman"/>
          <w:color w:val="auto"/>
          <w:highlight w:val="none"/>
        </w:rPr>
      </w:pPr>
    </w:p>
    <w:p w14:paraId="29B4050A">
      <w:pPr>
        <w:rPr>
          <w:rFonts w:hint="default" w:ascii="Times New Roman" w:hAnsi="Times New Roman" w:cs="Times New Roman"/>
          <w:color w:val="auto"/>
          <w:highlight w:val="none"/>
        </w:rPr>
      </w:pPr>
    </w:p>
    <w:p w14:paraId="783CC086">
      <w:pPr>
        <w:pStyle w:val="39"/>
        <w:rPr>
          <w:rFonts w:hint="default" w:ascii="Times New Roman" w:hAnsi="Times New Roman" w:cs="Times New Roman"/>
          <w:color w:val="auto"/>
          <w:highlight w:val="none"/>
        </w:rPr>
      </w:pPr>
    </w:p>
    <w:p w14:paraId="1C007938">
      <w:pPr>
        <w:pStyle w:val="39"/>
        <w:rPr>
          <w:rFonts w:hint="default" w:ascii="Times New Roman" w:hAnsi="Times New Roman" w:cs="Times New Roman"/>
          <w:color w:val="auto"/>
          <w:highlight w:val="none"/>
        </w:rPr>
      </w:pPr>
    </w:p>
    <w:p w14:paraId="45E9E795">
      <w:pPr>
        <w:pStyle w:val="4"/>
        <w:rPr>
          <w:rFonts w:hint="default" w:ascii="Times New Roman" w:hAnsi="Times New Roman" w:cs="Times New Roman"/>
          <w:color w:val="auto"/>
          <w:highlight w:val="none"/>
        </w:rPr>
      </w:pPr>
    </w:p>
    <w:p w14:paraId="29393821">
      <w:pPr>
        <w:pStyle w:val="4"/>
        <w:ind w:firstLine="1606" w:firstLineChars="500"/>
        <w:rPr>
          <w:rFonts w:hint="default" w:ascii="Times New Roman" w:hAnsi="Times New Roman" w:cs="Times New Roman"/>
          <w:color w:val="auto"/>
          <w:highlight w:val="none"/>
        </w:rPr>
      </w:pPr>
    </w:p>
    <w:p w14:paraId="169437A8">
      <w:pPr>
        <w:rPr>
          <w:rFonts w:hint="default" w:ascii="Times New Roman" w:hAnsi="Times New Roman" w:cs="Times New Roman"/>
          <w:color w:val="auto"/>
          <w:highlight w:val="none"/>
        </w:rPr>
      </w:pPr>
    </w:p>
    <w:p w14:paraId="65641697">
      <w:pPr>
        <w:pStyle w:val="32"/>
        <w:tabs>
          <w:tab w:val="right" w:leader="dot" w:pos="9072"/>
        </w:tabs>
        <w:rPr>
          <w:rFonts w:hint="default" w:ascii="Times New Roman" w:hAnsi="Times New Roman" w:cs="Times New Roman"/>
          <w:color w:val="auto"/>
          <w:highlight w:val="none"/>
        </w:rPr>
      </w:pPr>
    </w:p>
    <w:p w14:paraId="4F0047EA">
      <w:pPr>
        <w:rPr>
          <w:rFonts w:hint="default" w:ascii="Times New Roman" w:hAnsi="Times New Roman" w:cs="Times New Roman"/>
          <w:color w:val="auto"/>
          <w:highlight w:val="none"/>
        </w:rPr>
      </w:pPr>
    </w:p>
    <w:p w14:paraId="1EA9A8A5">
      <w:pPr>
        <w:pStyle w:val="4"/>
        <w:spacing w:before="107"/>
        <w:ind w:firstLine="964" w:firstLineChars="300"/>
        <w:rPr>
          <w:rFonts w:hint="default" w:ascii="Times New Roman" w:hAnsi="Times New Roman" w:cs="Times New Roman"/>
          <w:color w:val="auto"/>
          <w:highlight w:val="none"/>
        </w:rPr>
      </w:pPr>
      <w:bookmarkStart w:id="32" w:name="_bookmark7"/>
      <w:bookmarkEnd w:id="32"/>
      <w:bookmarkStart w:id="33" w:name="附录5  资格审查条件（项目负责人最低要求）"/>
      <w:bookmarkEnd w:id="33"/>
      <w:bookmarkStart w:id="34" w:name="_Toc22844"/>
      <w:r>
        <w:rPr>
          <w:rFonts w:hint="default" w:ascii="Times New Roman" w:hAnsi="Times New Roman" w:cs="Times New Roman"/>
          <w:color w:val="auto"/>
          <w:highlight w:val="none"/>
        </w:rPr>
        <w:t>附录</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 资格审查条件（</w:t>
      </w:r>
      <w:r>
        <w:rPr>
          <w:rFonts w:hint="eastAsia" w:ascii="Times New Roman" w:hAnsi="Times New Roman" w:cs="Times New Roman"/>
          <w:color w:val="auto"/>
          <w:highlight w:val="none"/>
          <w:lang w:val="en-US" w:eastAsia="zh-CN"/>
        </w:rPr>
        <w:t>总监理工程师</w:t>
      </w:r>
      <w:r>
        <w:rPr>
          <w:rFonts w:hint="default" w:ascii="Times New Roman" w:hAnsi="Times New Roman" w:cs="Times New Roman"/>
          <w:color w:val="auto"/>
          <w:highlight w:val="none"/>
        </w:rPr>
        <w:t>最低要求）</w:t>
      </w:r>
      <w:bookmarkEnd w:id="34"/>
      <w:r>
        <w:rPr>
          <w:rFonts w:hint="default" w:ascii="Times New Roman" w:hAnsi="Times New Roman" w:cs="Times New Roman"/>
          <w:color w:val="auto"/>
          <w:highlight w:val="none"/>
        </w:rPr>
        <w:t xml:space="preserve"> </w:t>
      </w:r>
    </w:p>
    <w:p w14:paraId="0DAD9BE7">
      <w:pPr>
        <w:pStyle w:val="16"/>
        <w:rPr>
          <w:rFonts w:hint="default" w:ascii="Times New Roman" w:hAnsi="Times New Roman" w:cs="Times New Roman"/>
          <w:color w:val="auto"/>
          <w:sz w:val="20"/>
          <w:highlight w:val="none"/>
        </w:rPr>
      </w:pPr>
    </w:p>
    <w:p w14:paraId="432B49C2">
      <w:pPr>
        <w:pStyle w:val="16"/>
        <w:spacing w:before="9"/>
        <w:rPr>
          <w:rFonts w:hint="default" w:ascii="Times New Roman" w:hAnsi="Times New Roman" w:cs="Times New Roman"/>
          <w:color w:val="auto"/>
          <w:sz w:val="23"/>
          <w:highlight w:val="none"/>
        </w:rPr>
      </w:pPr>
    </w:p>
    <w:tbl>
      <w:tblPr>
        <w:tblStyle w:val="40"/>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6500"/>
      </w:tblGrid>
      <w:tr w14:paraId="740B2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2357" w:type="dxa"/>
            <w:noWrap w:val="0"/>
            <w:vAlign w:val="top"/>
          </w:tcPr>
          <w:p w14:paraId="62E9B12D">
            <w:pPr>
              <w:pStyle w:val="94"/>
              <w:spacing w:before="138"/>
              <w:ind w:left="1000" w:right="886"/>
              <w:jc w:val="center"/>
              <w:rPr>
                <w:rFonts w:hint="default" w:ascii="Times New Roman" w:hAnsi="Times New Roman" w:eastAsia="微软雅黑" w:cs="Times New Roman"/>
                <w:b/>
                <w:color w:val="auto"/>
                <w:sz w:val="21"/>
                <w:highlight w:val="none"/>
              </w:rPr>
            </w:pPr>
            <w:r>
              <w:rPr>
                <w:rFonts w:hint="default" w:ascii="Times New Roman" w:hAnsi="Times New Roman" w:eastAsia="微软雅黑" w:cs="Times New Roman"/>
                <w:b/>
                <w:color w:val="auto"/>
                <w:sz w:val="21"/>
                <w:highlight w:val="none"/>
              </w:rPr>
              <w:t>人员</w:t>
            </w:r>
            <w:r>
              <w:rPr>
                <w:rFonts w:hint="default" w:ascii="Times New Roman" w:hAnsi="Times New Roman" w:eastAsia="微软雅黑" w:cs="Times New Roman"/>
                <w:b/>
                <w:color w:val="auto"/>
                <w:w w:val="168"/>
                <w:sz w:val="21"/>
                <w:highlight w:val="none"/>
              </w:rPr>
              <w:t xml:space="preserve"> </w:t>
            </w:r>
          </w:p>
        </w:tc>
        <w:tc>
          <w:tcPr>
            <w:tcW w:w="6500" w:type="dxa"/>
            <w:noWrap w:val="0"/>
            <w:vAlign w:val="top"/>
          </w:tcPr>
          <w:p w14:paraId="46DDB8EE">
            <w:pPr>
              <w:pStyle w:val="94"/>
              <w:spacing w:before="138"/>
              <w:ind w:left="2861" w:right="2748"/>
              <w:jc w:val="center"/>
              <w:rPr>
                <w:rFonts w:hint="default" w:ascii="Times New Roman" w:hAnsi="Times New Roman" w:eastAsia="微软雅黑" w:cs="Times New Roman"/>
                <w:b/>
                <w:color w:val="auto"/>
                <w:sz w:val="21"/>
                <w:highlight w:val="none"/>
              </w:rPr>
            </w:pPr>
            <w:r>
              <w:rPr>
                <w:rFonts w:hint="default" w:ascii="Times New Roman" w:hAnsi="Times New Roman" w:eastAsia="微软雅黑" w:cs="Times New Roman"/>
                <w:b/>
                <w:color w:val="auto"/>
                <w:sz w:val="21"/>
                <w:highlight w:val="none"/>
              </w:rPr>
              <w:t>资格要求</w:t>
            </w:r>
            <w:r>
              <w:rPr>
                <w:rFonts w:hint="default" w:ascii="Times New Roman" w:hAnsi="Times New Roman" w:eastAsia="微软雅黑" w:cs="Times New Roman"/>
                <w:b/>
                <w:color w:val="auto"/>
                <w:w w:val="168"/>
                <w:sz w:val="21"/>
                <w:highlight w:val="none"/>
              </w:rPr>
              <w:t xml:space="preserve"> </w:t>
            </w:r>
          </w:p>
        </w:tc>
      </w:tr>
      <w:tr w14:paraId="694DD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357" w:type="dxa"/>
            <w:noWrap w:val="0"/>
            <w:vAlign w:val="top"/>
          </w:tcPr>
          <w:p w14:paraId="4A1BCBBD">
            <w:pPr>
              <w:pStyle w:val="94"/>
              <w:spacing w:before="3"/>
              <w:rPr>
                <w:rFonts w:hint="default" w:ascii="Times New Roman" w:hAnsi="Times New Roman" w:cs="Times New Roman"/>
                <w:color w:val="auto"/>
                <w:sz w:val="21"/>
                <w:highlight w:val="none"/>
              </w:rPr>
            </w:pPr>
          </w:p>
          <w:p w14:paraId="4E7DCB26">
            <w:pPr>
              <w:pStyle w:val="94"/>
              <w:ind w:left="652"/>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总监理工程师</w:t>
            </w:r>
          </w:p>
        </w:tc>
        <w:tc>
          <w:tcPr>
            <w:tcW w:w="6500" w:type="dxa"/>
            <w:noWrap w:val="0"/>
            <w:vAlign w:val="top"/>
          </w:tcPr>
          <w:p w14:paraId="3BA421ED">
            <w:pPr>
              <w:pStyle w:val="94"/>
              <w:numPr>
                <w:ilvl w:val="0"/>
                <w:numId w:val="2"/>
              </w:numPr>
              <w:tabs>
                <w:tab w:val="left" w:pos="638"/>
              </w:tabs>
              <w:spacing w:before="1" w:after="0" w:line="240" w:lineRule="auto"/>
              <w:ind w:left="637" w:right="0" w:hanging="530"/>
              <w:jc w:val="left"/>
              <w:rPr>
                <w:rFonts w:hint="default" w:ascii="Times New Roman" w:hAnsi="Times New Roman" w:cs="Times New Roman"/>
                <w:color w:val="auto"/>
                <w:sz w:val="21"/>
                <w:highlight w:val="none"/>
              </w:rPr>
            </w:pPr>
            <w:r>
              <w:rPr>
                <w:rFonts w:hint="eastAsia" w:ascii="Times New Roman" w:hAnsi="Times New Roman" w:cs="Times New Roman"/>
                <w:color w:val="auto"/>
                <w:spacing w:val="-3"/>
                <w:sz w:val="21"/>
                <w:highlight w:val="none"/>
                <w:lang w:val="en-US" w:eastAsia="zh-CN"/>
              </w:rPr>
              <w:t>总监理工程师</w:t>
            </w:r>
            <w:r>
              <w:rPr>
                <w:rFonts w:hint="default" w:ascii="Times New Roman" w:hAnsi="Times New Roman" w:cs="Times New Roman"/>
                <w:color w:val="auto"/>
                <w:spacing w:val="-3"/>
                <w:sz w:val="21"/>
                <w:highlight w:val="none"/>
              </w:rPr>
              <w:t>资格条件见招标公告要求。</w:t>
            </w:r>
          </w:p>
          <w:p w14:paraId="181D685A">
            <w:pPr>
              <w:pStyle w:val="94"/>
              <w:numPr>
                <w:ilvl w:val="0"/>
                <w:numId w:val="2"/>
              </w:numPr>
              <w:tabs>
                <w:tab w:val="left" w:pos="644"/>
              </w:tabs>
              <w:spacing w:before="2" w:after="0" w:line="240" w:lineRule="auto"/>
              <w:ind w:left="643" w:right="0" w:hanging="536"/>
              <w:jc w:val="left"/>
              <w:rPr>
                <w:rFonts w:hint="default" w:ascii="Times New Roman" w:hAnsi="Times New Roman" w:cs="Times New Roman"/>
                <w:color w:val="auto"/>
                <w:sz w:val="21"/>
                <w:highlight w:val="none"/>
              </w:rPr>
            </w:pPr>
            <w:r>
              <w:rPr>
                <w:rFonts w:hint="eastAsia" w:ascii="Times New Roman" w:hAnsi="Times New Roman" w:cs="Times New Roman"/>
                <w:color w:val="auto"/>
                <w:sz w:val="21"/>
                <w:highlight w:val="none"/>
                <w:lang w:val="en-US" w:eastAsia="zh-CN"/>
              </w:rPr>
              <w:t>总监理工程师</w:t>
            </w:r>
            <w:r>
              <w:rPr>
                <w:rFonts w:hint="default" w:ascii="Times New Roman" w:hAnsi="Times New Roman" w:cs="Times New Roman"/>
                <w:color w:val="auto"/>
                <w:sz w:val="21"/>
                <w:highlight w:val="none"/>
              </w:rPr>
              <w:t>必须是本单位人员招标公告中要求的注册证书注</w:t>
            </w:r>
          </w:p>
          <w:p w14:paraId="40F80B79">
            <w:pPr>
              <w:pStyle w:val="94"/>
              <w:spacing w:before="4" w:line="250" w:lineRule="exact"/>
              <w:ind w:left="108"/>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册单位（如有）应当与投标人名称一致。</w:t>
            </w:r>
          </w:p>
        </w:tc>
      </w:tr>
    </w:tbl>
    <w:p w14:paraId="3A392CC7">
      <w:pPr>
        <w:pStyle w:val="16"/>
        <w:spacing w:before="109" w:line="355" w:lineRule="auto"/>
        <w:ind w:left="320" w:right="1134" w:firstLine="419"/>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kern w:val="2"/>
          <w:sz w:val="24"/>
          <w:highlight w:val="none"/>
          <w:lang w:val="en-US" w:eastAsia="zh-CN" w:bidi="ar-SA"/>
        </w:rPr>
        <w:t>注：</w:t>
      </w:r>
    </w:p>
    <w:p w14:paraId="16927BE6">
      <w:pPr>
        <w:pStyle w:val="16"/>
        <w:spacing w:before="109" w:line="355" w:lineRule="auto"/>
        <w:ind w:left="320" w:right="1134" w:firstLine="419"/>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kern w:val="2"/>
          <w:sz w:val="24"/>
          <w:highlight w:val="none"/>
          <w:lang w:val="en-US" w:eastAsia="zh-CN" w:bidi="ar-SA"/>
        </w:rPr>
        <w:t>投标文件中提供</w:t>
      </w:r>
      <w:r>
        <w:rPr>
          <w:rFonts w:hint="eastAsia" w:ascii="Times New Roman" w:hAnsi="Times New Roman" w:cs="Times New Roman"/>
          <w:color w:val="auto"/>
          <w:kern w:val="2"/>
          <w:sz w:val="24"/>
          <w:highlight w:val="none"/>
          <w:lang w:val="en-US" w:eastAsia="zh-CN" w:bidi="ar-SA"/>
        </w:rPr>
        <w:t>总监理工程师</w:t>
      </w:r>
      <w:r>
        <w:rPr>
          <w:rFonts w:hint="default" w:ascii="Times New Roman" w:hAnsi="Times New Roman" w:eastAsia="宋体" w:cs="Times New Roman"/>
          <w:color w:val="auto"/>
          <w:kern w:val="2"/>
          <w:sz w:val="24"/>
          <w:highlight w:val="none"/>
          <w:lang w:val="en-US" w:eastAsia="zh-CN" w:bidi="ar-SA"/>
        </w:rPr>
        <w:t>相关证书和社保证明材料扫描件。社保证明材料要求如下：</w:t>
      </w:r>
    </w:p>
    <w:p w14:paraId="024F5D06">
      <w:pPr>
        <w:pStyle w:val="16"/>
        <w:spacing w:before="109" w:line="355" w:lineRule="auto"/>
        <w:ind w:left="320" w:right="1134" w:firstLine="419"/>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kern w:val="2"/>
          <w:sz w:val="24"/>
          <w:highlight w:val="none"/>
          <w:lang w:val="en-US" w:eastAsia="zh-CN" w:bidi="ar-SA"/>
        </w:rPr>
        <w:t>投标文件中须提供投标人所属社保机构出具的拟</w:t>
      </w:r>
      <w:r>
        <w:rPr>
          <w:rFonts w:hint="default" w:ascii="Times New Roman" w:hAnsi="Times New Roman" w:cs="Times New Roman"/>
          <w:color w:val="auto"/>
          <w:kern w:val="2"/>
          <w:sz w:val="24"/>
          <w:highlight w:val="none"/>
          <w:lang w:val="en-US" w:eastAsia="zh-CN" w:bidi="ar-SA"/>
        </w:rPr>
        <w:t>委派</w:t>
      </w:r>
      <w:r>
        <w:rPr>
          <w:rFonts w:hint="default" w:ascii="Times New Roman" w:hAnsi="Times New Roman" w:eastAsia="宋体" w:cs="Times New Roman"/>
          <w:color w:val="auto"/>
          <w:kern w:val="2"/>
          <w:sz w:val="24"/>
          <w:highlight w:val="none"/>
          <w:lang w:val="en-US" w:eastAsia="zh-CN" w:bidi="ar-SA"/>
        </w:rPr>
        <w:t>的</w:t>
      </w:r>
      <w:r>
        <w:rPr>
          <w:rFonts w:hint="eastAsia" w:ascii="Times New Roman" w:hAnsi="Times New Roman" w:cs="Times New Roman"/>
          <w:color w:val="auto"/>
          <w:kern w:val="2"/>
          <w:sz w:val="24"/>
          <w:highlight w:val="none"/>
          <w:lang w:val="en-US" w:eastAsia="zh-CN" w:bidi="ar-SA"/>
        </w:rPr>
        <w:t>总监理工程师</w:t>
      </w:r>
      <w:r>
        <w:rPr>
          <w:rFonts w:hint="default" w:ascii="Times New Roman" w:hAnsi="Times New Roman" w:cs="Times New Roman"/>
          <w:color w:val="auto"/>
          <w:kern w:val="2"/>
          <w:sz w:val="24"/>
          <w:highlight w:val="none"/>
          <w:lang w:val="en-US" w:eastAsia="zh-CN" w:bidi="ar-SA"/>
        </w:rPr>
        <w:t>202</w:t>
      </w:r>
      <w:r>
        <w:rPr>
          <w:rFonts w:hint="eastAsia" w:ascii="Times New Roman" w:hAnsi="Times New Roman" w:cs="Times New Roman"/>
          <w:color w:val="auto"/>
          <w:kern w:val="2"/>
          <w:sz w:val="24"/>
          <w:highlight w:val="none"/>
          <w:lang w:val="en-US" w:eastAsia="zh-CN" w:bidi="ar-SA"/>
        </w:rPr>
        <w:t>5</w:t>
      </w:r>
      <w:r>
        <w:rPr>
          <w:rFonts w:hint="default" w:ascii="Times New Roman" w:hAnsi="Times New Roman" w:eastAsia="宋体" w:cs="Times New Roman"/>
          <w:color w:val="auto"/>
          <w:kern w:val="2"/>
          <w:sz w:val="24"/>
          <w:highlight w:val="none"/>
          <w:lang w:val="en-US" w:eastAsia="zh-CN" w:bidi="ar-SA"/>
        </w:rPr>
        <w:t>年</w:t>
      </w:r>
      <w:r>
        <w:rPr>
          <w:rFonts w:hint="eastAsia" w:ascii="Times New Roman" w:hAnsi="Times New Roman" w:cs="Times New Roman"/>
          <w:color w:val="auto"/>
          <w:kern w:val="2"/>
          <w:sz w:val="24"/>
          <w:highlight w:val="none"/>
          <w:lang w:val="en-US" w:eastAsia="zh-CN" w:bidi="ar-SA"/>
        </w:rPr>
        <w:t>1</w:t>
      </w:r>
      <w:r>
        <w:rPr>
          <w:rFonts w:hint="default" w:ascii="Times New Roman" w:hAnsi="Times New Roman" w:eastAsia="宋体" w:cs="Times New Roman"/>
          <w:color w:val="auto"/>
          <w:kern w:val="2"/>
          <w:sz w:val="24"/>
          <w:highlight w:val="none"/>
          <w:lang w:val="en-US" w:eastAsia="zh-CN" w:bidi="ar-SA"/>
        </w:rPr>
        <w:t>月1日以来任意连续三个月的社保缴费证明材料</w:t>
      </w:r>
      <w:r>
        <w:rPr>
          <w:rFonts w:hint="default" w:ascii="Times New Roman" w:hAnsi="Times New Roman" w:cs="Times New Roman"/>
          <w:color w:val="auto"/>
          <w:kern w:val="2"/>
          <w:sz w:val="24"/>
          <w:highlight w:val="none"/>
          <w:lang w:val="en-US" w:eastAsia="zh-CN" w:bidi="ar-SA"/>
        </w:rPr>
        <w:t>（社保缴费证明或社保的有效证明材料</w:t>
      </w:r>
      <w:r>
        <w:rPr>
          <w:rFonts w:hint="eastAsia" w:ascii="Times New Roman" w:hAnsi="Times New Roman" w:cs="Times New Roman"/>
          <w:color w:val="auto"/>
          <w:kern w:val="2"/>
          <w:sz w:val="24"/>
          <w:highlight w:val="none"/>
          <w:lang w:val="en-US" w:eastAsia="zh-CN" w:bidi="ar-SA"/>
        </w:rPr>
        <w:t>须</w:t>
      </w:r>
      <w:r>
        <w:rPr>
          <w:rFonts w:hint="default" w:ascii="Times New Roman" w:hAnsi="Times New Roman" w:cs="Times New Roman"/>
          <w:color w:val="auto"/>
          <w:kern w:val="2"/>
          <w:sz w:val="24"/>
          <w:highlight w:val="none"/>
          <w:lang w:val="en-US" w:eastAsia="zh-CN" w:bidi="ar-SA"/>
        </w:rPr>
        <w:t>至少含养老保险）</w:t>
      </w:r>
      <w:r>
        <w:rPr>
          <w:rFonts w:hint="default" w:ascii="Times New Roman" w:hAnsi="Times New Roman" w:eastAsia="宋体" w:cs="Times New Roman"/>
          <w:color w:val="auto"/>
          <w:kern w:val="2"/>
          <w:sz w:val="24"/>
          <w:highlight w:val="none"/>
          <w:lang w:val="en-US" w:eastAsia="zh-CN" w:bidi="ar-SA"/>
        </w:rPr>
        <w:t>，</w:t>
      </w:r>
      <w:r>
        <w:rPr>
          <w:rFonts w:hint="eastAsia" w:ascii="Times New Roman" w:hAnsi="Times New Roman" w:cs="Times New Roman"/>
          <w:color w:val="auto"/>
          <w:kern w:val="2"/>
          <w:sz w:val="24"/>
          <w:highlight w:val="none"/>
          <w:lang w:val="en-US" w:eastAsia="zh-CN" w:bidi="ar-SA"/>
        </w:rPr>
        <w:t>总监理工程师</w:t>
      </w:r>
      <w:r>
        <w:rPr>
          <w:rFonts w:hint="default" w:ascii="Times New Roman" w:hAnsi="Times New Roman" w:eastAsia="宋体" w:cs="Times New Roman"/>
          <w:color w:val="auto"/>
          <w:kern w:val="2"/>
          <w:sz w:val="24"/>
          <w:highlight w:val="none"/>
          <w:lang w:val="en-US" w:eastAsia="zh-CN" w:bidi="ar-SA"/>
        </w:rPr>
        <w:t xml:space="preserve">的社会保险的缴纳单位应当是投标人或者投标人具备独立法人资格的分支机构。 </w:t>
      </w:r>
    </w:p>
    <w:p w14:paraId="2D88D392">
      <w:pPr>
        <w:pStyle w:val="16"/>
        <w:rPr>
          <w:rFonts w:hint="default" w:ascii="Times New Roman" w:hAnsi="Times New Roman" w:cs="Times New Roman"/>
          <w:color w:val="auto"/>
          <w:sz w:val="20"/>
          <w:highlight w:val="none"/>
        </w:rPr>
      </w:pPr>
    </w:p>
    <w:p w14:paraId="17DC684E">
      <w:pPr>
        <w:pStyle w:val="16"/>
        <w:rPr>
          <w:rFonts w:hint="default" w:ascii="Times New Roman" w:hAnsi="Times New Roman" w:cs="Times New Roman"/>
          <w:color w:val="auto"/>
          <w:sz w:val="20"/>
          <w:highlight w:val="none"/>
        </w:rPr>
      </w:pPr>
    </w:p>
    <w:p w14:paraId="6FEDC47B">
      <w:pPr>
        <w:pStyle w:val="4"/>
        <w:spacing w:before="0"/>
        <w:ind w:left="1160"/>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35" w:name="_Toc15183"/>
      <w:r>
        <w:rPr>
          <w:rFonts w:hint="default" w:ascii="Times New Roman" w:hAnsi="Times New Roman" w:cs="Times New Roman"/>
          <w:color w:val="auto"/>
          <w:highlight w:val="none"/>
        </w:rPr>
        <w:t>附录</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资格审查条件（其他主要人员最低要求）</w:t>
      </w:r>
      <w:bookmarkEnd w:id="35"/>
      <w:r>
        <w:rPr>
          <w:rFonts w:hint="default" w:ascii="Times New Roman" w:hAnsi="Times New Roman" w:cs="Times New Roman"/>
          <w:color w:val="auto"/>
          <w:highlight w:val="none"/>
        </w:rPr>
        <w:t xml:space="preserve"> </w:t>
      </w:r>
    </w:p>
    <w:p w14:paraId="439B2099">
      <w:pPr>
        <w:spacing w:after="0"/>
        <w:rPr>
          <w:rFonts w:hint="default" w:ascii="Times New Roman" w:hAnsi="Times New Roman" w:cs="Times New Roman"/>
          <w:color w:val="auto"/>
          <w:highlight w:val="none"/>
        </w:rPr>
        <w:sectPr>
          <w:pgSz w:w="11905" w:h="16838"/>
          <w:pgMar w:top="2098" w:right="1474" w:bottom="1701" w:left="1587" w:header="850" w:footer="992" w:gutter="0"/>
          <w:pgNumType w:fmt="decimal"/>
          <w:cols w:space="0" w:num="1"/>
          <w:rtlGutter w:val="0"/>
          <w:docGrid w:type="lines" w:linePitch="318" w:charSpace="0"/>
        </w:sectPr>
      </w:pPr>
    </w:p>
    <w:p w14:paraId="352DCDB2">
      <w:pPr>
        <w:pStyle w:val="4"/>
        <w:ind w:firstLine="1928" w:firstLineChars="600"/>
        <w:rPr>
          <w:rFonts w:hint="default" w:ascii="Times New Roman" w:hAnsi="Times New Roman" w:eastAsia="微软雅黑" w:cs="Times New Roman"/>
          <w:b/>
          <w:color w:val="auto"/>
          <w:highlight w:val="none"/>
        </w:rPr>
      </w:pPr>
      <w:bookmarkStart w:id="36" w:name="附录7  资格审查条件（其他要求）"/>
      <w:bookmarkEnd w:id="36"/>
      <w:bookmarkStart w:id="37" w:name="_bookmark9"/>
      <w:bookmarkEnd w:id="37"/>
      <w:bookmarkStart w:id="38" w:name="_Toc19518"/>
      <w:r>
        <w:rPr>
          <w:rFonts w:hint="default" w:ascii="Times New Roman" w:hAnsi="Times New Roman" w:cs="Times New Roman"/>
          <w:color w:val="auto"/>
          <w:highlight w:val="none"/>
        </w:rPr>
        <w:t xml:space="preserve">附录 </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 资格审查条件（其他要求）</w:t>
      </w:r>
      <w:bookmarkEnd w:id="38"/>
      <w:r>
        <w:rPr>
          <w:rFonts w:hint="default" w:ascii="Times New Roman" w:hAnsi="Times New Roman" w:eastAsia="微软雅黑" w:cs="Times New Roman"/>
          <w:b/>
          <w:color w:val="auto"/>
          <w:w w:val="167"/>
          <w:highlight w:val="none"/>
        </w:rPr>
        <w:t xml:space="preserve"> </w:t>
      </w:r>
    </w:p>
    <w:p w14:paraId="2CF48000">
      <w:pPr>
        <w:pStyle w:val="16"/>
        <w:spacing w:before="2"/>
        <w:rPr>
          <w:rFonts w:hint="default" w:ascii="Times New Roman" w:hAnsi="Times New Roman" w:cs="Times New Roman"/>
          <w:b/>
          <w:color w:val="auto"/>
          <w:sz w:val="28"/>
          <w:highlight w:val="none"/>
        </w:rPr>
      </w:pPr>
      <w:r>
        <w:rPr>
          <w:rFonts w:hint="default" w:ascii="Times New Roman" w:hAnsi="Times New Roman" w:cs="Times New Roman"/>
          <w:color w:val="auto"/>
          <w:highlight w:val="none"/>
        </w:rPr>
        <mc:AlternateContent>
          <mc:Choice Requires="wpg">
            <w:drawing>
              <wp:anchor distT="0" distB="0" distL="114300" distR="114300" simplePos="0" relativeHeight="251659264" behindDoc="1" locked="0" layoutInCell="1" allowOverlap="1">
                <wp:simplePos x="0" y="0"/>
                <wp:positionH relativeFrom="page">
                  <wp:posOffset>1071245</wp:posOffset>
                </wp:positionH>
                <wp:positionV relativeFrom="paragraph">
                  <wp:posOffset>356870</wp:posOffset>
                </wp:positionV>
                <wp:extent cx="5631180" cy="1117600"/>
                <wp:effectExtent l="1905" t="1905" r="5715" b="10795"/>
                <wp:wrapTopAndBottom/>
                <wp:docPr id="205" name="组合 205"/>
                <wp:cNvGraphicFramePr/>
                <a:graphic xmlns:a="http://schemas.openxmlformats.org/drawingml/2006/main">
                  <a:graphicData uri="http://schemas.microsoft.com/office/word/2010/wordprocessingGroup">
                    <wpg:wgp>
                      <wpg:cNvGrpSpPr/>
                      <wpg:grpSpPr>
                        <a:xfrm>
                          <a:off x="0" y="0"/>
                          <a:ext cx="5631180" cy="1117600"/>
                          <a:chOff x="1688" y="563"/>
                          <a:chExt cx="8868" cy="1760"/>
                        </a:xfrm>
                        <a:effectLst/>
                      </wpg:grpSpPr>
                      <wps:wsp>
                        <wps:cNvPr id="199" name="直线 7"/>
                        <wps:cNvCnPr/>
                        <wps:spPr>
                          <a:xfrm>
                            <a:off x="1697" y="567"/>
                            <a:ext cx="8848" cy="0"/>
                          </a:xfrm>
                          <a:prstGeom prst="line">
                            <a:avLst/>
                          </a:prstGeom>
                          <a:ln w="6096" cap="flat" cmpd="sng">
                            <a:solidFill>
                              <a:srgbClr val="000000"/>
                            </a:solidFill>
                            <a:prstDash val="solid"/>
                            <a:headEnd type="none" w="med" len="med"/>
                            <a:tailEnd type="none" w="med" len="med"/>
                          </a:ln>
                          <a:effectLst/>
                        </wps:spPr>
                        <wps:bodyPr upright="1"/>
                      </wps:wsp>
                      <wps:wsp>
                        <wps:cNvPr id="200" name="直线 8"/>
                        <wps:cNvCnPr/>
                        <wps:spPr>
                          <a:xfrm>
                            <a:off x="1697" y="1256"/>
                            <a:ext cx="8848" cy="0"/>
                          </a:xfrm>
                          <a:prstGeom prst="line">
                            <a:avLst/>
                          </a:prstGeom>
                          <a:ln w="6096" cap="flat" cmpd="sng">
                            <a:solidFill>
                              <a:srgbClr val="000000"/>
                            </a:solidFill>
                            <a:prstDash val="solid"/>
                            <a:headEnd type="none" w="med" len="med"/>
                            <a:tailEnd type="none" w="med" len="med"/>
                          </a:ln>
                          <a:effectLst/>
                        </wps:spPr>
                        <wps:bodyPr upright="1"/>
                      </wps:wsp>
                      <wps:wsp>
                        <wps:cNvPr id="201" name="直线 9"/>
                        <wps:cNvCnPr/>
                        <wps:spPr>
                          <a:xfrm>
                            <a:off x="1692" y="563"/>
                            <a:ext cx="0" cy="1759"/>
                          </a:xfrm>
                          <a:prstGeom prst="line">
                            <a:avLst/>
                          </a:prstGeom>
                          <a:ln w="6096" cap="flat" cmpd="sng">
                            <a:solidFill>
                              <a:srgbClr val="000000"/>
                            </a:solidFill>
                            <a:prstDash val="solid"/>
                            <a:headEnd type="none" w="med" len="med"/>
                            <a:tailEnd type="none" w="med" len="med"/>
                          </a:ln>
                          <a:effectLst/>
                        </wps:spPr>
                        <wps:bodyPr upright="1"/>
                      </wps:wsp>
                      <wps:wsp>
                        <wps:cNvPr id="202" name="直线 10"/>
                        <wps:cNvCnPr/>
                        <wps:spPr>
                          <a:xfrm>
                            <a:off x="1697" y="2317"/>
                            <a:ext cx="8848" cy="0"/>
                          </a:xfrm>
                          <a:prstGeom prst="line">
                            <a:avLst/>
                          </a:prstGeom>
                          <a:ln w="6096" cap="flat" cmpd="sng">
                            <a:solidFill>
                              <a:srgbClr val="000000"/>
                            </a:solidFill>
                            <a:prstDash val="solid"/>
                            <a:headEnd type="none" w="med" len="med"/>
                            <a:tailEnd type="none" w="med" len="med"/>
                          </a:ln>
                          <a:effectLst/>
                        </wps:spPr>
                        <wps:bodyPr upright="1"/>
                      </wps:wsp>
                      <wps:wsp>
                        <wps:cNvPr id="203" name="直线 11"/>
                        <wps:cNvCnPr/>
                        <wps:spPr>
                          <a:xfrm>
                            <a:off x="10550" y="563"/>
                            <a:ext cx="0" cy="1759"/>
                          </a:xfrm>
                          <a:prstGeom prst="line">
                            <a:avLst/>
                          </a:prstGeom>
                          <a:ln w="6097" cap="flat" cmpd="sng">
                            <a:solidFill>
                              <a:srgbClr val="000000"/>
                            </a:solidFill>
                            <a:prstDash val="solid"/>
                            <a:headEnd type="none" w="med" len="med"/>
                            <a:tailEnd type="none" w="med" len="med"/>
                          </a:ln>
                          <a:effectLst/>
                        </wps:spPr>
                        <wps:bodyPr upright="1"/>
                      </wps:wsp>
                      <wps:wsp>
                        <wps:cNvPr id="204" name="文本框 12"/>
                        <wps:cNvSpPr txBox="1"/>
                        <wps:spPr>
                          <a:xfrm>
                            <a:off x="5698" y="805"/>
                            <a:ext cx="969" cy="212"/>
                          </a:xfrm>
                          <a:prstGeom prst="rect">
                            <a:avLst/>
                          </a:prstGeom>
                          <a:noFill/>
                          <a:ln>
                            <a:noFill/>
                          </a:ln>
                          <a:effectLst/>
                        </wps:spPr>
                        <wps:txbx>
                          <w:txbxContent>
                            <w:p w14:paraId="2916A39B">
                              <w:pPr>
                                <w:spacing w:before="0" w:line="211" w:lineRule="exact"/>
                                <w:ind w:left="0" w:right="0" w:firstLine="0"/>
                                <w:jc w:val="left"/>
                                <w:rPr>
                                  <w:rFonts w:hint="eastAsia" w:ascii="微软雅黑" w:eastAsia="微软雅黑"/>
                                  <w:b/>
                                  <w:sz w:val="21"/>
                                </w:rPr>
                              </w:pPr>
                              <w:r>
                                <w:rPr>
                                  <w:rFonts w:hint="eastAsia" w:ascii="微软雅黑" w:eastAsia="微软雅黑"/>
                                  <w:b/>
                                  <w:sz w:val="21"/>
                                </w:rPr>
                                <w:t>其他要求</w:t>
                              </w:r>
                              <w:r>
                                <w:rPr>
                                  <w:rFonts w:hint="eastAsia" w:ascii="微软雅黑" w:eastAsia="微软雅黑"/>
                                  <w:b/>
                                  <w:w w:val="168"/>
                                  <w:sz w:val="21"/>
                                </w:rPr>
                                <w:t xml:space="preserve"> </w:t>
                              </w:r>
                            </w:p>
                          </w:txbxContent>
                        </wps:txbx>
                        <wps:bodyPr lIns="0" tIns="0" rIns="0" bIns="0" upright="1"/>
                      </wps:wsp>
                    </wpg:wgp>
                  </a:graphicData>
                </a:graphic>
              </wp:anchor>
            </w:drawing>
          </mc:Choice>
          <mc:Fallback>
            <w:pict>
              <v:group id="_x0000_s1026" o:spid="_x0000_s1026" o:spt="203" style="position:absolute;left:0pt;margin-left:84.35pt;margin-top:28.1pt;height:88pt;width:443.4pt;mso-position-horizontal-relative:page;mso-wrap-distance-bottom:0pt;mso-wrap-distance-top:0pt;z-index:-251657216;mso-width-relative:page;mso-height-relative:page;" coordorigin="1688,563" coordsize="8868,1760" o:gfxdata="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AysLHp2gAAAAsBAAAPAAAAAAAAAAEAIAAAACIAAABkcnMv&#10;ZG93bnJldi54bWxQSwECFAAUAAAACACHTuJAI/OHlFcDAAATDwAADgAAAAAAAAABACAAAAApAQAA&#10;ZHJzL2Uyb0RvYy54bWxQSwUGAAAAAAYABgBZAQAA8gYAAAAA&#10;">
                <o:lock v:ext="edit" aspectratio="f"/>
                <v:line id="直线 7" o:spid="_x0000_s1026" o:spt="20" style="position:absolute;left:1697;top:567;height:0;width:8848;" filled="f" stroked="t" coordsize="21600,21600" o:gfxdata="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nEY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697;top:1256;height:0;width:8848;" filled="f" stroked="t" coordsize="21600,21600" o:gfxdata="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JkF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 o:spid="_x0000_s1026" o:spt="20" style="position:absolute;left:1692;top:563;height:1759;width:0;" filled="f" stroked="t" coordsize="21600,21600" o:gfxdata="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A8n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0" o:spid="_x0000_s1026" o:spt="20" style="position:absolute;left:1697;top:2317;height:0;width:8848;" filled="f" stroked="t" coordsize="21600,21600" o:gfxdata="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Ki6b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1" o:spid="_x0000_s1026" o:spt="20" style="position:absolute;left:10550;top:563;height:1759;width:0;" filled="f" stroked="t" coordsize="21600,21600" o:gfxdata="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7WwKvQAA&#10;ANw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shape id="文本框 12" o:spid="_x0000_s1026" o:spt="202" type="#_x0000_t202" style="position:absolute;left:5698;top:805;height:212;width:969;" filled="f" stroked="f" coordsize="21600,21600" o:gfxdata="UEsDBAoAAAAAAIdO4kAAAAAAAAAAAAAAAAAEAAAAZHJzL1BLAwQUAAAACACHTuJAA54xHb4AAADc&#10;AAAADwAAAGRycy9kb3ducmV2LnhtbEWPT2sCMRTE7wW/Q3hCbzVRit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4x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16A39B">
                        <w:pPr>
                          <w:spacing w:before="0" w:line="211" w:lineRule="exact"/>
                          <w:ind w:left="0" w:right="0" w:firstLine="0"/>
                          <w:jc w:val="left"/>
                          <w:rPr>
                            <w:rFonts w:hint="eastAsia" w:ascii="微软雅黑" w:eastAsia="微软雅黑"/>
                            <w:b/>
                            <w:sz w:val="21"/>
                          </w:rPr>
                        </w:pPr>
                        <w:r>
                          <w:rPr>
                            <w:rFonts w:hint="eastAsia" w:ascii="微软雅黑" w:eastAsia="微软雅黑"/>
                            <w:b/>
                            <w:sz w:val="21"/>
                          </w:rPr>
                          <w:t>其他要求</w:t>
                        </w:r>
                        <w:r>
                          <w:rPr>
                            <w:rFonts w:hint="eastAsia" w:ascii="微软雅黑" w:eastAsia="微软雅黑"/>
                            <w:b/>
                            <w:w w:val="168"/>
                            <w:sz w:val="21"/>
                          </w:rPr>
                          <w:t xml:space="preserve"> </w:t>
                        </w:r>
                      </w:p>
                    </w:txbxContent>
                  </v:textbox>
                </v:shape>
                <w10:wrap type="topAndBottom"/>
              </v:group>
            </w:pict>
          </mc:Fallback>
        </mc:AlternateContent>
      </w:r>
    </w:p>
    <w:p w14:paraId="6BB8368B">
      <w:pPr>
        <w:pStyle w:val="16"/>
        <w:spacing w:line="236" w:lineRule="exact"/>
        <w:ind w:left="320"/>
        <w:rPr>
          <w:rFonts w:hint="default" w:ascii="Times New Roman" w:hAnsi="Times New Roman" w:cs="Times New Roman"/>
          <w:color w:val="auto"/>
          <w:highlight w:val="none"/>
        </w:rPr>
      </w:pPr>
      <w:r>
        <w:rPr>
          <w:rFonts w:hint="default" w:ascii="Times New Roman" w:hAnsi="Times New Roman" w:cs="Times New Roman"/>
          <w:color w:val="auto"/>
          <w:w w:val="100"/>
          <w:highlight w:val="none"/>
        </w:rPr>
        <w:t xml:space="preserve"> </w:t>
      </w:r>
    </w:p>
    <w:p w14:paraId="0A4BB4BA">
      <w:pPr>
        <w:pStyle w:val="16"/>
        <w:spacing w:before="5"/>
        <w:ind w:left="320"/>
        <w:rPr>
          <w:rFonts w:hint="default" w:ascii="Times New Roman" w:hAnsi="Times New Roman" w:cs="Times New Roman"/>
          <w:color w:val="auto"/>
          <w:highlight w:val="none"/>
        </w:rPr>
      </w:pPr>
      <w:r>
        <w:rPr>
          <w:rFonts w:hint="default" w:ascii="Times New Roman" w:hAnsi="Times New Roman" w:cs="Times New Roman"/>
          <w:color w:val="auto"/>
          <w:w w:val="100"/>
          <w:highlight w:val="none"/>
        </w:rPr>
        <w:t xml:space="preserve"> </w:t>
      </w:r>
    </w:p>
    <w:p w14:paraId="58F24377">
      <w:pPr>
        <w:pStyle w:val="16"/>
        <w:rPr>
          <w:rFonts w:hint="default" w:ascii="Times New Roman" w:hAnsi="Times New Roman" w:cs="Times New Roman"/>
          <w:color w:val="auto"/>
          <w:sz w:val="20"/>
          <w:highlight w:val="none"/>
        </w:rPr>
      </w:pPr>
    </w:p>
    <w:p w14:paraId="6A663897">
      <w:pPr>
        <w:pStyle w:val="16"/>
        <w:rPr>
          <w:rFonts w:hint="default" w:ascii="Times New Roman" w:hAnsi="Times New Roman" w:cs="Times New Roman"/>
          <w:color w:val="auto"/>
          <w:sz w:val="20"/>
          <w:highlight w:val="none"/>
        </w:rPr>
      </w:pPr>
    </w:p>
    <w:p w14:paraId="14668CCA">
      <w:pPr>
        <w:pStyle w:val="16"/>
        <w:rPr>
          <w:rFonts w:hint="default" w:ascii="Times New Roman" w:hAnsi="Times New Roman" w:cs="Times New Roman"/>
          <w:color w:val="auto"/>
          <w:sz w:val="20"/>
          <w:highlight w:val="none"/>
        </w:rPr>
      </w:pPr>
    </w:p>
    <w:p w14:paraId="15EED329">
      <w:pPr>
        <w:pStyle w:val="16"/>
        <w:spacing w:before="10"/>
        <w:rPr>
          <w:rFonts w:hint="default" w:ascii="Times New Roman" w:hAnsi="Times New Roman" w:cs="Times New Roman"/>
          <w:color w:val="auto"/>
          <w:sz w:val="15"/>
          <w:highlight w:val="none"/>
        </w:rPr>
      </w:pPr>
    </w:p>
    <w:p w14:paraId="4EFB0043">
      <w:pPr>
        <w:pStyle w:val="4"/>
        <w:spacing w:before="0"/>
        <w:ind w:left="1160"/>
        <w:rPr>
          <w:rFonts w:hint="default" w:ascii="Times New Roman" w:hAnsi="Times New Roman" w:cs="Times New Roman"/>
          <w:color w:val="auto"/>
          <w:highlight w:val="none"/>
        </w:rPr>
      </w:pPr>
      <w:bookmarkStart w:id="39" w:name="附录6  资格审查条件（其他主要人员最低要求）"/>
      <w:bookmarkEnd w:id="39"/>
      <w:bookmarkStart w:id="40" w:name="_bookmark8"/>
      <w:bookmarkEnd w:id="40"/>
    </w:p>
    <w:p w14:paraId="7DFB4385">
      <w:pPr>
        <w:spacing w:line="360" w:lineRule="auto"/>
        <w:jc w:val="both"/>
        <w:outlineLvl w:val="2"/>
        <w:rPr>
          <w:rFonts w:hint="default" w:ascii="Times New Roman" w:hAnsi="Times New Roman" w:eastAsia="宋体" w:cs="Times New Roman"/>
          <w:b/>
          <w:color w:val="auto"/>
          <w:sz w:val="24"/>
          <w:highlight w:val="none"/>
        </w:rPr>
      </w:pPr>
    </w:p>
    <w:p w14:paraId="4621869D">
      <w:pPr>
        <w:spacing w:line="360" w:lineRule="auto"/>
        <w:jc w:val="both"/>
        <w:outlineLvl w:val="2"/>
        <w:rPr>
          <w:rFonts w:hint="default" w:ascii="Times New Roman" w:hAnsi="Times New Roman" w:eastAsia="宋体" w:cs="Times New Roman"/>
          <w:b/>
          <w:color w:val="auto"/>
          <w:sz w:val="24"/>
          <w:highlight w:val="none"/>
        </w:rPr>
      </w:pPr>
    </w:p>
    <w:p w14:paraId="3813EE3F">
      <w:pPr>
        <w:spacing w:line="360" w:lineRule="auto"/>
        <w:jc w:val="both"/>
        <w:outlineLvl w:val="2"/>
        <w:rPr>
          <w:rFonts w:hint="default" w:ascii="Times New Roman" w:hAnsi="Times New Roman" w:eastAsia="宋体" w:cs="Times New Roman"/>
          <w:b/>
          <w:color w:val="auto"/>
          <w:sz w:val="24"/>
          <w:highlight w:val="none"/>
        </w:rPr>
      </w:pPr>
    </w:p>
    <w:p w14:paraId="77733DF5">
      <w:pPr>
        <w:spacing w:line="360" w:lineRule="auto"/>
        <w:jc w:val="both"/>
        <w:outlineLvl w:val="2"/>
        <w:rPr>
          <w:rFonts w:hint="default" w:ascii="Times New Roman" w:hAnsi="Times New Roman" w:eastAsia="宋体" w:cs="Times New Roman"/>
          <w:b/>
          <w:color w:val="auto"/>
          <w:sz w:val="24"/>
          <w:highlight w:val="none"/>
        </w:rPr>
      </w:pPr>
    </w:p>
    <w:p w14:paraId="0FA71D91">
      <w:pPr>
        <w:spacing w:line="360" w:lineRule="auto"/>
        <w:jc w:val="both"/>
        <w:outlineLvl w:val="2"/>
        <w:rPr>
          <w:rFonts w:hint="default" w:ascii="Times New Roman" w:hAnsi="Times New Roman" w:eastAsia="宋体" w:cs="Times New Roman"/>
          <w:b/>
          <w:color w:val="auto"/>
          <w:sz w:val="24"/>
          <w:highlight w:val="none"/>
        </w:rPr>
      </w:pPr>
    </w:p>
    <w:p w14:paraId="282F5608">
      <w:pPr>
        <w:spacing w:line="360" w:lineRule="auto"/>
        <w:jc w:val="both"/>
        <w:outlineLvl w:val="2"/>
        <w:rPr>
          <w:rFonts w:hint="default" w:ascii="Times New Roman" w:hAnsi="Times New Roman" w:eastAsia="宋体" w:cs="Times New Roman"/>
          <w:b/>
          <w:color w:val="auto"/>
          <w:sz w:val="24"/>
          <w:highlight w:val="none"/>
        </w:rPr>
      </w:pPr>
    </w:p>
    <w:p w14:paraId="680F741A">
      <w:pPr>
        <w:spacing w:line="360" w:lineRule="auto"/>
        <w:jc w:val="both"/>
        <w:outlineLvl w:val="2"/>
        <w:rPr>
          <w:rFonts w:hint="default" w:ascii="Times New Roman" w:hAnsi="Times New Roman" w:eastAsia="宋体" w:cs="Times New Roman"/>
          <w:b/>
          <w:color w:val="auto"/>
          <w:sz w:val="24"/>
          <w:highlight w:val="none"/>
        </w:rPr>
      </w:pPr>
    </w:p>
    <w:p w14:paraId="332856A8">
      <w:pPr>
        <w:spacing w:line="360" w:lineRule="auto"/>
        <w:jc w:val="both"/>
        <w:outlineLvl w:val="2"/>
        <w:rPr>
          <w:rFonts w:hint="default" w:ascii="Times New Roman" w:hAnsi="Times New Roman" w:eastAsia="宋体" w:cs="Times New Roman"/>
          <w:b/>
          <w:color w:val="auto"/>
          <w:sz w:val="24"/>
          <w:highlight w:val="none"/>
        </w:rPr>
      </w:pPr>
    </w:p>
    <w:p w14:paraId="2AB90117">
      <w:pPr>
        <w:spacing w:line="360" w:lineRule="auto"/>
        <w:jc w:val="both"/>
        <w:outlineLvl w:val="2"/>
        <w:rPr>
          <w:rFonts w:hint="default" w:ascii="Times New Roman" w:hAnsi="Times New Roman" w:eastAsia="宋体" w:cs="Times New Roman"/>
          <w:b/>
          <w:color w:val="auto"/>
          <w:sz w:val="24"/>
          <w:highlight w:val="none"/>
        </w:rPr>
      </w:pPr>
    </w:p>
    <w:p w14:paraId="36AC995F">
      <w:pPr>
        <w:rPr>
          <w:rFonts w:hint="default" w:ascii="Times New Roman" w:hAnsi="Times New Roman" w:cs="Times New Roman"/>
          <w:b/>
          <w:color w:val="auto"/>
          <w:highlight w:val="none"/>
        </w:rPr>
      </w:pPr>
      <w:r>
        <w:rPr>
          <w:rFonts w:hint="default" w:ascii="Times New Roman" w:hAnsi="Times New Roman" w:eastAsia="宋体" w:cs="Times New Roman"/>
          <w:b/>
          <w:color w:val="auto"/>
          <w:sz w:val="24"/>
          <w:highlight w:val="none"/>
        </w:rPr>
        <w:br w:type="page"/>
      </w: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71C278E8">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1.适用范围</w:t>
      </w:r>
    </w:p>
    <w:p w14:paraId="61399D21">
      <w:pPr>
        <w:tabs>
          <w:tab w:val="left" w:pos="2410"/>
        </w:tabs>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sz w:val="24"/>
          <w:highlight w:val="none"/>
          <w:u w:val="single"/>
          <w:lang w:val="en-US"/>
        </w:rPr>
      </w:pPr>
      <w:r>
        <w:rPr>
          <w:rFonts w:hint="default" w:ascii="Times New Roman" w:hAnsi="Times New Roman" w:eastAsia="宋体" w:cs="Times New Roman"/>
          <w:color w:val="auto"/>
          <w:sz w:val="24"/>
          <w:highlight w:val="none"/>
        </w:rPr>
        <w:t>1.1本招标文件仅适用于本次公开招标所述的</w:t>
      </w:r>
      <w:r>
        <w:rPr>
          <w:rFonts w:hint="eastAsia" w:ascii="Times New Roman" w:hAnsi="Times New Roman" w:cs="Times New Roman"/>
          <w:color w:val="auto"/>
          <w:sz w:val="24"/>
          <w:highlight w:val="none"/>
          <w:u w:val="single"/>
          <w:lang w:val="en-US" w:eastAsia="zh-CN"/>
        </w:rPr>
        <w:t>华兴路小学地块室外体育场地及部分配套工程监理</w:t>
      </w:r>
      <w:r>
        <w:rPr>
          <w:rFonts w:hint="default" w:ascii="Times New Roman" w:hAnsi="Times New Roman" w:eastAsia="宋体" w:cs="Times New Roman"/>
          <w:color w:val="auto"/>
          <w:sz w:val="24"/>
          <w:highlight w:val="none"/>
          <w:u w:val="none"/>
          <w:lang w:val="en-US" w:eastAsia="zh-CN"/>
        </w:rPr>
        <w:t>。</w:t>
      </w:r>
    </w:p>
    <w:p w14:paraId="50C3DD05">
      <w:pPr>
        <w:spacing w:line="360" w:lineRule="auto"/>
        <w:ind w:firstLine="437"/>
        <w:outlineLvl w:val="3"/>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2.定义</w:t>
      </w:r>
    </w:p>
    <w:p w14:paraId="33333F1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时限（年份、月份等）计算：系指从开标之日向前追溯X年/月（“X”为“一”及以后整数）起算。</w:t>
      </w:r>
    </w:p>
    <w:p w14:paraId="797AC65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业绩：业绩</w:t>
      </w:r>
      <w:r>
        <w:rPr>
          <w:rFonts w:hint="default" w:ascii="Times New Roman" w:hAnsi="Times New Roman" w:eastAsia="宋体" w:cs="Times New Roman"/>
          <w:color w:val="auto"/>
          <w:sz w:val="24"/>
          <w:highlight w:val="none"/>
          <w:lang w:val="en-US" w:eastAsia="zh-CN"/>
        </w:rPr>
        <w:t>要求见</w:t>
      </w:r>
      <w:r>
        <w:rPr>
          <w:rFonts w:hint="default" w:ascii="Times New Roman" w:hAnsi="Times New Roman" w:eastAsia="宋体" w:cs="Times New Roman"/>
          <w:color w:val="auto"/>
          <w:sz w:val="24"/>
          <w:highlight w:val="none"/>
        </w:rPr>
        <w:t>投标邀请（招标公告）。</w:t>
      </w:r>
    </w:p>
    <w:p w14:paraId="721858AD">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eastAsia="zh-CN"/>
        </w:rPr>
        <w:t>招标人</w:t>
      </w:r>
      <w:r>
        <w:rPr>
          <w:rFonts w:hint="default" w:ascii="Times New Roman" w:hAnsi="Times New Roman" w:eastAsia="宋体" w:cs="Times New Roman"/>
          <w:b/>
          <w:color w:val="auto"/>
          <w:sz w:val="24"/>
          <w:highlight w:val="none"/>
        </w:rPr>
        <w:t>及投标人</w:t>
      </w:r>
    </w:p>
    <w:p w14:paraId="566636B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：本项目的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2C5272AB">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投标人：见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3F87AB93">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在中华人民共和国境内注册，能够独立承担民事责任，有生产或供应能力的本国投标人。</w:t>
      </w:r>
    </w:p>
    <w:p w14:paraId="5BB089D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单位负责人为同一人或者存在直接控股、管理关系的不同投标人，不得参加同一合同项下的采购活动。否则其投标将被认定为</w:t>
      </w:r>
      <w:r>
        <w:rPr>
          <w:rFonts w:hint="default" w:ascii="Times New Roman" w:hAnsi="Times New Roman" w:eastAsia="宋体" w:cs="Times New Roman"/>
          <w:b/>
          <w:bCs/>
          <w:color w:val="auto"/>
          <w:sz w:val="24"/>
          <w:highlight w:val="none"/>
        </w:rPr>
        <w:t>投标无效</w:t>
      </w:r>
      <w:r>
        <w:rPr>
          <w:rFonts w:hint="default" w:ascii="Times New Roman" w:hAnsi="Times New Roman" w:eastAsia="宋体" w:cs="Times New Roman"/>
          <w:color w:val="auto"/>
          <w:sz w:val="24"/>
          <w:highlight w:val="none"/>
        </w:rPr>
        <w:t>。</w:t>
      </w:r>
    </w:p>
    <w:p w14:paraId="37584C4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为本项目提供过整体设计、规范编制或者项目管理、监理、检测等服务的投标人，不得再参加本项目上述服务以外的其他采购活动。</w:t>
      </w:r>
      <w:bookmarkStart w:id="41" w:name="_Hlk13431092"/>
      <w:r>
        <w:rPr>
          <w:rFonts w:hint="default" w:ascii="Times New Roman" w:hAnsi="Times New Roman" w:eastAsia="宋体" w:cs="Times New Roman"/>
          <w:color w:val="auto"/>
          <w:sz w:val="24"/>
          <w:highlight w:val="none"/>
        </w:rPr>
        <w:t>否则其投标将被认定为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bookmarkEnd w:id="41"/>
    </w:p>
    <w:p w14:paraId="3BDCC560">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4.资金来源</w:t>
      </w:r>
    </w:p>
    <w:p w14:paraId="30B6689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4.1本项目的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已获得足以支付本次招标后所签订的合同项下的资金。</w:t>
      </w:r>
    </w:p>
    <w:p w14:paraId="39E608F1">
      <w:pPr>
        <w:spacing w:line="360" w:lineRule="auto"/>
        <w:ind w:firstLine="435"/>
        <w:rPr>
          <w:rFonts w:hint="default" w:ascii="Times New Roman" w:hAnsi="Times New Roman" w:eastAsia="宋体" w:cs="Times New Roman"/>
          <w:color w:val="auto"/>
          <w:sz w:val="24"/>
          <w:highlight w:val="none"/>
        </w:rPr>
      </w:pPr>
      <w:bookmarkStart w:id="42" w:name="_Hlk11702998"/>
      <w:r>
        <w:rPr>
          <w:rFonts w:hint="default" w:ascii="Times New Roman" w:hAnsi="Times New Roman" w:eastAsia="宋体" w:cs="Times New Roman"/>
          <w:color w:val="auto"/>
          <w:sz w:val="24"/>
          <w:highlight w:val="none"/>
        </w:rPr>
        <w:t>4.2项目预算金额和分项（或分包）最高限价见</w:t>
      </w:r>
      <w:r>
        <w:rPr>
          <w:rFonts w:hint="default" w:ascii="Times New Roman" w:hAnsi="Times New Roman" w:eastAsia="宋体" w:cs="Times New Roman"/>
          <w:color w:val="auto"/>
          <w:sz w:val="24"/>
          <w:highlight w:val="none"/>
          <w:u w:val="single"/>
        </w:rPr>
        <w:t>投标邀请</w:t>
      </w:r>
      <w:r>
        <w:rPr>
          <w:rFonts w:hint="default" w:ascii="Times New Roman" w:hAnsi="Times New Roman" w:eastAsia="宋体" w:cs="Times New Roman"/>
          <w:color w:val="auto"/>
          <w:sz w:val="24"/>
          <w:highlight w:val="none"/>
        </w:rPr>
        <w:t>。</w:t>
      </w:r>
    </w:p>
    <w:p w14:paraId="535997A5">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4.3资金来源：详见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bookmarkEnd w:id="42"/>
    <w:p w14:paraId="3B01C5E2">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5.投标费用</w:t>
      </w:r>
    </w:p>
    <w:p w14:paraId="444CD90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不论投标的结果如何，投标人应承担所有与准备和参加投标有关的费用。</w:t>
      </w:r>
    </w:p>
    <w:p w14:paraId="2F52427D">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6.适用法律</w:t>
      </w:r>
    </w:p>
    <w:p w14:paraId="3F197E2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本项目不属于政府采购项目，本项目</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、投标人、评标委员会的相关行为和权利受</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有关规定及本项目招标文件的约束和保护。</w:t>
      </w:r>
    </w:p>
    <w:p w14:paraId="34590E0A">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7.招标文件构成</w:t>
      </w:r>
    </w:p>
    <w:p w14:paraId="6A76806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7.1招标文件包括下列内容：</w:t>
      </w:r>
    </w:p>
    <w:p w14:paraId="695286A5">
      <w:pPr>
        <w:spacing w:line="360" w:lineRule="auto"/>
        <w:ind w:firstLine="840" w:firstLineChars="3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第一章  投标邀请（招标公告）</w:t>
      </w:r>
    </w:p>
    <w:p w14:paraId="756470EE">
      <w:pPr>
        <w:spacing w:line="360" w:lineRule="auto"/>
        <w:ind w:firstLine="840" w:firstLineChars="3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第二章  投标人须知</w:t>
      </w:r>
    </w:p>
    <w:p w14:paraId="688156DE">
      <w:pPr>
        <w:spacing w:line="360" w:lineRule="auto"/>
        <w:ind w:firstLine="840" w:firstLineChars="350"/>
        <w:rPr>
          <w:rFonts w:hint="eastAsia"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highlight w:val="none"/>
        </w:rPr>
        <w:t xml:space="preserve">第三章  </w:t>
      </w:r>
      <w:r>
        <w:rPr>
          <w:rFonts w:hint="eastAsia" w:ascii="Times New Roman" w:hAnsi="Times New Roman" w:cs="Times New Roman"/>
          <w:color w:val="auto"/>
          <w:sz w:val="24"/>
          <w:highlight w:val="none"/>
          <w:lang w:val="en-US" w:eastAsia="zh-CN"/>
        </w:rPr>
        <w:t>招标需求</w:t>
      </w:r>
    </w:p>
    <w:p w14:paraId="05433A0D">
      <w:pPr>
        <w:spacing w:line="360" w:lineRule="auto"/>
        <w:ind w:firstLine="840" w:firstLineChars="35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 xml:space="preserve">第四章  </w:t>
      </w:r>
      <w:r>
        <w:rPr>
          <w:rFonts w:hint="eastAsia" w:ascii="Times New Roman" w:hAnsi="Times New Roman" w:cs="Times New Roman"/>
          <w:color w:val="auto"/>
          <w:sz w:val="24"/>
          <w:highlight w:val="none"/>
          <w:lang w:val="en-US" w:eastAsia="zh-CN"/>
        </w:rPr>
        <w:t>评标办法</w:t>
      </w:r>
    </w:p>
    <w:p w14:paraId="4B3F8510">
      <w:pPr>
        <w:spacing w:line="360" w:lineRule="auto"/>
        <w:ind w:firstLine="840" w:firstLineChars="350"/>
        <w:rPr>
          <w:rFonts w:hint="eastAsia" w:ascii="Times New Roman" w:hAnsi="Times New Roman"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第五章  </w:t>
      </w:r>
      <w:r>
        <w:rPr>
          <w:rFonts w:hint="eastAsia" w:ascii="Times New Roman" w:hAnsi="Times New Roman" w:cs="Times New Roman"/>
          <w:color w:val="auto"/>
          <w:sz w:val="24"/>
          <w:highlight w:val="none"/>
          <w:lang w:val="en-US" w:eastAsia="zh-CN"/>
        </w:rPr>
        <w:t>合同条款及格式</w:t>
      </w:r>
    </w:p>
    <w:p w14:paraId="25A4C137">
      <w:pPr>
        <w:spacing w:line="360" w:lineRule="auto"/>
        <w:ind w:firstLine="840" w:firstLineChars="3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w:t>
      </w:r>
      <w:r>
        <w:rPr>
          <w:rFonts w:hint="eastAsia" w:ascii="Times New Roman" w:hAnsi="Times New Roman" w:eastAsia="宋体" w:cs="Times New Roman"/>
          <w:color w:val="auto"/>
          <w:sz w:val="24"/>
          <w:highlight w:val="none"/>
          <w:lang w:val="en-US" w:eastAsia="zh-CN"/>
        </w:rPr>
        <w:t>六</w:t>
      </w:r>
      <w:r>
        <w:rPr>
          <w:rFonts w:hint="default" w:ascii="Times New Roman" w:hAnsi="Times New Roman" w:eastAsia="宋体" w:cs="Times New Roman"/>
          <w:color w:val="auto"/>
          <w:sz w:val="24"/>
          <w:highlight w:val="none"/>
        </w:rPr>
        <w:t>章  投标文件格式</w:t>
      </w:r>
    </w:p>
    <w:p w14:paraId="4A3B4E23">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7.2招标文件中有不一致的，有澄清的部分以最终的澄清更正内容为准。</w:t>
      </w:r>
    </w:p>
    <w:p w14:paraId="37327634">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7.3现场考察及相关事项见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3AE34CC1">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8.招标文件的澄清与修改</w:t>
      </w:r>
    </w:p>
    <w:p w14:paraId="0F6CED4B">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8.1投标人如对招标文件内容有疑问，应以书面形式（如传真、邮件等）通知</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对需要做出澄清的问题，以澄清和修改通知的方式予以答复。</w:t>
      </w:r>
    </w:p>
    <w:p w14:paraId="1C658103">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8.2</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可主动或在解答投标人提出的问题时对招标文件进行澄清或者修改。</w:t>
      </w:r>
    </w:p>
    <w:p w14:paraId="1D5CFCE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8.3任何人或任何组织向投标人提供的任何书面或口头资料，未经</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在网上发布或书面通知，均作无效处理，不得作为招标文件的组成部分。</w:t>
      </w:r>
    </w:p>
    <w:p w14:paraId="2DC596C9">
      <w:pPr>
        <w:spacing w:line="360" w:lineRule="auto"/>
        <w:ind w:firstLine="435"/>
        <w:rPr>
          <w:rFonts w:hint="default" w:ascii="Times New Roman" w:hAnsi="Times New Roman" w:eastAsia="宋体" w:cs="Times New Roman"/>
          <w:i/>
          <w:iCs/>
          <w:color w:val="auto"/>
          <w:sz w:val="24"/>
          <w:highlight w:val="none"/>
        </w:rPr>
      </w:pPr>
      <w:r>
        <w:rPr>
          <w:rFonts w:hint="default" w:ascii="Times New Roman" w:hAnsi="Times New Roman" w:eastAsia="宋体"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eastAsia="宋体" w:cs="Times New Roman"/>
          <w:i/>
          <w:color w:val="auto"/>
          <w:sz w:val="24"/>
          <w:highlight w:val="none"/>
        </w:rPr>
        <w:t>。</w:t>
      </w:r>
    </w:p>
    <w:p w14:paraId="2986A377">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9.投标范围及投标文件中标准</w:t>
      </w:r>
    </w:p>
    <w:p w14:paraId="1C3ED51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9.1项目</w:t>
      </w:r>
      <w:r>
        <w:rPr>
          <w:rFonts w:hint="default" w:ascii="Times New Roman" w:hAnsi="Times New Roman" w:eastAsia="宋体" w:cs="Times New Roman"/>
          <w:color w:val="auto"/>
          <w:sz w:val="24"/>
          <w:highlight w:val="none"/>
          <w:lang w:val="en-US" w:eastAsia="zh-CN"/>
        </w:rPr>
        <w:t>不允许分包</w:t>
      </w:r>
      <w:r>
        <w:rPr>
          <w:rFonts w:hint="default" w:ascii="Times New Roman" w:hAnsi="Times New Roman" w:eastAsia="宋体" w:cs="Times New Roman"/>
          <w:color w:val="auto"/>
          <w:sz w:val="24"/>
          <w:highlight w:val="none"/>
        </w:rPr>
        <w:t>。</w:t>
      </w:r>
    </w:p>
    <w:p w14:paraId="2D87766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9.2投标人应当对所投分包招标文件中所列的所有内容进行投标，如仅响应所投包别中的部分内容，其所投包别的投标将被认定为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2D20A2F4">
      <w:pPr>
        <w:spacing w:line="360" w:lineRule="auto"/>
        <w:ind w:firstLine="435"/>
        <w:rPr>
          <w:rFonts w:hint="default" w:ascii="Times New Roman" w:hAnsi="Times New Roman" w:eastAsia="宋体" w:cs="Times New Roman"/>
          <w:color w:val="auto"/>
          <w:sz w:val="24"/>
          <w:highlight w:val="none"/>
        </w:rPr>
      </w:pPr>
      <w:bookmarkStart w:id="43" w:name="_Hlk16458980"/>
      <w:r>
        <w:rPr>
          <w:rFonts w:hint="default" w:ascii="Times New Roman" w:hAnsi="Times New Roman" w:eastAsia="宋体" w:cs="Times New Roman"/>
          <w:color w:val="auto"/>
          <w:sz w:val="24"/>
          <w:highlight w:val="none"/>
        </w:rPr>
        <w:t>9.3无论招标文件中是否要求，投标人所投货物及伴随的服务和工程均应符合国家强制性标准。</w:t>
      </w:r>
    </w:p>
    <w:bookmarkEnd w:id="43"/>
    <w:p w14:paraId="3A1370FD">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9.4投标人与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之间与投标有关的所有往来通知、函件和投标文件均用中文表述。投标人随投标文件提供的证明文件和资料可以</w:t>
      </w:r>
      <w:r>
        <w:rPr>
          <w:rFonts w:hint="default" w:ascii="Times New Roman" w:hAnsi="Times New Roman" w:eastAsia="宋体" w:cs="Times New Roman"/>
          <w:color w:val="auto"/>
          <w:sz w:val="24"/>
          <w:highlight w:val="none"/>
          <w:lang w:eastAsia="zh-CN"/>
        </w:rPr>
        <w:t>为其他</w:t>
      </w:r>
      <w:r>
        <w:rPr>
          <w:rFonts w:hint="default" w:ascii="Times New Roman" w:hAnsi="Times New Roman" w:eastAsia="宋体" w:cs="Times New Roman"/>
          <w:color w:val="auto"/>
          <w:sz w:val="24"/>
          <w:highlight w:val="none"/>
        </w:rPr>
        <w:t>语言，但必须附中文译文。翻译的中文资料与外文资料出现差异时，以中文为准。</w:t>
      </w:r>
    </w:p>
    <w:p w14:paraId="59BEA20D">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9.5除招标文件中有特殊要求外，投标文件中所使用的计量单位，应采用中华人民共和国法定计量单位。</w:t>
      </w:r>
    </w:p>
    <w:p w14:paraId="36FF9715">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10.投标文件构成</w:t>
      </w:r>
    </w:p>
    <w:p w14:paraId="2528B5A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10.1投标人应完整地按招标文件提供的投标文件格式及要求编写投标文件，具体内容详见本项目第</w:t>
      </w:r>
      <w:r>
        <w:rPr>
          <w:rFonts w:hint="default" w:ascii="Times New Roman" w:hAnsi="Times New Roman" w:eastAsia="宋体" w:cs="Times New Roman"/>
          <w:color w:val="auto"/>
          <w:sz w:val="24"/>
          <w:highlight w:val="none"/>
          <w:lang w:val="en-US" w:eastAsia="zh-CN"/>
        </w:rPr>
        <w:t>五</w:t>
      </w:r>
      <w:r>
        <w:rPr>
          <w:rFonts w:hint="default" w:ascii="Times New Roman" w:hAnsi="Times New Roman" w:eastAsia="宋体" w:cs="Times New Roman"/>
          <w:color w:val="auto"/>
          <w:sz w:val="24"/>
          <w:highlight w:val="none"/>
        </w:rPr>
        <w:t>章投标文件格式的相关内容。</w:t>
      </w:r>
    </w:p>
    <w:p w14:paraId="75F3353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10.2上述文件应按照招标文件规定的格式填写、签署和盖章。</w:t>
      </w:r>
    </w:p>
    <w:p w14:paraId="5CD3FCE7">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.投标报价</w:t>
      </w:r>
    </w:p>
    <w:p w14:paraId="6D39C6BE">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.1投标人的报价应当包括满足本次招标全部采购需求所应提供的货物，以及伴随的服务和工程。所有投标均应以人民币报价。投标人的投标报价应遵守《中华人民共和国价格法》。</w:t>
      </w:r>
    </w:p>
    <w:p w14:paraId="2A464565">
      <w:pPr>
        <w:numPr>
          <w:ilvl w:val="0"/>
          <w:numId w:val="0"/>
        </w:numPr>
        <w:spacing w:line="360" w:lineRule="auto"/>
        <w:ind w:firstLine="482" w:firstLineChars="200"/>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12.</w:t>
      </w:r>
      <w:r>
        <w:rPr>
          <w:rFonts w:hint="default" w:ascii="Times New Roman" w:hAnsi="Times New Roman" w:eastAsia="宋体" w:cs="Times New Roman"/>
          <w:b/>
          <w:color w:val="auto"/>
          <w:sz w:val="24"/>
          <w:highlight w:val="none"/>
        </w:rPr>
        <w:t>投标保证金</w:t>
      </w:r>
    </w:p>
    <w:p w14:paraId="765BACE4">
      <w:pPr>
        <w:spacing w:line="360" w:lineRule="auto"/>
        <w:ind w:firstLine="437"/>
        <w:outlineLvl w:val="3"/>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规定缴纳投标保证金</w:t>
      </w:r>
      <w:r>
        <w:rPr>
          <w:rFonts w:hint="default" w:ascii="Times New Roman" w:hAnsi="Times New Roman" w:eastAsia="宋体" w:cs="Times New Roman"/>
          <w:color w:val="auto"/>
          <w:sz w:val="24"/>
          <w:highlight w:val="none"/>
          <w:lang w:eastAsia="zh-CN"/>
        </w:rPr>
        <w:t>。</w:t>
      </w:r>
    </w:p>
    <w:p w14:paraId="4AA5D5FC">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.投标有效期</w:t>
      </w:r>
    </w:p>
    <w:p w14:paraId="36250F4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.1投标有效期为从投标截止之日算起的日历天数，投标有效期详见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58ED2DB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.2在投标有效期内，投标人的投标保持有效，投标人不得要求撤销或修改其投标文件。投标有效期不满足要求的投标，其投标将被认定为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00B121F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rPr>
        <w:t>.3因特殊原因，</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09C4C80">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.投标文件的制作</w:t>
      </w:r>
    </w:p>
    <w:p w14:paraId="1FF5173A">
      <w:pPr>
        <w:spacing w:line="360" w:lineRule="auto"/>
        <w:ind w:firstLine="43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.1投标文件份数</w:t>
      </w:r>
    </w:p>
    <w:p w14:paraId="58C44934">
      <w:pPr>
        <w:spacing w:line="360" w:lineRule="auto"/>
        <w:ind w:firstLine="43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.1.1投标人应按照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的要求编制投标文件，并在封面上注明“正本”和“副本”字样。投标文件的正本与副本如有不一致之处，以正本为准。</w:t>
      </w:r>
    </w:p>
    <w:p w14:paraId="073067A2">
      <w:pPr>
        <w:spacing w:line="360" w:lineRule="auto"/>
        <w:ind w:firstLine="43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.1.2投标文件应按招标文件要求加盖投标人公章，热敏纸无效。</w:t>
      </w:r>
    </w:p>
    <w:p w14:paraId="39D5EDAD">
      <w:pPr>
        <w:spacing w:line="360" w:lineRule="auto"/>
        <w:ind w:firstLine="43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.1.3</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保留要求中标人提供其投标文件电子版的权利。</w:t>
      </w:r>
    </w:p>
    <w:p w14:paraId="706E84B6">
      <w:pPr>
        <w:spacing w:line="360" w:lineRule="auto"/>
        <w:ind w:firstLine="43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.2投标文件的封装和标记</w:t>
      </w:r>
    </w:p>
    <w:p w14:paraId="7CB12985">
      <w:pPr>
        <w:spacing w:line="360" w:lineRule="auto"/>
        <w:ind w:firstLine="43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.2.1投标文件应装订成册并封装，建议在密封袋上标注项目名称、项目编号、投标人名称及包别。</w:t>
      </w:r>
    </w:p>
    <w:p w14:paraId="02214E12">
      <w:pPr>
        <w:spacing w:line="360" w:lineRule="auto"/>
        <w:ind w:firstLine="43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.2.2建议投标人将正本单独封装，全部副本一起封装。</w:t>
      </w:r>
    </w:p>
    <w:p w14:paraId="4CE4DF0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.2.3如果未按规定封装或加写标记，</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将不承担投标文件错放或提前开封的责任，并可能导致投标无效。</w:t>
      </w:r>
    </w:p>
    <w:p w14:paraId="1D1F804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.3开标现场提交的其他材料要求详见</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w:t>
      </w:r>
    </w:p>
    <w:p w14:paraId="39980FBB">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.投标截止及投标文件的递交</w:t>
      </w:r>
    </w:p>
    <w:p w14:paraId="71CD5C12">
      <w:pPr>
        <w:spacing w:line="360" w:lineRule="auto"/>
        <w:ind w:firstLine="437"/>
        <w:outlineLvl w:val="3"/>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.1投标人应当在</w:t>
      </w:r>
      <w:r>
        <w:rPr>
          <w:rFonts w:hint="default" w:ascii="Times New Roman" w:hAnsi="Times New Roman" w:eastAsia="宋体" w:cs="Times New Roman"/>
          <w:color w:val="auto"/>
          <w:sz w:val="24"/>
          <w:highlight w:val="none"/>
        </w:rPr>
        <w:t>“投标邀请”</w:t>
      </w:r>
      <w:r>
        <w:rPr>
          <w:rFonts w:hint="default" w:ascii="Times New Roman" w:hAnsi="Times New Roman" w:eastAsia="宋体" w:cs="Times New Roman"/>
          <w:bCs/>
          <w:color w:val="auto"/>
          <w:sz w:val="24"/>
          <w:highlight w:val="none"/>
        </w:rPr>
        <w:t>规定的投标截止时间前，将投标文件密封送达</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bCs/>
          <w:color w:val="auto"/>
          <w:sz w:val="24"/>
          <w:highlight w:val="none"/>
        </w:rPr>
        <w:t>指定的开标地点。</w:t>
      </w:r>
    </w:p>
    <w:p w14:paraId="5DA15457">
      <w:pPr>
        <w:spacing w:line="360" w:lineRule="auto"/>
        <w:ind w:firstLine="437"/>
        <w:outlineLvl w:val="3"/>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w:t>
      </w:r>
      <w:r>
        <w:rPr>
          <w:rFonts w:hint="default" w:ascii="Times New Roman" w:hAnsi="Times New Roman" w:eastAsia="宋体" w:cs="Times New Roman"/>
          <w:bCs/>
          <w:color w:val="auto"/>
          <w:sz w:val="24"/>
          <w:highlight w:val="none"/>
          <w:lang w:val="en-US" w:eastAsia="zh-CN"/>
        </w:rPr>
        <w:t>5</w:t>
      </w:r>
      <w:r>
        <w:rPr>
          <w:rFonts w:hint="default" w:ascii="Times New Roman" w:hAnsi="Times New Roman" w:eastAsia="宋体" w:cs="Times New Roman"/>
          <w:bCs/>
          <w:color w:val="auto"/>
          <w:sz w:val="24"/>
          <w:highlight w:val="none"/>
        </w:rPr>
        <w:t>.2在投标截止时间之后送达的投标文件将被拒绝。</w:t>
      </w:r>
    </w:p>
    <w:p w14:paraId="53306E1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有权按本招标文件的规定，延迟投标截止时间。在此情况下，</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和投标人受投标截止时间制约的所有权利和义务均应延长至新的截止时间。</w:t>
      </w:r>
    </w:p>
    <w:p w14:paraId="4D2FE14C">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.投标文件的修改、补充与撤回</w:t>
      </w:r>
    </w:p>
    <w:p w14:paraId="04FA781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.1投标人在投标截止时间前，可以对所递交的投标文件进行补充、修改或者撤回，并书面通知采购</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w:t>
      </w:r>
    </w:p>
    <w:p w14:paraId="1ED7625D">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.2补充、修改的内容应当按照招标文件要求签署、盖章、密封后，作为投标文件的组成部分。</w:t>
      </w:r>
    </w:p>
    <w:p w14:paraId="1396E5B4">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.开标</w:t>
      </w:r>
    </w:p>
    <w:p w14:paraId="7653A1E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.1开标将在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规定的时间和地点进行。</w:t>
      </w:r>
    </w:p>
    <w:p w14:paraId="5A76A69D">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.2开标时，投标人或者其推选的代表应检查投标文件的密封情况，经确认无误后，由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当众拆封，宣布投标名称、投标价格、书面修改和撤回投标的通知，以及招标文件规定的需要宣布的其他内容。只有在开标时唱出的优惠，评标时才予以考虑。</w:t>
      </w:r>
    </w:p>
    <w:p w14:paraId="6826320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.3开标过程由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负责记录，并由参加开标的各投标人代表和相关工作人员签字确认。</w:t>
      </w:r>
    </w:p>
    <w:p w14:paraId="4F4B30F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.4投标人代表对开标过程和开标记录有疑义，以及认为</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相关工作人员有需要回避的情形的，应当场提出询问或者回避申请。</w:t>
      </w:r>
    </w:p>
    <w:p w14:paraId="4C3FA55E">
      <w:pPr>
        <w:spacing w:line="360" w:lineRule="auto"/>
        <w:ind w:firstLine="435"/>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.5投标人应参加开标，投标人未参加开标的，视同认可开标结果。</w:t>
      </w:r>
    </w:p>
    <w:p w14:paraId="2A8466E7">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.资格审查及组建评标委员会</w:t>
      </w:r>
    </w:p>
    <w:p w14:paraId="70C8DEF7">
      <w:pPr>
        <w:spacing w:line="360" w:lineRule="auto"/>
        <w:ind w:firstLine="435"/>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.1按照有关规定依法组建的评标委员会，负责本项目评标工作。</w:t>
      </w:r>
    </w:p>
    <w:p w14:paraId="09682C15">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18</w:t>
      </w:r>
      <w:r>
        <w:rPr>
          <w:rFonts w:hint="default" w:ascii="Times New Roman" w:hAnsi="Times New Roman" w:eastAsia="宋体" w:cs="Times New Roman"/>
          <w:color w:val="auto"/>
          <w:sz w:val="24"/>
          <w:highlight w:val="none"/>
        </w:rPr>
        <w:t>.2评标委员会依据法律法规和招标文件中规定的内容，对投标人资格进行审查，未通过资格审查的投标人不进入评标。</w:t>
      </w:r>
    </w:p>
    <w:p w14:paraId="1168980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.3投标人存在不良信用记录的，其投标将被认定为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36F7B03B">
      <w:pPr>
        <w:spacing w:line="360" w:lineRule="auto"/>
        <w:ind w:firstLine="435"/>
        <w:rPr>
          <w:rFonts w:hint="default" w:ascii="Times New Roman" w:hAnsi="Times New Roman" w:eastAsia="宋体" w:cs="Times New Roman"/>
          <w:color w:val="auto"/>
          <w:sz w:val="24"/>
          <w:szCs w:val="18"/>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.3.1不良信用记录是指：</w:t>
      </w:r>
      <w:bookmarkStart w:id="44" w:name="_Hlk24663244"/>
      <w:r>
        <w:rPr>
          <w:rFonts w:hint="default" w:ascii="Times New Roman" w:hAnsi="Times New Roman" w:eastAsia="宋体" w:cs="Times New Roman"/>
          <w:color w:val="auto"/>
          <w:sz w:val="24"/>
          <w:szCs w:val="18"/>
          <w:highlight w:val="none"/>
        </w:rPr>
        <w:t>（1）</w:t>
      </w:r>
      <w:r>
        <w:rPr>
          <w:rFonts w:hint="default" w:ascii="Times New Roman" w:hAnsi="Times New Roman" w:eastAsia="宋体" w:cs="Times New Roman"/>
          <w:color w:val="auto"/>
          <w:sz w:val="24"/>
          <w:szCs w:val="18"/>
          <w:highlight w:val="none"/>
          <w:lang w:eastAsia="zh-CN"/>
        </w:rPr>
        <w:t>投标人</w:t>
      </w:r>
      <w:r>
        <w:rPr>
          <w:rFonts w:hint="default" w:ascii="Times New Roman" w:hAnsi="Times New Roman" w:eastAsia="宋体" w:cs="Times New Roman"/>
          <w:color w:val="auto"/>
          <w:sz w:val="24"/>
          <w:szCs w:val="18"/>
          <w:highlight w:val="none"/>
        </w:rPr>
        <w:t>被人民法院列入失信被执行人；（2）</w:t>
      </w:r>
      <w:r>
        <w:rPr>
          <w:rFonts w:hint="default" w:ascii="Times New Roman" w:hAnsi="Times New Roman" w:eastAsia="宋体" w:cs="Times New Roman"/>
          <w:color w:val="auto"/>
          <w:sz w:val="24"/>
          <w:szCs w:val="18"/>
          <w:highlight w:val="none"/>
          <w:lang w:eastAsia="zh-CN"/>
        </w:rPr>
        <w:t>投标人</w:t>
      </w:r>
      <w:r>
        <w:rPr>
          <w:rFonts w:hint="default" w:ascii="Times New Roman" w:hAnsi="Times New Roman" w:eastAsia="宋体" w:cs="Times New Roman"/>
          <w:color w:val="auto"/>
          <w:sz w:val="24"/>
          <w:szCs w:val="18"/>
          <w:highlight w:val="none"/>
        </w:rPr>
        <w:t>被税务部门列入重大税收违法案件当事人名单。</w:t>
      </w:r>
    </w:p>
    <w:p w14:paraId="741631A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以联合体形式参加投标的，联合体任何成员存在以上不良信用记录的，联合体投标将被认定为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1888D4F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.3.2信用信息查询渠道：“信用中国”网站（www.creditchina.gov.cn）。</w:t>
      </w:r>
    </w:p>
    <w:p w14:paraId="79D2834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.3.3信用信息记录方式：投标人将查询网页打印、盖章并在投标文件中提供。查询网页必须体现被查询人名称、查询时间、查询结果。</w:t>
      </w:r>
    </w:p>
    <w:p w14:paraId="3015275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投标人对不良信用记录的真实性和有效性负责。</w:t>
      </w:r>
    </w:p>
    <w:p w14:paraId="47FAAB66">
      <w:pPr>
        <w:spacing w:line="360" w:lineRule="auto"/>
        <w:ind w:firstLine="435"/>
        <w:rPr>
          <w:rFonts w:hint="default" w:ascii="Times New Roman" w:hAnsi="Times New Roman" w:eastAsia="宋体" w:cs="Times New Roman"/>
          <w:color w:val="auto"/>
          <w:sz w:val="24"/>
          <w:highlight w:val="none"/>
        </w:rPr>
      </w:pPr>
      <w:bookmarkStart w:id="45" w:name="_Hlk24663338"/>
      <w:r>
        <w:rPr>
          <w:rFonts w:hint="default" w:ascii="Times New Roman" w:hAnsi="Times New Roman" w:eastAsia="宋体" w:cs="Times New Roman"/>
          <w:color w:val="auto"/>
          <w:sz w:val="24"/>
          <w:highlight w:val="none"/>
        </w:rPr>
        <w:t>信用信息查询时间为投标截止时间前2个工作日内。</w:t>
      </w:r>
    </w:p>
    <w:p w14:paraId="791768C3">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在本招标文件规定的查询时间之外，网站信息发生的任何变更均不作为资格审查依据。</w:t>
      </w:r>
    </w:p>
    <w:bookmarkEnd w:id="44"/>
    <w:bookmarkEnd w:id="45"/>
    <w:p w14:paraId="643173DB">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19</w:t>
      </w:r>
      <w:r>
        <w:rPr>
          <w:rFonts w:hint="default" w:ascii="Times New Roman" w:hAnsi="Times New Roman" w:eastAsia="宋体" w:cs="Times New Roman"/>
          <w:b/>
          <w:color w:val="auto"/>
          <w:sz w:val="24"/>
          <w:highlight w:val="none"/>
        </w:rPr>
        <w:t>.投标文件符合性审查与澄清</w:t>
      </w:r>
    </w:p>
    <w:p w14:paraId="25CB694D">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.1符合性审查是指依据招标文件的规定，从投标文件的有效性和完整性对招标文件的响应程度进行审查，以确定是否对招标文件的实质性要求做出响应。</w:t>
      </w:r>
    </w:p>
    <w:p w14:paraId="50ACACBD">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投标文件的澄清</w:t>
      </w:r>
    </w:p>
    <w:p w14:paraId="4123130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w:t>
      </w:r>
      <w:r>
        <w:rPr>
          <w:rFonts w:hint="default" w:ascii="Times New Roman" w:hAnsi="Times New Roman" w:eastAsia="宋体" w:cs="Times New Roman"/>
          <w:color w:val="auto"/>
          <w:sz w:val="24"/>
          <w:highlight w:val="none"/>
          <w:lang w:eastAsia="zh-CN"/>
        </w:rPr>
        <w:t>做必要的</w:t>
      </w:r>
      <w:r>
        <w:rPr>
          <w:rFonts w:hint="default" w:ascii="Times New Roman" w:hAnsi="Times New Roman" w:eastAsia="宋体" w:cs="Times New Roman"/>
          <w:color w:val="auto"/>
          <w:sz w:val="24"/>
          <w:highlight w:val="none"/>
        </w:rPr>
        <w:t>澄清、说明或补正。投标人的澄清、说明或补正应在评标委员会规定的时间内以书面方式进行，并不得超出投标文件范围或者改变投标文件的实质性内容。</w:t>
      </w:r>
    </w:p>
    <w:p w14:paraId="0673458E">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488786AF">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.4.2投标人的澄清、说明或补正将作为投标文件的一部分。</w:t>
      </w:r>
    </w:p>
    <w:p w14:paraId="4185F2A4">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.4.3评标委员会对投标人提交的澄清、说明或补正有疑问的，可以要求投标人进一步澄清、说明或补正，直至满足评标委员会的要求。</w:t>
      </w:r>
    </w:p>
    <w:p w14:paraId="106FC73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19</w:t>
      </w:r>
      <w:r>
        <w:rPr>
          <w:rFonts w:hint="default" w:ascii="Times New Roman" w:hAnsi="Times New Roman" w:eastAsia="宋体" w:cs="Times New Roman"/>
          <w:color w:val="auto"/>
          <w:sz w:val="24"/>
          <w:highlight w:val="none"/>
        </w:rPr>
        <w:t>.5投标文件报价出现前后不一致的，按照下列规定修正：</w:t>
      </w:r>
    </w:p>
    <w:p w14:paraId="4054918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（1）投标文件中开标一览表内容与投标文件中相应内容不一致的，以开标一览表为准；</w:t>
      </w:r>
    </w:p>
    <w:p w14:paraId="1F0EF0D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（2）大写金额和小写金额不一致的，以大写金额为准；</w:t>
      </w:r>
    </w:p>
    <w:p w14:paraId="3F71A24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（3）单价金额小数点或者百分比有明显错位的，以开标一览表的总价为准，并修改单价；</w:t>
      </w:r>
    </w:p>
    <w:p w14:paraId="0D9A95E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（4）总价金额与按单价汇总金额不一致的，以单价金额计算结果为准。</w:t>
      </w:r>
    </w:p>
    <w:p w14:paraId="6FA94D4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28429293">
      <w:pPr>
        <w:spacing w:line="360" w:lineRule="auto"/>
        <w:ind w:firstLine="435"/>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对不同文字文本投标文件的解释发生异议的，以中文文本为准。</w:t>
      </w:r>
    </w:p>
    <w:p w14:paraId="7BBE16EE">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0</w:t>
      </w:r>
      <w:r>
        <w:rPr>
          <w:rFonts w:hint="default" w:ascii="Times New Roman" w:hAnsi="Times New Roman" w:eastAsia="宋体" w:cs="Times New Roman"/>
          <w:b/>
          <w:color w:val="auto"/>
          <w:sz w:val="24"/>
          <w:highlight w:val="none"/>
        </w:rPr>
        <w:t>.投标无效</w:t>
      </w:r>
    </w:p>
    <w:p w14:paraId="713144A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5D73496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评标委员会决定投标的响应性只根据招标文件要求和投标文件内容。</w:t>
      </w:r>
    </w:p>
    <w:p w14:paraId="30F73567">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无论何种原因，即使投标人投标时携带了证书材料的原件，但投标文件中未提供与之内容完全一致的影印件或复印件的，评标委员会视同其未提供。</w:t>
      </w:r>
    </w:p>
    <w:p w14:paraId="67B5B21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.2如发现下列情况之一的，其投标将被认定为</w:t>
      </w:r>
      <w:r>
        <w:rPr>
          <w:rFonts w:hint="default" w:ascii="Times New Roman" w:hAnsi="Times New Roman" w:eastAsia="宋体" w:cs="Times New Roman"/>
          <w:b/>
          <w:color w:val="auto"/>
          <w:sz w:val="24"/>
          <w:highlight w:val="none"/>
        </w:rPr>
        <w:t>投标无效</w:t>
      </w:r>
      <w:r>
        <w:rPr>
          <w:rFonts w:hint="default" w:ascii="Times New Roman" w:hAnsi="Times New Roman" w:eastAsia="宋体" w:cs="Times New Roman"/>
          <w:color w:val="auto"/>
          <w:sz w:val="24"/>
          <w:highlight w:val="none"/>
        </w:rPr>
        <w:t>：</w:t>
      </w:r>
    </w:p>
    <w:p w14:paraId="5CC6712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（1）投标文件未按照招标文件规定要求签署、盖章的；</w:t>
      </w:r>
    </w:p>
    <w:p w14:paraId="7F9527EE">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（2）不具备招标文件中规定的资格要求的；</w:t>
      </w:r>
    </w:p>
    <w:p w14:paraId="13907FB4">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（3）报价超过招标文件中规定的预算金额或者最高限价的；</w:t>
      </w:r>
    </w:p>
    <w:p w14:paraId="43C79FB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（4）投标文件不满足招标文件全部实质性要求的；</w:t>
      </w:r>
    </w:p>
    <w:p w14:paraId="4B05870D">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（5）投标文件含有</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不能接受的附加条件的；</w:t>
      </w:r>
    </w:p>
    <w:p w14:paraId="59707CA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（6）法律、法规和招标文件规定的其他无效情形。</w:t>
      </w:r>
    </w:p>
    <w:p w14:paraId="599F46B5">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.比较与评价</w:t>
      </w:r>
    </w:p>
    <w:p w14:paraId="2F40EA8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.1经符合性审查合格的投标文件，评标委员会将根据招标文件确定的评标方法和标准，对其投标文件作进一步的比较与评价。</w:t>
      </w:r>
    </w:p>
    <w:p w14:paraId="55B9207B">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.2评标严格按照招标文件的要求和条件进行。根据实际情况，在</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中规定采用下列一种评标方法，详细评标方法和标准见招标文件第</w:t>
      </w:r>
      <w:r>
        <w:rPr>
          <w:rFonts w:hint="default" w:ascii="Times New Roman" w:hAnsi="Times New Roman" w:eastAsia="宋体" w:cs="Times New Roman"/>
          <w:color w:val="auto"/>
          <w:sz w:val="24"/>
          <w:highlight w:val="none"/>
          <w:lang w:val="en-US" w:eastAsia="zh-CN"/>
        </w:rPr>
        <w:t>三</w:t>
      </w:r>
      <w:r>
        <w:rPr>
          <w:rFonts w:hint="default" w:ascii="Times New Roman" w:hAnsi="Times New Roman" w:eastAsia="宋体" w:cs="Times New Roman"/>
          <w:color w:val="auto"/>
          <w:sz w:val="24"/>
          <w:highlight w:val="none"/>
        </w:rPr>
        <w:t>章：</w:t>
      </w:r>
    </w:p>
    <w:p w14:paraId="176A241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（1）最低评标价法，是指投标文件满足招标文件全部实质性要求，且投标报价最低的投标人为中标候选人的评标方法。</w:t>
      </w:r>
    </w:p>
    <w:p w14:paraId="5819CF65">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（2）综合评分法，是指投标文件满足招标文件全部实质性要求，且按照评审因素的量化指标评审得分最高的投标人为中标候选人的评标方法。</w:t>
      </w:r>
    </w:p>
    <w:p w14:paraId="24C9ADF0">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.废标</w:t>
      </w:r>
    </w:p>
    <w:p w14:paraId="6C82498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出现下列情形之一，将导致项目废标：</w:t>
      </w:r>
    </w:p>
    <w:p w14:paraId="70CF4CDB">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（1）符合专业条件的投标人或者对招标文件做实质性响应的投标人不足规定数量的；</w:t>
      </w:r>
    </w:p>
    <w:p w14:paraId="07BE317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（2）出现影响采购公正的违法、违规行为的；</w:t>
      </w:r>
    </w:p>
    <w:p w14:paraId="457C10C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（3）投标人的报价均超过了采购预算，</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不能支付的；</w:t>
      </w:r>
    </w:p>
    <w:p w14:paraId="0EE7AC9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（4）因重大变故，采购任务取消的。</w:t>
      </w:r>
    </w:p>
    <w:p w14:paraId="3056E42C">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.保密要求</w:t>
      </w:r>
    </w:p>
    <w:p w14:paraId="09D5F273">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.1评标将在严格保密的情况下进行。</w:t>
      </w:r>
    </w:p>
    <w:p w14:paraId="5383B89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.2有关人员应当遵守评标工作纪律，不得泄露评标文件、评标情况和评标中获悉的国家秘密、商业秘密。</w:t>
      </w:r>
    </w:p>
    <w:p w14:paraId="1482ADAA">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.中标候选人的确定原则及标准</w:t>
      </w:r>
    </w:p>
    <w:p w14:paraId="0E3C2818">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.1评标委员会依据本项目招标文件所约定的评标方法，对实质上响应招标文件的投标人按下列方法进行排序，确定中标候选人：</w:t>
      </w:r>
    </w:p>
    <w:p w14:paraId="6DCED5A5">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用最低评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33534E">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64511558">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.确定中标候选人和中标人</w:t>
      </w:r>
    </w:p>
    <w:p w14:paraId="4C3B856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.1评标委员会将根据评标标准，按</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中规定数量推荐中标候选人。</w:t>
      </w:r>
    </w:p>
    <w:p w14:paraId="774BEAD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.2按</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中规定，由评标委员会或</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确定中标人。</w:t>
      </w:r>
    </w:p>
    <w:p w14:paraId="54EBADD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.3因重大变故采购任务取消时，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有权拒绝任何投标人中标，且对受影响的投标人不承担任何责任。</w:t>
      </w:r>
    </w:p>
    <w:p w14:paraId="2CC1E633">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.编写评标报告</w:t>
      </w:r>
    </w:p>
    <w:p w14:paraId="3426EB0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225F40D">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.中标结果公告</w:t>
      </w:r>
    </w:p>
    <w:p w14:paraId="77E9BBB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应当自收到评标报告之日起５日内，在评标报告确定的中标候选人名单中按顺序确定中标人。中标候选人并列的，由</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或者</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委托评标委员会按照招标文件规定的方式确定中标人；招标文件未规定的，采取随机抽取的方式确定。</w:t>
      </w:r>
    </w:p>
    <w:p w14:paraId="60E8370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.2自中标人确定之日起2日内，</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将在</w:t>
      </w:r>
      <w:r>
        <w:rPr>
          <w:rFonts w:hint="default" w:ascii="Times New Roman" w:hAnsi="Times New Roman" w:eastAsia="宋体" w:cs="Times New Roman"/>
          <w:color w:val="auto"/>
          <w:sz w:val="24"/>
          <w:szCs w:val="22"/>
          <w:highlight w:val="none"/>
          <w:lang w:val="en-US" w:eastAsia="zh-CN"/>
        </w:rPr>
        <w:t>公司网站</w:t>
      </w:r>
      <w:r>
        <w:rPr>
          <w:rFonts w:hint="default" w:ascii="Times New Roman" w:hAnsi="Times New Roman" w:eastAsia="宋体" w:cs="Times New Roman"/>
          <w:color w:val="auto"/>
          <w:sz w:val="24"/>
          <w:highlight w:val="none"/>
        </w:rPr>
        <w:t>发布中标结果公告。</w:t>
      </w:r>
    </w:p>
    <w:p w14:paraId="29C6967E">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.3中标结果公告内容应当包括</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名称、地址、联系方式，项目名称和项目编号，中标人名称、地址和中标金额，主要中标标的的名称、规格型号、数量、单价、服务要求，中标公告期限、评审专家名单以及</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中约定进行公告的内容。中标公告期限为</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日。</w:t>
      </w:r>
    </w:p>
    <w:p w14:paraId="427A38A3">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.中标通知书</w:t>
      </w:r>
    </w:p>
    <w:p w14:paraId="1C0E63A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发布中标公告</w:t>
      </w:r>
      <w:r>
        <w:rPr>
          <w:rFonts w:hint="default" w:ascii="Times New Roman" w:hAnsi="Times New Roman" w:eastAsia="宋体" w:cs="Times New Roman"/>
          <w:iCs/>
          <w:color w:val="auto"/>
          <w:sz w:val="24"/>
          <w:highlight w:val="none"/>
        </w:rPr>
        <w:t>的</w:t>
      </w:r>
      <w:r>
        <w:rPr>
          <w:rFonts w:hint="default" w:ascii="Times New Roman" w:hAnsi="Times New Roman" w:eastAsia="宋体" w:cs="Times New Roman"/>
          <w:color w:val="auto"/>
          <w:sz w:val="24"/>
          <w:highlight w:val="none"/>
        </w:rPr>
        <w:t>同时向中标人发出中标通知书。</w:t>
      </w:r>
    </w:p>
    <w:p w14:paraId="3E321764">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.2中标通知书对</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和中标人具有同等法律效力。中标通知书发出以后，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改变中标结果或者中标人放弃中标，应当承担相应的法律责任。</w:t>
      </w:r>
    </w:p>
    <w:p w14:paraId="2D03D8B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.3中标通知书是合同的组成部分。</w:t>
      </w:r>
    </w:p>
    <w:p w14:paraId="3115EB9A">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29</w:t>
      </w:r>
      <w:r>
        <w:rPr>
          <w:rFonts w:hint="default" w:ascii="Times New Roman" w:hAnsi="Times New Roman" w:eastAsia="宋体" w:cs="Times New Roman"/>
          <w:b/>
          <w:color w:val="auto"/>
          <w:sz w:val="24"/>
          <w:highlight w:val="none"/>
        </w:rPr>
        <w:t>.告知招标结果</w:t>
      </w:r>
    </w:p>
    <w:p w14:paraId="0CD3571B">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29</w:t>
      </w:r>
      <w:r>
        <w:rPr>
          <w:rFonts w:hint="default" w:ascii="Times New Roman" w:hAnsi="Times New Roman" w:eastAsia="宋体" w:cs="Times New Roman"/>
          <w:color w:val="auto"/>
          <w:sz w:val="24"/>
          <w:highlight w:val="none"/>
        </w:rPr>
        <w:t>.1在公告中标结果的同时，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同时以</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规定的形式告知未通过资格审查的投标人未通过的原因；采用综合评分法评审的，还将告知未中标人本人的评审得分和排序。</w:t>
      </w:r>
    </w:p>
    <w:p w14:paraId="30345377">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0</w:t>
      </w:r>
      <w:r>
        <w:rPr>
          <w:rFonts w:hint="default" w:ascii="Times New Roman" w:hAnsi="Times New Roman" w:eastAsia="宋体" w:cs="Times New Roman"/>
          <w:b/>
          <w:color w:val="auto"/>
          <w:sz w:val="24"/>
          <w:highlight w:val="none"/>
        </w:rPr>
        <w:t>.履约保证金</w:t>
      </w:r>
    </w:p>
    <w:p w14:paraId="5739BE9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.1中标人应按照</w:t>
      </w:r>
      <w:r>
        <w:rPr>
          <w:rFonts w:hint="default" w:ascii="Times New Roman" w:hAnsi="Times New Roman" w:eastAsia="宋体" w:cs="Times New Roman"/>
          <w:color w:val="auto"/>
          <w:sz w:val="24"/>
          <w:highlight w:val="none"/>
          <w:u w:val="single"/>
        </w:rPr>
        <w:t>投标人须知前附表</w:t>
      </w:r>
      <w:r>
        <w:rPr>
          <w:rFonts w:hint="default" w:ascii="Times New Roman" w:hAnsi="Times New Roman" w:eastAsia="宋体" w:cs="Times New Roman"/>
          <w:color w:val="auto"/>
          <w:sz w:val="24"/>
          <w:highlight w:val="none"/>
        </w:rPr>
        <w:t>规定缴纳履约保证金。</w:t>
      </w:r>
    </w:p>
    <w:p w14:paraId="7FB74700">
      <w:pPr>
        <w:spacing w:line="360" w:lineRule="auto"/>
        <w:ind w:firstLine="435"/>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.2如果中标人没有按照上述履约保证金的规定执行，将视为放弃中标资格。在此情况下，</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可确定下一中标候选人为中标人，也可以重新开展采购活动。</w:t>
      </w:r>
    </w:p>
    <w:p w14:paraId="5FABCA1D">
      <w:pPr>
        <w:spacing w:line="360" w:lineRule="auto"/>
        <w:ind w:firstLine="437"/>
        <w:outlineLvl w:val="3"/>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.签订合同</w:t>
      </w:r>
    </w:p>
    <w:p w14:paraId="23E975F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与中标人应当自发出中标通知书之日起30日内签订合同。</w:t>
      </w:r>
    </w:p>
    <w:p w14:paraId="65548475">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.2招标文件、中标人的投标文件及其澄清文件等，均为签订合同的依据。</w:t>
      </w:r>
    </w:p>
    <w:p w14:paraId="24229011">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.3中标人拒绝与</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签订合同的，</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可以按照评审报告推荐的中标候选人名单排序，确定下一中标候选人为中标人，也可以重新开展采购活动。</w:t>
      </w:r>
    </w:p>
    <w:p w14:paraId="48882E7C">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.4当出现法规规定的中标无效或中标结果无效情形时，</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可依法与排名下一位的中标候选人另行签订合同，或依法重新开展采购活动。</w:t>
      </w:r>
    </w:p>
    <w:p w14:paraId="58CEF45E">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.5 投标人签订合同前，需向</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演示投标产品的相关功能。否则</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有权变更中标人。</w:t>
      </w:r>
    </w:p>
    <w:p w14:paraId="75C294E0">
      <w:pPr>
        <w:spacing w:line="360" w:lineRule="auto"/>
        <w:ind w:firstLine="437"/>
        <w:outlineLvl w:val="3"/>
        <w:rPr>
          <w:rFonts w:hint="default" w:ascii="Times New Roman" w:hAnsi="Times New Roman" w:eastAsia="宋体" w:cs="Times New Roman"/>
          <w:b/>
          <w:color w:val="auto"/>
          <w:sz w:val="24"/>
          <w:highlight w:val="none"/>
        </w:rPr>
      </w:pPr>
      <w:bookmarkStart w:id="46" w:name="_Toc2583661"/>
      <w:bookmarkStart w:id="47" w:name="_Toc518923100"/>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.廉洁自律规定</w:t>
      </w:r>
      <w:bookmarkEnd w:id="46"/>
      <w:bookmarkEnd w:id="47"/>
    </w:p>
    <w:p w14:paraId="1FDDC25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.1采购工作人员不得接受投标人组织的宴请、旅游、娱乐，不得收受礼品、现金、有价证券等，不得向投标人报销应当由个人承担的费用。</w:t>
      </w:r>
    </w:p>
    <w:p w14:paraId="4B658035">
      <w:pPr>
        <w:spacing w:line="360" w:lineRule="auto"/>
        <w:ind w:firstLine="437"/>
        <w:outlineLvl w:val="3"/>
        <w:rPr>
          <w:rFonts w:hint="default" w:ascii="Times New Roman" w:hAnsi="Times New Roman" w:eastAsia="宋体" w:cs="Times New Roman"/>
          <w:b/>
          <w:color w:val="auto"/>
          <w:sz w:val="24"/>
          <w:highlight w:val="none"/>
        </w:rPr>
      </w:pPr>
      <w:bookmarkStart w:id="48" w:name="_Toc2583662"/>
      <w:bookmarkStart w:id="49" w:name="_Toc518923101"/>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.人员回避</w:t>
      </w:r>
      <w:bookmarkEnd w:id="48"/>
      <w:bookmarkEnd w:id="49"/>
    </w:p>
    <w:p w14:paraId="5C508FAE">
      <w:pPr>
        <w:spacing w:line="360" w:lineRule="auto"/>
        <w:ind w:firstLine="435"/>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rPr>
        <w:t>投标人认为</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员及其相关人员有法律法规所列与其他投标人有利害关系的，可以向</w:t>
      </w:r>
      <w:r>
        <w:rPr>
          <w:rFonts w:hint="default" w:ascii="Times New Roman" w:hAnsi="Times New Roman" w:eastAsia="宋体" w:cs="Times New Roman"/>
          <w:color w:val="auto"/>
          <w:sz w:val="24"/>
          <w:highlight w:val="none"/>
          <w:lang w:eastAsia="zh-CN"/>
        </w:rPr>
        <w:t>招标人</w:t>
      </w:r>
      <w:r>
        <w:rPr>
          <w:rFonts w:hint="default" w:ascii="Times New Roman" w:hAnsi="Times New Roman" w:eastAsia="宋体" w:cs="Times New Roman"/>
          <w:color w:val="auto"/>
          <w:sz w:val="24"/>
          <w:highlight w:val="none"/>
        </w:rPr>
        <w:t>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668B3058">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b w:val="0"/>
                <w:bCs/>
                <w:color w:val="auto"/>
                <w:sz w:val="24"/>
                <w:szCs w:val="24"/>
                <w:highlight w:val="none"/>
                <w:lang w:val="en-US"/>
              </w:rPr>
            </w:pPr>
            <w:r>
              <w:rPr>
                <w:rFonts w:hint="default" w:ascii="宋体" w:hAnsi="宋体" w:eastAsia="宋体" w:cs="宋体"/>
                <w:b w:val="0"/>
                <w:bCs/>
                <w:color w:val="auto"/>
                <w:sz w:val="24"/>
                <w:szCs w:val="24"/>
                <w:highlight w:val="none"/>
                <w:lang w:val="en-US"/>
              </w:rPr>
              <w:t xml:space="preserve">中标人每月提交支付申请书期限：每月25日前或与施工总承包单位计量周期同步。 </w:t>
            </w:r>
          </w:p>
          <w:p w14:paraId="65E587EC">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b w:val="0"/>
                <w:bCs/>
                <w:color w:val="auto"/>
                <w:sz w:val="24"/>
                <w:szCs w:val="24"/>
                <w:highlight w:val="none"/>
                <w:lang w:val="en-US"/>
              </w:rPr>
            </w:pPr>
            <w:r>
              <w:rPr>
                <w:rFonts w:hint="default" w:ascii="宋体" w:hAnsi="宋体" w:eastAsia="宋体" w:cs="宋体"/>
                <w:b w:val="0"/>
                <w:bCs/>
                <w:color w:val="auto"/>
                <w:sz w:val="24"/>
                <w:szCs w:val="24"/>
                <w:highlight w:val="none"/>
                <w:lang w:val="en-US"/>
              </w:rPr>
              <w:t xml:space="preserve">1、每月按施工单位实际完成的合格工程量80%支付对应的监理费； </w:t>
            </w:r>
          </w:p>
          <w:p w14:paraId="132D9939">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b w:val="0"/>
                <w:bCs/>
                <w:color w:val="auto"/>
                <w:sz w:val="24"/>
                <w:szCs w:val="24"/>
                <w:highlight w:val="none"/>
                <w:lang w:val="en-US"/>
              </w:rPr>
            </w:pPr>
            <w:r>
              <w:rPr>
                <w:rFonts w:hint="default" w:ascii="宋体" w:hAnsi="宋体" w:eastAsia="宋体" w:cs="宋体"/>
                <w:b w:val="0"/>
                <w:bCs/>
                <w:color w:val="auto"/>
                <w:sz w:val="24"/>
                <w:szCs w:val="24"/>
                <w:highlight w:val="none"/>
                <w:lang w:val="en-US"/>
              </w:rPr>
              <w:t xml:space="preserve">2、所有工程验收合格并移交后付至已完工程量对应监理费的 90%； </w:t>
            </w:r>
          </w:p>
          <w:p w14:paraId="5ED23C30">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Style w:val="103"/>
                <w:rFonts w:hint="default" w:ascii="Times New Roman" w:hAnsi="Times New Roman" w:eastAsia="宋体" w:cs="Times New Roman"/>
                <w:b/>
                <w:bCs w:val="0"/>
                <w:color w:val="auto"/>
                <w:kern w:val="0"/>
                <w:sz w:val="24"/>
                <w:highlight w:val="none"/>
                <w:lang w:val="en-US" w:eastAsia="zh-CN"/>
              </w:rPr>
            </w:pPr>
            <w:r>
              <w:rPr>
                <w:rFonts w:hint="default" w:ascii="宋体" w:hAnsi="宋体" w:eastAsia="宋体" w:cs="宋体"/>
                <w:b w:val="0"/>
                <w:bCs/>
                <w:color w:val="auto"/>
                <w:sz w:val="24"/>
                <w:szCs w:val="24"/>
                <w:highlight w:val="none"/>
                <w:lang w:val="en-US"/>
              </w:rPr>
              <w:t>3、</w:t>
            </w:r>
            <w:r>
              <w:rPr>
                <w:rFonts w:hint="eastAsia" w:ascii="宋体" w:hAnsi="宋体" w:cs="宋体"/>
                <w:b w:val="0"/>
                <w:bCs/>
                <w:color w:val="auto"/>
                <w:sz w:val="24"/>
                <w:szCs w:val="24"/>
                <w:highlight w:val="none"/>
                <w:lang w:val="en-US" w:eastAsia="zh-CN"/>
              </w:rPr>
              <w:t>竣工验收合格并经结算审计后付至结算价的100%。</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7"/>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eastAsia="zh-CN"/>
              </w:rPr>
            </w:pPr>
            <w:r>
              <w:rPr>
                <w:rFonts w:hint="eastAsia" w:ascii="宋体" w:hAnsi="宋体" w:eastAsia="宋体" w:cs="宋体"/>
                <w:b w:val="0"/>
                <w:color w:val="auto"/>
                <w:sz w:val="24"/>
                <w:highlight w:val="none"/>
                <w:u w:val="none"/>
              </w:rPr>
              <w:t>建设周期暂定3个月</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计划开工时间202</w:t>
            </w:r>
            <w:r>
              <w:rPr>
                <w:rFonts w:hint="eastAsia" w:ascii="宋体" w:hAnsi="宋体" w:eastAsia="宋体" w:cs="宋体"/>
                <w:b w:val="0"/>
                <w:color w:val="auto"/>
                <w:sz w:val="24"/>
                <w:highlight w:val="none"/>
                <w:u w:val="none"/>
                <w:lang w:val="en-US" w:eastAsia="zh-CN"/>
              </w:rPr>
              <w:t>5</w:t>
            </w:r>
            <w:r>
              <w:rPr>
                <w:rFonts w:hint="eastAsia" w:ascii="宋体" w:hAnsi="宋体" w:eastAsia="宋体" w:cs="宋体"/>
                <w:b w:val="0"/>
                <w:color w:val="auto"/>
                <w:sz w:val="24"/>
                <w:highlight w:val="none"/>
                <w:u w:val="none"/>
              </w:rPr>
              <w:t>年</w:t>
            </w:r>
            <w:r>
              <w:rPr>
                <w:rFonts w:hint="eastAsia" w:ascii="宋体" w:hAnsi="宋体" w:eastAsia="宋体" w:cs="宋体"/>
                <w:b w:val="0"/>
                <w:color w:val="auto"/>
                <w:sz w:val="24"/>
                <w:highlight w:val="none"/>
                <w:u w:val="none"/>
                <w:lang w:val="en-US" w:eastAsia="zh-CN"/>
              </w:rPr>
              <w:t>8</w:t>
            </w:r>
            <w:r>
              <w:rPr>
                <w:rFonts w:hint="eastAsia" w:ascii="宋体" w:hAnsi="宋体" w:eastAsia="宋体" w:cs="宋体"/>
                <w:b w:val="0"/>
                <w:color w:val="auto"/>
                <w:sz w:val="24"/>
                <w:highlight w:val="none"/>
                <w:u w:val="none"/>
              </w:rPr>
              <w:t>月</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具体进场时间以</w:t>
            </w:r>
            <w:r>
              <w:rPr>
                <w:rFonts w:hint="eastAsia" w:ascii="宋体" w:hAnsi="宋体" w:eastAsia="宋体" w:cs="宋体"/>
                <w:b w:val="0"/>
                <w:color w:val="auto"/>
                <w:sz w:val="24"/>
                <w:highlight w:val="none"/>
                <w:u w:val="none"/>
                <w:lang w:val="en-US" w:eastAsia="zh-CN"/>
              </w:rPr>
              <w:t>招标人</w:t>
            </w:r>
            <w:r>
              <w:rPr>
                <w:rFonts w:hint="eastAsia" w:ascii="宋体" w:hAnsi="宋体" w:eastAsia="宋体" w:cs="宋体"/>
                <w:b w:val="0"/>
                <w:color w:val="auto"/>
                <w:sz w:val="24"/>
                <w:highlight w:val="none"/>
                <w:u w:val="none"/>
              </w:rPr>
              <w:t>通知为准。</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1CE56936">
      <w:pPr>
        <w:spacing w:line="360" w:lineRule="auto"/>
        <w:ind w:firstLine="437"/>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华兴路小学地块位于包河区黄河路以南、上海路以西、华兴路以北、燕山路以东，总占地面积46.46亩，原规划为小学用地，现拟建设室外体育场地，招标范围及内容包含但不限于</w:t>
      </w:r>
      <w:r>
        <w:rPr>
          <w:rFonts w:hint="default" w:ascii="Times New Roman" w:hAnsi="Times New Roman" w:eastAsia="宋体" w:cs="Times New Roman"/>
          <w:color w:val="auto"/>
          <w:sz w:val="24"/>
          <w:szCs w:val="24"/>
          <w:highlight w:val="none"/>
          <w:u w:val="none"/>
          <w:lang w:val="en-US" w:eastAsia="zh-CN"/>
        </w:rPr>
        <w:t>室外体育场地、场地平整、给排水工程</w:t>
      </w:r>
      <w:r>
        <w:rPr>
          <w:rFonts w:hint="eastAsia" w:ascii="Times New Roman" w:hAnsi="Times New Roman" w:eastAsia="宋体" w:cs="Times New Roman"/>
          <w:color w:val="auto"/>
          <w:sz w:val="24"/>
          <w:szCs w:val="24"/>
          <w:highlight w:val="none"/>
          <w:u w:val="none"/>
          <w:lang w:val="en-US" w:eastAsia="zh-CN"/>
        </w:rPr>
        <w:t>、体育专项工程、供配电工程</w:t>
      </w:r>
      <w:r>
        <w:rPr>
          <w:rFonts w:hint="default" w:ascii="Times New Roman" w:hAnsi="Times New Roman" w:eastAsia="宋体" w:cs="Times New Roman"/>
          <w:color w:val="auto"/>
          <w:sz w:val="24"/>
          <w:szCs w:val="24"/>
          <w:highlight w:val="none"/>
          <w:u w:val="none"/>
          <w:lang w:val="en-US" w:eastAsia="zh-CN"/>
        </w:rPr>
        <w:t>等</w:t>
      </w:r>
      <w:r>
        <w:rPr>
          <w:rFonts w:hint="eastAsia" w:ascii="Times New Roman" w:hAnsi="Times New Roman" w:cs="Times New Roman"/>
          <w:color w:val="auto"/>
          <w:sz w:val="24"/>
          <w:szCs w:val="24"/>
          <w:highlight w:val="none"/>
          <w:u w:val="none"/>
          <w:lang w:val="en-US" w:eastAsia="zh-CN"/>
        </w:rPr>
        <w:t>。本次招标内容为华兴路小学地块室外体育场地及部分配套工程监理服务。具体内容详见本项目招标文件。</w:t>
      </w:r>
    </w:p>
    <w:p w14:paraId="3AE69600">
      <w:pPr>
        <w:spacing w:line="360" w:lineRule="auto"/>
        <w:ind w:firstLine="437"/>
        <w:rPr>
          <w:rFonts w:hint="default" w:ascii="Times New Roman" w:hAnsi="Times New Roman" w:eastAsia="宋体" w:cs="Times New Roman"/>
          <w:b/>
          <w:color w:val="auto"/>
          <w:sz w:val="24"/>
          <w:szCs w:val="18"/>
          <w:highlight w:val="none"/>
        </w:rPr>
      </w:pPr>
      <w:r>
        <w:rPr>
          <w:rFonts w:hint="eastAsia" w:ascii="Times New Roman" w:hAnsi="Times New Roman" w:eastAsia="宋体" w:cs="Times New Roman"/>
          <w:b/>
          <w:color w:val="auto"/>
          <w:sz w:val="24"/>
          <w:szCs w:val="18"/>
          <w:highlight w:val="none"/>
          <w:lang w:val="en-US" w:eastAsia="zh-CN"/>
        </w:rPr>
        <w:t>三</w:t>
      </w:r>
      <w:r>
        <w:rPr>
          <w:rFonts w:hint="default" w:ascii="Times New Roman" w:hAnsi="Times New Roman" w:eastAsia="宋体" w:cs="Times New Roman"/>
          <w:b/>
          <w:color w:val="auto"/>
          <w:sz w:val="24"/>
          <w:szCs w:val="18"/>
          <w:highlight w:val="none"/>
          <w:lang w:val="en-US" w:eastAsia="zh-CN"/>
        </w:rPr>
        <w:t>、服务</w:t>
      </w:r>
      <w:r>
        <w:rPr>
          <w:rFonts w:hint="default" w:ascii="Times New Roman" w:hAnsi="Times New Roman" w:eastAsia="宋体" w:cs="Times New Roman"/>
          <w:b/>
          <w:color w:val="auto"/>
          <w:sz w:val="24"/>
          <w:szCs w:val="18"/>
          <w:highlight w:val="none"/>
        </w:rPr>
        <w:t>需求</w:t>
      </w:r>
    </w:p>
    <w:p w14:paraId="20327050">
      <w:pPr>
        <w:spacing w:line="360" w:lineRule="auto"/>
        <w:ind w:firstLine="437"/>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3.1监理范围包括：根据国家法律法规、技术规范、本工程的设计文件及技术资料、招标人的需求和要求、招标人与第三方签订的与本工程有关的各种合同文件，对本工程建设项目实施全过程、全方位项目监理服务。并负责办理（配合）报审、报批手续，包括但不限于：</w:t>
      </w:r>
    </w:p>
    <w:p w14:paraId="73038C18">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（1）施工图审查手续；</w:t>
      </w:r>
    </w:p>
    <w:p w14:paraId="3568B6B9">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2</w:t>
      </w:r>
      <w:r>
        <w:rPr>
          <w:rFonts w:hint="eastAsia" w:ascii="宋体" w:hAnsi="宋体" w:eastAsia="宋体" w:cs="宋体"/>
          <w:b w:val="0"/>
          <w:bCs w:val="0"/>
          <w:color w:val="auto"/>
          <w:sz w:val="24"/>
          <w:szCs w:val="18"/>
          <w:highlight w:val="none"/>
          <w:lang w:val="en-US" w:eastAsia="zh-CN"/>
        </w:rPr>
        <w:t>）建设工程施工许可证</w:t>
      </w:r>
      <w:r>
        <w:rPr>
          <w:rFonts w:hint="eastAsia" w:ascii="宋体" w:hAnsi="宋体" w:cs="宋体"/>
          <w:b w:val="0"/>
          <w:bCs w:val="0"/>
          <w:color w:val="auto"/>
          <w:sz w:val="24"/>
          <w:szCs w:val="18"/>
          <w:highlight w:val="none"/>
          <w:lang w:val="en-US" w:eastAsia="zh-CN"/>
        </w:rPr>
        <w:t>（如需）</w:t>
      </w:r>
      <w:r>
        <w:rPr>
          <w:rFonts w:hint="eastAsia" w:ascii="宋体" w:hAnsi="宋体" w:eastAsia="宋体" w:cs="宋体"/>
          <w:b w:val="0"/>
          <w:bCs w:val="0"/>
          <w:color w:val="auto"/>
          <w:sz w:val="24"/>
          <w:szCs w:val="18"/>
          <w:highlight w:val="none"/>
          <w:lang w:val="en-US" w:eastAsia="zh-CN"/>
        </w:rPr>
        <w:t>；</w:t>
      </w:r>
    </w:p>
    <w:p w14:paraId="4ED17CD5">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3</w:t>
      </w:r>
      <w:r>
        <w:rPr>
          <w:rFonts w:hint="eastAsia" w:ascii="宋体" w:hAnsi="宋体" w:eastAsia="宋体" w:cs="宋体"/>
          <w:b w:val="0"/>
          <w:bCs w:val="0"/>
          <w:color w:val="auto"/>
          <w:sz w:val="24"/>
          <w:szCs w:val="18"/>
          <w:highlight w:val="none"/>
          <w:lang w:val="en-US" w:eastAsia="zh-CN"/>
        </w:rPr>
        <w:t>）工程建设过程中政府相关部门工作的申报、办理及各项费用的缴纳手续；</w:t>
      </w:r>
    </w:p>
    <w:p w14:paraId="547F5880">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4</w:t>
      </w:r>
      <w:r>
        <w:rPr>
          <w:rFonts w:hint="eastAsia" w:ascii="宋体" w:hAnsi="宋体" w:eastAsia="宋体" w:cs="宋体"/>
          <w:b w:val="0"/>
          <w:bCs w:val="0"/>
          <w:color w:val="auto"/>
          <w:sz w:val="24"/>
          <w:szCs w:val="18"/>
          <w:highlight w:val="none"/>
          <w:lang w:val="en-US" w:eastAsia="zh-CN"/>
        </w:rPr>
        <w:t>）施工临时用电、用水等手续；</w:t>
      </w:r>
    </w:p>
    <w:p w14:paraId="28F450FB">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5</w:t>
      </w:r>
      <w:r>
        <w:rPr>
          <w:rFonts w:hint="eastAsia" w:ascii="宋体" w:hAnsi="宋体" w:eastAsia="宋体" w:cs="宋体"/>
          <w:b w:val="0"/>
          <w:bCs w:val="0"/>
          <w:color w:val="auto"/>
          <w:sz w:val="24"/>
          <w:szCs w:val="18"/>
          <w:highlight w:val="none"/>
          <w:lang w:val="en-US" w:eastAsia="zh-CN"/>
        </w:rPr>
        <w:t>）竣工验收手续</w:t>
      </w:r>
      <w:r>
        <w:rPr>
          <w:rFonts w:hint="eastAsia" w:ascii="宋体" w:hAnsi="宋体" w:cs="宋体"/>
          <w:b w:val="0"/>
          <w:bCs w:val="0"/>
          <w:color w:val="auto"/>
          <w:sz w:val="24"/>
          <w:szCs w:val="18"/>
          <w:highlight w:val="none"/>
          <w:lang w:val="en-US" w:eastAsia="zh-CN"/>
        </w:rPr>
        <w:t>（含专项验收）；</w:t>
      </w:r>
    </w:p>
    <w:p w14:paraId="45CC488D">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6</w:t>
      </w:r>
      <w:r>
        <w:rPr>
          <w:rFonts w:hint="eastAsia" w:ascii="宋体" w:hAnsi="宋体" w:eastAsia="宋体" w:cs="宋体"/>
          <w:b w:val="0"/>
          <w:bCs w:val="0"/>
          <w:color w:val="auto"/>
          <w:sz w:val="24"/>
          <w:szCs w:val="18"/>
          <w:highlight w:val="none"/>
          <w:lang w:val="en-US" w:eastAsia="zh-CN"/>
        </w:rPr>
        <w:t>）供水、室外排污、周边道路、有线电视、电信、园林绿化、道口开设等的室外施工审批手续；</w:t>
      </w:r>
    </w:p>
    <w:p w14:paraId="4A70A443">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7</w:t>
      </w:r>
      <w:r>
        <w:rPr>
          <w:rFonts w:hint="eastAsia" w:ascii="宋体" w:hAnsi="宋体" w:eastAsia="宋体" w:cs="宋体"/>
          <w:b w:val="0"/>
          <w:bCs w:val="0"/>
          <w:color w:val="auto"/>
          <w:sz w:val="24"/>
          <w:szCs w:val="18"/>
          <w:highlight w:val="none"/>
          <w:lang w:val="en-US" w:eastAsia="zh-CN"/>
        </w:rPr>
        <w:t>）申报项目竣工审计工作，按计划协调并获得审计批复报告；</w:t>
      </w:r>
    </w:p>
    <w:p w14:paraId="614D0B08">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8</w:t>
      </w:r>
      <w:r>
        <w:rPr>
          <w:rFonts w:hint="eastAsia" w:ascii="宋体" w:hAnsi="宋体" w:eastAsia="宋体" w:cs="宋体"/>
          <w:b w:val="0"/>
          <w:bCs w:val="0"/>
          <w:color w:val="auto"/>
          <w:sz w:val="24"/>
          <w:szCs w:val="18"/>
          <w:highlight w:val="none"/>
          <w:lang w:val="en-US" w:eastAsia="zh-CN"/>
        </w:rPr>
        <w:t>）招标人交代的其他工作。</w:t>
      </w:r>
    </w:p>
    <w:p w14:paraId="64A85CD1">
      <w:pPr>
        <w:spacing w:line="360" w:lineRule="auto"/>
        <w:ind w:firstLine="437"/>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3.2监理工作内容还包括：负责根据工程建设项目的施工特点（包括但不限于给排水、强弱电、室外、综合管网、内外装饰等一切工作）监理、管理和督导，工期阶段包括本工程的施工准备阶段、施工阶段、竣工结算阶段、保修阶段（缺陷责任期）的管理及监理服务。</w:t>
      </w:r>
    </w:p>
    <w:p w14:paraId="31CCF132">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（一）根据国家现行的技术标准、规范、规程为招标人提供工程建设项目监理服务（《建设工程监理规范》中规定的工作内容）；</w:t>
      </w:r>
    </w:p>
    <w:p w14:paraId="2A855023">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（二）根据工程建设项目内容及要求为招标人提供管理及技术咨询服务，包括但不限于以下内容：</w:t>
      </w:r>
    </w:p>
    <w:p w14:paraId="3F9C5A5E">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（1）实施监理工作前，编写监理规划和监理实施细则；确定监理机构组成人员和职能分工；</w:t>
      </w:r>
    </w:p>
    <w:p w14:paraId="39E2D9CE">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（2）协助招标人召开第一次工地会议，起草会议纪要；</w:t>
      </w:r>
    </w:p>
    <w:p w14:paraId="340B2F23">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（3）定期主持召开工地例会，形成会议纪要；</w:t>
      </w:r>
    </w:p>
    <w:p w14:paraId="2521EFC1">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（4）组织项目监理人员熟悉图纸，参加施工图会审和设计交底，提出监理意见；</w:t>
      </w:r>
    </w:p>
    <w:p w14:paraId="45FA8F87">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（5）审查承包人项目现场管理机构的质量管理体系、技术管理体系、质量保证体系和安全保证体系；</w:t>
      </w:r>
    </w:p>
    <w:p w14:paraId="227869E9">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（6）审查承包人提交的施工组织设计、施工方案、总进度计划，提出审查意见；</w:t>
      </w:r>
    </w:p>
    <w:p w14:paraId="1A0A10A8">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（7）审查承包人开工申请报告，审查承包人各项施工准备工作；</w:t>
      </w:r>
    </w:p>
    <w:p w14:paraId="0A8F61E7">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8</w:t>
      </w:r>
      <w:r>
        <w:rPr>
          <w:rFonts w:hint="eastAsia" w:ascii="宋体" w:hAnsi="宋体" w:eastAsia="宋体" w:cs="宋体"/>
          <w:b w:val="0"/>
          <w:bCs w:val="0"/>
          <w:color w:val="auto"/>
          <w:sz w:val="24"/>
          <w:szCs w:val="18"/>
          <w:highlight w:val="none"/>
          <w:lang w:val="en-US" w:eastAsia="zh-CN"/>
        </w:rPr>
        <w:t>）审查承包人测量放线成果并检查对成果的保护措施；做好施工过程中测量复核、交验工作；</w:t>
      </w:r>
    </w:p>
    <w:p w14:paraId="01ADCEFE">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9</w:t>
      </w:r>
      <w:r>
        <w:rPr>
          <w:rFonts w:hint="eastAsia" w:ascii="宋体" w:hAnsi="宋体" w:eastAsia="宋体" w:cs="宋体"/>
          <w:b w:val="0"/>
          <w:bCs w:val="0"/>
          <w:color w:val="auto"/>
          <w:sz w:val="24"/>
          <w:szCs w:val="18"/>
          <w:highlight w:val="none"/>
          <w:lang w:val="en-US" w:eastAsia="zh-CN"/>
        </w:rPr>
        <w:t>）督促承包人报送重点部位、关键工序的施工工艺和确保工程质量的措施，监理审核签认；</w:t>
      </w:r>
    </w:p>
    <w:p w14:paraId="6078F28B">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10</w:t>
      </w:r>
      <w:r>
        <w:rPr>
          <w:rFonts w:hint="eastAsia" w:ascii="宋体" w:hAnsi="宋体" w:eastAsia="宋体" w:cs="宋体"/>
          <w:b w:val="0"/>
          <w:bCs w:val="0"/>
          <w:color w:val="auto"/>
          <w:sz w:val="24"/>
          <w:szCs w:val="18"/>
          <w:highlight w:val="none"/>
          <w:lang w:val="en-US" w:eastAsia="zh-CN"/>
        </w:rPr>
        <w:t>）检查承包人拟进场工程材料、半成品、成品、构配件、设备的质量，审查质量证明资料，需要时采用见证取样方式进行监控；</w:t>
      </w:r>
    </w:p>
    <w:p w14:paraId="5FB29484">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（1</w:t>
      </w:r>
      <w:r>
        <w:rPr>
          <w:rFonts w:hint="eastAsia" w:ascii="宋体" w:hAnsi="宋体" w:cs="宋体"/>
          <w:b w:val="0"/>
          <w:bCs w:val="0"/>
          <w:color w:val="auto"/>
          <w:sz w:val="24"/>
          <w:szCs w:val="18"/>
          <w:highlight w:val="none"/>
          <w:lang w:val="en-US" w:eastAsia="zh-CN"/>
        </w:rPr>
        <w:t>1</w:t>
      </w:r>
      <w:r>
        <w:rPr>
          <w:rFonts w:hint="eastAsia" w:ascii="宋体" w:hAnsi="宋体" w:eastAsia="宋体" w:cs="宋体"/>
          <w:b w:val="0"/>
          <w:bCs w:val="0"/>
          <w:color w:val="auto"/>
          <w:sz w:val="24"/>
          <w:szCs w:val="18"/>
          <w:highlight w:val="none"/>
          <w:lang w:val="en-US" w:eastAsia="zh-CN"/>
        </w:rPr>
        <w:t>）监督承包人按施工规范和设计文件施工，对施工过程进行巡视和检查，对隐蔽工程施工质量进行验收。施工中的重点部位、关键部位安排人员旁站；</w:t>
      </w:r>
    </w:p>
    <w:p w14:paraId="7BC03E1E">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（1</w:t>
      </w:r>
      <w:r>
        <w:rPr>
          <w:rFonts w:hint="eastAsia" w:ascii="宋体" w:hAnsi="宋体" w:cs="宋体"/>
          <w:b w:val="0"/>
          <w:bCs w:val="0"/>
          <w:color w:val="auto"/>
          <w:sz w:val="24"/>
          <w:szCs w:val="18"/>
          <w:highlight w:val="none"/>
          <w:lang w:val="en-US" w:eastAsia="zh-CN"/>
        </w:rPr>
        <w:t>2</w:t>
      </w:r>
      <w:r>
        <w:rPr>
          <w:rFonts w:hint="eastAsia" w:ascii="宋体" w:hAnsi="宋体" w:eastAsia="宋体" w:cs="宋体"/>
          <w:b w:val="0"/>
          <w:bCs w:val="0"/>
          <w:color w:val="auto"/>
          <w:sz w:val="24"/>
          <w:szCs w:val="18"/>
          <w:highlight w:val="none"/>
          <w:lang w:val="en-US" w:eastAsia="zh-CN"/>
        </w:rPr>
        <w:t>）从安全、质量、工期、造价等方面审查设计变更，并提出监理建议；</w:t>
      </w:r>
    </w:p>
    <w:p w14:paraId="1C63B5CB">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（1</w:t>
      </w:r>
      <w:r>
        <w:rPr>
          <w:rFonts w:hint="eastAsia" w:ascii="宋体" w:hAnsi="宋体" w:cs="宋体"/>
          <w:b w:val="0"/>
          <w:bCs w:val="0"/>
          <w:color w:val="auto"/>
          <w:sz w:val="24"/>
          <w:szCs w:val="18"/>
          <w:highlight w:val="none"/>
          <w:lang w:val="en-US" w:eastAsia="zh-CN"/>
        </w:rPr>
        <w:t>3</w:t>
      </w:r>
      <w:r>
        <w:rPr>
          <w:rFonts w:hint="eastAsia" w:ascii="宋体" w:hAnsi="宋体" w:eastAsia="宋体" w:cs="宋体"/>
          <w:b w:val="0"/>
          <w:bCs w:val="0"/>
          <w:color w:val="auto"/>
          <w:sz w:val="24"/>
          <w:szCs w:val="18"/>
          <w:highlight w:val="none"/>
          <w:lang w:val="en-US" w:eastAsia="zh-CN"/>
        </w:rPr>
        <w:t>）对施工中出现的质量缺陷下达整改通知，督促整改，检查验收；</w:t>
      </w:r>
    </w:p>
    <w:p w14:paraId="70D3A014">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（1</w:t>
      </w:r>
      <w:r>
        <w:rPr>
          <w:rFonts w:hint="eastAsia" w:ascii="宋体" w:hAnsi="宋体" w:cs="宋体"/>
          <w:b w:val="0"/>
          <w:bCs w:val="0"/>
          <w:color w:val="auto"/>
          <w:sz w:val="24"/>
          <w:szCs w:val="18"/>
          <w:highlight w:val="none"/>
          <w:lang w:val="en-US" w:eastAsia="zh-CN"/>
        </w:rPr>
        <w:t>4</w:t>
      </w:r>
      <w:r>
        <w:rPr>
          <w:rFonts w:hint="eastAsia" w:ascii="宋体" w:hAnsi="宋体" w:eastAsia="宋体" w:cs="宋体"/>
          <w:b w:val="0"/>
          <w:bCs w:val="0"/>
          <w:color w:val="auto"/>
          <w:sz w:val="24"/>
          <w:szCs w:val="18"/>
          <w:highlight w:val="none"/>
          <w:lang w:val="en-US" w:eastAsia="zh-CN"/>
        </w:rPr>
        <w:t>）对重大质量隐患可能造成（或已发生）质量事故时，及时下达工程暂停令。下达工程暂停令应当事先向招标人报告，如在紧急情况下未能书面报告时，立即向招标人口头汇报并在24小时内作出书面报告；</w:t>
      </w:r>
    </w:p>
    <w:p w14:paraId="5926A574">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（1</w:t>
      </w:r>
      <w:r>
        <w:rPr>
          <w:rFonts w:hint="eastAsia" w:ascii="宋体" w:hAnsi="宋体" w:cs="宋体"/>
          <w:b w:val="0"/>
          <w:bCs w:val="0"/>
          <w:color w:val="auto"/>
          <w:sz w:val="24"/>
          <w:szCs w:val="18"/>
          <w:highlight w:val="none"/>
          <w:lang w:val="en-US" w:eastAsia="zh-CN"/>
        </w:rPr>
        <w:t>5</w:t>
      </w:r>
      <w:r>
        <w:rPr>
          <w:rFonts w:hint="eastAsia" w:ascii="宋体" w:hAnsi="宋体" w:eastAsia="宋体" w:cs="宋体"/>
          <w:b w:val="0"/>
          <w:bCs w:val="0"/>
          <w:color w:val="auto"/>
          <w:sz w:val="24"/>
          <w:szCs w:val="18"/>
          <w:highlight w:val="none"/>
          <w:lang w:val="en-US" w:eastAsia="zh-CN"/>
        </w:rPr>
        <w:t>）对需返工处理或加固补强的质量事故，责令承包人报送质量事故报告，组织工程质量事故分析。督促承包人按设计认可的处理方案进行整改，对质量事故的处理过程和结果跟踪检查和验收，及时记录归档资料；</w:t>
      </w:r>
    </w:p>
    <w:p w14:paraId="3CFD2801">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（1</w:t>
      </w:r>
      <w:r>
        <w:rPr>
          <w:rFonts w:hint="eastAsia" w:ascii="宋体" w:hAnsi="宋体" w:cs="宋体"/>
          <w:b w:val="0"/>
          <w:bCs w:val="0"/>
          <w:color w:val="auto"/>
          <w:sz w:val="24"/>
          <w:szCs w:val="18"/>
          <w:highlight w:val="none"/>
          <w:lang w:val="en-US" w:eastAsia="zh-CN"/>
        </w:rPr>
        <w:t>6</w:t>
      </w:r>
      <w:r>
        <w:rPr>
          <w:rFonts w:hint="eastAsia" w:ascii="宋体" w:hAnsi="宋体" w:eastAsia="宋体" w:cs="宋体"/>
          <w:b w:val="0"/>
          <w:bCs w:val="0"/>
          <w:color w:val="auto"/>
          <w:sz w:val="24"/>
          <w:szCs w:val="18"/>
          <w:highlight w:val="none"/>
          <w:lang w:val="en-US" w:eastAsia="zh-CN"/>
        </w:rPr>
        <w:t>）审核设计变更、现场签证调整预算；</w:t>
      </w:r>
    </w:p>
    <w:p w14:paraId="57A565BE">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17</w:t>
      </w:r>
      <w:r>
        <w:rPr>
          <w:rFonts w:hint="eastAsia" w:ascii="宋体" w:hAnsi="宋体" w:eastAsia="宋体" w:cs="宋体"/>
          <w:b w:val="0"/>
          <w:bCs w:val="0"/>
          <w:color w:val="auto"/>
          <w:sz w:val="24"/>
          <w:szCs w:val="18"/>
          <w:highlight w:val="none"/>
          <w:lang w:val="en-US" w:eastAsia="zh-CN"/>
        </w:rPr>
        <w:t>）审核已完合格工程的工作量，签署工程款支付证书；</w:t>
      </w:r>
    </w:p>
    <w:p w14:paraId="3529CC9D">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18</w:t>
      </w:r>
      <w:r>
        <w:rPr>
          <w:rFonts w:hint="eastAsia" w:ascii="宋体" w:hAnsi="宋体" w:eastAsia="宋体" w:cs="宋体"/>
          <w:b w:val="0"/>
          <w:bCs w:val="0"/>
          <w:color w:val="auto"/>
          <w:sz w:val="24"/>
          <w:szCs w:val="18"/>
          <w:highlight w:val="none"/>
          <w:lang w:val="en-US" w:eastAsia="zh-CN"/>
        </w:rPr>
        <w:t>）审核承包人编制的工程结算；</w:t>
      </w:r>
    </w:p>
    <w:p w14:paraId="77665477">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19</w:t>
      </w:r>
      <w:r>
        <w:rPr>
          <w:rFonts w:hint="eastAsia" w:ascii="宋体" w:hAnsi="宋体" w:eastAsia="宋体" w:cs="宋体"/>
          <w:b w:val="0"/>
          <w:bCs w:val="0"/>
          <w:color w:val="auto"/>
          <w:sz w:val="24"/>
          <w:szCs w:val="18"/>
          <w:highlight w:val="none"/>
          <w:lang w:val="en-US" w:eastAsia="zh-CN"/>
        </w:rPr>
        <w:t>）根据施工合同条款、施工图及施工组织设计制定进度控制方案，对进度目标进行风险分析，制定防范对策，报委托人；</w:t>
      </w:r>
    </w:p>
    <w:p w14:paraId="5D9ACA78">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20</w:t>
      </w:r>
      <w:r>
        <w:rPr>
          <w:rFonts w:hint="eastAsia" w:ascii="宋体" w:hAnsi="宋体" w:eastAsia="宋体" w:cs="宋体"/>
          <w:b w:val="0"/>
          <w:bCs w:val="0"/>
          <w:color w:val="auto"/>
          <w:sz w:val="24"/>
          <w:szCs w:val="18"/>
          <w:highlight w:val="none"/>
          <w:lang w:val="en-US" w:eastAsia="zh-CN"/>
        </w:rPr>
        <w:t>）审查承包人人员、设备的安全资格和安全专项方案，监督安全生产、文明施工。加强日常安全管理，定期组织有关单位进行安全大检查，发现问题督促责任方整改；</w:t>
      </w:r>
    </w:p>
    <w:p w14:paraId="23079F80">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（2</w:t>
      </w:r>
      <w:r>
        <w:rPr>
          <w:rFonts w:hint="eastAsia" w:ascii="宋体" w:hAnsi="宋体" w:cs="宋体"/>
          <w:b w:val="0"/>
          <w:bCs w:val="0"/>
          <w:color w:val="auto"/>
          <w:sz w:val="24"/>
          <w:szCs w:val="18"/>
          <w:highlight w:val="none"/>
          <w:lang w:val="en-US" w:eastAsia="zh-CN"/>
        </w:rPr>
        <w:t>1</w:t>
      </w:r>
      <w:r>
        <w:rPr>
          <w:rFonts w:hint="eastAsia" w:ascii="宋体" w:hAnsi="宋体" w:eastAsia="宋体" w:cs="宋体"/>
          <w:b w:val="0"/>
          <w:bCs w:val="0"/>
          <w:color w:val="auto"/>
          <w:sz w:val="24"/>
          <w:szCs w:val="18"/>
          <w:highlight w:val="none"/>
          <w:lang w:val="en-US" w:eastAsia="zh-CN"/>
        </w:rPr>
        <w:t>）协调施工中相关方工作；</w:t>
      </w:r>
    </w:p>
    <w:p w14:paraId="78F6D117">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（2</w:t>
      </w:r>
      <w:r>
        <w:rPr>
          <w:rFonts w:hint="eastAsia" w:ascii="宋体" w:hAnsi="宋体" w:cs="宋体"/>
          <w:b w:val="0"/>
          <w:bCs w:val="0"/>
          <w:color w:val="auto"/>
          <w:sz w:val="24"/>
          <w:szCs w:val="18"/>
          <w:highlight w:val="none"/>
          <w:lang w:val="en-US" w:eastAsia="zh-CN"/>
        </w:rPr>
        <w:t>2</w:t>
      </w:r>
      <w:r>
        <w:rPr>
          <w:rFonts w:hint="eastAsia" w:ascii="宋体" w:hAnsi="宋体" w:eastAsia="宋体" w:cs="宋体"/>
          <w:b w:val="0"/>
          <w:bCs w:val="0"/>
          <w:color w:val="auto"/>
          <w:sz w:val="24"/>
          <w:szCs w:val="18"/>
          <w:highlight w:val="none"/>
          <w:lang w:val="en-US" w:eastAsia="zh-CN"/>
        </w:rPr>
        <w:t>）编报监理工作阶段总结和专题报告</w:t>
      </w:r>
      <w:r>
        <w:rPr>
          <w:rFonts w:hint="eastAsia" w:ascii="宋体" w:hAnsi="宋体" w:cs="宋体"/>
          <w:b w:val="0"/>
          <w:bCs w:val="0"/>
          <w:color w:val="auto"/>
          <w:sz w:val="24"/>
          <w:szCs w:val="18"/>
          <w:highlight w:val="none"/>
          <w:lang w:val="en-US" w:eastAsia="zh-CN"/>
        </w:rPr>
        <w:t>，</w:t>
      </w:r>
      <w:r>
        <w:rPr>
          <w:rFonts w:hint="eastAsia" w:ascii="宋体" w:hAnsi="宋体" w:eastAsia="宋体" w:cs="宋体"/>
          <w:b w:val="0"/>
          <w:bCs w:val="0"/>
          <w:color w:val="auto"/>
          <w:sz w:val="24"/>
          <w:szCs w:val="18"/>
          <w:highlight w:val="none"/>
          <w:lang w:val="en-US" w:eastAsia="zh-CN"/>
        </w:rPr>
        <w:t>重点报告施工安全管理，工程质量、进度、投资控制的执行情况，提出工程中存在的问题及处理建议；</w:t>
      </w:r>
    </w:p>
    <w:p w14:paraId="2C196A8A">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（2</w:t>
      </w:r>
      <w:r>
        <w:rPr>
          <w:rFonts w:hint="eastAsia" w:ascii="宋体" w:hAnsi="宋体" w:cs="宋体"/>
          <w:b w:val="0"/>
          <w:bCs w:val="0"/>
          <w:color w:val="auto"/>
          <w:sz w:val="24"/>
          <w:szCs w:val="18"/>
          <w:highlight w:val="none"/>
          <w:lang w:val="en-US" w:eastAsia="zh-CN"/>
        </w:rPr>
        <w:t>3</w:t>
      </w:r>
      <w:r>
        <w:rPr>
          <w:rFonts w:hint="eastAsia" w:ascii="宋体" w:hAnsi="宋体" w:eastAsia="宋体" w:cs="宋体"/>
          <w:b w:val="0"/>
          <w:bCs w:val="0"/>
          <w:color w:val="auto"/>
          <w:sz w:val="24"/>
          <w:szCs w:val="18"/>
          <w:highlight w:val="none"/>
          <w:lang w:val="en-US" w:eastAsia="zh-CN"/>
        </w:rPr>
        <w:t>）审查竣工资料，组织单位工程竣工预验收，签署工程竣工报验单，提出工程质量评估报告；</w:t>
      </w:r>
    </w:p>
    <w:p w14:paraId="0D902336">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24</w:t>
      </w:r>
      <w:r>
        <w:rPr>
          <w:rFonts w:hint="eastAsia" w:ascii="宋体" w:hAnsi="宋体" w:eastAsia="宋体" w:cs="宋体"/>
          <w:b w:val="0"/>
          <w:bCs w:val="0"/>
          <w:color w:val="auto"/>
          <w:sz w:val="24"/>
          <w:szCs w:val="18"/>
          <w:highlight w:val="none"/>
          <w:lang w:val="en-US" w:eastAsia="zh-CN"/>
        </w:rPr>
        <w:t>）参加招标人组织的竣工验收，提交相关的监理资料，签署竣工验收报告；</w:t>
      </w:r>
    </w:p>
    <w:p w14:paraId="37F0AD52">
      <w:pPr>
        <w:spacing w:line="360" w:lineRule="auto"/>
        <w:ind w:left="437"/>
        <w:rPr>
          <w:rFonts w:hint="eastAsia" w:ascii="宋体" w:hAnsi="宋体" w:eastAsia="宋体" w:cs="宋体"/>
          <w:b w:val="0"/>
          <w:bCs w:val="0"/>
          <w:color w:val="auto"/>
          <w:sz w:val="24"/>
          <w:szCs w:val="18"/>
          <w:highlight w:val="none"/>
          <w:lang w:val="en-US" w:eastAsia="zh-CN"/>
        </w:rPr>
      </w:pPr>
      <w:r>
        <w:rPr>
          <w:rFonts w:hint="eastAsia" w:ascii="宋体" w:hAnsi="宋体" w:eastAsia="宋体" w:cs="宋体"/>
          <w:b w:val="0"/>
          <w:bCs w:val="0"/>
          <w:color w:val="auto"/>
          <w:sz w:val="24"/>
          <w:szCs w:val="18"/>
          <w:highlight w:val="none"/>
          <w:lang w:val="en-US" w:eastAsia="zh-CN"/>
        </w:rPr>
        <w:t>（</w:t>
      </w:r>
      <w:r>
        <w:rPr>
          <w:rFonts w:hint="eastAsia" w:ascii="宋体" w:hAnsi="宋体" w:cs="宋体"/>
          <w:b w:val="0"/>
          <w:bCs w:val="0"/>
          <w:color w:val="auto"/>
          <w:sz w:val="24"/>
          <w:szCs w:val="18"/>
          <w:highlight w:val="none"/>
          <w:lang w:val="en-US" w:eastAsia="zh-CN"/>
        </w:rPr>
        <w:t>25</w:t>
      </w:r>
      <w:r>
        <w:rPr>
          <w:rFonts w:hint="eastAsia" w:ascii="宋体" w:hAnsi="宋体" w:eastAsia="宋体" w:cs="宋体"/>
          <w:b w:val="0"/>
          <w:bCs w:val="0"/>
          <w:color w:val="auto"/>
          <w:sz w:val="24"/>
          <w:szCs w:val="18"/>
          <w:highlight w:val="none"/>
          <w:lang w:val="en-US" w:eastAsia="zh-CN"/>
        </w:rPr>
        <w:t>）负责办理招标人交代的其他工作。</w:t>
      </w:r>
    </w:p>
    <w:p w14:paraId="0D07BAE9">
      <w:pPr>
        <w:spacing w:line="360" w:lineRule="auto"/>
        <w:ind w:left="437"/>
        <w:rPr>
          <w:rFonts w:hint="default" w:ascii="Times New Roman" w:hAnsi="Times New Roman" w:cs="Times New Roman"/>
          <w:b/>
          <w:bCs/>
          <w:color w:val="auto"/>
          <w:sz w:val="24"/>
          <w:szCs w:val="18"/>
          <w:highlight w:val="none"/>
        </w:rPr>
      </w:pPr>
      <w:r>
        <w:rPr>
          <w:rFonts w:hint="eastAsia" w:ascii="Times New Roman" w:hAnsi="Times New Roman" w:cs="Times New Roman"/>
          <w:b/>
          <w:bCs/>
          <w:color w:val="auto"/>
          <w:sz w:val="24"/>
          <w:szCs w:val="18"/>
          <w:highlight w:val="none"/>
          <w:lang w:val="en-US" w:eastAsia="zh-CN"/>
        </w:rPr>
        <w:t>四</w:t>
      </w:r>
      <w:r>
        <w:rPr>
          <w:rFonts w:hint="default" w:ascii="Times New Roman" w:hAnsi="Times New Roman" w:cs="Times New Roman"/>
          <w:b/>
          <w:bCs/>
          <w:color w:val="auto"/>
          <w:sz w:val="24"/>
          <w:szCs w:val="18"/>
          <w:highlight w:val="none"/>
        </w:rPr>
        <w:t>、报价要求</w:t>
      </w:r>
    </w:p>
    <w:p w14:paraId="51EC422B">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本项目采用固定费率招标</w:t>
      </w:r>
      <w:r>
        <w:rPr>
          <w:rFonts w:hint="default"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监理</w:t>
      </w:r>
      <w:r>
        <w:rPr>
          <w:rFonts w:hint="default" w:ascii="宋体" w:hAnsi="宋体" w:eastAsia="宋体" w:cs="宋体"/>
          <w:b w:val="0"/>
          <w:bCs/>
          <w:color w:val="auto"/>
          <w:sz w:val="24"/>
          <w:szCs w:val="24"/>
          <w:highlight w:val="none"/>
          <w:lang w:val="en-US" w:eastAsia="zh-CN"/>
        </w:rPr>
        <w:t>费采用“固定计价费率，暂定合同总价”计价方式，暂定合同价</w:t>
      </w:r>
      <w:r>
        <w:rPr>
          <w:rFonts w:hint="eastAsia" w:ascii="宋体" w:hAnsi="宋体" w:cs="宋体"/>
          <w:b w:val="0"/>
          <w:bCs/>
          <w:color w:val="auto"/>
          <w:sz w:val="24"/>
          <w:szCs w:val="24"/>
          <w:highlight w:val="none"/>
          <w:lang w:val="en-US" w:eastAsia="zh-CN"/>
        </w:rPr>
        <w:t>9.24</w:t>
      </w:r>
      <w:r>
        <w:rPr>
          <w:rFonts w:hint="default" w:ascii="宋体" w:hAnsi="宋体" w:eastAsia="宋体" w:cs="宋体"/>
          <w:b w:val="0"/>
          <w:bCs/>
          <w:color w:val="auto"/>
          <w:sz w:val="24"/>
          <w:szCs w:val="24"/>
          <w:highlight w:val="none"/>
          <w:lang w:val="en-US" w:eastAsia="zh-CN"/>
        </w:rPr>
        <w:t>万元，</w:t>
      </w:r>
      <w:r>
        <w:rPr>
          <w:rFonts w:hint="default" w:ascii="Times New Roman" w:hAnsi="Times New Roman" w:eastAsia="宋体" w:cs="Times New Roman"/>
          <w:color w:val="auto"/>
          <w:sz w:val="24"/>
          <w:szCs w:val="24"/>
          <w:highlight w:val="none"/>
          <w:lang w:val="en-US" w:eastAsia="zh-CN"/>
        </w:rPr>
        <w:t>最终监理费以</w:t>
      </w:r>
      <w:r>
        <w:rPr>
          <w:rFonts w:hint="eastAsia" w:ascii="Times New Roman" w:hAnsi="Times New Roman" w:cs="Times New Roman"/>
          <w:color w:val="auto"/>
          <w:sz w:val="24"/>
          <w:szCs w:val="24"/>
          <w:highlight w:val="none"/>
          <w:lang w:val="en-US" w:eastAsia="zh-CN"/>
        </w:rPr>
        <w:t>施工招标</w:t>
      </w:r>
      <w:r>
        <w:rPr>
          <w:rFonts w:hint="default" w:ascii="Times New Roman" w:hAnsi="Times New Roman" w:eastAsia="宋体" w:cs="Times New Roman"/>
          <w:color w:val="auto"/>
          <w:sz w:val="24"/>
          <w:szCs w:val="24"/>
          <w:highlight w:val="none"/>
          <w:lang w:val="en-US" w:eastAsia="zh-CN"/>
        </w:rPr>
        <w:t>的清单控制价为结算依据</w:t>
      </w:r>
      <w:r>
        <w:rPr>
          <w:rFonts w:hint="default" w:ascii="宋体" w:hAnsi="宋体" w:eastAsia="宋体" w:cs="宋体"/>
          <w:b w:val="0"/>
          <w:bCs/>
          <w:color w:val="auto"/>
          <w:sz w:val="24"/>
          <w:szCs w:val="24"/>
          <w:highlight w:val="none"/>
          <w:lang w:val="en-US" w:eastAsia="zh-CN"/>
        </w:rPr>
        <w:t>，参照《建设工程监理与相关服务收费管理规定》（发改价格[2007]670号）计算得出的监理费基准价（专业调整系数、复杂程度调整系数、高程调整系数均为1.0）*</w:t>
      </w:r>
      <w:r>
        <w:rPr>
          <w:rFonts w:hint="default" w:ascii="宋体" w:hAnsi="宋体" w:eastAsia="宋体" w:cs="宋体"/>
          <w:b/>
          <w:bCs w:val="0"/>
          <w:color w:val="auto"/>
          <w:sz w:val="24"/>
          <w:szCs w:val="24"/>
          <w:highlight w:val="none"/>
          <w:lang w:val="en-US" w:eastAsia="zh-CN"/>
        </w:rPr>
        <w:t>固定费率为70%</w:t>
      </w:r>
      <w:r>
        <w:rPr>
          <w:rFonts w:hint="default" w:ascii="宋体" w:hAnsi="宋体" w:eastAsia="宋体" w:cs="宋体"/>
          <w:b w:val="0"/>
          <w:bCs/>
          <w:color w:val="auto"/>
          <w:sz w:val="24"/>
          <w:szCs w:val="24"/>
          <w:highlight w:val="none"/>
          <w:lang w:val="en-US" w:eastAsia="zh-CN"/>
        </w:rPr>
        <w:t>，如最终</w:t>
      </w:r>
      <w:r>
        <w:rPr>
          <w:rFonts w:hint="eastAsia" w:ascii="宋体" w:hAnsi="宋体" w:eastAsia="宋体" w:cs="宋体"/>
          <w:b w:val="0"/>
          <w:bCs/>
          <w:color w:val="auto"/>
          <w:sz w:val="24"/>
          <w:szCs w:val="24"/>
          <w:highlight w:val="none"/>
          <w:lang w:val="en-US" w:eastAsia="zh-CN"/>
        </w:rPr>
        <w:t>监理费</w:t>
      </w:r>
      <w:r>
        <w:rPr>
          <w:rFonts w:hint="default" w:ascii="宋体" w:hAnsi="宋体" w:eastAsia="宋体" w:cs="宋体"/>
          <w:b w:val="0"/>
          <w:bCs/>
          <w:color w:val="auto"/>
          <w:sz w:val="24"/>
          <w:szCs w:val="24"/>
          <w:highlight w:val="none"/>
          <w:lang w:val="en-US" w:eastAsia="zh-CN"/>
        </w:rPr>
        <w:t>超过暂定合同价，则最终</w:t>
      </w:r>
      <w:r>
        <w:rPr>
          <w:rFonts w:hint="eastAsia" w:ascii="宋体" w:hAnsi="宋体" w:eastAsia="宋体" w:cs="宋体"/>
          <w:b w:val="0"/>
          <w:bCs/>
          <w:color w:val="auto"/>
          <w:sz w:val="24"/>
          <w:szCs w:val="24"/>
          <w:highlight w:val="none"/>
          <w:lang w:val="en-US" w:eastAsia="zh-CN"/>
        </w:rPr>
        <w:t>监理费按</w:t>
      </w:r>
      <w:r>
        <w:rPr>
          <w:rFonts w:hint="default" w:ascii="宋体" w:hAnsi="宋体" w:eastAsia="宋体" w:cs="宋体"/>
          <w:b w:val="0"/>
          <w:bCs/>
          <w:color w:val="auto"/>
          <w:sz w:val="24"/>
          <w:szCs w:val="24"/>
          <w:highlight w:val="none"/>
          <w:lang w:val="en-US" w:eastAsia="zh-CN"/>
        </w:rPr>
        <w:t>暂定合同价</w:t>
      </w:r>
      <w:r>
        <w:rPr>
          <w:rFonts w:hint="eastAsia" w:ascii="宋体" w:hAnsi="宋体" w:eastAsia="宋体" w:cs="宋体"/>
          <w:b w:val="0"/>
          <w:bCs/>
          <w:color w:val="auto"/>
          <w:sz w:val="24"/>
          <w:szCs w:val="24"/>
          <w:highlight w:val="none"/>
          <w:lang w:val="en-US" w:eastAsia="zh-CN"/>
        </w:rPr>
        <w:t>进行结算</w:t>
      </w:r>
      <w:r>
        <w:rPr>
          <w:rFonts w:hint="default" w:ascii="宋体" w:hAnsi="宋体" w:eastAsia="宋体" w:cs="宋体"/>
          <w:b w:val="0"/>
          <w:bCs/>
          <w:color w:val="auto"/>
          <w:sz w:val="24"/>
          <w:szCs w:val="24"/>
          <w:highlight w:val="none"/>
          <w:lang w:val="en-US" w:eastAsia="zh-CN"/>
        </w:rPr>
        <w:t>，投标人须充分踏勘现场，充分考虑此风险。</w:t>
      </w:r>
    </w:p>
    <w:p w14:paraId="00CC74E2">
      <w:pPr>
        <w:spacing w:line="360" w:lineRule="auto"/>
        <w:ind w:left="437"/>
        <w:rPr>
          <w:rFonts w:hint="default" w:ascii="Times New Roman" w:hAnsi="Times New Roman" w:eastAsia="宋体" w:cs="Times New Roman"/>
          <w:b/>
          <w:bCs/>
          <w:color w:val="auto"/>
          <w:sz w:val="24"/>
          <w:szCs w:val="18"/>
          <w:highlight w:val="none"/>
          <w:lang w:val="en-US" w:eastAsia="zh-CN"/>
        </w:rPr>
      </w:pPr>
      <w:r>
        <w:rPr>
          <w:rFonts w:hint="eastAsia" w:ascii="Times New Roman" w:hAnsi="Times New Roman" w:eastAsia="宋体" w:cs="Times New Roman"/>
          <w:b/>
          <w:bCs/>
          <w:color w:val="auto"/>
          <w:sz w:val="24"/>
          <w:szCs w:val="18"/>
          <w:highlight w:val="none"/>
          <w:lang w:val="en-US" w:eastAsia="zh-CN"/>
        </w:rPr>
        <w:t>五</w:t>
      </w:r>
      <w:r>
        <w:rPr>
          <w:rFonts w:hint="default" w:ascii="Times New Roman" w:hAnsi="Times New Roman" w:eastAsia="宋体" w:cs="Times New Roman"/>
          <w:b/>
          <w:bCs/>
          <w:color w:val="auto"/>
          <w:sz w:val="24"/>
          <w:szCs w:val="18"/>
          <w:highlight w:val="none"/>
          <w:lang w:val="en-US" w:eastAsia="zh-CN"/>
        </w:rPr>
        <w:t>、其他要求</w:t>
      </w:r>
    </w:p>
    <w:p w14:paraId="67031D63">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bookmarkStart w:id="50" w:name="_Toc7286"/>
      <w:r>
        <w:rPr>
          <w:rFonts w:hint="eastAsia" w:ascii="宋体" w:hAnsi="宋体" w:eastAsia="宋体" w:cs="宋体"/>
          <w:b w:val="0"/>
          <w:bCs/>
          <w:sz w:val="24"/>
          <w:szCs w:val="24"/>
          <w:highlight w:val="none"/>
          <w:lang w:val="en-US" w:eastAsia="zh-CN"/>
        </w:rPr>
        <w:t>1.投标人必须有良好的社会信誉，具备相应项目监理技术及技术装备。</w:t>
      </w:r>
    </w:p>
    <w:p w14:paraId="49EDD14E">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2.各投标人必须按本工程的特点，认真阅读招标文件内容，按照招标文件要求编写投标文件、工程监理大纲，其内容必须详尽。</w:t>
      </w:r>
    </w:p>
    <w:p w14:paraId="52BADF2E">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3.投标人须具备保证施工安全、质量、进度、投资的监理管理体系。</w:t>
      </w:r>
    </w:p>
    <w:p w14:paraId="2B1DBB0E">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4.承担本工程的项目监理机构须进驻现场。在本工程合同服务期间，总监理工程师及代表不得再承接其他新的项目，须全力服务于本项目，否则招标人有权终止合同。</w:t>
      </w:r>
    </w:p>
    <w:p w14:paraId="5170DE23">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在建设过程中，中标人必须按投标时承诺配备的人员及时到位，配备专业人员，未经招标人同意，中标人不得擅自更换或者减少上述人员。根据项目建设情况，保证人员每天到场数量，招标人有权根据人员到位情况，要求其增加专业人员，中标人必须服从，否则，视同中标人违约，招标人有权中止合同履行。</w:t>
      </w:r>
    </w:p>
    <w:p w14:paraId="6490C406">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6.工程延期：本工程实际工期超出合同工期的不予支付监理的延期费用，相关费用已包含在投标报价中，不另行计取。</w:t>
      </w:r>
    </w:p>
    <w:p w14:paraId="4D0B2F2E">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投标人应认真对现场进行踏勘，对建设场地的地理位置、施工现场的一切情况和影响施工的因素以及困难条件进行周密的察勘和研究，作出自己的判断结论和估价，报价时要充分考虑上述因素。中标后签订合同时和实施项目监理服务过程中，投标人不得以不完全了解现场情况为由，提出任何形式的增加服务费用的要求。</w:t>
      </w:r>
    </w:p>
    <w:p w14:paraId="22822D72">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8、人员要求</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2"/>
        <w:gridCol w:w="1713"/>
        <w:gridCol w:w="1702"/>
        <w:gridCol w:w="1703"/>
      </w:tblGrid>
      <w:tr w14:paraId="3A58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59F947F5">
            <w:pPr>
              <w:jc w:val="center"/>
              <w:rPr>
                <w:rFonts w:hint="eastAsia" w:ascii="宋体" w:hAnsi="宋体" w:cs="宋体"/>
                <w:color w:val="000000"/>
                <w:highlight w:val="none"/>
              </w:rPr>
            </w:pPr>
            <w:r>
              <w:rPr>
                <w:rFonts w:hint="eastAsia" w:ascii="宋体" w:hAnsi="宋体" w:cs="宋体"/>
                <w:color w:val="000000"/>
                <w:highlight w:val="none"/>
              </w:rPr>
              <w:t>监理组织机构人员配备</w:t>
            </w:r>
          </w:p>
        </w:tc>
      </w:tr>
      <w:tr w14:paraId="0352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02" w:type="dxa"/>
            <w:noWrap w:val="0"/>
            <w:vAlign w:val="top"/>
          </w:tcPr>
          <w:p w14:paraId="311268A0">
            <w:pPr>
              <w:widowControl/>
              <w:spacing w:line="240" w:lineRule="exact"/>
              <w:jc w:val="center"/>
              <w:rPr>
                <w:rFonts w:hint="eastAsia" w:ascii="宋体" w:hAnsi="宋体" w:cs="宋体"/>
                <w:color w:val="000000"/>
                <w:kern w:val="0"/>
                <w:szCs w:val="21"/>
                <w:highlight w:val="none"/>
                <w:lang w:bidi="ar"/>
              </w:rPr>
            </w:pPr>
          </w:p>
          <w:p w14:paraId="2413E3BF">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执业资格/职称要求</w:t>
            </w:r>
          </w:p>
          <w:p w14:paraId="7398338E">
            <w:pPr>
              <w:spacing w:line="240" w:lineRule="exact"/>
              <w:jc w:val="center"/>
              <w:rPr>
                <w:rFonts w:hint="eastAsia" w:ascii="宋体" w:hAnsi="宋体" w:cs="宋体"/>
                <w:color w:val="000000"/>
                <w:highlight w:val="none"/>
              </w:rPr>
            </w:pPr>
          </w:p>
        </w:tc>
        <w:tc>
          <w:tcPr>
            <w:tcW w:w="1702" w:type="dxa"/>
            <w:noWrap w:val="0"/>
            <w:vAlign w:val="top"/>
          </w:tcPr>
          <w:p w14:paraId="3EFC70EC">
            <w:pPr>
              <w:spacing w:line="240" w:lineRule="exact"/>
              <w:jc w:val="center"/>
              <w:rPr>
                <w:rFonts w:hint="eastAsia" w:ascii="宋体" w:hAnsi="宋体" w:cs="宋体"/>
                <w:color w:val="000000"/>
                <w:highlight w:val="none"/>
              </w:rPr>
            </w:pPr>
          </w:p>
          <w:p w14:paraId="0EDE2BBA">
            <w:pPr>
              <w:spacing w:line="240" w:lineRule="exact"/>
              <w:jc w:val="center"/>
              <w:rPr>
                <w:rFonts w:hint="eastAsia" w:ascii="宋体" w:hAnsi="宋体" w:cs="宋体"/>
                <w:color w:val="000000"/>
                <w:highlight w:val="none"/>
              </w:rPr>
            </w:pPr>
            <w:r>
              <w:rPr>
                <w:rFonts w:hint="eastAsia" w:ascii="宋体" w:hAnsi="宋体" w:cs="宋体"/>
                <w:color w:val="000000"/>
                <w:highlight w:val="none"/>
              </w:rPr>
              <w:t>专业</w:t>
            </w:r>
          </w:p>
        </w:tc>
        <w:tc>
          <w:tcPr>
            <w:tcW w:w="1713" w:type="dxa"/>
            <w:noWrap w:val="0"/>
            <w:vAlign w:val="top"/>
          </w:tcPr>
          <w:p w14:paraId="6536043B">
            <w:pPr>
              <w:spacing w:line="240" w:lineRule="exact"/>
              <w:jc w:val="center"/>
              <w:rPr>
                <w:rFonts w:hint="eastAsia" w:ascii="宋体" w:hAnsi="宋体" w:cs="宋体"/>
                <w:color w:val="000000"/>
                <w:highlight w:val="none"/>
              </w:rPr>
            </w:pPr>
          </w:p>
          <w:p w14:paraId="2A546584">
            <w:pPr>
              <w:spacing w:line="240" w:lineRule="exact"/>
              <w:jc w:val="center"/>
              <w:rPr>
                <w:rFonts w:hint="eastAsia" w:ascii="宋体" w:hAnsi="宋体" w:cs="宋体"/>
                <w:color w:val="000000"/>
                <w:highlight w:val="none"/>
              </w:rPr>
            </w:pPr>
            <w:r>
              <w:rPr>
                <w:rFonts w:hint="eastAsia" w:ascii="宋体" w:hAnsi="宋体" w:cs="宋体"/>
                <w:color w:val="000000"/>
                <w:highlight w:val="none"/>
              </w:rPr>
              <w:t>岗位</w:t>
            </w:r>
          </w:p>
        </w:tc>
        <w:tc>
          <w:tcPr>
            <w:tcW w:w="1702" w:type="dxa"/>
            <w:noWrap w:val="0"/>
            <w:vAlign w:val="top"/>
          </w:tcPr>
          <w:p w14:paraId="40A004EE">
            <w:pPr>
              <w:spacing w:line="240" w:lineRule="exact"/>
              <w:jc w:val="center"/>
              <w:rPr>
                <w:rFonts w:hint="eastAsia" w:ascii="宋体" w:hAnsi="宋体" w:cs="宋体"/>
                <w:color w:val="000000"/>
                <w:highlight w:val="none"/>
              </w:rPr>
            </w:pPr>
          </w:p>
          <w:p w14:paraId="03108BC0">
            <w:pPr>
              <w:spacing w:line="240" w:lineRule="exact"/>
              <w:jc w:val="center"/>
              <w:rPr>
                <w:rFonts w:hint="eastAsia" w:ascii="宋体" w:hAnsi="宋体" w:cs="宋体"/>
                <w:color w:val="000000"/>
                <w:highlight w:val="none"/>
              </w:rPr>
            </w:pPr>
            <w:r>
              <w:rPr>
                <w:rFonts w:hint="eastAsia" w:ascii="宋体" w:hAnsi="宋体" w:cs="宋体"/>
                <w:color w:val="000000"/>
                <w:highlight w:val="none"/>
              </w:rPr>
              <w:t>人员配额</w:t>
            </w:r>
          </w:p>
        </w:tc>
        <w:tc>
          <w:tcPr>
            <w:tcW w:w="1703" w:type="dxa"/>
            <w:noWrap w:val="0"/>
            <w:vAlign w:val="top"/>
          </w:tcPr>
          <w:p w14:paraId="1A9A2614">
            <w:pPr>
              <w:spacing w:line="240" w:lineRule="exact"/>
              <w:jc w:val="center"/>
              <w:rPr>
                <w:rFonts w:hint="eastAsia" w:ascii="宋体" w:hAnsi="宋体" w:cs="宋体"/>
                <w:color w:val="000000"/>
                <w:highlight w:val="none"/>
              </w:rPr>
            </w:pPr>
          </w:p>
          <w:p w14:paraId="4E601984">
            <w:pPr>
              <w:spacing w:line="240" w:lineRule="exact"/>
              <w:jc w:val="center"/>
              <w:rPr>
                <w:rFonts w:hint="eastAsia" w:ascii="宋体" w:hAnsi="宋体" w:cs="宋体"/>
                <w:color w:val="000000"/>
                <w:highlight w:val="none"/>
              </w:rPr>
            </w:pPr>
            <w:r>
              <w:rPr>
                <w:rFonts w:hint="eastAsia" w:ascii="宋体" w:hAnsi="宋体" w:cs="宋体"/>
                <w:color w:val="000000"/>
                <w:highlight w:val="none"/>
              </w:rPr>
              <w:t>备注</w:t>
            </w:r>
          </w:p>
        </w:tc>
      </w:tr>
      <w:tr w14:paraId="0373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3404" w:type="dxa"/>
            <w:gridSpan w:val="2"/>
            <w:noWrap w:val="0"/>
            <w:vAlign w:val="top"/>
          </w:tcPr>
          <w:p w14:paraId="4EF32D85">
            <w:pPr>
              <w:widowControl/>
              <w:jc w:val="left"/>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（1）房屋建筑工程专业国家注册监理工程师证书。</w:t>
            </w:r>
          </w:p>
          <w:p w14:paraId="60D8BB1F">
            <w:pPr>
              <w:widowControl/>
              <w:jc w:val="left"/>
              <w:rPr>
                <w:rFonts w:hint="eastAsia" w:ascii="宋体" w:hAnsi="宋体" w:cs="宋体"/>
                <w:color w:val="000000"/>
                <w:highlight w:val="none"/>
              </w:rPr>
            </w:pPr>
            <w:r>
              <w:rPr>
                <w:rFonts w:hint="eastAsia" w:ascii="宋体" w:hAnsi="宋体" w:cs="宋体"/>
                <w:b/>
                <w:bCs/>
                <w:color w:val="000000"/>
                <w:kern w:val="0"/>
                <w:szCs w:val="21"/>
                <w:highlight w:val="none"/>
                <w:lang w:bidi="ar"/>
              </w:rPr>
              <w:t>（2）其他要求见投标人须知前附表附录 4及第一章招标公告。</w:t>
            </w:r>
          </w:p>
          <w:p w14:paraId="3780D4C9">
            <w:pPr>
              <w:jc w:val="center"/>
              <w:rPr>
                <w:rFonts w:hint="eastAsia" w:ascii="宋体" w:hAnsi="宋体" w:cs="宋体"/>
                <w:color w:val="000000"/>
                <w:highlight w:val="none"/>
              </w:rPr>
            </w:pPr>
          </w:p>
        </w:tc>
        <w:tc>
          <w:tcPr>
            <w:tcW w:w="1713" w:type="dxa"/>
            <w:noWrap w:val="0"/>
            <w:vAlign w:val="top"/>
          </w:tcPr>
          <w:p w14:paraId="29D84033">
            <w:pPr>
              <w:widowControl/>
              <w:jc w:val="center"/>
              <w:rPr>
                <w:rFonts w:hint="eastAsia" w:ascii="宋体" w:hAnsi="宋体" w:cs="宋体"/>
                <w:b/>
                <w:bCs/>
                <w:color w:val="000000"/>
                <w:kern w:val="0"/>
                <w:szCs w:val="21"/>
                <w:highlight w:val="none"/>
                <w:lang w:bidi="ar"/>
              </w:rPr>
            </w:pPr>
          </w:p>
          <w:p w14:paraId="3F08B28A">
            <w:pPr>
              <w:widowControl/>
              <w:jc w:val="center"/>
              <w:rPr>
                <w:rFonts w:hint="eastAsia" w:ascii="宋体" w:hAnsi="宋体" w:cs="宋体"/>
                <w:b/>
                <w:bCs/>
                <w:color w:val="000000"/>
                <w:kern w:val="0"/>
                <w:szCs w:val="21"/>
                <w:highlight w:val="none"/>
                <w:lang w:bidi="ar"/>
              </w:rPr>
            </w:pPr>
          </w:p>
          <w:p w14:paraId="053080B3">
            <w:pPr>
              <w:widowControl/>
              <w:jc w:val="center"/>
              <w:rPr>
                <w:rFonts w:hint="eastAsia" w:ascii="宋体" w:hAnsi="宋体" w:cs="宋体"/>
                <w:b/>
                <w:bCs/>
                <w:color w:val="000000"/>
                <w:highlight w:val="none"/>
              </w:rPr>
            </w:pPr>
            <w:r>
              <w:rPr>
                <w:rFonts w:hint="eastAsia" w:ascii="宋体" w:hAnsi="宋体" w:cs="宋体"/>
                <w:b/>
                <w:bCs/>
                <w:color w:val="000000"/>
                <w:kern w:val="0"/>
                <w:szCs w:val="21"/>
                <w:highlight w:val="none"/>
                <w:lang w:bidi="ar"/>
              </w:rPr>
              <w:t>总监理工程师</w:t>
            </w:r>
          </w:p>
          <w:p w14:paraId="3267FC74">
            <w:pPr>
              <w:jc w:val="center"/>
              <w:rPr>
                <w:rFonts w:hint="eastAsia" w:ascii="宋体" w:hAnsi="宋体" w:cs="宋体"/>
                <w:b/>
                <w:bCs/>
                <w:color w:val="000000"/>
                <w:highlight w:val="none"/>
              </w:rPr>
            </w:pPr>
          </w:p>
        </w:tc>
        <w:tc>
          <w:tcPr>
            <w:tcW w:w="1702" w:type="dxa"/>
            <w:noWrap w:val="0"/>
            <w:vAlign w:val="top"/>
          </w:tcPr>
          <w:p w14:paraId="0494F5D9">
            <w:pPr>
              <w:jc w:val="center"/>
              <w:rPr>
                <w:rFonts w:hint="eastAsia"/>
                <w:b/>
                <w:bCs/>
                <w:highlight w:val="none"/>
              </w:rPr>
            </w:pPr>
          </w:p>
          <w:p w14:paraId="3C228CC5">
            <w:pPr>
              <w:pStyle w:val="39"/>
              <w:ind w:firstLine="562"/>
              <w:rPr>
                <w:rFonts w:hint="eastAsia"/>
                <w:b/>
                <w:highlight w:val="none"/>
                <w:lang w:val="en-US" w:eastAsia="zh-CN"/>
              </w:rPr>
            </w:pPr>
          </w:p>
          <w:p w14:paraId="5627664B">
            <w:pPr>
              <w:jc w:val="center"/>
              <w:rPr>
                <w:rFonts w:hint="eastAsia"/>
                <w:b/>
                <w:bCs/>
                <w:highlight w:val="none"/>
              </w:rPr>
            </w:pPr>
            <w:r>
              <w:rPr>
                <w:rFonts w:hint="eastAsia" w:ascii="宋体" w:hAnsi="宋体" w:cs="宋体"/>
                <w:b/>
                <w:bCs/>
                <w:color w:val="000000"/>
                <w:highlight w:val="none"/>
              </w:rPr>
              <w:t>1人</w:t>
            </w:r>
          </w:p>
        </w:tc>
        <w:tc>
          <w:tcPr>
            <w:tcW w:w="1703" w:type="dxa"/>
            <w:noWrap w:val="0"/>
            <w:vAlign w:val="top"/>
          </w:tcPr>
          <w:p w14:paraId="72A63648">
            <w:pPr>
              <w:jc w:val="center"/>
              <w:rPr>
                <w:rFonts w:hint="eastAsia"/>
                <w:b/>
                <w:bCs/>
                <w:highlight w:val="none"/>
              </w:rPr>
            </w:pPr>
          </w:p>
          <w:p w14:paraId="5F5D2335">
            <w:pPr>
              <w:pStyle w:val="39"/>
              <w:ind w:firstLine="562"/>
              <w:rPr>
                <w:rFonts w:hint="eastAsia"/>
                <w:b/>
                <w:highlight w:val="none"/>
                <w:lang w:val="en-US" w:eastAsia="zh-CN"/>
              </w:rPr>
            </w:pPr>
          </w:p>
          <w:p w14:paraId="5E44FD3B">
            <w:pPr>
              <w:jc w:val="center"/>
              <w:rPr>
                <w:rFonts w:hint="eastAsia"/>
                <w:b/>
                <w:bCs/>
                <w:highlight w:val="none"/>
              </w:rPr>
            </w:pPr>
            <w:r>
              <w:rPr>
                <w:rFonts w:hint="eastAsia" w:ascii="宋体" w:hAnsi="宋体" w:cs="宋体"/>
                <w:b/>
                <w:bCs/>
                <w:color w:val="000000"/>
                <w:highlight w:val="none"/>
              </w:rPr>
              <w:t>初审项</w:t>
            </w:r>
          </w:p>
        </w:tc>
      </w:tr>
      <w:tr w14:paraId="4BD5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702" w:type="dxa"/>
            <w:vMerge w:val="restart"/>
            <w:noWrap w:val="0"/>
            <w:vAlign w:val="top"/>
          </w:tcPr>
          <w:p w14:paraId="6A058DDE">
            <w:pPr>
              <w:spacing w:line="240" w:lineRule="exact"/>
              <w:jc w:val="center"/>
              <w:rPr>
                <w:rFonts w:hint="eastAsia" w:ascii="宋体" w:hAnsi="宋体" w:cs="宋体"/>
                <w:color w:val="000000"/>
                <w:highlight w:val="none"/>
              </w:rPr>
            </w:pPr>
          </w:p>
          <w:p w14:paraId="4E279711">
            <w:pPr>
              <w:spacing w:line="240" w:lineRule="exact"/>
              <w:jc w:val="center"/>
              <w:rPr>
                <w:rFonts w:hint="eastAsia" w:ascii="宋体" w:hAnsi="宋体" w:cs="宋体"/>
                <w:color w:val="000000"/>
                <w:highlight w:val="none"/>
              </w:rPr>
            </w:pPr>
            <w:r>
              <w:rPr>
                <w:rFonts w:hint="eastAsia" w:ascii="宋体" w:hAnsi="宋体" w:cs="宋体"/>
                <w:color w:val="000000"/>
                <w:highlight w:val="none"/>
              </w:rPr>
              <w:t>专</w:t>
            </w:r>
          </w:p>
          <w:p w14:paraId="14D7B489">
            <w:pPr>
              <w:spacing w:line="240" w:lineRule="exact"/>
              <w:jc w:val="center"/>
              <w:rPr>
                <w:rFonts w:hint="eastAsia" w:ascii="宋体" w:hAnsi="宋体" w:cs="宋体"/>
                <w:color w:val="000000"/>
                <w:highlight w:val="none"/>
              </w:rPr>
            </w:pPr>
            <w:r>
              <w:rPr>
                <w:rFonts w:hint="eastAsia" w:ascii="宋体" w:hAnsi="宋体" w:cs="宋体"/>
                <w:color w:val="000000"/>
                <w:highlight w:val="none"/>
              </w:rPr>
              <w:t>业</w:t>
            </w:r>
          </w:p>
          <w:p w14:paraId="1327DFE1">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监</w:t>
            </w:r>
          </w:p>
          <w:p w14:paraId="614573C2">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理</w:t>
            </w:r>
          </w:p>
          <w:p w14:paraId="3B4B4B6B">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工</w:t>
            </w:r>
          </w:p>
          <w:p w14:paraId="313604C3">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程</w:t>
            </w:r>
          </w:p>
          <w:p w14:paraId="39228F4A">
            <w:pPr>
              <w:spacing w:line="240" w:lineRule="exact"/>
              <w:ind w:firstLine="630" w:firstLineChars="300"/>
              <w:rPr>
                <w:rFonts w:hint="eastAsia" w:ascii="宋体" w:hAnsi="宋体" w:cs="宋体"/>
                <w:color w:val="000000"/>
                <w:highlight w:val="none"/>
              </w:rPr>
            </w:pPr>
            <w:r>
              <w:rPr>
                <w:rFonts w:hint="eastAsia" w:ascii="宋体" w:hAnsi="宋体" w:cs="宋体"/>
                <w:color w:val="000000"/>
                <w:highlight w:val="none"/>
              </w:rPr>
              <w:t>师</w:t>
            </w:r>
          </w:p>
        </w:tc>
        <w:tc>
          <w:tcPr>
            <w:tcW w:w="1702" w:type="dxa"/>
            <w:noWrap w:val="0"/>
            <w:vAlign w:val="top"/>
          </w:tcPr>
          <w:p w14:paraId="32C0AF0D">
            <w:pPr>
              <w:widowControl/>
              <w:spacing w:line="240" w:lineRule="exact"/>
              <w:jc w:val="center"/>
              <w:rPr>
                <w:rFonts w:hint="eastAsia" w:ascii="宋体" w:hAnsi="宋体" w:cs="宋体"/>
                <w:color w:val="000000"/>
                <w:kern w:val="0"/>
                <w:szCs w:val="21"/>
                <w:highlight w:val="none"/>
                <w:lang w:bidi="ar"/>
              </w:rPr>
            </w:pPr>
          </w:p>
          <w:p w14:paraId="3E2EFDBC">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土建</w:t>
            </w:r>
          </w:p>
        </w:tc>
        <w:tc>
          <w:tcPr>
            <w:tcW w:w="1713" w:type="dxa"/>
            <w:noWrap w:val="0"/>
            <w:vAlign w:val="top"/>
          </w:tcPr>
          <w:p w14:paraId="78A7182B">
            <w:pPr>
              <w:widowControl/>
              <w:spacing w:line="240" w:lineRule="exact"/>
              <w:jc w:val="center"/>
              <w:rPr>
                <w:rFonts w:hint="eastAsia" w:ascii="宋体" w:hAnsi="宋体" w:cs="宋体"/>
                <w:color w:val="000000"/>
                <w:kern w:val="0"/>
                <w:szCs w:val="21"/>
                <w:highlight w:val="none"/>
                <w:lang w:bidi="ar"/>
              </w:rPr>
            </w:pPr>
          </w:p>
          <w:p w14:paraId="3749DCDE">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val="en-US" w:eastAsia="zh-CN" w:bidi="ar"/>
              </w:rPr>
              <w:t>建筑工程</w:t>
            </w:r>
            <w:r>
              <w:rPr>
                <w:rFonts w:hint="eastAsia" w:ascii="宋体" w:hAnsi="宋体" w:cs="宋体"/>
                <w:color w:val="000000"/>
                <w:kern w:val="0"/>
                <w:szCs w:val="21"/>
                <w:highlight w:val="none"/>
                <w:lang w:bidi="ar"/>
              </w:rPr>
              <w:t>专业监理工程师</w:t>
            </w:r>
          </w:p>
        </w:tc>
        <w:tc>
          <w:tcPr>
            <w:tcW w:w="1702" w:type="dxa"/>
            <w:noWrap w:val="0"/>
            <w:vAlign w:val="top"/>
          </w:tcPr>
          <w:p w14:paraId="5AAB6828">
            <w:pPr>
              <w:spacing w:line="240" w:lineRule="exact"/>
              <w:jc w:val="center"/>
              <w:rPr>
                <w:rFonts w:hint="eastAsia" w:ascii="宋体" w:hAnsi="宋体" w:cs="宋体"/>
                <w:color w:val="000000"/>
                <w:highlight w:val="none"/>
              </w:rPr>
            </w:pPr>
          </w:p>
          <w:p w14:paraId="53405CE2">
            <w:pPr>
              <w:spacing w:line="240" w:lineRule="exact"/>
              <w:jc w:val="center"/>
              <w:rPr>
                <w:rFonts w:hint="eastAsia" w:ascii="宋体" w:hAnsi="宋体" w:cs="宋体"/>
                <w:color w:val="000000"/>
                <w:highlight w:val="none"/>
              </w:rPr>
            </w:pPr>
            <w:r>
              <w:rPr>
                <w:rFonts w:hint="eastAsia" w:ascii="宋体" w:hAnsi="宋体" w:cs="宋体"/>
                <w:color w:val="000000"/>
                <w:highlight w:val="none"/>
              </w:rPr>
              <w:t>1人</w:t>
            </w:r>
          </w:p>
        </w:tc>
        <w:tc>
          <w:tcPr>
            <w:tcW w:w="1703" w:type="dxa"/>
            <w:noWrap w:val="0"/>
            <w:vAlign w:val="top"/>
          </w:tcPr>
          <w:p w14:paraId="6A4BD1A1">
            <w:pPr>
              <w:spacing w:line="240" w:lineRule="exact"/>
              <w:jc w:val="center"/>
              <w:rPr>
                <w:rFonts w:hint="eastAsia" w:ascii="宋体" w:hAnsi="宋体" w:cs="宋体"/>
                <w:color w:val="000000"/>
                <w:highlight w:val="none"/>
              </w:rPr>
            </w:pPr>
          </w:p>
          <w:p w14:paraId="293FA9F1">
            <w:pPr>
              <w:spacing w:line="240" w:lineRule="exact"/>
              <w:jc w:val="center"/>
              <w:rPr>
                <w:rFonts w:hint="eastAsia" w:ascii="宋体" w:hAnsi="宋体" w:cs="宋体"/>
                <w:color w:val="000000"/>
                <w:highlight w:val="none"/>
              </w:rPr>
            </w:pPr>
            <w:r>
              <w:rPr>
                <w:rFonts w:hint="eastAsia" w:ascii="宋体" w:hAnsi="宋体" w:cs="宋体"/>
                <w:color w:val="000000"/>
                <w:highlight w:val="none"/>
              </w:rPr>
              <w:t>非初审项</w:t>
            </w:r>
          </w:p>
        </w:tc>
      </w:tr>
      <w:tr w14:paraId="1E32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02" w:type="dxa"/>
            <w:vMerge w:val="continue"/>
            <w:noWrap w:val="0"/>
            <w:vAlign w:val="top"/>
          </w:tcPr>
          <w:p w14:paraId="5FFCA0B0">
            <w:pPr>
              <w:spacing w:line="240" w:lineRule="exact"/>
              <w:jc w:val="center"/>
              <w:rPr>
                <w:rFonts w:hint="eastAsia" w:ascii="宋体" w:hAnsi="宋体" w:cs="宋体"/>
                <w:color w:val="000000"/>
                <w:highlight w:val="none"/>
              </w:rPr>
            </w:pPr>
          </w:p>
        </w:tc>
        <w:tc>
          <w:tcPr>
            <w:tcW w:w="1702" w:type="dxa"/>
            <w:noWrap w:val="0"/>
            <w:vAlign w:val="top"/>
          </w:tcPr>
          <w:p w14:paraId="6609A0D3">
            <w:pPr>
              <w:widowControl/>
              <w:spacing w:line="240" w:lineRule="exact"/>
              <w:jc w:val="both"/>
              <w:rPr>
                <w:rFonts w:hint="eastAsia" w:ascii="宋体" w:hAnsi="宋体" w:cs="宋体"/>
                <w:color w:val="000000"/>
                <w:kern w:val="0"/>
                <w:szCs w:val="21"/>
                <w:highlight w:val="none"/>
                <w:lang w:bidi="ar"/>
              </w:rPr>
            </w:pPr>
          </w:p>
          <w:p w14:paraId="2B70114E">
            <w:pPr>
              <w:widowControl/>
              <w:spacing w:line="240" w:lineRule="exact"/>
              <w:jc w:val="center"/>
              <w:rPr>
                <w:rFonts w:hint="eastAsia" w:ascii="宋体" w:hAnsi="宋体" w:cs="宋体"/>
                <w:color w:val="000000"/>
                <w:kern w:val="0"/>
                <w:szCs w:val="21"/>
                <w:highlight w:val="none"/>
                <w:lang w:bidi="ar"/>
              </w:rPr>
            </w:pPr>
          </w:p>
          <w:p w14:paraId="37ACE82B">
            <w:pPr>
              <w:widowControl/>
              <w:spacing w:line="240" w:lineRule="exact"/>
              <w:jc w:val="center"/>
              <w:rPr>
                <w:rFonts w:hint="eastAsia" w:ascii="宋体" w:hAnsi="宋体" w:cs="宋体"/>
                <w:color w:val="000000"/>
                <w:kern w:val="0"/>
                <w:szCs w:val="21"/>
                <w:highlight w:val="none"/>
                <w:lang w:bidi="ar"/>
              </w:rPr>
            </w:pPr>
          </w:p>
          <w:p w14:paraId="4A06A320">
            <w:pPr>
              <w:widowControl/>
              <w:spacing w:line="240" w:lineRule="exact"/>
              <w:jc w:val="center"/>
              <w:rPr>
                <w:rFonts w:hint="eastAsia" w:ascii="宋体" w:hAnsi="宋体" w:cs="宋体"/>
                <w:color w:val="000000"/>
                <w:highlight w:val="none"/>
              </w:rPr>
            </w:pPr>
            <w:r>
              <w:rPr>
                <w:rFonts w:hint="eastAsia" w:ascii="宋体" w:hAnsi="宋体" w:cs="宋体"/>
                <w:color w:val="000000"/>
                <w:kern w:val="0"/>
                <w:szCs w:val="21"/>
                <w:highlight w:val="none"/>
                <w:lang w:bidi="ar"/>
              </w:rPr>
              <w:t>/</w:t>
            </w:r>
          </w:p>
          <w:p w14:paraId="6BCE2B56">
            <w:pPr>
              <w:spacing w:line="240" w:lineRule="exact"/>
              <w:jc w:val="center"/>
              <w:rPr>
                <w:rFonts w:hint="eastAsia" w:ascii="宋体" w:hAnsi="宋体" w:cs="宋体"/>
                <w:color w:val="000000"/>
                <w:highlight w:val="none"/>
              </w:rPr>
            </w:pPr>
          </w:p>
        </w:tc>
        <w:tc>
          <w:tcPr>
            <w:tcW w:w="1713" w:type="dxa"/>
            <w:noWrap w:val="0"/>
            <w:vAlign w:val="center"/>
          </w:tcPr>
          <w:p w14:paraId="1AC75E66">
            <w:pPr>
              <w:widowControl/>
              <w:spacing w:line="240" w:lineRule="exact"/>
              <w:jc w:val="both"/>
              <w:rPr>
                <w:rFonts w:hint="eastAsia" w:ascii="宋体" w:hAnsi="宋体" w:cs="宋体"/>
                <w:color w:val="000000"/>
                <w:highlight w:val="none"/>
              </w:rPr>
            </w:pPr>
            <w:r>
              <w:rPr>
                <w:rFonts w:hint="eastAsia" w:ascii="宋体" w:hAnsi="宋体" w:cs="宋体"/>
                <w:color w:val="000000"/>
                <w:kern w:val="0"/>
                <w:szCs w:val="21"/>
                <w:highlight w:val="none"/>
                <w:lang w:bidi="ar"/>
              </w:rPr>
              <w:t>安全专业监理工程师（可兼任）</w:t>
            </w:r>
          </w:p>
        </w:tc>
        <w:tc>
          <w:tcPr>
            <w:tcW w:w="1702" w:type="dxa"/>
            <w:noWrap w:val="0"/>
            <w:vAlign w:val="top"/>
          </w:tcPr>
          <w:p w14:paraId="0C7DEFFE">
            <w:pPr>
              <w:spacing w:line="240" w:lineRule="exact"/>
              <w:jc w:val="center"/>
              <w:rPr>
                <w:rFonts w:hint="eastAsia" w:ascii="宋体" w:hAnsi="宋体" w:cs="宋体"/>
                <w:color w:val="000000"/>
                <w:highlight w:val="none"/>
              </w:rPr>
            </w:pPr>
          </w:p>
          <w:p w14:paraId="08F6EB6E">
            <w:pPr>
              <w:spacing w:line="240" w:lineRule="exact"/>
              <w:jc w:val="center"/>
              <w:rPr>
                <w:rFonts w:hint="eastAsia" w:ascii="宋体" w:hAnsi="宋体" w:cs="宋体"/>
                <w:color w:val="000000"/>
                <w:highlight w:val="none"/>
              </w:rPr>
            </w:pPr>
            <w:r>
              <w:rPr>
                <w:rFonts w:hint="eastAsia" w:ascii="宋体" w:hAnsi="宋体" w:cs="宋体"/>
                <w:color w:val="000000"/>
                <w:highlight w:val="none"/>
              </w:rPr>
              <w:t>1人</w:t>
            </w:r>
          </w:p>
        </w:tc>
        <w:tc>
          <w:tcPr>
            <w:tcW w:w="1703" w:type="dxa"/>
            <w:noWrap w:val="0"/>
            <w:vAlign w:val="top"/>
          </w:tcPr>
          <w:p w14:paraId="7E7570AB">
            <w:pPr>
              <w:spacing w:line="240" w:lineRule="exact"/>
              <w:jc w:val="center"/>
              <w:rPr>
                <w:rFonts w:hint="eastAsia" w:ascii="宋体" w:hAnsi="宋体" w:cs="宋体"/>
                <w:color w:val="000000"/>
                <w:highlight w:val="none"/>
              </w:rPr>
            </w:pPr>
          </w:p>
          <w:p w14:paraId="21B37B4C">
            <w:pPr>
              <w:spacing w:line="240" w:lineRule="exact"/>
              <w:jc w:val="center"/>
              <w:rPr>
                <w:rFonts w:hint="eastAsia" w:ascii="宋体" w:hAnsi="宋体" w:cs="宋体"/>
                <w:color w:val="000000"/>
                <w:highlight w:val="none"/>
              </w:rPr>
            </w:pPr>
            <w:r>
              <w:rPr>
                <w:rFonts w:hint="eastAsia" w:ascii="宋体" w:hAnsi="宋体" w:cs="宋体"/>
                <w:color w:val="000000"/>
                <w:highlight w:val="none"/>
              </w:rPr>
              <w:t>非初审项</w:t>
            </w:r>
          </w:p>
        </w:tc>
      </w:tr>
      <w:tr w14:paraId="156F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04247A7A">
            <w:pPr>
              <w:spacing w:line="440" w:lineRule="exact"/>
              <w:rPr>
                <w:rFonts w:hint="eastAsia"/>
                <w:szCs w:val="21"/>
                <w:highlight w:val="none"/>
              </w:rPr>
            </w:pPr>
            <w:r>
              <w:rPr>
                <w:rFonts w:hint="eastAsia"/>
                <w:szCs w:val="21"/>
                <w:highlight w:val="none"/>
              </w:rPr>
              <w:t xml:space="preserve">监理组织机构人员的配备须符合以上所列要求。人员配备中除注明的作为初步评审的人员外，其他人员不作为初步评审指标。其余人员岗位资格和人员数量配备满足以上所列要求即可（无须提供证明材料，商务技术评分中另有要求的除外，由招标人中标后核实），具体人员名单合同签订后再行上报业主单位考核后确定。 </w:t>
            </w:r>
          </w:p>
          <w:p w14:paraId="558DC0F1">
            <w:pPr>
              <w:spacing w:line="440" w:lineRule="exact"/>
              <w:rPr>
                <w:rFonts w:hint="eastAsia"/>
                <w:szCs w:val="21"/>
                <w:highlight w:val="none"/>
              </w:rPr>
            </w:pPr>
            <w:r>
              <w:rPr>
                <w:rFonts w:hint="eastAsia"/>
                <w:szCs w:val="21"/>
                <w:highlight w:val="none"/>
              </w:rPr>
              <w:t xml:space="preserve">人员配备通则： </w:t>
            </w:r>
          </w:p>
          <w:p w14:paraId="1290592C">
            <w:pPr>
              <w:spacing w:line="440" w:lineRule="exact"/>
              <w:rPr>
                <w:rFonts w:hint="eastAsia"/>
                <w:szCs w:val="21"/>
                <w:highlight w:val="none"/>
              </w:rPr>
            </w:pPr>
            <w:r>
              <w:rPr>
                <w:szCs w:val="21"/>
                <w:highlight w:val="none"/>
              </w:rPr>
              <w:t>1.</w:t>
            </w:r>
            <w:r>
              <w:rPr>
                <w:rFonts w:hint="eastAsia"/>
                <w:szCs w:val="21"/>
                <w:highlight w:val="none"/>
              </w:rPr>
              <w:t xml:space="preserve">各类助理人员配额由中标单位根据招标文件要求及项目实际情况提供。 </w:t>
            </w:r>
          </w:p>
          <w:p w14:paraId="77B94F9E">
            <w:pPr>
              <w:spacing w:line="440" w:lineRule="exact"/>
              <w:rPr>
                <w:rFonts w:hint="eastAsia"/>
                <w:szCs w:val="21"/>
                <w:highlight w:val="none"/>
              </w:rPr>
            </w:pPr>
            <w:r>
              <w:rPr>
                <w:szCs w:val="21"/>
                <w:highlight w:val="none"/>
              </w:rPr>
              <w:t>2.</w:t>
            </w:r>
            <w:r>
              <w:rPr>
                <w:rFonts w:hint="eastAsia"/>
                <w:szCs w:val="21"/>
                <w:highlight w:val="none"/>
              </w:rPr>
              <w:t xml:space="preserve">安全专业监理工程师岗位如配备国家级注册安全工程师，无须具备监理工程师或以上执业资格。 </w:t>
            </w:r>
          </w:p>
          <w:p w14:paraId="5E594032">
            <w:pPr>
              <w:spacing w:line="440" w:lineRule="exact"/>
              <w:rPr>
                <w:rFonts w:hint="eastAsia"/>
                <w:szCs w:val="21"/>
                <w:highlight w:val="none"/>
              </w:rPr>
            </w:pPr>
            <w:r>
              <w:rPr>
                <w:szCs w:val="21"/>
                <w:highlight w:val="none"/>
              </w:rPr>
              <w:t>3.</w:t>
            </w:r>
            <w:r>
              <w:rPr>
                <w:rFonts w:hint="eastAsia"/>
                <w:szCs w:val="21"/>
                <w:highlight w:val="none"/>
              </w:rPr>
              <w:t xml:space="preserve">岗位人员执业证书如不能反映专业的，可在毕业证书或学历证书或职称证书方面反映。 </w:t>
            </w:r>
          </w:p>
          <w:p w14:paraId="6D4379F7">
            <w:pPr>
              <w:spacing w:line="440" w:lineRule="exact"/>
              <w:rPr>
                <w:rFonts w:hint="eastAsia"/>
                <w:szCs w:val="21"/>
                <w:highlight w:val="none"/>
              </w:rPr>
            </w:pPr>
            <w:r>
              <w:rPr>
                <w:szCs w:val="21"/>
                <w:highlight w:val="none"/>
              </w:rPr>
              <w:t>4.</w:t>
            </w:r>
            <w:r>
              <w:rPr>
                <w:rFonts w:hint="eastAsia"/>
                <w:szCs w:val="21"/>
                <w:highlight w:val="none"/>
              </w:rPr>
              <w:t>相近专业是指招标文件要求专业和投标文件配备专业之间为建设部、水利部、交通部等不同行业</w:t>
            </w:r>
            <w:r>
              <w:rPr>
                <w:szCs w:val="21"/>
                <w:highlight w:val="none"/>
              </w:rPr>
              <w:t>(</w:t>
            </w:r>
            <w:r>
              <w:rPr>
                <w:rFonts w:hint="eastAsia"/>
                <w:szCs w:val="21"/>
                <w:highlight w:val="none"/>
              </w:rPr>
              <w:t>部门</w:t>
            </w:r>
            <w:r>
              <w:rPr>
                <w:szCs w:val="21"/>
                <w:highlight w:val="none"/>
              </w:rPr>
              <w:t>)</w:t>
            </w:r>
            <w:r>
              <w:rPr>
                <w:rFonts w:hint="eastAsia"/>
                <w:szCs w:val="21"/>
                <w:highlight w:val="none"/>
              </w:rPr>
              <w:t xml:space="preserve">定义的具备同一或类似功能的专业关系，或要求专业的功能涵盖在配备专业之中。例如：建设部的市政公用工程与交通部的道路与桥梁工程、绿化（要求专业）与市政公用工程或环境工程（配备专业）均为相近专业。 </w:t>
            </w:r>
          </w:p>
          <w:p w14:paraId="79D0D8B9">
            <w:pPr>
              <w:spacing w:line="440" w:lineRule="exact"/>
              <w:rPr>
                <w:rFonts w:hint="eastAsia"/>
                <w:szCs w:val="21"/>
                <w:highlight w:val="none"/>
              </w:rPr>
            </w:pPr>
            <w:r>
              <w:rPr>
                <w:szCs w:val="21"/>
                <w:highlight w:val="none"/>
              </w:rPr>
              <w:t>5.</w:t>
            </w:r>
            <w:r>
              <w:rPr>
                <w:rFonts w:hint="eastAsia"/>
                <w:szCs w:val="21"/>
                <w:highlight w:val="none"/>
              </w:rPr>
              <w:t xml:space="preserve">除总监外，项目监理组织机构其余人员可认可相近专业。 </w:t>
            </w:r>
          </w:p>
          <w:p w14:paraId="255B8C94">
            <w:pPr>
              <w:spacing w:line="440" w:lineRule="exact"/>
              <w:rPr>
                <w:rFonts w:hint="eastAsia"/>
                <w:szCs w:val="21"/>
                <w:highlight w:val="none"/>
              </w:rPr>
            </w:pPr>
            <w:r>
              <w:rPr>
                <w:szCs w:val="21"/>
                <w:highlight w:val="none"/>
              </w:rPr>
              <w:t>6.</w:t>
            </w:r>
            <w:r>
              <w:rPr>
                <w:rFonts w:hint="eastAsia"/>
                <w:szCs w:val="21"/>
                <w:highlight w:val="none"/>
              </w:rPr>
              <w:t xml:space="preserve">以上人员要求分阶段入驻现场，当项目进展到相应阶段时，相关人员配备必须达到要求。以上所有人员要求有丰富的实践经验、良好职业道德，遵纪守法；身体健康，能够胜 任现场艰苦条件下的工作；具备相应的从业资格证书。 </w:t>
            </w:r>
          </w:p>
          <w:p w14:paraId="50FD7023">
            <w:pPr>
              <w:spacing w:line="440" w:lineRule="exact"/>
              <w:rPr>
                <w:rFonts w:hint="eastAsia"/>
                <w:szCs w:val="21"/>
                <w:highlight w:val="none"/>
              </w:rPr>
            </w:pPr>
            <w:r>
              <w:rPr>
                <w:rFonts w:hint="eastAsia"/>
                <w:szCs w:val="21"/>
                <w:highlight w:val="none"/>
              </w:rPr>
              <w:t>7.考勤要求：</w:t>
            </w:r>
          </w:p>
          <w:p w14:paraId="2D41B11D">
            <w:pPr>
              <w:spacing w:line="440" w:lineRule="exact"/>
              <w:rPr>
                <w:rFonts w:hint="eastAsia"/>
                <w:szCs w:val="21"/>
                <w:highlight w:val="none"/>
              </w:rPr>
            </w:pPr>
            <w:r>
              <w:rPr>
                <w:rFonts w:hint="eastAsia"/>
                <w:szCs w:val="21"/>
                <w:highlight w:val="none"/>
              </w:rPr>
              <w:t>（1）总监</w:t>
            </w:r>
            <w:r>
              <w:rPr>
                <w:rFonts w:hint="eastAsia"/>
                <w:szCs w:val="21"/>
                <w:highlight w:val="none"/>
                <w:lang w:val="en-US" w:eastAsia="zh-CN"/>
              </w:rPr>
              <w:t>月考勤到岗率不得低于本月施工时间80%</w:t>
            </w:r>
            <w:r>
              <w:rPr>
                <w:rFonts w:hint="eastAsia"/>
                <w:szCs w:val="21"/>
                <w:highlight w:val="none"/>
              </w:rPr>
              <w:t xml:space="preserve">； </w:t>
            </w:r>
          </w:p>
          <w:p w14:paraId="4B71FA8F">
            <w:pPr>
              <w:spacing w:line="440" w:lineRule="exact"/>
              <w:rPr>
                <w:rFonts w:hint="eastAsia"/>
                <w:szCs w:val="21"/>
                <w:highlight w:val="none"/>
              </w:rPr>
            </w:pPr>
            <w:r>
              <w:rPr>
                <w:rFonts w:hint="eastAsia"/>
                <w:szCs w:val="21"/>
                <w:highlight w:val="none"/>
              </w:rPr>
              <w:t xml:space="preserve">（2）中标人负责在现场办公室安装考勤打卡机（中标人购买并安装，费用含在投标报价中）， </w:t>
            </w:r>
          </w:p>
          <w:p w14:paraId="022C4BDB">
            <w:pPr>
              <w:spacing w:line="440" w:lineRule="exact"/>
              <w:rPr>
                <w:rFonts w:hint="eastAsia"/>
                <w:szCs w:val="21"/>
                <w:highlight w:val="none"/>
              </w:rPr>
            </w:pPr>
            <w:r>
              <w:rPr>
                <w:rFonts w:hint="eastAsia"/>
                <w:szCs w:val="21"/>
                <w:highlight w:val="none"/>
              </w:rPr>
              <w:t xml:space="preserve">并负责对施工、项目监理机构等相关人员考勤，每月底分类形成书面材料上报委托人。 </w:t>
            </w:r>
          </w:p>
          <w:p w14:paraId="43650003">
            <w:pPr>
              <w:spacing w:line="440" w:lineRule="exact"/>
              <w:rPr>
                <w:rFonts w:hint="eastAsia"/>
                <w:szCs w:val="21"/>
                <w:highlight w:val="none"/>
              </w:rPr>
            </w:pPr>
            <w:r>
              <w:rPr>
                <w:rFonts w:hint="eastAsia"/>
                <w:szCs w:val="21"/>
                <w:highlight w:val="none"/>
              </w:rPr>
              <w:t xml:space="preserve">8.人员进场考核要求： </w:t>
            </w:r>
          </w:p>
          <w:p w14:paraId="51C5A7C2">
            <w:pPr>
              <w:spacing w:line="440" w:lineRule="exact"/>
              <w:rPr>
                <w:rFonts w:hint="eastAsia"/>
                <w:szCs w:val="21"/>
                <w:highlight w:val="none"/>
              </w:rPr>
            </w:pPr>
            <w:r>
              <w:rPr>
                <w:rFonts w:hint="eastAsia"/>
                <w:szCs w:val="21"/>
                <w:highlight w:val="none"/>
              </w:rPr>
              <w:t xml:space="preserve">（1）须满足本招标约定资格、业绩要求； </w:t>
            </w:r>
          </w:p>
          <w:p w14:paraId="2D2AF7AB">
            <w:pPr>
              <w:spacing w:line="440" w:lineRule="exact"/>
              <w:rPr>
                <w:rFonts w:hint="eastAsia"/>
                <w:szCs w:val="21"/>
                <w:highlight w:val="none"/>
              </w:rPr>
            </w:pPr>
            <w:r>
              <w:rPr>
                <w:rFonts w:hint="eastAsia"/>
                <w:szCs w:val="21"/>
                <w:highlight w:val="none"/>
              </w:rPr>
              <w:t xml:space="preserve">（2）中标人须在合同签订后5日内完成人员选配工作，并将名单（姓名、岗位、资格、 </w:t>
            </w:r>
          </w:p>
          <w:p w14:paraId="632BE1A9">
            <w:pPr>
              <w:spacing w:line="440" w:lineRule="exact"/>
              <w:rPr>
                <w:rFonts w:hint="eastAsia"/>
                <w:szCs w:val="21"/>
                <w:highlight w:val="none"/>
              </w:rPr>
            </w:pPr>
            <w:r>
              <w:rPr>
                <w:rFonts w:hint="eastAsia"/>
                <w:szCs w:val="21"/>
                <w:highlight w:val="none"/>
              </w:rPr>
              <w:t>业绩、身份证号、联系方式、社保证明）上报至招标人；</w:t>
            </w:r>
          </w:p>
          <w:p w14:paraId="37617ABD">
            <w:pPr>
              <w:rPr>
                <w:rFonts w:hint="eastAsia" w:ascii="宋体" w:hAnsi="宋体" w:cs="宋体"/>
                <w:color w:val="000000"/>
                <w:highlight w:val="none"/>
              </w:rPr>
            </w:pPr>
          </w:p>
        </w:tc>
      </w:tr>
    </w:tbl>
    <w:p w14:paraId="16310572">
      <w:pPr>
        <w:keepNext w:val="0"/>
        <w:keepLines w:val="0"/>
        <w:pageBreakBefore w:val="0"/>
        <w:tabs>
          <w:tab w:val="left" w:pos="808"/>
        </w:tabs>
        <w:kinsoku/>
        <w:wordWrap/>
        <w:overflowPunct/>
        <w:topLinePunct w:val="0"/>
        <w:autoSpaceDE/>
        <w:autoSpaceDN/>
        <w:bidi w:val="0"/>
        <w:spacing w:line="360" w:lineRule="auto"/>
        <w:textAlignment w:val="auto"/>
        <w:rPr>
          <w:rFonts w:hint="eastAsia" w:ascii="宋体" w:hAnsi="宋体" w:eastAsia="宋体" w:cs="宋体"/>
          <w:b/>
          <w:bCs w:val="0"/>
          <w:sz w:val="24"/>
          <w:szCs w:val="24"/>
          <w:highlight w:val="none"/>
          <w:lang w:val="en-US" w:eastAsia="zh-CN"/>
        </w:rPr>
      </w:pPr>
    </w:p>
    <w:p w14:paraId="0F9A3569">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六、附加监理条件</w:t>
      </w:r>
    </w:p>
    <w:p w14:paraId="66F18E83">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项目实行信用信息公开。履约期间，中标人、中标人法定代表人、项目主要管理人员信息、项目履约过程信息等，按照招标人信用信息公开和履约评价考核管理要求，直接上传至合肥市、包河区相关信用信息平台系统，按照公开范围，公开企业、个人信用信息。</w:t>
      </w:r>
    </w:p>
    <w:p w14:paraId="6CDA9FC8">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2、按照规范要求的旁站的部位，招标人或质监站到场15分钟内没有见到对应的监理人员，视同监理没有旁站，承担该部位质量问题的监理责任。</w:t>
      </w:r>
    </w:p>
    <w:p w14:paraId="4D53C341">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3、中标人必须对工程设计变更、签证、结算审计持严谨、负责的态度。</w:t>
      </w:r>
    </w:p>
    <w:p w14:paraId="61EE1EEE">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4、中标人必须强化施工现场的安全管理监督工作，将严格按照招标人相关文件执行。安全文明施工管理是服务人的日常工作，若被上级有关部门通报批评，媒体曝光，中标人要承担相应违约金。</w:t>
      </w:r>
    </w:p>
    <w:p w14:paraId="0B242141">
      <w:pPr>
        <w:keepNext w:val="0"/>
        <w:keepLines w:val="0"/>
        <w:pageBreakBefore w:val="0"/>
        <w:kinsoku/>
        <w:wordWrap/>
        <w:overflowPunct/>
        <w:topLinePunct w:val="0"/>
        <w:autoSpaceDE/>
        <w:autoSpaceDN/>
        <w:bidi w:val="0"/>
        <w:spacing w:line="360" w:lineRule="auto"/>
        <w:ind w:firstLine="437"/>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5、违约</w:t>
      </w:r>
      <w:r>
        <w:rPr>
          <w:rFonts w:hint="eastAsia" w:ascii="宋体" w:hAnsi="宋体" w:cs="宋体"/>
          <w:b w:val="0"/>
          <w:bCs/>
          <w:sz w:val="24"/>
          <w:szCs w:val="24"/>
          <w:highlight w:val="none"/>
          <w:lang w:val="en-US" w:eastAsia="zh-CN"/>
        </w:rPr>
        <w:t>处理</w:t>
      </w:r>
      <w:r>
        <w:rPr>
          <w:rFonts w:hint="eastAsia" w:ascii="宋体" w:hAnsi="宋体" w:eastAsia="宋体" w:cs="宋体"/>
          <w:b w:val="0"/>
          <w:bCs/>
          <w:sz w:val="24"/>
          <w:szCs w:val="24"/>
          <w:highlight w:val="none"/>
          <w:lang w:val="en-US" w:eastAsia="zh-CN"/>
        </w:rPr>
        <w:t>标准</w:t>
      </w:r>
    </w:p>
    <w:tbl>
      <w:tblPr>
        <w:tblStyle w:val="40"/>
        <w:tblW w:w="8505" w:type="dxa"/>
        <w:tblInd w:w="96" w:type="dxa"/>
        <w:tblLayout w:type="fixed"/>
        <w:tblCellMar>
          <w:top w:w="0" w:type="dxa"/>
          <w:left w:w="108" w:type="dxa"/>
          <w:bottom w:w="0" w:type="dxa"/>
          <w:right w:w="108" w:type="dxa"/>
        </w:tblCellMar>
      </w:tblPr>
      <w:tblGrid>
        <w:gridCol w:w="795"/>
        <w:gridCol w:w="1840"/>
        <w:gridCol w:w="3780"/>
        <w:gridCol w:w="2090"/>
      </w:tblGrid>
      <w:tr w14:paraId="1762ED2B">
        <w:tblPrEx>
          <w:tblCellMar>
            <w:top w:w="0" w:type="dxa"/>
            <w:left w:w="108" w:type="dxa"/>
            <w:bottom w:w="0" w:type="dxa"/>
            <w:right w:w="108" w:type="dxa"/>
          </w:tblCellMar>
        </w:tblPrEx>
        <w:trPr>
          <w:trHeight w:val="61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0D152B7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2EBA195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检查项目</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91E923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检查内容</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433EE7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违约金标准</w:t>
            </w:r>
          </w:p>
          <w:p w14:paraId="3DAA4D0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（元/条.人.处）</w:t>
            </w:r>
          </w:p>
        </w:tc>
      </w:tr>
      <w:tr w14:paraId="02F7200A">
        <w:tblPrEx>
          <w:tblCellMar>
            <w:top w:w="0" w:type="dxa"/>
            <w:left w:w="108" w:type="dxa"/>
            <w:bottom w:w="0" w:type="dxa"/>
            <w:right w:w="108" w:type="dxa"/>
          </w:tblCellMar>
        </w:tblPrEx>
        <w:trPr>
          <w:trHeight w:val="61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14:paraId="4268BF5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840" w:type="dxa"/>
            <w:vMerge w:val="restart"/>
            <w:tcBorders>
              <w:top w:val="single" w:color="000000" w:sz="4" w:space="0"/>
              <w:left w:val="single" w:color="000000" w:sz="4" w:space="0"/>
              <w:bottom w:val="single" w:color="000000" w:sz="4" w:space="0"/>
              <w:right w:val="nil"/>
            </w:tcBorders>
            <w:noWrap/>
            <w:vAlign w:val="center"/>
          </w:tcPr>
          <w:p w14:paraId="5A7402E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技术准备</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0D0A83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1.监理规划、监理实施细则、旁站方案、工程检测方案等文件是否按要求编制和审批</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4D5A1A8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13CCEDD7">
        <w:tblPrEx>
          <w:tblCellMar>
            <w:top w:w="0" w:type="dxa"/>
            <w:left w:w="108" w:type="dxa"/>
            <w:bottom w:w="0" w:type="dxa"/>
            <w:right w:w="108" w:type="dxa"/>
          </w:tblCellMar>
        </w:tblPrEx>
        <w:trPr>
          <w:trHeight w:val="9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2992559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p>
        </w:tc>
        <w:tc>
          <w:tcPr>
            <w:tcW w:w="1840" w:type="dxa"/>
            <w:vMerge w:val="continue"/>
            <w:tcBorders>
              <w:top w:val="single" w:color="000000" w:sz="4" w:space="0"/>
              <w:left w:val="single" w:color="000000" w:sz="4" w:space="0"/>
              <w:bottom w:val="single" w:color="000000" w:sz="4" w:space="0"/>
              <w:right w:val="nil"/>
            </w:tcBorders>
            <w:noWrap/>
            <w:vAlign w:val="center"/>
          </w:tcPr>
          <w:p w14:paraId="66E3230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568004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2.是否及时审查施工单位项目部组织机构、施工组织设计、技术交底、各类专项方案等，总监是否签署意见</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63F3C81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50E3F2CE">
        <w:tblPrEx>
          <w:tblCellMar>
            <w:top w:w="0" w:type="dxa"/>
            <w:left w:w="108" w:type="dxa"/>
            <w:bottom w:w="0" w:type="dxa"/>
            <w:right w:w="108" w:type="dxa"/>
          </w:tblCellMar>
        </w:tblPrEx>
        <w:trPr>
          <w:trHeight w:val="31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14:paraId="3E6E606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840" w:type="dxa"/>
            <w:vMerge w:val="restart"/>
            <w:tcBorders>
              <w:top w:val="single" w:color="000000" w:sz="4" w:space="0"/>
              <w:left w:val="single" w:color="000000" w:sz="4" w:space="0"/>
              <w:bottom w:val="single" w:color="000000" w:sz="4" w:space="0"/>
              <w:right w:val="single" w:color="000000" w:sz="4" w:space="0"/>
            </w:tcBorders>
            <w:noWrap/>
            <w:vAlign w:val="center"/>
          </w:tcPr>
          <w:p w14:paraId="6CF7CB8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监理过程</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F291C2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1.是否按要求进行旁站及见证取样工作</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75CC53A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6F4AD1D6">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4AC7A90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22FE9EC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2385823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2.对检查提出的问题是否及时整改并督促施工等单位整改</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B805EF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5DD19CDC">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4F1898E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18971B4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68D829D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3.是否如实、及时向业主反映施工现场、后场实际情况</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2B1A4DD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103089A8">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5DF1190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336FCA6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7909AB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4.是否及时对进场材料、机械设备及隐蔽工程进行验收并留置影像资料</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50EE1B4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0775ACE0">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7F14A72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7C9D05E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5D12B94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5.是否及时审核验工计量、工程结算资料</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340111D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6BFC645D">
        <w:tblPrEx>
          <w:tblCellMar>
            <w:top w:w="0" w:type="dxa"/>
            <w:left w:w="108" w:type="dxa"/>
            <w:bottom w:w="0" w:type="dxa"/>
            <w:right w:w="108" w:type="dxa"/>
          </w:tblCellMar>
        </w:tblPrEx>
        <w:trPr>
          <w:trHeight w:val="61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3A01047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840" w:type="dxa"/>
            <w:tcBorders>
              <w:top w:val="single" w:color="000000" w:sz="4" w:space="0"/>
              <w:left w:val="single" w:color="000000" w:sz="4" w:space="0"/>
              <w:bottom w:val="single" w:color="000000" w:sz="4" w:space="0"/>
              <w:right w:val="nil"/>
            </w:tcBorders>
            <w:noWrap/>
            <w:vAlign w:val="center"/>
          </w:tcPr>
          <w:p w14:paraId="413FBF4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内业资料</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9EC041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质量安全管理、验收资料是否与工程实体同步、真实</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2E05ABF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bl>
    <w:p w14:paraId="436B6B6E">
      <w:pPr>
        <w:spacing w:line="360" w:lineRule="auto"/>
        <w:ind w:firstLine="480" w:firstLineChars="200"/>
        <w:rPr>
          <w:rFonts w:hint="default" w:ascii="Times New Roman" w:hAnsi="Times New Roman" w:cs="Times New Roman"/>
          <w:b/>
          <w:color w:val="auto"/>
          <w:sz w:val="28"/>
          <w:highlight w:val="none"/>
        </w:rPr>
      </w:pPr>
      <w:r>
        <w:rPr>
          <w:rFonts w:hint="eastAsia" w:ascii="宋体" w:hAnsi="宋体" w:eastAsia="宋体" w:cs="宋体"/>
          <w:sz w:val="24"/>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jc w:val="center"/>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rightChars="0"/>
              <w:jc w:val="center"/>
              <w:rPr>
                <w:rFonts w:hint="eastAsia" w:ascii="Times New Roman" w:hAnsi="Times New Roman" w:eastAsia="宋体" w:cs="Times New Roman"/>
                <w:color w:val="C00000"/>
                <w:sz w:val="24"/>
                <w:szCs w:val="18"/>
                <w:highlight w:val="none"/>
                <w:lang w:val="en-US" w:eastAsia="zh-CN"/>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rightChars="0"/>
              <w:jc w:val="center"/>
              <w:rPr>
                <w:rFonts w:hint="default" w:ascii="Times New Roman" w:hAnsi="Times New Roman" w:cs="Times New Roman"/>
                <w:color w:val="C00000"/>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rightChars="0"/>
              <w:jc w:val="left"/>
              <w:rPr>
                <w:rFonts w:hint="default" w:ascii="Times New Roman" w:hAnsi="Times New Roman" w:eastAsia="宋体" w:cs="Times New Roman"/>
                <w:color w:val="C00000"/>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216D0EE9">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2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7A7B4D8">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4AC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35362D7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2C4ED44D">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064FF0C7">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1CB8529D">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47E3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D00838">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5915476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62D89EA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9522A7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eastAsia" w:ascii="Times New Roman" w:hAnsi="Times New Roman" w:cs="Times New Roman"/>
                <w:color w:val="auto"/>
                <w:sz w:val="24"/>
                <w:highlight w:val="none"/>
                <w:lang w:val="en-US" w:eastAsia="zh-CN"/>
              </w:rPr>
              <w:t>投标</w:t>
            </w:r>
            <w:r>
              <w:rPr>
                <w:rFonts w:hint="default" w:ascii="Times New Roman" w:hAnsi="Times New Roman" w:cs="Times New Roman"/>
                <w:color w:val="auto"/>
                <w:sz w:val="24"/>
                <w:highlight w:val="none"/>
              </w:rPr>
              <w:t>文件格式</w:t>
            </w:r>
          </w:p>
        </w:tc>
      </w:tr>
      <w:tr w14:paraId="08D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AF700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527FDBB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1DBA86B3">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0FCFE94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354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890A788">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3B07F878">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3C3AA24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28D213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B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vAlign w:val="center"/>
          </w:tcPr>
          <w:p w14:paraId="321E9FC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2E7380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6F8699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2488E68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55B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166D6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5FBAAB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7E27E81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52868F9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310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1B65D91">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9B52DB3">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业绩承诺函</w:t>
            </w:r>
          </w:p>
        </w:tc>
        <w:tc>
          <w:tcPr>
            <w:tcW w:w="3128" w:type="dxa"/>
            <w:vAlign w:val="center"/>
          </w:tcPr>
          <w:p w14:paraId="36F0BE9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14:paraId="13D08F7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6CC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76B9DF">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37122B8D">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其他相关证明材料</w:t>
            </w:r>
          </w:p>
        </w:tc>
        <w:tc>
          <w:tcPr>
            <w:tcW w:w="3128" w:type="dxa"/>
            <w:vAlign w:val="center"/>
          </w:tcPr>
          <w:p w14:paraId="16B7B6CB">
            <w:pPr>
              <w:spacing w:after="50"/>
              <w:ind w:right="-10"/>
              <w:jc w:val="center"/>
              <w:rPr>
                <w:rFonts w:hint="default" w:ascii="Times New Roman" w:hAnsi="Times New Roman" w:cs="Times New Roman"/>
                <w:color w:val="auto"/>
                <w:sz w:val="24"/>
                <w:szCs w:val="28"/>
                <w:highlight w:val="none"/>
              </w:rPr>
            </w:pPr>
            <w:r>
              <w:rPr>
                <w:rFonts w:ascii="宋体" w:hAnsi="宋体" w:eastAsia="宋体" w:cs="宋体"/>
                <w:color w:val="auto"/>
                <w:sz w:val="24"/>
                <w:szCs w:val="24"/>
                <w:highlight w:val="none"/>
              </w:rPr>
              <w:t>符合法律、行政法规规定的其他条件或采购文件列明的其他要求</w:t>
            </w:r>
          </w:p>
        </w:tc>
        <w:tc>
          <w:tcPr>
            <w:tcW w:w="2505" w:type="dxa"/>
            <w:vAlign w:val="center"/>
          </w:tcPr>
          <w:p w14:paraId="55468DA9">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71E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C2556A">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7055A2C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2767079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4467DF71">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BD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696A9D">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9</w:t>
            </w:r>
          </w:p>
        </w:tc>
        <w:tc>
          <w:tcPr>
            <w:tcW w:w="2117" w:type="dxa"/>
            <w:vAlign w:val="center"/>
          </w:tcPr>
          <w:p w14:paraId="0F5AB61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6296A06B">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1F03058">
            <w:pPr>
              <w:adjustRightInd w:val="0"/>
              <w:snapToGrid w:val="0"/>
              <w:ind w:right="-1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1A719401">
      <w:pPr>
        <w:pStyle w:val="58"/>
        <w:ind w:left="0" w:leftChars="0" w:firstLine="0" w:firstLineChars="0"/>
        <w:rPr>
          <w:rFonts w:hint="default"/>
          <w:highlight w:val="none"/>
        </w:rPr>
      </w:pPr>
    </w:p>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3A86E4C8">
      <w:pPr>
        <w:spacing w:line="360" w:lineRule="auto"/>
        <w:ind w:firstLine="435"/>
        <w:rPr>
          <w:rFonts w:hint="default" w:ascii="Times New Roman" w:hAnsi="Times New Roman" w:eastAsia="宋体" w:cs="Times New Roman"/>
          <w:color w:val="auto"/>
          <w:sz w:val="24"/>
          <w:highlight w:val="none"/>
          <w:lang w:val="en-US" w:eastAsia="zh-CN"/>
        </w:rPr>
      </w:pPr>
      <w:bookmarkStart w:id="51" w:name="_Toc66363490"/>
      <w:r>
        <w:rPr>
          <w:rFonts w:hint="default" w:ascii="Times New Roman" w:hAnsi="Times New Roman" w:eastAsia="宋体" w:cs="Times New Roman"/>
          <w:color w:val="auto"/>
          <w:sz w:val="24"/>
          <w:highlight w:val="none"/>
        </w:rPr>
        <w:t>2.3</w:t>
      </w:r>
      <w:r>
        <w:rPr>
          <w:rFonts w:hint="default" w:ascii="Times New Roman" w:hAnsi="Times New Roman" w:eastAsia="宋体" w:cs="Times New Roman"/>
          <w:color w:val="auto"/>
          <w:sz w:val="24"/>
          <w:highlight w:val="none"/>
          <w:lang w:val="en-US" w:eastAsia="zh-CN"/>
        </w:rPr>
        <w:t>综合评分</w:t>
      </w:r>
      <w:r>
        <w:rPr>
          <w:rFonts w:hint="eastAsia" w:ascii="Times New Roman" w:hAnsi="Times New Roman" w:cs="Times New Roman"/>
          <w:color w:val="auto"/>
          <w:sz w:val="24"/>
          <w:highlight w:val="none"/>
          <w:lang w:val="en-US" w:eastAsia="zh-CN"/>
        </w:rPr>
        <w:t>法</w:t>
      </w:r>
    </w:p>
    <w:p w14:paraId="7CBB55B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2.2.1</w:t>
      </w:r>
      <w:r>
        <w:rPr>
          <w:rFonts w:hint="eastAsia" w:ascii="宋体" w:hAnsi="宋体" w:eastAsia="宋体" w:cs="宋体"/>
          <w:sz w:val="24"/>
          <w:highlight w:val="none"/>
          <w:lang w:val="en-US" w:eastAsia="zh-CN"/>
        </w:rPr>
        <w:t>评标</w:t>
      </w:r>
      <w:r>
        <w:rPr>
          <w:rFonts w:hint="eastAsia" w:ascii="宋体" w:hAnsi="宋体" w:eastAsia="宋体" w:cs="宋体"/>
          <w:sz w:val="24"/>
          <w:highlight w:val="none"/>
        </w:rPr>
        <w:t>小组按照下表对进入综合评分的所有投标人的响应文件进行综合评分。</w:t>
      </w:r>
    </w:p>
    <w:p w14:paraId="1DFC57B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2.2.2本项目综合评分满分为100分，其中：</w:t>
      </w:r>
      <w:r>
        <w:rPr>
          <w:rFonts w:hint="eastAsia" w:ascii="宋体" w:hAnsi="宋体" w:eastAsia="宋体" w:cs="宋体"/>
          <w:sz w:val="24"/>
          <w:highlight w:val="none"/>
          <w:lang w:val="en-US" w:eastAsia="zh-CN"/>
        </w:rPr>
        <w:t>技术文件</w:t>
      </w:r>
      <w:r>
        <w:rPr>
          <w:rFonts w:hint="eastAsia" w:ascii="宋体" w:hAnsi="宋体" w:eastAsia="宋体" w:cs="宋体"/>
          <w:sz w:val="24"/>
          <w:highlight w:val="none"/>
        </w:rPr>
        <w:t>分值占总分值的权重为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60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商务文件分值占总分值的权重为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40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%。具体评分细则如下：</w:t>
      </w:r>
    </w:p>
    <w:tbl>
      <w:tblPr>
        <w:tblStyle w:val="40"/>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751"/>
        <w:gridCol w:w="3815"/>
        <w:gridCol w:w="1607"/>
      </w:tblGrid>
      <w:tr w14:paraId="64F3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tcBorders>
              <w:top w:val="single" w:color="auto" w:sz="4" w:space="0"/>
              <w:left w:val="single" w:color="auto" w:sz="4" w:space="0"/>
              <w:bottom w:val="single" w:color="auto" w:sz="4" w:space="0"/>
              <w:right w:val="single" w:color="auto" w:sz="4" w:space="0"/>
            </w:tcBorders>
            <w:vAlign w:val="center"/>
          </w:tcPr>
          <w:p w14:paraId="408922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1751" w:type="dxa"/>
            <w:tcBorders>
              <w:top w:val="single" w:color="auto" w:sz="4" w:space="0"/>
              <w:left w:val="single" w:color="auto" w:sz="4" w:space="0"/>
              <w:bottom w:val="single" w:color="auto" w:sz="4" w:space="0"/>
              <w:right w:val="single" w:color="auto" w:sz="4" w:space="0"/>
            </w:tcBorders>
            <w:vAlign w:val="center"/>
          </w:tcPr>
          <w:p w14:paraId="50383C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评分内容</w:t>
            </w:r>
          </w:p>
        </w:tc>
        <w:tc>
          <w:tcPr>
            <w:tcW w:w="3815" w:type="dxa"/>
            <w:tcBorders>
              <w:top w:val="single" w:color="auto" w:sz="4" w:space="0"/>
              <w:left w:val="single" w:color="auto" w:sz="4" w:space="0"/>
              <w:bottom w:val="single" w:color="auto" w:sz="4" w:space="0"/>
              <w:right w:val="single" w:color="auto" w:sz="4" w:space="0"/>
            </w:tcBorders>
            <w:vAlign w:val="center"/>
          </w:tcPr>
          <w:p w14:paraId="41B392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c>
          <w:tcPr>
            <w:tcW w:w="1607" w:type="dxa"/>
            <w:tcBorders>
              <w:top w:val="single" w:color="auto" w:sz="4" w:space="0"/>
              <w:left w:val="single" w:color="auto" w:sz="4" w:space="0"/>
              <w:bottom w:val="single" w:color="auto" w:sz="4" w:space="0"/>
              <w:right w:val="single" w:color="auto" w:sz="4" w:space="0"/>
            </w:tcBorders>
            <w:vAlign w:val="center"/>
          </w:tcPr>
          <w:p w14:paraId="2F40C8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分值范围</w:t>
            </w:r>
          </w:p>
        </w:tc>
      </w:tr>
      <w:tr w14:paraId="598E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restart"/>
            <w:tcBorders>
              <w:top w:val="single" w:color="auto" w:sz="4" w:space="0"/>
              <w:left w:val="single" w:color="auto" w:sz="4" w:space="0"/>
              <w:right w:val="single" w:color="auto" w:sz="4" w:space="0"/>
            </w:tcBorders>
            <w:vAlign w:val="center"/>
          </w:tcPr>
          <w:p w14:paraId="5F6E8C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技术文件评分</w:t>
            </w:r>
          </w:p>
        </w:tc>
        <w:tc>
          <w:tcPr>
            <w:tcW w:w="1751" w:type="dxa"/>
            <w:tcBorders>
              <w:top w:val="single" w:color="auto" w:sz="4" w:space="0"/>
              <w:left w:val="single" w:color="auto" w:sz="4" w:space="0"/>
              <w:bottom w:val="single" w:color="auto" w:sz="4" w:space="0"/>
              <w:right w:val="single" w:color="auto" w:sz="4" w:space="0"/>
            </w:tcBorders>
            <w:vAlign w:val="center"/>
          </w:tcPr>
          <w:p w14:paraId="68363C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服务方案</w:t>
            </w:r>
          </w:p>
        </w:tc>
        <w:tc>
          <w:tcPr>
            <w:tcW w:w="3815" w:type="dxa"/>
            <w:tcBorders>
              <w:top w:val="single" w:color="auto" w:sz="4" w:space="0"/>
              <w:left w:val="single" w:color="auto" w:sz="4" w:space="0"/>
              <w:bottom w:val="single" w:color="auto" w:sz="4" w:space="0"/>
              <w:right w:val="single" w:color="auto" w:sz="4" w:space="0"/>
            </w:tcBorders>
            <w:vAlign w:val="center"/>
          </w:tcPr>
          <w:p w14:paraId="2365C7FC">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评委会对投标人的服务方案进行综合评审：</w:t>
            </w:r>
          </w:p>
          <w:p w14:paraId="18963C7F">
            <w:pPr>
              <w:numPr>
                <w:ilvl w:val="0"/>
                <w:numId w:val="0"/>
              </w:numPr>
              <w:spacing w:line="360" w:lineRule="auto"/>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服务方案全面完善、可操作性强、响应及时以及服务人员的技术能力强的，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＜F≤</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704A40D2">
            <w:pPr>
              <w:numPr>
                <w:ilvl w:val="0"/>
                <w:numId w:val="0"/>
              </w:numPr>
              <w:spacing w:line="360" w:lineRule="auto"/>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服务方案较为完善、具有一定的可操作性、响应较为及时以及服务人员的技术能力较强的，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＜F≤</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70246BC7">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（3）服务方案完善性一般、可操作性一般、响应一般以及服务人员的技术能力一般的，得0＜F≤4分；</w:t>
            </w:r>
          </w:p>
          <w:p w14:paraId="5884E406">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（4）未提供的不得分。</w:t>
            </w:r>
          </w:p>
          <w:p w14:paraId="4DEA3A01">
            <w:pPr>
              <w:pStyle w:val="197"/>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注：“F”为投标人本项得分。</w:t>
            </w:r>
          </w:p>
        </w:tc>
        <w:tc>
          <w:tcPr>
            <w:tcW w:w="1607" w:type="dxa"/>
            <w:tcBorders>
              <w:top w:val="single" w:color="auto" w:sz="4" w:space="0"/>
              <w:left w:val="single" w:color="auto" w:sz="4" w:space="0"/>
              <w:bottom w:val="single" w:color="auto" w:sz="4" w:space="0"/>
              <w:right w:val="single" w:color="auto" w:sz="4" w:space="0"/>
            </w:tcBorders>
            <w:vAlign w:val="center"/>
          </w:tcPr>
          <w:p w14:paraId="01E8F9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0-12分</w:t>
            </w:r>
          </w:p>
        </w:tc>
      </w:tr>
      <w:tr w14:paraId="0D09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continue"/>
            <w:tcBorders>
              <w:left w:val="single" w:color="auto" w:sz="4" w:space="0"/>
              <w:right w:val="single" w:color="auto" w:sz="4" w:space="0"/>
            </w:tcBorders>
            <w:vAlign w:val="center"/>
          </w:tcPr>
          <w:p w14:paraId="1D12EA9B">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6FA377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监理内容整体分析及重难点管理措施</w:t>
            </w:r>
          </w:p>
        </w:tc>
        <w:tc>
          <w:tcPr>
            <w:tcW w:w="3815" w:type="dxa"/>
            <w:tcBorders>
              <w:top w:val="single" w:color="auto" w:sz="4" w:space="0"/>
              <w:left w:val="single" w:color="auto" w:sz="4" w:space="0"/>
              <w:bottom w:val="single" w:color="auto" w:sz="4" w:space="0"/>
              <w:right w:val="single" w:color="auto" w:sz="4" w:space="0"/>
            </w:tcBorders>
            <w:vAlign w:val="center"/>
          </w:tcPr>
          <w:p w14:paraId="566347A6">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评标小组</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监理内容整体分析及重难点管理措施</w:t>
            </w:r>
            <w:r>
              <w:rPr>
                <w:rFonts w:hint="eastAsia" w:ascii="宋体" w:hAnsi="宋体" w:eastAsia="宋体" w:cs="宋体"/>
                <w:sz w:val="24"/>
                <w:szCs w:val="24"/>
                <w:highlight w:val="none"/>
              </w:rPr>
              <w:t>进行评审：</w:t>
            </w:r>
          </w:p>
          <w:p w14:paraId="50ECB151">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（1）有健全的</w:t>
            </w:r>
            <w:r>
              <w:rPr>
                <w:rFonts w:hint="eastAsia" w:ascii="宋体" w:hAnsi="宋体" w:eastAsia="宋体" w:cs="宋体"/>
                <w:sz w:val="24"/>
                <w:szCs w:val="24"/>
                <w:highlight w:val="none"/>
                <w:lang w:val="en-US" w:eastAsia="zh-CN"/>
              </w:rPr>
              <w:t>监理内容整体分析</w:t>
            </w:r>
            <w:r>
              <w:rPr>
                <w:rFonts w:hint="eastAsia" w:ascii="宋体" w:hAnsi="宋体" w:eastAsia="宋体" w:cs="宋体"/>
                <w:sz w:val="24"/>
                <w:szCs w:val="24"/>
                <w:highlight w:val="none"/>
              </w:rPr>
              <w:t>，重点、难点分析符合项目特点的，得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＜F≤</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7F8F75B1">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（2）有较为健全的</w:t>
            </w:r>
            <w:r>
              <w:rPr>
                <w:rFonts w:hint="eastAsia" w:ascii="宋体" w:hAnsi="宋体" w:eastAsia="宋体" w:cs="宋体"/>
                <w:sz w:val="24"/>
                <w:szCs w:val="24"/>
                <w:highlight w:val="none"/>
                <w:lang w:val="en-US" w:eastAsia="zh-CN"/>
              </w:rPr>
              <w:t>监理内容整体分析</w:t>
            </w:r>
            <w:r>
              <w:rPr>
                <w:rFonts w:hint="eastAsia" w:ascii="宋体" w:hAnsi="宋体" w:eastAsia="宋体" w:cs="宋体"/>
                <w:sz w:val="24"/>
                <w:szCs w:val="24"/>
                <w:highlight w:val="none"/>
              </w:rPr>
              <w:t>，重点、难点分析基本符合项目特点的，得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＜F≤</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14:paraId="0E2307F8">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监理内容整体分析</w:t>
            </w:r>
            <w:r>
              <w:rPr>
                <w:rFonts w:hint="eastAsia" w:ascii="宋体" w:hAnsi="宋体" w:eastAsia="宋体" w:cs="宋体"/>
                <w:sz w:val="24"/>
                <w:szCs w:val="24"/>
                <w:highlight w:val="none"/>
              </w:rPr>
              <w:t>不健全，重点、难点分析不符合项目特点的，得0＜F≤</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461ACF75">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（4）未提供的不得分。</w:t>
            </w:r>
          </w:p>
          <w:p w14:paraId="572CD5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rPr>
            </w:pPr>
            <w:r>
              <w:rPr>
                <w:rFonts w:hint="eastAsia" w:ascii="宋体" w:hAnsi="宋体" w:eastAsia="宋体" w:cs="宋体"/>
                <w:b/>
                <w:bCs/>
                <w:sz w:val="24"/>
                <w:szCs w:val="24"/>
                <w:highlight w:val="none"/>
              </w:rPr>
              <w:t>注：“F”为投标人本项得分。</w:t>
            </w:r>
          </w:p>
        </w:tc>
        <w:tc>
          <w:tcPr>
            <w:tcW w:w="1607" w:type="dxa"/>
            <w:tcBorders>
              <w:top w:val="single" w:color="auto" w:sz="4" w:space="0"/>
              <w:left w:val="single" w:color="auto" w:sz="4" w:space="0"/>
              <w:bottom w:val="single" w:color="auto" w:sz="4" w:space="0"/>
              <w:right w:val="single" w:color="auto" w:sz="4" w:space="0"/>
            </w:tcBorders>
            <w:vAlign w:val="center"/>
          </w:tcPr>
          <w:p w14:paraId="308D8A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0-12分</w:t>
            </w:r>
          </w:p>
        </w:tc>
      </w:tr>
      <w:tr w14:paraId="1434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continue"/>
            <w:tcBorders>
              <w:left w:val="single" w:color="auto" w:sz="4" w:space="0"/>
              <w:right w:val="single" w:color="auto" w:sz="4" w:space="0"/>
            </w:tcBorders>
            <w:vAlign w:val="center"/>
          </w:tcPr>
          <w:p w14:paraId="6544D42F">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402DDA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监理机构设置和岗位职责</w:t>
            </w:r>
          </w:p>
        </w:tc>
        <w:tc>
          <w:tcPr>
            <w:tcW w:w="3815" w:type="dxa"/>
            <w:tcBorders>
              <w:top w:val="single" w:color="auto" w:sz="4" w:space="0"/>
              <w:left w:val="single" w:color="auto" w:sz="4" w:space="0"/>
              <w:bottom w:val="single" w:color="auto" w:sz="4" w:space="0"/>
              <w:right w:val="single" w:color="auto" w:sz="4" w:space="0"/>
            </w:tcBorders>
            <w:vAlign w:val="center"/>
          </w:tcPr>
          <w:p w14:paraId="111CE846">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评标小组针对本项目的监理机构设置和岗位职责措施进行评审。</w:t>
            </w:r>
          </w:p>
          <w:p w14:paraId="30C46C47">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机构设置合理，岗位职责明确的，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＜F≤</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119B0D6A">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机构设置较为合理，岗位职责较为明确的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＜F≤</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14:paraId="58E6A0AE">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机构设置不合理，岗位职责不明确的，</w:t>
            </w:r>
            <w:r>
              <w:rPr>
                <w:rFonts w:hint="eastAsia" w:ascii="宋体" w:hAnsi="宋体" w:eastAsia="宋体" w:cs="宋体"/>
                <w:sz w:val="24"/>
                <w:szCs w:val="24"/>
                <w:highlight w:val="none"/>
              </w:rPr>
              <w:t>得0＜F≤</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2B3210A5">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（4）未提供的不得分。</w:t>
            </w:r>
          </w:p>
          <w:p w14:paraId="1B83F546">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val="0"/>
                <w:bCs/>
                <w:sz w:val="24"/>
                <w:szCs w:val="24"/>
                <w:highlight w:val="none"/>
              </w:rPr>
            </w:pPr>
            <w:r>
              <w:rPr>
                <w:rFonts w:hint="eastAsia" w:ascii="宋体" w:hAnsi="宋体" w:eastAsia="宋体" w:cs="宋体"/>
                <w:b/>
                <w:bCs/>
                <w:sz w:val="24"/>
                <w:szCs w:val="24"/>
                <w:highlight w:val="none"/>
              </w:rPr>
              <w:t>注：“F”为投标人本项得分。</w:t>
            </w:r>
          </w:p>
        </w:tc>
        <w:tc>
          <w:tcPr>
            <w:tcW w:w="1607" w:type="dxa"/>
            <w:tcBorders>
              <w:top w:val="single" w:color="auto" w:sz="4" w:space="0"/>
              <w:left w:val="single" w:color="auto" w:sz="4" w:space="0"/>
              <w:bottom w:val="single" w:color="auto" w:sz="4" w:space="0"/>
              <w:right w:val="single" w:color="auto" w:sz="4" w:space="0"/>
            </w:tcBorders>
            <w:vAlign w:val="center"/>
          </w:tcPr>
          <w:p w14:paraId="4A99DE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0-12分</w:t>
            </w:r>
          </w:p>
        </w:tc>
      </w:tr>
      <w:tr w14:paraId="15CD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continue"/>
            <w:tcBorders>
              <w:left w:val="single" w:color="auto" w:sz="4" w:space="0"/>
              <w:right w:val="single" w:color="auto" w:sz="4" w:space="0"/>
            </w:tcBorders>
            <w:vAlign w:val="center"/>
          </w:tcPr>
          <w:p w14:paraId="0D8868F3">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56BBB5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质量、进度、造价、安全、环保监理措施</w:t>
            </w:r>
          </w:p>
        </w:tc>
        <w:tc>
          <w:tcPr>
            <w:tcW w:w="3815" w:type="dxa"/>
            <w:tcBorders>
              <w:top w:val="single" w:color="auto" w:sz="4" w:space="0"/>
              <w:left w:val="single" w:color="auto" w:sz="4" w:space="0"/>
              <w:bottom w:val="single" w:color="auto" w:sz="4" w:space="0"/>
              <w:right w:val="single" w:color="auto" w:sz="4" w:space="0"/>
            </w:tcBorders>
            <w:vAlign w:val="center"/>
          </w:tcPr>
          <w:p w14:paraId="31DB218E">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评标小组</w:t>
            </w:r>
            <w:r>
              <w:rPr>
                <w:rFonts w:hint="eastAsia" w:ascii="宋体" w:hAnsi="宋体" w:eastAsia="宋体" w:cs="宋体"/>
                <w:sz w:val="24"/>
                <w:szCs w:val="24"/>
                <w:highlight w:val="none"/>
              </w:rPr>
              <w:t>对招标采购工程质量、进度、</w:t>
            </w:r>
            <w:r>
              <w:rPr>
                <w:rFonts w:hint="eastAsia" w:ascii="宋体" w:hAnsi="宋体" w:eastAsia="宋体" w:cs="宋体"/>
                <w:sz w:val="24"/>
                <w:szCs w:val="24"/>
                <w:highlight w:val="none"/>
                <w:lang w:val="en-US" w:eastAsia="zh-CN"/>
              </w:rPr>
              <w:t>造价、安全、环保监理措施</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综合</w:t>
            </w:r>
            <w:r>
              <w:rPr>
                <w:rFonts w:hint="eastAsia" w:ascii="宋体" w:hAnsi="宋体" w:eastAsia="宋体" w:cs="宋体"/>
                <w:sz w:val="24"/>
                <w:szCs w:val="24"/>
                <w:highlight w:val="none"/>
              </w:rPr>
              <w:t>评审：</w:t>
            </w:r>
          </w:p>
          <w:p w14:paraId="2D18AD7B">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（1）管理方案详尽，措施合理</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＜F≤</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38F580AB">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（2）管理方案较为详尽，措施较为合理</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＜F≤</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14:paraId="49CD132B">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（3）管理方案不详尽，措施不合理</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得0＜F≤</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6A634FB7">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（4）未提供的不得分。</w:t>
            </w:r>
          </w:p>
          <w:p w14:paraId="02FF91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rPr>
            </w:pPr>
            <w:r>
              <w:rPr>
                <w:rFonts w:hint="eastAsia" w:ascii="宋体" w:hAnsi="宋体" w:eastAsia="宋体" w:cs="宋体"/>
                <w:b/>
                <w:bCs/>
                <w:sz w:val="24"/>
                <w:szCs w:val="24"/>
                <w:highlight w:val="none"/>
              </w:rPr>
              <w:t>注：“F”为投标人本项得分。</w:t>
            </w:r>
          </w:p>
        </w:tc>
        <w:tc>
          <w:tcPr>
            <w:tcW w:w="1607" w:type="dxa"/>
            <w:tcBorders>
              <w:top w:val="single" w:color="auto" w:sz="4" w:space="0"/>
              <w:left w:val="single" w:color="auto" w:sz="4" w:space="0"/>
              <w:bottom w:val="single" w:color="auto" w:sz="4" w:space="0"/>
              <w:right w:val="single" w:color="auto" w:sz="4" w:space="0"/>
            </w:tcBorders>
            <w:vAlign w:val="center"/>
          </w:tcPr>
          <w:p w14:paraId="0D2450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0-12分</w:t>
            </w:r>
          </w:p>
        </w:tc>
      </w:tr>
      <w:tr w14:paraId="2C69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continue"/>
            <w:tcBorders>
              <w:left w:val="single" w:color="auto" w:sz="4" w:space="0"/>
              <w:right w:val="single" w:color="auto" w:sz="4" w:space="0"/>
            </w:tcBorders>
            <w:vAlign w:val="center"/>
          </w:tcPr>
          <w:p w14:paraId="2A62A3DD">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hint="eastAsia" w:ascii="宋体" w:hAnsi="宋体" w:eastAsia="宋体" w:cs="宋体"/>
                <w:b/>
                <w:bCs/>
                <w:sz w:val="24"/>
                <w:szCs w:val="24"/>
                <w:highlight w:val="none"/>
              </w:rPr>
            </w:pPr>
          </w:p>
        </w:tc>
        <w:tc>
          <w:tcPr>
            <w:tcW w:w="1751" w:type="dxa"/>
            <w:tcBorders>
              <w:top w:val="single" w:color="auto" w:sz="4" w:space="0"/>
              <w:left w:val="single" w:color="auto" w:sz="4" w:space="0"/>
              <w:bottom w:val="single" w:color="auto" w:sz="4" w:space="0"/>
              <w:right w:val="single" w:color="auto" w:sz="4" w:space="0"/>
            </w:tcBorders>
            <w:vAlign w:val="center"/>
          </w:tcPr>
          <w:p w14:paraId="00E3DC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工程合同与信息管理措施</w:t>
            </w:r>
          </w:p>
        </w:tc>
        <w:tc>
          <w:tcPr>
            <w:tcW w:w="3815" w:type="dxa"/>
            <w:tcBorders>
              <w:top w:val="single" w:color="auto" w:sz="4" w:space="0"/>
              <w:left w:val="single" w:color="auto" w:sz="4" w:space="0"/>
              <w:bottom w:val="single" w:color="auto" w:sz="4" w:space="0"/>
              <w:right w:val="single" w:color="auto" w:sz="4" w:space="0"/>
            </w:tcBorders>
            <w:vAlign w:val="center"/>
          </w:tcPr>
          <w:p w14:paraId="3796BCE3">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评标小组</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工程合同与信息管理措施进行综合评审</w:t>
            </w:r>
            <w:r>
              <w:rPr>
                <w:rFonts w:hint="eastAsia" w:ascii="宋体" w:hAnsi="宋体" w:eastAsia="宋体" w:cs="宋体"/>
                <w:sz w:val="24"/>
                <w:szCs w:val="24"/>
                <w:highlight w:val="none"/>
              </w:rPr>
              <w:t>：</w:t>
            </w:r>
          </w:p>
          <w:p w14:paraId="59C17301">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措施</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可行性及针对性强的，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＜F≤</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1D513A83">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措施较为合理，可行性及针对性较为强的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＜F≤</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14:paraId="590DB456">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措施不合理，可行性及针对性不强的，</w:t>
            </w:r>
            <w:r>
              <w:rPr>
                <w:rFonts w:hint="eastAsia" w:ascii="宋体" w:hAnsi="宋体" w:eastAsia="宋体" w:cs="宋体"/>
                <w:sz w:val="24"/>
                <w:szCs w:val="24"/>
                <w:highlight w:val="none"/>
              </w:rPr>
              <w:t>得0＜F≤</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1BE24A8D">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（4）未提供的不得分。</w:t>
            </w:r>
          </w:p>
          <w:p w14:paraId="345380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rPr>
            </w:pPr>
            <w:r>
              <w:rPr>
                <w:rFonts w:hint="eastAsia" w:ascii="宋体" w:hAnsi="宋体" w:eastAsia="宋体" w:cs="宋体"/>
                <w:b/>
                <w:bCs/>
                <w:sz w:val="24"/>
                <w:szCs w:val="24"/>
                <w:highlight w:val="none"/>
              </w:rPr>
              <w:t>注：“F”为投标人本项得分。</w:t>
            </w:r>
          </w:p>
        </w:tc>
        <w:tc>
          <w:tcPr>
            <w:tcW w:w="1607" w:type="dxa"/>
            <w:tcBorders>
              <w:top w:val="single" w:color="auto" w:sz="4" w:space="0"/>
              <w:left w:val="single" w:color="auto" w:sz="4" w:space="0"/>
              <w:bottom w:val="single" w:color="auto" w:sz="4" w:space="0"/>
              <w:right w:val="single" w:color="auto" w:sz="4" w:space="0"/>
            </w:tcBorders>
            <w:vAlign w:val="center"/>
          </w:tcPr>
          <w:p w14:paraId="415D95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0-12分</w:t>
            </w:r>
          </w:p>
        </w:tc>
      </w:tr>
      <w:tr w14:paraId="3A87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restart"/>
            <w:tcBorders>
              <w:left w:val="single" w:color="auto" w:sz="4" w:space="0"/>
              <w:right w:val="single" w:color="auto" w:sz="4" w:space="0"/>
            </w:tcBorders>
            <w:vAlign w:val="center"/>
          </w:tcPr>
          <w:p w14:paraId="7D433D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612C47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613C43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5EF84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7CAD1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203723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1C86B3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1C2D14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016271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1A8467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307E6F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7F01A1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355A56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125E56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29923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7CE3D5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1FC93F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1E534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54D0E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6453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p w14:paraId="485346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商务文件评分</w:t>
            </w:r>
          </w:p>
        </w:tc>
        <w:tc>
          <w:tcPr>
            <w:tcW w:w="1751" w:type="dxa"/>
            <w:tcBorders>
              <w:top w:val="single" w:color="auto" w:sz="4" w:space="0"/>
              <w:left w:val="single" w:color="auto" w:sz="4" w:space="0"/>
              <w:bottom w:val="single" w:color="auto" w:sz="4" w:space="0"/>
              <w:right w:val="single" w:color="auto" w:sz="4" w:space="0"/>
            </w:tcBorders>
            <w:vAlign w:val="center"/>
          </w:tcPr>
          <w:p w14:paraId="2627942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24"/>
                <w:szCs w:val="24"/>
                <w:highlight w:val="none"/>
                <w:lang w:val="en-US" w:eastAsia="zh-CN"/>
              </w:rPr>
            </w:pPr>
          </w:p>
          <w:p w14:paraId="0FBB6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val="0"/>
                <w:sz w:val="24"/>
                <w:szCs w:val="24"/>
                <w:highlight w:val="none"/>
                <w:lang w:val="en-US" w:eastAsia="zh-CN"/>
              </w:rPr>
              <w:t>投标人认证</w:t>
            </w:r>
          </w:p>
        </w:tc>
        <w:tc>
          <w:tcPr>
            <w:tcW w:w="3815" w:type="dxa"/>
            <w:tcBorders>
              <w:top w:val="single" w:color="auto" w:sz="4" w:space="0"/>
              <w:left w:val="single" w:color="auto" w:sz="4" w:space="0"/>
              <w:bottom w:val="single" w:color="auto" w:sz="4" w:space="0"/>
              <w:right w:val="single" w:color="auto" w:sz="4" w:space="0"/>
            </w:tcBorders>
            <w:vAlign w:val="center"/>
          </w:tcPr>
          <w:p w14:paraId="2CBF2C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投标人具有国家认证认可监督管理委员会认可的认证机构颁发的质量管理体系认证证书、环境管理体系认证证书、职业健康管理体系认证证书的，每个证书得2分，满分6分（同类体系认证证书仅计取一次得分）。</w:t>
            </w:r>
          </w:p>
          <w:p w14:paraId="307563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注：投标文件中提供证书扫描件作为评审依据，证书中应能体现发证机构已获认监委认证或能体现该证书可在认监委网站查询，否则须同时在投标文件中提供在认监委网站对证书发证机构的查询截图作为评审依据。</w:t>
            </w:r>
          </w:p>
        </w:tc>
        <w:tc>
          <w:tcPr>
            <w:tcW w:w="1607" w:type="dxa"/>
            <w:tcBorders>
              <w:top w:val="single" w:color="auto" w:sz="4" w:space="0"/>
              <w:left w:val="single" w:color="auto" w:sz="4" w:space="0"/>
              <w:bottom w:val="single" w:color="auto" w:sz="4" w:space="0"/>
              <w:right w:val="single" w:color="auto" w:sz="4" w:space="0"/>
            </w:tcBorders>
            <w:vAlign w:val="center"/>
          </w:tcPr>
          <w:p w14:paraId="49741E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0-6分</w:t>
            </w:r>
          </w:p>
        </w:tc>
      </w:tr>
      <w:tr w14:paraId="4437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continue"/>
            <w:tcBorders>
              <w:left w:val="single" w:color="auto" w:sz="4" w:space="0"/>
              <w:right w:val="single" w:color="auto" w:sz="4" w:space="0"/>
            </w:tcBorders>
            <w:vAlign w:val="center"/>
          </w:tcPr>
          <w:p w14:paraId="39F2F3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tc>
        <w:tc>
          <w:tcPr>
            <w:tcW w:w="1751" w:type="dxa"/>
            <w:tcBorders>
              <w:top w:val="single" w:color="auto" w:sz="4" w:space="0"/>
              <w:left w:val="single" w:color="auto" w:sz="4" w:space="0"/>
              <w:bottom w:val="single" w:color="auto" w:sz="4" w:space="0"/>
              <w:right w:val="single" w:color="auto" w:sz="4" w:space="0"/>
            </w:tcBorders>
            <w:vAlign w:val="center"/>
          </w:tcPr>
          <w:p w14:paraId="36402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val="0"/>
                <w:sz w:val="24"/>
                <w:szCs w:val="24"/>
                <w:highlight w:val="none"/>
                <w:lang w:val="en-US" w:eastAsia="zh-CN"/>
              </w:rPr>
              <w:t>投标人业绩</w:t>
            </w:r>
          </w:p>
        </w:tc>
        <w:tc>
          <w:tcPr>
            <w:tcW w:w="3815" w:type="dxa"/>
            <w:tcBorders>
              <w:top w:val="single" w:color="auto" w:sz="4" w:space="0"/>
              <w:left w:val="single" w:color="auto" w:sz="4" w:space="0"/>
              <w:bottom w:val="single" w:color="auto" w:sz="4" w:space="0"/>
              <w:right w:val="single" w:color="auto" w:sz="4" w:space="0"/>
            </w:tcBorders>
            <w:vAlign w:val="center"/>
          </w:tcPr>
          <w:p w14:paraId="5B56E4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sz w:val="24"/>
                <w:szCs w:val="24"/>
                <w:highlight w:val="none"/>
                <w:lang w:val="en-US" w:eastAsia="zh-CN"/>
              </w:rPr>
              <w:t>自2021年01月01日以来（以合同签订时间为准），投标人在中华人民</w:t>
            </w:r>
            <w:r>
              <w:rPr>
                <w:rFonts w:hint="eastAsia" w:ascii="宋体" w:hAnsi="宋体" w:eastAsia="宋体" w:cs="宋体"/>
                <w:b w:val="0"/>
                <w:bCs/>
                <w:color w:val="auto"/>
                <w:sz w:val="24"/>
                <w:szCs w:val="24"/>
                <w:highlight w:val="none"/>
                <w:lang w:val="en-US" w:eastAsia="zh-CN"/>
              </w:rPr>
              <w:t>共和国境内（不含港澳台）具备单个合同中</w:t>
            </w:r>
            <w:r>
              <w:rPr>
                <w:rFonts w:hint="eastAsia" w:ascii="宋体" w:hAnsi="宋体" w:cs="宋体"/>
                <w:b w:val="0"/>
                <w:bCs/>
                <w:color w:val="auto"/>
                <w:sz w:val="24"/>
                <w:szCs w:val="24"/>
                <w:highlight w:val="none"/>
                <w:lang w:val="en-US" w:eastAsia="zh-CN"/>
              </w:rPr>
              <w:t>监理费用不低于8万元的</w:t>
            </w:r>
            <w:r>
              <w:rPr>
                <w:rFonts w:hint="eastAsia" w:ascii="宋体" w:hAnsi="宋体" w:eastAsia="宋体" w:cs="宋体"/>
                <w:b w:val="0"/>
                <w:bCs/>
                <w:color w:val="auto"/>
                <w:sz w:val="24"/>
                <w:szCs w:val="24"/>
                <w:highlight w:val="none"/>
                <w:lang w:val="en-US" w:eastAsia="zh-CN"/>
              </w:rPr>
              <w:t>公共建筑工程监理业绩。</w:t>
            </w:r>
          </w:p>
          <w:p w14:paraId="70B533E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每提供一个得4分，满分12分。</w:t>
            </w:r>
          </w:p>
          <w:p w14:paraId="24E39F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注：</w:t>
            </w:r>
          </w:p>
          <w:p w14:paraId="146DF7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 投标人应按下列规定提供业绩证明资料：</w:t>
            </w:r>
          </w:p>
          <w:p w14:paraId="26059F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（1）合同协议书。投标人所提供合同协议书应与监管部门备案的合同协议书（如需）保持一致，评标结束后若发现不一致的以备案合同协议书为准，并视同提供虚假材料；</w:t>
            </w:r>
          </w:p>
          <w:p w14:paraId="0A0626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（2）业绩已完成证明材料（竣工验收证明文件或监理业务手册或总监信用手册），已完成证明材料须有项目业主单位（或合同甲方公章）和监理单位盖章。</w:t>
            </w:r>
          </w:p>
          <w:p w14:paraId="74B74C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以上涉及到的材料证明资料信息应完整或能充分反映评审因素。如投标人提供的上述业绩证明材料均未能完整或充分反映评审因素（如合同签订时间、工程总建筑面积或工程建筑安装工程费或监理费金额等），应另附业主（或合同甲方）证明材料予以明确说明，须加盖项目业主单位或合同甲方公章，否则评标委员会不予认可。</w:t>
            </w:r>
          </w:p>
          <w:p w14:paraId="6D9554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3.上述业绩证明材料中同一内容不一致的以“业绩已完成证明材料”为准。</w:t>
            </w:r>
          </w:p>
          <w:p w14:paraId="7F4C76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4、公共建筑：指办公建筑、商业建筑、旅游建筑、科教文卫建筑、通信建筑、交通运输类建筑。</w:t>
            </w:r>
          </w:p>
        </w:tc>
        <w:tc>
          <w:tcPr>
            <w:tcW w:w="1607" w:type="dxa"/>
            <w:tcBorders>
              <w:top w:val="single" w:color="auto" w:sz="4" w:space="0"/>
              <w:left w:val="single" w:color="auto" w:sz="4" w:space="0"/>
              <w:bottom w:val="single" w:color="auto" w:sz="4" w:space="0"/>
              <w:right w:val="single" w:color="auto" w:sz="4" w:space="0"/>
            </w:tcBorders>
            <w:vAlign w:val="center"/>
          </w:tcPr>
          <w:p w14:paraId="6E205F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0-12分</w:t>
            </w:r>
          </w:p>
        </w:tc>
      </w:tr>
      <w:tr w14:paraId="7B1B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continue"/>
            <w:tcBorders>
              <w:left w:val="single" w:color="auto" w:sz="4" w:space="0"/>
              <w:right w:val="single" w:color="auto" w:sz="4" w:space="0"/>
            </w:tcBorders>
            <w:vAlign w:val="center"/>
          </w:tcPr>
          <w:p w14:paraId="3E0AEA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tc>
        <w:tc>
          <w:tcPr>
            <w:tcW w:w="1751" w:type="dxa"/>
            <w:tcBorders>
              <w:top w:val="single" w:color="auto" w:sz="4" w:space="0"/>
              <w:left w:val="single" w:color="auto" w:sz="4" w:space="0"/>
              <w:bottom w:val="single" w:color="auto" w:sz="4" w:space="0"/>
              <w:right w:val="single" w:color="auto" w:sz="4" w:space="0"/>
            </w:tcBorders>
            <w:vAlign w:val="center"/>
          </w:tcPr>
          <w:p w14:paraId="2504FE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val="0"/>
                <w:sz w:val="24"/>
                <w:szCs w:val="24"/>
                <w:highlight w:val="none"/>
                <w:lang w:val="en-US" w:eastAsia="zh-CN"/>
              </w:rPr>
              <w:t>投标人奖项、荣誉</w:t>
            </w:r>
          </w:p>
        </w:tc>
        <w:tc>
          <w:tcPr>
            <w:tcW w:w="3815" w:type="dxa"/>
            <w:tcBorders>
              <w:top w:val="single" w:color="auto" w:sz="4" w:space="0"/>
              <w:left w:val="single" w:color="auto" w:sz="4" w:space="0"/>
              <w:bottom w:val="single" w:color="auto" w:sz="4" w:space="0"/>
              <w:right w:val="single" w:color="auto" w:sz="4" w:space="0"/>
            </w:tcBorders>
            <w:vAlign w:val="center"/>
          </w:tcPr>
          <w:p w14:paraId="187141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1、自2021年1月1日(以颁奖时间为准)以来，投标人所监理的公共建筑工程项目获得行业主管部门或在国内依法登记注册的行业协会（或学会）颁发的优质工程奖项：地市级及以上的每提供一个得</w:t>
            </w:r>
            <w:r>
              <w:rPr>
                <w:rFonts w:hint="eastAsia" w:ascii="宋体" w:hAnsi="宋体" w:cs="宋体"/>
                <w:b/>
                <w:bCs w:val="0"/>
                <w:sz w:val="24"/>
                <w:szCs w:val="24"/>
                <w:highlight w:val="none"/>
                <w:lang w:val="en-US" w:eastAsia="zh-CN"/>
              </w:rPr>
              <w:t>3</w:t>
            </w:r>
            <w:r>
              <w:rPr>
                <w:rFonts w:hint="eastAsia" w:ascii="宋体" w:hAnsi="宋体" w:eastAsia="宋体" w:cs="宋体"/>
                <w:b/>
                <w:bCs w:val="0"/>
                <w:sz w:val="24"/>
                <w:szCs w:val="24"/>
                <w:highlight w:val="none"/>
                <w:lang w:val="en-US" w:eastAsia="zh-CN"/>
              </w:rPr>
              <w:t>分；本项满分6分。</w:t>
            </w:r>
          </w:p>
          <w:p w14:paraId="4D4C82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注：（1）同一项目多次获奖的在本项评审中只计分一次。</w:t>
            </w:r>
          </w:p>
          <w:p w14:paraId="269DCE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（2）投标文件中须提供颁奖单位的颁奖文件或颁奖单位官网文件截图（颁奖文件不含荣誉证书、奖杯、奖牌、奖状）。</w:t>
            </w:r>
          </w:p>
          <w:p w14:paraId="14A26D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（3）投标文件中提供对应获奖监理业绩的合同扫描件。</w:t>
            </w:r>
          </w:p>
          <w:p w14:paraId="23E35F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国内依法登记注册”以中国社会组织政务服务平台中“全国社会组织信用信息公示平台（试运行）”查询结果为准。针对国内依法登记注册的行业协会（或学会）颁发的奖项、荣誉，投标文件中须提供提供该协会在中国社会组织政务服务平台中“全国社会组织信用信息公示平台（试运行）”查询结果截图。</w:t>
            </w:r>
          </w:p>
          <w:p w14:paraId="649357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（5）民政部公布的“离岸社团”、“山寨社团”或中国社会组织政务服务平台中“全国社会组织信用信息公示平台（试运行）”公示的“涉嫌非法社会组织”颁发的荣誉、奖励均无效。</w:t>
            </w:r>
          </w:p>
          <w:p w14:paraId="26233F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（6）公共建筑：指办公建筑、商业建筑、旅游建筑、科教文卫建筑、通信建筑、交通运输类建筑。</w:t>
            </w:r>
          </w:p>
          <w:p w14:paraId="2D149E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2.自2021年1月1日（以颁奖时间为准）以来，投标人获得建设主管部门或在国内依法登记注册的协会（或学会）颁发的先进或优秀监理企业称号的：地市级及以上的每提供一个得</w:t>
            </w:r>
            <w:r>
              <w:rPr>
                <w:rFonts w:hint="eastAsia" w:ascii="宋体" w:hAnsi="宋体" w:cs="宋体"/>
                <w:b/>
                <w:bCs w:val="0"/>
                <w:sz w:val="24"/>
                <w:szCs w:val="24"/>
                <w:highlight w:val="none"/>
                <w:lang w:val="en-US" w:eastAsia="zh-CN"/>
              </w:rPr>
              <w:t>3</w:t>
            </w:r>
            <w:r>
              <w:rPr>
                <w:rFonts w:hint="eastAsia" w:ascii="宋体" w:hAnsi="宋体" w:eastAsia="宋体" w:cs="宋体"/>
                <w:b/>
                <w:bCs w:val="0"/>
                <w:sz w:val="24"/>
                <w:szCs w:val="24"/>
                <w:highlight w:val="none"/>
                <w:lang w:val="en-US" w:eastAsia="zh-CN"/>
              </w:rPr>
              <w:t>分；本项满分6分。</w:t>
            </w:r>
          </w:p>
          <w:p w14:paraId="7F01EB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注：</w:t>
            </w:r>
          </w:p>
          <w:p w14:paraId="26FDC2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（1）投标文件中须提供颁奖单位的颁奖文件或颁奖单位官网文件截图（颁奖文件不含荣誉证书、奖杯、奖牌、奖状）。</w:t>
            </w:r>
          </w:p>
          <w:p w14:paraId="6AA099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国内依法登记注册”以中国社会组织政务服务平台中“全国社会组织信用信息公示平台（试运行）”查询结果为准。针对国内依法登记注册的行业协会（或学会）颁发的奖项、荣誉，投标文件中须提供提供该协会在中国社会组织政务服务平台中“全国社会组织信用信息公示平台（试运行）”查询结果截图。</w:t>
            </w:r>
          </w:p>
          <w:p w14:paraId="64AD27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（3）民政部公布的“离岸社团”、“山寨社团”或中国社会组织政务服务平台中“全国社会组织信用信息公示平台（试运行）”公示的“涉嫌非法社会组织”颁发的荣誉、奖励均无效。</w:t>
            </w:r>
          </w:p>
        </w:tc>
        <w:tc>
          <w:tcPr>
            <w:tcW w:w="1607" w:type="dxa"/>
            <w:tcBorders>
              <w:top w:val="single" w:color="auto" w:sz="4" w:space="0"/>
              <w:left w:val="single" w:color="auto" w:sz="4" w:space="0"/>
              <w:bottom w:val="single" w:color="auto" w:sz="4" w:space="0"/>
              <w:right w:val="single" w:color="auto" w:sz="4" w:space="0"/>
            </w:tcBorders>
            <w:vAlign w:val="center"/>
          </w:tcPr>
          <w:p w14:paraId="5CBD81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0-12分</w:t>
            </w:r>
          </w:p>
        </w:tc>
      </w:tr>
      <w:tr w14:paraId="5C78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continue"/>
            <w:tcBorders>
              <w:left w:val="single" w:color="auto" w:sz="4" w:space="0"/>
              <w:right w:val="single" w:color="auto" w:sz="4" w:space="0"/>
            </w:tcBorders>
            <w:vAlign w:val="center"/>
          </w:tcPr>
          <w:p w14:paraId="0B580D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tc>
        <w:tc>
          <w:tcPr>
            <w:tcW w:w="1751" w:type="dxa"/>
            <w:tcBorders>
              <w:top w:val="single" w:color="auto" w:sz="4" w:space="0"/>
              <w:left w:val="single" w:color="auto" w:sz="4" w:space="0"/>
              <w:bottom w:val="single" w:color="auto" w:sz="4" w:space="0"/>
              <w:right w:val="single" w:color="auto" w:sz="4" w:space="0"/>
            </w:tcBorders>
            <w:vAlign w:val="center"/>
          </w:tcPr>
          <w:p w14:paraId="0E0A9C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color w:val="auto"/>
                <w:sz w:val="24"/>
                <w:szCs w:val="24"/>
                <w:highlight w:val="none"/>
              </w:rPr>
              <w:t>总监理工程师荣誉</w:t>
            </w:r>
          </w:p>
        </w:tc>
        <w:tc>
          <w:tcPr>
            <w:tcW w:w="3815" w:type="dxa"/>
            <w:tcBorders>
              <w:top w:val="single" w:color="auto" w:sz="4" w:space="0"/>
              <w:left w:val="single" w:color="auto" w:sz="4" w:space="0"/>
              <w:bottom w:val="single" w:color="auto" w:sz="4" w:space="0"/>
              <w:right w:val="single" w:color="auto" w:sz="4" w:space="0"/>
            </w:tcBorders>
            <w:vAlign w:val="center"/>
          </w:tcPr>
          <w:p w14:paraId="2430575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rPr>
              <w:t>1月1日以来（以颁奖时间为准），拟派总监理工程师获得建设主管部门或在国内依法登记注册的协会（或学会）颁发的优秀总监理工程师（或优秀监理工程师）称号的：</w:t>
            </w:r>
            <w:r>
              <w:rPr>
                <w:rFonts w:hint="eastAsia" w:ascii="宋体" w:hAnsi="宋体" w:eastAsia="宋体" w:cs="宋体"/>
                <w:color w:val="auto"/>
                <w:sz w:val="24"/>
                <w:szCs w:val="24"/>
                <w:highlight w:val="none"/>
                <w:lang w:val="en-US" w:eastAsia="zh-CN"/>
              </w:rPr>
              <w:t>地</w:t>
            </w:r>
            <w:r>
              <w:rPr>
                <w:rFonts w:hint="eastAsia" w:ascii="宋体" w:hAnsi="宋体" w:eastAsia="宋体" w:cs="宋体"/>
                <w:color w:val="auto"/>
                <w:sz w:val="24"/>
                <w:szCs w:val="24"/>
                <w:highlight w:val="none"/>
              </w:rPr>
              <w:t>市级的每个得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分；本项满分</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7C5F7BA">
            <w:pPr>
              <w:adjustRightInd w:val="0"/>
              <w:snapToGrid w:val="0"/>
              <w:spacing w:line="360" w:lineRule="auto"/>
              <w:ind w:right="-10"/>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注：</w:t>
            </w:r>
          </w:p>
          <w:p w14:paraId="75D73811">
            <w:pPr>
              <w:adjustRightInd w:val="0"/>
              <w:snapToGrid w:val="0"/>
              <w:spacing w:line="360" w:lineRule="auto"/>
              <w:ind w:right="-10"/>
              <w:rPr>
                <w:rFonts w:hint="eastAsia" w:ascii="宋体" w:hAnsi="宋体" w:eastAsia="宋体" w:cs="宋体"/>
                <w:b/>
                <w:snapToGrid w:val="0"/>
                <w:color w:val="auto"/>
                <w:kern w:val="0"/>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bCs/>
                <w:color w:val="auto"/>
                <w:sz w:val="24"/>
                <w:szCs w:val="24"/>
                <w:highlight w:val="none"/>
              </w:rPr>
              <w:t>本小项最多记取2个奖项。</w:t>
            </w:r>
          </w:p>
          <w:p w14:paraId="18C2E506">
            <w:pPr>
              <w:adjustRightInd w:val="0"/>
              <w:snapToGrid w:val="0"/>
              <w:spacing w:line="360" w:lineRule="auto"/>
              <w:ind w:right="-10"/>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（2）投标文件中须提供颁奖单位的颁奖文件或颁奖单位官网文件截图（颁奖文件不含荣誉证书、奖杯、奖牌、奖状）。</w:t>
            </w:r>
          </w:p>
          <w:p w14:paraId="31D40B9C">
            <w:pPr>
              <w:adjustRightInd w:val="0"/>
              <w:snapToGrid w:val="0"/>
              <w:spacing w:line="360" w:lineRule="auto"/>
              <w:ind w:right="-10"/>
              <w:rPr>
                <w:rFonts w:hint="eastAsia" w:ascii="宋体" w:hAnsi="宋体" w:eastAsia="宋体" w:cs="宋体"/>
                <w:b/>
                <w:color w:val="auto"/>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eastAsia="宋体" w:cs="宋体"/>
                <w:b/>
                <w:color w:val="auto"/>
                <w:sz w:val="24"/>
                <w:szCs w:val="24"/>
                <w:highlight w:val="none"/>
              </w:rPr>
              <w:t>a.“国内依法登记注册”以中国社会组织政务服务平台中“全国社会组织信用信息公示平台”查询结果为准；</w:t>
            </w:r>
          </w:p>
          <w:p w14:paraId="0423763F">
            <w:pPr>
              <w:adjustRightInd w:val="0"/>
              <w:snapToGrid w:val="0"/>
              <w:spacing w:line="360" w:lineRule="auto"/>
              <w:ind w:right="-1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b.投标文件中须提供该协会在中国社会组织政务服务平台中“全国社会组织信用信息公示平台”查询结果截图。</w:t>
            </w:r>
          </w:p>
          <w:p w14:paraId="33CB86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color w:val="auto"/>
                <w:sz w:val="24"/>
                <w:szCs w:val="24"/>
                <w:highlight w:val="none"/>
              </w:rPr>
              <w:t>c.</w:t>
            </w:r>
            <w:r>
              <w:rPr>
                <w:rFonts w:hint="eastAsia" w:ascii="宋体" w:hAnsi="宋体" w:eastAsia="宋体" w:cs="宋体"/>
                <w:b/>
                <w:snapToGrid w:val="0"/>
                <w:color w:val="auto"/>
                <w:kern w:val="0"/>
                <w:sz w:val="24"/>
                <w:szCs w:val="24"/>
                <w:highlight w:val="none"/>
              </w:rPr>
              <w:t>民政部公布的“离岸社团”、“山寨社团” 或中国社会组织政务服务平台中“全 国社会组织信用信息公示平台”公示的“涉嫌非法社会组织”颁发的荣誉、奖励均无效。</w:t>
            </w:r>
          </w:p>
        </w:tc>
        <w:tc>
          <w:tcPr>
            <w:tcW w:w="1607" w:type="dxa"/>
            <w:tcBorders>
              <w:top w:val="single" w:color="auto" w:sz="4" w:space="0"/>
              <w:left w:val="single" w:color="auto" w:sz="4" w:space="0"/>
              <w:bottom w:val="single" w:color="auto" w:sz="4" w:space="0"/>
              <w:right w:val="single" w:color="auto" w:sz="4" w:space="0"/>
            </w:tcBorders>
            <w:vAlign w:val="center"/>
          </w:tcPr>
          <w:p w14:paraId="01CA65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0-4分</w:t>
            </w:r>
          </w:p>
        </w:tc>
      </w:tr>
      <w:tr w14:paraId="06D4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continue"/>
            <w:tcBorders>
              <w:left w:val="single" w:color="auto" w:sz="4" w:space="0"/>
              <w:right w:val="single" w:color="auto" w:sz="4" w:space="0"/>
            </w:tcBorders>
            <w:vAlign w:val="center"/>
          </w:tcPr>
          <w:p w14:paraId="0125D6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val="en-US" w:eastAsia="zh-CN"/>
              </w:rPr>
            </w:pPr>
          </w:p>
        </w:tc>
        <w:tc>
          <w:tcPr>
            <w:tcW w:w="1751" w:type="dxa"/>
            <w:tcBorders>
              <w:top w:val="single" w:color="auto" w:sz="4" w:space="0"/>
              <w:left w:val="single" w:color="auto" w:sz="4" w:space="0"/>
              <w:bottom w:val="single" w:color="auto" w:sz="4" w:space="0"/>
              <w:right w:val="single" w:color="auto" w:sz="4" w:space="0"/>
            </w:tcBorders>
            <w:vAlign w:val="center"/>
          </w:tcPr>
          <w:p w14:paraId="02063C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val="0"/>
                <w:sz w:val="24"/>
                <w:szCs w:val="24"/>
                <w:highlight w:val="none"/>
                <w:lang w:val="en-US" w:eastAsia="zh-CN"/>
              </w:rPr>
              <w:t>人员资质</w:t>
            </w:r>
          </w:p>
        </w:tc>
        <w:tc>
          <w:tcPr>
            <w:tcW w:w="3815" w:type="dxa"/>
            <w:tcBorders>
              <w:top w:val="single" w:color="auto" w:sz="4" w:space="0"/>
              <w:left w:val="single" w:color="auto" w:sz="4" w:space="0"/>
              <w:bottom w:val="single" w:color="auto" w:sz="4" w:space="0"/>
              <w:right w:val="single" w:color="auto" w:sz="4" w:space="0"/>
            </w:tcBorders>
            <w:vAlign w:val="center"/>
          </w:tcPr>
          <w:p w14:paraId="4E2A4A2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1.拟派总监理工程师具有高级及以上职称的，得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分。本项满分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6E16BF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2.项目机构拟配备的人员（除总监外）具有建筑工程专业二级及以上注册建造师或</w:t>
            </w:r>
            <w:r>
              <w:rPr>
                <w:rFonts w:hint="eastAsia" w:ascii="宋体" w:hAnsi="宋体" w:eastAsia="宋体" w:cs="宋体"/>
                <w:bCs/>
                <w:snapToGrid w:val="0"/>
                <w:color w:val="auto"/>
                <w:kern w:val="0"/>
                <w:sz w:val="24"/>
                <w:szCs w:val="24"/>
                <w:highlight w:val="none"/>
              </w:rPr>
              <w:t>房屋建筑工程专业</w:t>
            </w:r>
            <w:r>
              <w:rPr>
                <w:rFonts w:hint="eastAsia" w:ascii="宋体" w:hAnsi="宋体" w:eastAsia="宋体" w:cs="宋体"/>
                <w:color w:val="auto"/>
                <w:sz w:val="24"/>
                <w:szCs w:val="24"/>
                <w:highlight w:val="none"/>
              </w:rPr>
              <w:t>国家级注册监理工程师证书的，每有一名得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分。本项满分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A0B41DC">
            <w:pPr>
              <w:spacing w:line="440" w:lineRule="exact"/>
              <w:rPr>
                <w:rFonts w:hint="eastAsia" w:ascii="宋体" w:hAnsi="宋体" w:eastAsia="宋体" w:cs="宋体"/>
                <w:b/>
                <w:bCs/>
                <w:color w:val="auto"/>
                <w:sz w:val="24"/>
                <w:szCs w:val="24"/>
                <w:highlight w:val="none"/>
                <w:lang w:val="zh-TW"/>
              </w:rPr>
            </w:pPr>
            <w:r>
              <w:rPr>
                <w:rFonts w:hint="eastAsia" w:ascii="宋体" w:hAnsi="宋体" w:eastAsia="宋体" w:cs="宋体"/>
                <w:b/>
                <w:bCs/>
                <w:color w:val="auto"/>
                <w:sz w:val="24"/>
                <w:szCs w:val="24"/>
                <w:highlight w:val="none"/>
                <w:lang w:val="zh-TW" w:eastAsia="zh-TW"/>
              </w:rPr>
              <w:t>注：</w:t>
            </w:r>
          </w:p>
          <w:p w14:paraId="421C9AD3">
            <w:pPr>
              <w:spacing w:line="440" w:lineRule="exact"/>
              <w:rPr>
                <w:rFonts w:hint="eastAsia" w:ascii="宋体" w:hAnsi="宋体" w:eastAsia="宋体" w:cs="宋体"/>
                <w:b/>
                <w:bCs/>
                <w:color w:val="auto"/>
                <w:sz w:val="24"/>
                <w:szCs w:val="24"/>
                <w:highlight w:val="none"/>
                <w:lang w:val="zh-TW" w:eastAsia="zh-TW"/>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TW" w:eastAsia="zh-TW"/>
              </w:rPr>
              <w:t>投标文件中须提供以上人员的证书</w:t>
            </w:r>
            <w:r>
              <w:rPr>
                <w:rFonts w:hint="eastAsia" w:ascii="宋体" w:hAnsi="宋体" w:eastAsia="宋体" w:cs="宋体"/>
                <w:b/>
                <w:bCs/>
                <w:color w:val="auto"/>
                <w:sz w:val="24"/>
                <w:szCs w:val="24"/>
                <w:highlight w:val="none"/>
              </w:rPr>
              <w:t>扫描件</w:t>
            </w:r>
            <w:r>
              <w:rPr>
                <w:rFonts w:hint="eastAsia" w:ascii="宋体" w:hAnsi="宋体" w:eastAsia="宋体" w:cs="宋体"/>
                <w:b/>
                <w:bCs/>
                <w:color w:val="auto"/>
                <w:sz w:val="24"/>
                <w:szCs w:val="24"/>
                <w:highlight w:val="none"/>
                <w:lang w:val="zh-TW" w:eastAsia="zh-TW"/>
              </w:rPr>
              <w:t>。</w:t>
            </w:r>
          </w:p>
          <w:p w14:paraId="70A336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color w:val="auto"/>
                <w:sz w:val="24"/>
                <w:szCs w:val="24"/>
                <w:highlight w:val="none"/>
              </w:rPr>
              <w:t>（2）同一人具有多项证书的，仅计分一次。</w:t>
            </w:r>
          </w:p>
        </w:tc>
        <w:tc>
          <w:tcPr>
            <w:tcW w:w="1607" w:type="dxa"/>
            <w:tcBorders>
              <w:top w:val="single" w:color="auto" w:sz="4" w:space="0"/>
              <w:left w:val="single" w:color="auto" w:sz="4" w:space="0"/>
              <w:bottom w:val="single" w:color="auto" w:sz="4" w:space="0"/>
              <w:right w:val="single" w:color="auto" w:sz="4" w:space="0"/>
            </w:tcBorders>
            <w:vAlign w:val="center"/>
          </w:tcPr>
          <w:p w14:paraId="09033F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0-6分</w:t>
            </w:r>
          </w:p>
        </w:tc>
      </w:tr>
    </w:tbl>
    <w:p w14:paraId="7746793D">
      <w:pPr>
        <w:pStyle w:val="29"/>
        <w:ind w:left="0" w:leftChars="0" w:firstLine="0" w:firstLineChars="0"/>
        <w:rPr>
          <w:rFonts w:hint="default" w:ascii="Times New Roman" w:hAnsi="Times New Roman" w:cs="Times New Roman"/>
          <w:color w:val="auto"/>
          <w:highlight w:val="none"/>
        </w:rPr>
      </w:pPr>
    </w:p>
    <w:p w14:paraId="205876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2.2.3分值汇总</w:t>
      </w:r>
    </w:p>
    <w:p w14:paraId="2BACD456">
      <w:pPr>
        <w:spacing w:line="360" w:lineRule="auto"/>
        <w:ind w:firstLine="435"/>
        <w:rPr>
          <w:rFonts w:hint="eastAsia" w:ascii="黑体" w:hAnsi="黑体" w:eastAsia="宋体"/>
          <w:szCs w:val="32"/>
          <w:highlight w:val="none"/>
          <w:lang w:eastAsia="zh-CN"/>
        </w:rPr>
      </w:pPr>
      <w:r>
        <w:rPr>
          <w:rFonts w:hint="eastAsia" w:ascii="宋体" w:hAnsi="宋体" w:eastAsia="宋体" w:cs="宋体"/>
          <w:sz w:val="24"/>
          <w:highlight w:val="none"/>
          <w:lang w:val="en-US" w:eastAsia="zh-CN"/>
        </w:rPr>
        <w:t>评标</w:t>
      </w:r>
      <w:r>
        <w:rPr>
          <w:rFonts w:hint="eastAsia" w:ascii="宋体" w:hAnsi="宋体" w:eastAsia="宋体" w:cs="宋体"/>
          <w:sz w:val="24"/>
          <w:highlight w:val="none"/>
        </w:rPr>
        <w:t>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bookmarkEnd w:id="51"/>
      <w:bookmarkStart w:id="52" w:name="_Toc247514198"/>
      <w:bookmarkStart w:id="53" w:name="_Toc184635123"/>
      <w:bookmarkStart w:id="54" w:name="_Toc247527799"/>
      <w:bookmarkStart w:id="55" w:name="_Toc300835200"/>
      <w:bookmarkStart w:id="56" w:name="_Toc26646056"/>
      <w:r>
        <w:rPr>
          <w:rFonts w:hint="eastAsia" w:ascii="宋体" w:hAnsi="宋体" w:cs="宋体"/>
          <w:sz w:val="24"/>
          <w:highlight w:val="none"/>
          <w:lang w:eastAsia="zh-CN"/>
        </w:rPr>
        <w:t>。</w:t>
      </w:r>
    </w:p>
    <w:p w14:paraId="735D90FC">
      <w:pPr>
        <w:spacing w:line="360" w:lineRule="auto"/>
        <w:jc w:val="both"/>
        <w:outlineLvl w:val="1"/>
        <w:rPr>
          <w:rFonts w:hint="eastAsia" w:ascii="黑体" w:hAnsi="黑体" w:eastAsia="黑体"/>
          <w:szCs w:val="32"/>
          <w:highlight w:val="none"/>
        </w:rPr>
      </w:pPr>
    </w:p>
    <w:p w14:paraId="07A727B1">
      <w:pPr>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w:t>
      </w:r>
      <w:r>
        <w:rPr>
          <w:rFonts w:hint="eastAsia" w:ascii="宋体" w:hAnsi="宋体" w:cs="宋体"/>
          <w:b/>
          <w:bCs/>
          <w:sz w:val="28"/>
          <w:szCs w:val="28"/>
          <w:highlight w:val="none"/>
          <w:lang w:val="en-US" w:eastAsia="zh-CN"/>
        </w:rPr>
        <w:t>五</w:t>
      </w:r>
      <w:r>
        <w:rPr>
          <w:rFonts w:hint="eastAsia" w:ascii="宋体" w:hAnsi="宋体" w:eastAsia="宋体" w:cs="宋体"/>
          <w:b/>
          <w:bCs/>
          <w:sz w:val="28"/>
          <w:szCs w:val="28"/>
          <w:highlight w:val="none"/>
        </w:rPr>
        <w:t>章  合同条款及格式</w:t>
      </w:r>
    </w:p>
    <w:p w14:paraId="6F20306F">
      <w:pPr>
        <w:spacing w:line="360" w:lineRule="auto"/>
        <w:jc w:val="center"/>
        <w:outlineLvl w:val="1"/>
        <w:rPr>
          <w:rFonts w:hint="eastAsia" w:ascii="宋体" w:hAnsi="宋体" w:eastAsia="宋体" w:cs="宋体"/>
          <w:b/>
          <w:bCs/>
          <w:sz w:val="28"/>
          <w:szCs w:val="28"/>
          <w:highlight w:val="none"/>
        </w:rPr>
      </w:pPr>
      <w:bookmarkStart w:id="57" w:name="_Toc29864"/>
      <w:r>
        <w:rPr>
          <w:rFonts w:hint="eastAsia" w:ascii="宋体" w:hAnsi="宋体" w:eastAsia="宋体" w:cs="宋体"/>
          <w:b/>
          <w:bCs/>
          <w:sz w:val="28"/>
          <w:szCs w:val="28"/>
          <w:highlight w:val="none"/>
        </w:rPr>
        <w:t>第一节合同协议书</w:t>
      </w:r>
      <w:bookmarkEnd w:id="57"/>
    </w:p>
    <w:p w14:paraId="7DF822CB">
      <w:pPr>
        <w:pStyle w:val="2"/>
        <w:rPr>
          <w:rFonts w:hint="eastAsia"/>
          <w:highlight w:val="none"/>
        </w:rPr>
      </w:pPr>
    </w:p>
    <w:p w14:paraId="50FF7F21">
      <w:pPr>
        <w:adjustRightInd w:val="0"/>
        <w:snapToGrid w:val="0"/>
        <w:spacing w:line="360" w:lineRule="auto"/>
        <w:ind w:firstLine="422" w:firstLineChars="200"/>
        <w:rPr>
          <w:rFonts w:hint="default" w:eastAsia="宋体"/>
          <w:b/>
          <w:szCs w:val="21"/>
          <w:highlight w:val="none"/>
          <w:lang w:val="en-US" w:eastAsia="zh-CN"/>
        </w:rPr>
      </w:pPr>
      <w:r>
        <w:rPr>
          <w:b/>
          <w:szCs w:val="21"/>
          <w:highlight w:val="none"/>
        </w:rPr>
        <w:t>委托人（全称）：</w:t>
      </w:r>
      <w:r>
        <w:rPr>
          <w:rFonts w:hint="eastAsia"/>
          <w:highlight w:val="none"/>
          <w:u w:val="single"/>
          <w:lang w:val="en-US" w:eastAsia="zh-CN"/>
        </w:rPr>
        <w:t>合肥滨湖时光体育发展有限公司</w:t>
      </w:r>
    </w:p>
    <w:p w14:paraId="1B4A9249">
      <w:pPr>
        <w:adjustRightInd w:val="0"/>
        <w:snapToGrid w:val="0"/>
        <w:spacing w:line="360" w:lineRule="auto"/>
        <w:ind w:firstLine="422" w:firstLineChars="200"/>
        <w:rPr>
          <w:szCs w:val="21"/>
          <w:highlight w:val="none"/>
        </w:rPr>
      </w:pPr>
      <w:r>
        <w:rPr>
          <w:b/>
          <w:szCs w:val="21"/>
          <w:highlight w:val="none"/>
        </w:rPr>
        <w:t>监理人（全称）：</w:t>
      </w:r>
      <w:r>
        <w:rPr>
          <w:b/>
          <w:szCs w:val="21"/>
          <w:highlight w:val="none"/>
          <w:u w:val="single"/>
        </w:rPr>
        <w:t xml:space="preserve">                            </w:t>
      </w:r>
    </w:p>
    <w:p w14:paraId="4F27D4F2">
      <w:pPr>
        <w:adjustRightInd w:val="0"/>
        <w:snapToGrid w:val="0"/>
        <w:spacing w:line="360" w:lineRule="auto"/>
        <w:ind w:firstLine="420" w:firstLineChars="200"/>
        <w:rPr>
          <w:szCs w:val="21"/>
          <w:highlight w:val="none"/>
          <w:u w:val="single"/>
        </w:rPr>
      </w:pPr>
      <w:r>
        <w:rPr>
          <w:szCs w:val="21"/>
          <w:highlight w:val="none"/>
        </w:rPr>
        <w:t>根据《中华人民共和国民法典》、《中华人民共和国建筑法》及其他有关法律、法规，遵循平等、自愿、公平和诚信的原则，双方就下述工程委托监理与相关服务事项协商一致，订立本合同。</w:t>
      </w:r>
    </w:p>
    <w:p w14:paraId="281E668B">
      <w:pPr>
        <w:spacing w:line="360" w:lineRule="auto"/>
        <w:ind w:firstLine="417" w:firstLineChars="198"/>
        <w:outlineLvl w:val="0"/>
        <w:rPr>
          <w:b/>
          <w:szCs w:val="21"/>
          <w:highlight w:val="none"/>
        </w:rPr>
      </w:pPr>
      <w:r>
        <w:rPr>
          <w:b/>
          <w:szCs w:val="21"/>
          <w:highlight w:val="none"/>
        </w:rPr>
        <w:t>一、工程概况</w:t>
      </w:r>
    </w:p>
    <w:p w14:paraId="69B798A7">
      <w:pPr>
        <w:adjustRightInd w:val="0"/>
        <w:snapToGrid w:val="0"/>
        <w:spacing w:line="360" w:lineRule="auto"/>
        <w:ind w:firstLine="415" w:firstLineChars="198"/>
        <w:rPr>
          <w:rFonts w:hint="default" w:eastAsia="宋体"/>
          <w:color w:val="000000"/>
          <w:szCs w:val="21"/>
          <w:highlight w:val="none"/>
          <w:u w:val="single"/>
          <w:lang w:val="en-US" w:eastAsia="zh-CN"/>
        </w:rPr>
      </w:pPr>
      <w:r>
        <w:rPr>
          <w:szCs w:val="21"/>
          <w:highlight w:val="none"/>
        </w:rPr>
        <w:t>1.工程名称：</w:t>
      </w:r>
      <w:r>
        <w:rPr>
          <w:rFonts w:hint="eastAsia"/>
          <w:color w:val="000000"/>
          <w:szCs w:val="21"/>
          <w:highlight w:val="none"/>
          <w:u w:val="single"/>
          <w:lang w:val="en-US" w:eastAsia="zh-CN"/>
        </w:rPr>
        <w:t>华兴路小学地块室外体育场地及部分配套工程监理</w:t>
      </w:r>
    </w:p>
    <w:p w14:paraId="62F0FFC7">
      <w:pPr>
        <w:adjustRightInd w:val="0"/>
        <w:snapToGrid w:val="0"/>
        <w:spacing w:line="360" w:lineRule="auto"/>
        <w:ind w:firstLine="415" w:firstLineChars="198"/>
        <w:rPr>
          <w:bCs/>
          <w:snapToGrid w:val="0"/>
          <w:color w:val="000000"/>
          <w:kern w:val="0"/>
          <w:szCs w:val="21"/>
          <w:highlight w:val="none"/>
          <w:u w:val="single"/>
        </w:rPr>
      </w:pPr>
      <w:r>
        <w:rPr>
          <w:szCs w:val="21"/>
          <w:highlight w:val="none"/>
        </w:rPr>
        <w:t>2.工程地点：</w:t>
      </w:r>
      <w:r>
        <w:rPr>
          <w:rFonts w:hint="eastAsia"/>
          <w:bCs/>
          <w:snapToGrid w:val="0"/>
          <w:color w:val="000000"/>
          <w:kern w:val="0"/>
          <w:szCs w:val="21"/>
          <w:highlight w:val="none"/>
          <w:u w:val="single"/>
          <w:lang w:eastAsia="zh-CN"/>
        </w:rPr>
        <w:t>合肥市包河区</w:t>
      </w:r>
      <w:r>
        <w:rPr>
          <w:bCs/>
          <w:snapToGrid w:val="0"/>
          <w:color w:val="000000"/>
          <w:kern w:val="0"/>
          <w:szCs w:val="21"/>
          <w:highlight w:val="none"/>
          <w:u w:val="single"/>
        </w:rPr>
        <w:t>；</w:t>
      </w:r>
    </w:p>
    <w:p w14:paraId="676375C0">
      <w:pPr>
        <w:tabs>
          <w:tab w:val="left" w:pos="315"/>
          <w:tab w:val="left" w:pos="8820"/>
        </w:tabs>
        <w:spacing w:line="360" w:lineRule="auto"/>
        <w:ind w:firstLine="420" w:firstLineChars="200"/>
        <w:jc w:val="left"/>
        <w:rPr>
          <w:rFonts w:hint="default" w:ascii="宋体" w:hAnsi="宋体" w:eastAsia="宋体" w:cs="宋体"/>
          <w:color w:val="auto"/>
          <w:kern w:val="0"/>
          <w:sz w:val="24"/>
          <w:highlight w:val="none"/>
          <w:u w:val="none"/>
          <w:lang w:val="en-US" w:eastAsia="zh-CN"/>
        </w:rPr>
      </w:pPr>
      <w:r>
        <w:rPr>
          <w:color w:val="auto"/>
          <w:szCs w:val="21"/>
          <w:highlight w:val="none"/>
        </w:rPr>
        <w:t>3.工程规模：</w:t>
      </w:r>
      <w:r>
        <w:rPr>
          <w:rFonts w:hint="eastAsia"/>
          <w:color w:val="auto"/>
          <w:szCs w:val="21"/>
          <w:highlight w:val="none"/>
          <w:lang w:val="en-US" w:eastAsia="zh-CN"/>
        </w:rPr>
        <w:t>华兴路小学地块位于包河区黄河路以南、上海路以西、华兴路以北、燕山路以东，总占地面积46.46亩，原规划为小学用地，现拟建设室外体育场地，招标范围及内容包含但不限于</w:t>
      </w:r>
      <w:r>
        <w:rPr>
          <w:rFonts w:hint="default"/>
          <w:color w:val="auto"/>
          <w:szCs w:val="21"/>
          <w:highlight w:val="none"/>
          <w:lang w:val="en-US" w:eastAsia="zh-CN"/>
        </w:rPr>
        <w:t>室外体育场地、场地平整、给排水工程</w:t>
      </w:r>
      <w:r>
        <w:rPr>
          <w:rFonts w:hint="eastAsia"/>
          <w:color w:val="auto"/>
          <w:szCs w:val="21"/>
          <w:highlight w:val="none"/>
          <w:lang w:val="en-US" w:eastAsia="zh-CN"/>
        </w:rPr>
        <w:t>、体育专项工程、供配电工程</w:t>
      </w:r>
      <w:r>
        <w:rPr>
          <w:rFonts w:hint="default"/>
          <w:color w:val="auto"/>
          <w:szCs w:val="21"/>
          <w:highlight w:val="none"/>
          <w:lang w:val="en-US" w:eastAsia="zh-CN"/>
        </w:rPr>
        <w:t>等</w:t>
      </w:r>
      <w:r>
        <w:rPr>
          <w:rFonts w:hint="eastAsia"/>
          <w:color w:val="auto"/>
          <w:szCs w:val="21"/>
          <w:highlight w:val="none"/>
          <w:lang w:val="en-US" w:eastAsia="zh-CN"/>
        </w:rPr>
        <w:t>。本次招标内容为华兴路小学地块室外体育场地及部分配套工程监理服务。</w:t>
      </w:r>
    </w:p>
    <w:p w14:paraId="5A3B747F">
      <w:pPr>
        <w:tabs>
          <w:tab w:val="left" w:pos="315"/>
          <w:tab w:val="left" w:pos="8820"/>
        </w:tabs>
        <w:spacing w:line="360" w:lineRule="auto"/>
        <w:ind w:firstLine="420" w:firstLineChars="200"/>
        <w:jc w:val="left"/>
        <w:rPr>
          <w:szCs w:val="21"/>
          <w:highlight w:val="none"/>
          <w:u w:val="single"/>
        </w:rPr>
      </w:pPr>
      <w:r>
        <w:rPr>
          <w:szCs w:val="21"/>
          <w:highlight w:val="none"/>
        </w:rPr>
        <w:t>4.工程</w:t>
      </w:r>
      <w:r>
        <w:rPr>
          <w:kern w:val="0"/>
          <w:szCs w:val="21"/>
          <w:highlight w:val="none"/>
        </w:rPr>
        <w:t>概算投资额或建筑安装工程费</w:t>
      </w:r>
      <w:r>
        <w:rPr>
          <w:szCs w:val="21"/>
          <w:highlight w:val="none"/>
        </w:rPr>
        <w:t>：</w:t>
      </w:r>
      <w:r>
        <w:rPr>
          <w:rFonts w:hint="eastAsia"/>
          <w:kern w:val="0"/>
          <w:szCs w:val="21"/>
          <w:highlight w:val="none"/>
          <w:u w:val="single"/>
          <w:lang w:val="en-US" w:eastAsia="zh-CN"/>
        </w:rPr>
        <w:t>/</w:t>
      </w:r>
      <w:r>
        <w:rPr>
          <w:rFonts w:hint="eastAsia"/>
          <w:kern w:val="0"/>
          <w:szCs w:val="21"/>
          <w:highlight w:val="none"/>
          <w:u w:val="single"/>
        </w:rPr>
        <w:t>。</w:t>
      </w:r>
    </w:p>
    <w:p w14:paraId="4D37CD13">
      <w:pPr>
        <w:spacing w:line="360" w:lineRule="auto"/>
        <w:ind w:firstLine="417" w:firstLineChars="198"/>
        <w:rPr>
          <w:b/>
          <w:szCs w:val="21"/>
          <w:highlight w:val="none"/>
        </w:rPr>
      </w:pPr>
      <w:r>
        <w:rPr>
          <w:b/>
          <w:szCs w:val="21"/>
          <w:highlight w:val="none"/>
        </w:rPr>
        <w:t>二、词语限定</w:t>
      </w:r>
    </w:p>
    <w:p w14:paraId="395B5708">
      <w:pPr>
        <w:adjustRightInd w:val="0"/>
        <w:snapToGrid w:val="0"/>
        <w:spacing w:line="360" w:lineRule="auto"/>
        <w:ind w:firstLine="415" w:firstLineChars="198"/>
        <w:rPr>
          <w:szCs w:val="21"/>
          <w:highlight w:val="none"/>
        </w:rPr>
      </w:pPr>
      <w:r>
        <w:rPr>
          <w:szCs w:val="21"/>
          <w:highlight w:val="none"/>
        </w:rPr>
        <w:t>协议书中相关词语的含义与通用条件中的定义与解释相同。</w:t>
      </w:r>
    </w:p>
    <w:p w14:paraId="27B4D974">
      <w:pPr>
        <w:spacing w:line="360" w:lineRule="auto"/>
        <w:ind w:firstLine="417" w:firstLineChars="198"/>
        <w:outlineLvl w:val="0"/>
        <w:rPr>
          <w:b/>
          <w:szCs w:val="21"/>
          <w:highlight w:val="none"/>
        </w:rPr>
      </w:pPr>
      <w:r>
        <w:rPr>
          <w:b/>
          <w:szCs w:val="21"/>
          <w:highlight w:val="none"/>
        </w:rPr>
        <w:t>三、组成本合同的文件</w:t>
      </w:r>
    </w:p>
    <w:p w14:paraId="2DF8CCC8">
      <w:pPr>
        <w:adjustRightInd w:val="0"/>
        <w:snapToGrid w:val="0"/>
        <w:spacing w:line="360" w:lineRule="auto"/>
        <w:ind w:firstLine="415" w:firstLineChars="198"/>
        <w:rPr>
          <w:szCs w:val="21"/>
          <w:highlight w:val="none"/>
        </w:rPr>
      </w:pPr>
      <w:r>
        <w:rPr>
          <w:szCs w:val="21"/>
          <w:highlight w:val="none"/>
        </w:rPr>
        <w:t>1.协议书；</w:t>
      </w:r>
    </w:p>
    <w:p w14:paraId="212300A8">
      <w:pPr>
        <w:adjustRightInd w:val="0"/>
        <w:snapToGrid w:val="0"/>
        <w:spacing w:line="360" w:lineRule="auto"/>
        <w:ind w:firstLine="415" w:firstLineChars="198"/>
        <w:rPr>
          <w:szCs w:val="21"/>
          <w:highlight w:val="none"/>
        </w:rPr>
      </w:pPr>
      <w:r>
        <w:rPr>
          <w:szCs w:val="21"/>
          <w:highlight w:val="none"/>
        </w:rPr>
        <w:t>2.中标通知书（适用于招标工程）或委托书（适用于非招标工程）；</w:t>
      </w:r>
    </w:p>
    <w:p w14:paraId="20FA380C">
      <w:pPr>
        <w:adjustRightInd w:val="0"/>
        <w:snapToGrid w:val="0"/>
        <w:spacing w:line="360" w:lineRule="auto"/>
        <w:ind w:firstLine="415" w:firstLineChars="198"/>
        <w:rPr>
          <w:szCs w:val="21"/>
          <w:highlight w:val="none"/>
        </w:rPr>
      </w:pPr>
      <w:r>
        <w:rPr>
          <w:szCs w:val="21"/>
          <w:highlight w:val="none"/>
        </w:rPr>
        <w:t>3.投标文件（适用于招标工程）或监理与相关服务建议书（适用于非招标工程）；</w:t>
      </w:r>
    </w:p>
    <w:p w14:paraId="14134DBE">
      <w:pPr>
        <w:adjustRightInd w:val="0"/>
        <w:snapToGrid w:val="0"/>
        <w:spacing w:line="360" w:lineRule="auto"/>
        <w:ind w:firstLine="415" w:firstLineChars="198"/>
        <w:rPr>
          <w:rFonts w:hint="default" w:eastAsia="宋体"/>
          <w:b w:val="0"/>
          <w:bCs w:val="0"/>
          <w:sz w:val="21"/>
          <w:szCs w:val="21"/>
          <w:highlight w:val="none"/>
          <w:lang w:val="en-US" w:eastAsia="zh-CN"/>
        </w:rPr>
      </w:pPr>
      <w:r>
        <w:rPr>
          <w:rFonts w:hint="default"/>
          <w:b w:val="0"/>
          <w:bCs w:val="0"/>
          <w:sz w:val="21"/>
          <w:szCs w:val="21"/>
          <w:highlight w:val="none"/>
          <w:lang w:val="en-US" w:eastAsia="zh-CN"/>
        </w:rPr>
        <w:t>4</w:t>
      </w:r>
      <w:r>
        <w:rPr>
          <w:rFonts w:hint="eastAsia"/>
          <w:b w:val="0"/>
          <w:bCs w:val="0"/>
          <w:sz w:val="21"/>
          <w:szCs w:val="21"/>
          <w:highlight w:val="none"/>
          <w:lang w:val="en-US" w:eastAsia="zh-CN"/>
        </w:rPr>
        <w:t>.</w:t>
      </w:r>
      <w:r>
        <w:rPr>
          <w:rFonts w:hint="default"/>
          <w:b w:val="0"/>
          <w:bCs w:val="0"/>
          <w:sz w:val="21"/>
          <w:szCs w:val="21"/>
          <w:highlight w:val="none"/>
          <w:lang w:val="en-US" w:eastAsia="zh-CN"/>
        </w:rPr>
        <w:t xml:space="preserve">招标文件  </w:t>
      </w:r>
    </w:p>
    <w:p w14:paraId="7B7E1B28">
      <w:pPr>
        <w:adjustRightInd w:val="0"/>
        <w:snapToGrid w:val="0"/>
        <w:spacing w:line="360" w:lineRule="auto"/>
        <w:ind w:firstLine="420" w:firstLineChars="200"/>
        <w:rPr>
          <w:szCs w:val="21"/>
          <w:highlight w:val="none"/>
        </w:rPr>
      </w:pPr>
      <w:r>
        <w:rPr>
          <w:rFonts w:hint="eastAsia"/>
          <w:szCs w:val="21"/>
          <w:highlight w:val="none"/>
          <w:lang w:val="en-US" w:eastAsia="zh-CN"/>
        </w:rPr>
        <w:t>5</w:t>
      </w:r>
      <w:r>
        <w:rPr>
          <w:szCs w:val="21"/>
          <w:highlight w:val="none"/>
        </w:rPr>
        <w:t>.专用条件；</w:t>
      </w:r>
    </w:p>
    <w:p w14:paraId="564668DD">
      <w:pPr>
        <w:adjustRightInd w:val="0"/>
        <w:snapToGrid w:val="0"/>
        <w:spacing w:line="360" w:lineRule="auto"/>
        <w:ind w:firstLine="415" w:firstLineChars="198"/>
        <w:rPr>
          <w:szCs w:val="21"/>
          <w:highlight w:val="none"/>
        </w:rPr>
      </w:pPr>
      <w:r>
        <w:rPr>
          <w:rFonts w:hint="eastAsia"/>
          <w:szCs w:val="21"/>
          <w:highlight w:val="none"/>
          <w:lang w:val="en-US" w:eastAsia="zh-CN"/>
        </w:rPr>
        <w:t>6</w:t>
      </w:r>
      <w:r>
        <w:rPr>
          <w:szCs w:val="21"/>
          <w:highlight w:val="none"/>
        </w:rPr>
        <w:t>.通用条件；</w:t>
      </w:r>
    </w:p>
    <w:p w14:paraId="052D385D">
      <w:pPr>
        <w:adjustRightInd w:val="0"/>
        <w:snapToGrid w:val="0"/>
        <w:spacing w:line="360" w:lineRule="auto"/>
        <w:ind w:firstLine="415" w:firstLineChars="198"/>
        <w:rPr>
          <w:szCs w:val="21"/>
          <w:highlight w:val="none"/>
        </w:rPr>
      </w:pPr>
      <w:r>
        <w:rPr>
          <w:rFonts w:hint="eastAsia"/>
          <w:szCs w:val="21"/>
          <w:highlight w:val="none"/>
          <w:lang w:val="en-US" w:eastAsia="zh-CN"/>
        </w:rPr>
        <w:t>7.</w:t>
      </w:r>
      <w:r>
        <w:rPr>
          <w:rFonts w:hint="eastAsia"/>
          <w:szCs w:val="21"/>
          <w:highlight w:val="none"/>
        </w:rPr>
        <w:t>附</w:t>
      </w:r>
      <w:r>
        <w:rPr>
          <w:szCs w:val="21"/>
          <w:highlight w:val="none"/>
        </w:rPr>
        <w:t>录A  相关服务的范围和内容</w:t>
      </w:r>
    </w:p>
    <w:p w14:paraId="0AF19ACE">
      <w:pPr>
        <w:adjustRightInd w:val="0"/>
        <w:snapToGrid w:val="0"/>
        <w:spacing w:line="360" w:lineRule="auto"/>
        <w:ind w:firstLine="420" w:firstLineChars="200"/>
        <w:rPr>
          <w:rFonts w:hint="eastAsia"/>
          <w:highlight w:val="none"/>
        </w:rPr>
      </w:pPr>
      <w:r>
        <w:rPr>
          <w:szCs w:val="21"/>
          <w:highlight w:val="none"/>
        </w:rPr>
        <w:t>附录B  委托人派遣的人员和提供的</w:t>
      </w:r>
      <w:r>
        <w:rPr>
          <w:bCs/>
          <w:szCs w:val="21"/>
          <w:highlight w:val="none"/>
        </w:rPr>
        <w:t>房屋、资料</w:t>
      </w:r>
      <w:r>
        <w:rPr>
          <w:szCs w:val="21"/>
          <w:highlight w:val="none"/>
        </w:rPr>
        <w:t>、设备</w:t>
      </w:r>
      <w:r>
        <w:rPr>
          <w:rFonts w:hint="eastAsia"/>
          <w:szCs w:val="21"/>
          <w:highlight w:val="none"/>
        </w:rPr>
        <w:t>录。</w:t>
      </w:r>
    </w:p>
    <w:p w14:paraId="6975B5D3">
      <w:pPr>
        <w:adjustRightInd w:val="0"/>
        <w:snapToGrid w:val="0"/>
        <w:spacing w:line="360" w:lineRule="auto"/>
        <w:ind w:firstLine="420" w:firstLineChars="200"/>
        <w:rPr>
          <w:szCs w:val="21"/>
          <w:highlight w:val="none"/>
        </w:rPr>
      </w:pPr>
      <w:r>
        <w:rPr>
          <w:szCs w:val="21"/>
          <w:highlight w:val="none"/>
        </w:rPr>
        <w:t>本合同签订后，双方依法签订的补充协议也是本合同文件的组成部分。</w:t>
      </w:r>
    </w:p>
    <w:p w14:paraId="3488B3E9">
      <w:pPr>
        <w:spacing w:line="360" w:lineRule="auto"/>
        <w:ind w:firstLine="417" w:firstLineChars="198"/>
        <w:outlineLvl w:val="0"/>
        <w:rPr>
          <w:b/>
          <w:szCs w:val="21"/>
          <w:highlight w:val="none"/>
        </w:rPr>
      </w:pPr>
      <w:r>
        <w:rPr>
          <w:b/>
          <w:szCs w:val="21"/>
          <w:highlight w:val="none"/>
        </w:rPr>
        <w:t>四、总监理工程师</w:t>
      </w:r>
    </w:p>
    <w:p w14:paraId="55A3959F">
      <w:pPr>
        <w:adjustRightInd w:val="0"/>
        <w:snapToGrid w:val="0"/>
        <w:spacing w:line="360" w:lineRule="auto"/>
        <w:ind w:firstLine="415" w:firstLineChars="198"/>
        <w:rPr>
          <w:kern w:val="0"/>
          <w:szCs w:val="21"/>
          <w:highlight w:val="none"/>
        </w:rPr>
      </w:pPr>
      <w:r>
        <w:rPr>
          <w:kern w:val="0"/>
          <w:szCs w:val="21"/>
          <w:highlight w:val="none"/>
        </w:rPr>
        <w:t>总监理工程师姓名：</w:t>
      </w:r>
      <w:r>
        <w:rPr>
          <w:rFonts w:hint="eastAsia"/>
          <w:kern w:val="0"/>
          <w:szCs w:val="21"/>
          <w:highlight w:val="none"/>
          <w:u w:val="single"/>
        </w:rPr>
        <w:t xml:space="preserve">     </w:t>
      </w:r>
      <w:r>
        <w:rPr>
          <w:rFonts w:hint="eastAsia"/>
          <w:kern w:val="0"/>
          <w:szCs w:val="21"/>
          <w:highlight w:val="none"/>
        </w:rPr>
        <w:t>；</w:t>
      </w:r>
      <w:r>
        <w:rPr>
          <w:kern w:val="0"/>
          <w:szCs w:val="21"/>
          <w:highlight w:val="none"/>
        </w:rPr>
        <w:t>身份证号码：</w:t>
      </w:r>
      <w:r>
        <w:rPr>
          <w:rFonts w:hint="eastAsia"/>
          <w:kern w:val="0"/>
          <w:szCs w:val="21"/>
          <w:highlight w:val="none"/>
          <w:u w:val="single"/>
        </w:rPr>
        <w:t xml:space="preserve">       </w:t>
      </w:r>
      <w:r>
        <w:rPr>
          <w:rFonts w:hint="eastAsia"/>
          <w:kern w:val="0"/>
          <w:szCs w:val="21"/>
          <w:highlight w:val="none"/>
        </w:rPr>
        <w:t xml:space="preserve"> ；</w:t>
      </w:r>
      <w:r>
        <w:rPr>
          <w:kern w:val="0"/>
          <w:szCs w:val="21"/>
          <w:highlight w:val="none"/>
        </w:rPr>
        <w:t>注册号：</w:t>
      </w:r>
      <w:r>
        <w:rPr>
          <w:rFonts w:hint="eastAsia"/>
          <w:kern w:val="0"/>
          <w:szCs w:val="21"/>
          <w:highlight w:val="none"/>
          <w:u w:val="single"/>
        </w:rPr>
        <w:t xml:space="preserve">       </w:t>
      </w:r>
      <w:r>
        <w:rPr>
          <w:kern w:val="0"/>
          <w:szCs w:val="21"/>
          <w:highlight w:val="none"/>
        </w:rPr>
        <w:t>。</w:t>
      </w:r>
    </w:p>
    <w:p w14:paraId="008201C0">
      <w:pPr>
        <w:spacing w:line="360" w:lineRule="auto"/>
        <w:ind w:firstLine="417" w:firstLineChars="198"/>
        <w:outlineLvl w:val="0"/>
        <w:rPr>
          <w:b/>
          <w:szCs w:val="21"/>
          <w:highlight w:val="none"/>
        </w:rPr>
      </w:pPr>
      <w:r>
        <w:rPr>
          <w:b/>
          <w:szCs w:val="21"/>
          <w:highlight w:val="none"/>
        </w:rPr>
        <w:t>五、签约酬金</w:t>
      </w:r>
    </w:p>
    <w:p w14:paraId="1170A675">
      <w:pPr>
        <w:adjustRightInd w:val="0"/>
        <w:snapToGrid w:val="0"/>
        <w:spacing w:line="360" w:lineRule="auto"/>
        <w:ind w:firstLine="415" w:firstLineChars="198"/>
        <w:rPr>
          <w:szCs w:val="21"/>
          <w:highlight w:val="none"/>
        </w:rPr>
      </w:pPr>
      <w:r>
        <w:rPr>
          <w:szCs w:val="21"/>
          <w:highlight w:val="none"/>
        </w:rPr>
        <w:t>签约酬金（大写</w:t>
      </w:r>
      <w:r>
        <w:rPr>
          <w:rFonts w:hint="eastAsia"/>
          <w:szCs w:val="21"/>
          <w:highlight w:val="none"/>
          <w:lang w:eastAsia="zh-CN"/>
        </w:rPr>
        <w:t>）：</w:t>
      </w:r>
      <w:r>
        <w:rPr>
          <w:rFonts w:hint="eastAsia"/>
          <w:szCs w:val="21"/>
          <w:highlight w:val="none"/>
          <w:u w:val="single"/>
          <w:lang w:val="en-US" w:eastAsia="zh-CN"/>
        </w:rPr>
        <w:t xml:space="preserve">       </w:t>
      </w:r>
      <w:r>
        <w:rPr>
          <w:szCs w:val="21"/>
          <w:highlight w:val="none"/>
        </w:rPr>
        <w:t>（¥</w:t>
      </w:r>
      <w:r>
        <w:rPr>
          <w:rFonts w:hint="eastAsia"/>
          <w:szCs w:val="21"/>
          <w:highlight w:val="none"/>
          <w:u w:val="single"/>
          <w:lang w:val="en-US" w:eastAsia="zh-CN"/>
        </w:rPr>
        <w:t xml:space="preserve">          </w:t>
      </w:r>
      <w:r>
        <w:rPr>
          <w:szCs w:val="21"/>
          <w:highlight w:val="none"/>
        </w:rPr>
        <w:t>）。</w:t>
      </w:r>
    </w:p>
    <w:p w14:paraId="75A6DD01">
      <w:pPr>
        <w:spacing w:line="360" w:lineRule="auto"/>
        <w:ind w:firstLine="417" w:firstLineChars="198"/>
        <w:outlineLvl w:val="0"/>
        <w:rPr>
          <w:b/>
          <w:szCs w:val="21"/>
          <w:highlight w:val="none"/>
        </w:rPr>
      </w:pPr>
      <w:r>
        <w:rPr>
          <w:b/>
          <w:szCs w:val="21"/>
          <w:highlight w:val="none"/>
        </w:rPr>
        <w:t>六、期限</w:t>
      </w:r>
    </w:p>
    <w:p w14:paraId="5E11FD30">
      <w:pPr>
        <w:adjustRightInd w:val="0"/>
        <w:snapToGrid w:val="0"/>
        <w:spacing w:line="360" w:lineRule="auto"/>
        <w:ind w:firstLine="525" w:firstLineChars="250"/>
        <w:jc w:val="left"/>
        <w:rPr>
          <w:szCs w:val="21"/>
          <w:highlight w:val="none"/>
        </w:rPr>
      </w:pPr>
      <w:r>
        <w:rPr>
          <w:kern w:val="0"/>
          <w:szCs w:val="21"/>
          <w:highlight w:val="none"/>
        </w:rPr>
        <w:t>1.</w:t>
      </w:r>
      <w:r>
        <w:rPr>
          <w:szCs w:val="21"/>
          <w:highlight w:val="none"/>
        </w:rPr>
        <w:t>监理期限：</w:t>
      </w:r>
    </w:p>
    <w:p w14:paraId="713EDB18">
      <w:pPr>
        <w:adjustRightInd w:val="0"/>
        <w:snapToGrid w:val="0"/>
        <w:spacing w:line="360" w:lineRule="auto"/>
        <w:ind w:firstLine="525" w:firstLineChars="250"/>
        <w:jc w:val="left"/>
        <w:rPr>
          <w:szCs w:val="21"/>
          <w:highlight w:val="none"/>
        </w:rPr>
      </w:pPr>
      <w:r>
        <w:rPr>
          <w:szCs w:val="21"/>
          <w:highlight w:val="none"/>
        </w:rPr>
        <w:t>自</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日始，至</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日止。</w:t>
      </w:r>
    </w:p>
    <w:p w14:paraId="6AEB45EA">
      <w:pPr>
        <w:spacing w:line="360" w:lineRule="auto"/>
        <w:ind w:firstLine="417" w:firstLineChars="198"/>
        <w:outlineLvl w:val="0"/>
        <w:rPr>
          <w:b/>
          <w:szCs w:val="21"/>
          <w:highlight w:val="none"/>
        </w:rPr>
      </w:pPr>
      <w:r>
        <w:rPr>
          <w:b/>
          <w:szCs w:val="21"/>
          <w:highlight w:val="none"/>
        </w:rPr>
        <w:t>七、双方承诺</w:t>
      </w:r>
    </w:p>
    <w:p w14:paraId="0EC1146B">
      <w:pPr>
        <w:spacing w:line="360" w:lineRule="auto"/>
        <w:ind w:firstLine="415" w:firstLineChars="198"/>
        <w:outlineLvl w:val="0"/>
        <w:rPr>
          <w:b/>
          <w:szCs w:val="21"/>
          <w:highlight w:val="none"/>
        </w:rPr>
      </w:pPr>
      <w:r>
        <w:rPr>
          <w:szCs w:val="21"/>
          <w:highlight w:val="none"/>
        </w:rPr>
        <w:t>1.监理人向委托人承诺，按照本合同约定</w:t>
      </w:r>
      <w:r>
        <w:rPr>
          <w:kern w:val="0"/>
          <w:szCs w:val="21"/>
          <w:highlight w:val="none"/>
        </w:rPr>
        <w:t>提供</w:t>
      </w:r>
      <w:r>
        <w:rPr>
          <w:szCs w:val="21"/>
          <w:highlight w:val="none"/>
        </w:rPr>
        <w:t>监理与相关服务。</w:t>
      </w:r>
    </w:p>
    <w:p w14:paraId="0C448318">
      <w:pPr>
        <w:spacing w:line="360" w:lineRule="auto"/>
        <w:ind w:firstLine="415" w:firstLineChars="198"/>
        <w:outlineLvl w:val="0"/>
        <w:rPr>
          <w:szCs w:val="21"/>
          <w:highlight w:val="none"/>
        </w:rPr>
      </w:pPr>
      <w:r>
        <w:rPr>
          <w:szCs w:val="21"/>
          <w:highlight w:val="none"/>
        </w:rPr>
        <w:t>2.委托人向监理人承诺，按照本合同约定派遣相应的人员，提供</w:t>
      </w:r>
      <w:r>
        <w:rPr>
          <w:bCs/>
          <w:szCs w:val="21"/>
          <w:highlight w:val="none"/>
        </w:rPr>
        <w:t>资料</w:t>
      </w:r>
      <w:r>
        <w:rPr>
          <w:szCs w:val="21"/>
          <w:highlight w:val="none"/>
        </w:rPr>
        <w:t>，并按本合同约定支付酬金。</w:t>
      </w:r>
    </w:p>
    <w:p w14:paraId="1D320695">
      <w:pPr>
        <w:spacing w:line="360" w:lineRule="auto"/>
        <w:ind w:firstLine="417" w:firstLineChars="198"/>
        <w:outlineLvl w:val="0"/>
        <w:rPr>
          <w:b/>
          <w:szCs w:val="21"/>
          <w:highlight w:val="none"/>
        </w:rPr>
      </w:pPr>
      <w:r>
        <w:rPr>
          <w:b/>
          <w:szCs w:val="21"/>
          <w:highlight w:val="none"/>
        </w:rPr>
        <w:t>八、合同订立</w:t>
      </w:r>
    </w:p>
    <w:p w14:paraId="5C2A48B5">
      <w:pPr>
        <w:adjustRightInd w:val="0"/>
        <w:snapToGrid w:val="0"/>
        <w:spacing w:line="360" w:lineRule="auto"/>
        <w:ind w:firstLine="415" w:firstLineChars="198"/>
        <w:rPr>
          <w:szCs w:val="21"/>
          <w:highlight w:val="none"/>
        </w:rPr>
      </w:pPr>
      <w:r>
        <w:rPr>
          <w:szCs w:val="21"/>
          <w:highlight w:val="none"/>
        </w:rPr>
        <w:t>1.订立时间：</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szCs w:val="21"/>
          <w:highlight w:val="none"/>
        </w:rPr>
        <w:t>日。</w:t>
      </w:r>
    </w:p>
    <w:p w14:paraId="2E46FDE6">
      <w:pPr>
        <w:adjustRightInd w:val="0"/>
        <w:snapToGrid w:val="0"/>
        <w:spacing w:line="360" w:lineRule="auto"/>
        <w:ind w:firstLine="415" w:firstLineChars="198"/>
        <w:rPr>
          <w:szCs w:val="21"/>
          <w:highlight w:val="none"/>
        </w:rPr>
      </w:pPr>
      <w:r>
        <w:rPr>
          <w:szCs w:val="21"/>
          <w:highlight w:val="none"/>
        </w:rPr>
        <w:t>2.订立地点：</w:t>
      </w:r>
      <w:r>
        <w:rPr>
          <w:rFonts w:hint="eastAsia"/>
          <w:szCs w:val="21"/>
          <w:highlight w:val="none"/>
          <w:u w:val="single"/>
        </w:rPr>
        <w:t xml:space="preserve"> </w:t>
      </w:r>
      <w:r>
        <w:rPr>
          <w:rFonts w:hint="eastAsia"/>
          <w:szCs w:val="21"/>
          <w:highlight w:val="none"/>
          <w:u w:val="single"/>
          <w:lang w:val="en-US" w:eastAsia="zh-CN"/>
        </w:rPr>
        <w:t>合肥市包河区</w:t>
      </w:r>
      <w:r>
        <w:rPr>
          <w:rFonts w:hint="eastAsia"/>
          <w:szCs w:val="21"/>
          <w:highlight w:val="none"/>
          <w:u w:val="single"/>
        </w:rPr>
        <w:t xml:space="preserve"> </w:t>
      </w:r>
      <w:r>
        <w:rPr>
          <w:szCs w:val="21"/>
          <w:highlight w:val="none"/>
        </w:rPr>
        <w:t>。</w:t>
      </w:r>
    </w:p>
    <w:p w14:paraId="5CB05D41">
      <w:pPr>
        <w:adjustRightInd w:val="0"/>
        <w:snapToGrid w:val="0"/>
        <w:spacing w:line="360" w:lineRule="auto"/>
        <w:ind w:firstLine="420" w:firstLineChars="200"/>
        <w:rPr>
          <w:szCs w:val="21"/>
          <w:highlight w:val="none"/>
        </w:rPr>
      </w:pPr>
      <w:r>
        <w:rPr>
          <w:szCs w:val="21"/>
          <w:highlight w:val="none"/>
        </w:rPr>
        <w:t>3.本合同一式</w:t>
      </w:r>
      <w:r>
        <w:rPr>
          <w:rFonts w:hint="eastAsia"/>
          <w:szCs w:val="21"/>
          <w:highlight w:val="none"/>
          <w:u w:val="single"/>
        </w:rPr>
        <w:t xml:space="preserve"> 陆 </w:t>
      </w:r>
      <w:r>
        <w:rPr>
          <w:szCs w:val="21"/>
          <w:highlight w:val="none"/>
        </w:rPr>
        <w:t>份，具有同等法律效力，双方各执</w:t>
      </w:r>
      <w:r>
        <w:rPr>
          <w:rFonts w:hint="eastAsia"/>
          <w:szCs w:val="21"/>
          <w:highlight w:val="none"/>
          <w:u w:val="single"/>
        </w:rPr>
        <w:t xml:space="preserve"> 叁 </w:t>
      </w:r>
      <w:r>
        <w:rPr>
          <w:szCs w:val="21"/>
          <w:highlight w:val="none"/>
        </w:rPr>
        <w:t>份。</w:t>
      </w:r>
    </w:p>
    <w:p w14:paraId="7BB06CF5">
      <w:pPr>
        <w:adjustRightInd w:val="0"/>
        <w:snapToGrid w:val="0"/>
        <w:spacing w:line="360" w:lineRule="auto"/>
        <w:ind w:firstLine="415" w:firstLineChars="198"/>
        <w:rPr>
          <w:rFonts w:hint="eastAsia"/>
          <w:szCs w:val="21"/>
          <w:highlight w:val="none"/>
        </w:rPr>
      </w:pPr>
    </w:p>
    <w:p w14:paraId="46ADB820">
      <w:pPr>
        <w:adjustRightInd w:val="0"/>
        <w:snapToGrid w:val="0"/>
        <w:spacing w:line="360" w:lineRule="auto"/>
        <w:ind w:firstLine="415" w:firstLineChars="198"/>
        <w:rPr>
          <w:rFonts w:hint="eastAsia"/>
          <w:szCs w:val="21"/>
          <w:highlight w:val="none"/>
        </w:rPr>
      </w:pPr>
    </w:p>
    <w:p w14:paraId="0C6A2D17">
      <w:pPr>
        <w:adjustRightInd w:val="0"/>
        <w:snapToGrid w:val="0"/>
        <w:spacing w:line="360" w:lineRule="auto"/>
        <w:ind w:firstLine="415" w:firstLineChars="198"/>
        <w:rPr>
          <w:szCs w:val="21"/>
          <w:highlight w:val="none"/>
        </w:rPr>
      </w:pPr>
      <w:r>
        <w:rPr>
          <w:rFonts w:hint="eastAsia"/>
          <w:szCs w:val="21"/>
          <w:highlight w:val="none"/>
        </w:rPr>
        <w:t>发包</w:t>
      </w:r>
      <w:r>
        <w:rPr>
          <w:szCs w:val="21"/>
          <w:highlight w:val="none"/>
        </w:rPr>
        <w:t>人：</w:t>
      </w:r>
      <w:r>
        <w:rPr>
          <w:szCs w:val="21"/>
          <w:highlight w:val="none"/>
          <w:u w:val="single"/>
        </w:rPr>
        <w:t>（盖章）</w:t>
      </w:r>
      <w:r>
        <w:rPr>
          <w:rFonts w:hint="eastAsia"/>
          <w:szCs w:val="21"/>
          <w:highlight w:val="none"/>
        </w:rPr>
        <w:t xml:space="preserve">                            </w:t>
      </w:r>
      <w:r>
        <w:rPr>
          <w:szCs w:val="21"/>
          <w:highlight w:val="none"/>
        </w:rPr>
        <w:t>监理人：</w:t>
      </w:r>
      <w:r>
        <w:rPr>
          <w:szCs w:val="21"/>
          <w:highlight w:val="none"/>
          <w:u w:val="single"/>
        </w:rPr>
        <w:t>（盖章）</w:t>
      </w:r>
    </w:p>
    <w:p w14:paraId="59E6B8F1">
      <w:pPr>
        <w:adjustRightInd w:val="0"/>
        <w:snapToGrid w:val="0"/>
        <w:spacing w:line="360" w:lineRule="auto"/>
        <w:ind w:firstLine="415" w:firstLineChars="198"/>
        <w:rPr>
          <w:szCs w:val="21"/>
          <w:highlight w:val="none"/>
        </w:rPr>
      </w:pPr>
      <w:r>
        <w:rPr>
          <w:rFonts w:hint="eastAsia"/>
          <w:szCs w:val="21"/>
          <w:highlight w:val="none"/>
        </w:rPr>
        <w:t>地址</w:t>
      </w:r>
      <w:r>
        <w:rPr>
          <w:szCs w:val="21"/>
          <w:highlight w:val="none"/>
        </w:rPr>
        <w:t>：</w:t>
      </w:r>
      <w:r>
        <w:rPr>
          <w:rFonts w:hint="eastAsia"/>
          <w:szCs w:val="21"/>
          <w:highlight w:val="none"/>
        </w:rPr>
        <w:t xml:space="preserve">                                      地址</w:t>
      </w:r>
      <w:r>
        <w:rPr>
          <w:szCs w:val="21"/>
          <w:highlight w:val="none"/>
        </w:rPr>
        <w:t>：</w:t>
      </w:r>
    </w:p>
    <w:p w14:paraId="2674BE4E">
      <w:pPr>
        <w:adjustRightInd w:val="0"/>
        <w:snapToGrid w:val="0"/>
        <w:spacing w:line="360" w:lineRule="auto"/>
        <w:ind w:firstLine="420" w:firstLineChars="200"/>
        <w:rPr>
          <w:szCs w:val="21"/>
          <w:highlight w:val="none"/>
        </w:rPr>
      </w:pPr>
      <w:r>
        <w:rPr>
          <w:szCs w:val="21"/>
          <w:highlight w:val="none"/>
        </w:rPr>
        <w:t>邮政编码：</w:t>
      </w:r>
      <w:r>
        <w:rPr>
          <w:rFonts w:hint="eastAsia"/>
          <w:szCs w:val="21"/>
          <w:highlight w:val="none"/>
        </w:rPr>
        <w:t xml:space="preserve">                                  </w:t>
      </w:r>
      <w:r>
        <w:rPr>
          <w:szCs w:val="21"/>
          <w:highlight w:val="none"/>
        </w:rPr>
        <w:t>邮政编码：</w:t>
      </w:r>
    </w:p>
    <w:p w14:paraId="645C4520">
      <w:pPr>
        <w:adjustRightInd w:val="0"/>
        <w:snapToGrid w:val="0"/>
        <w:spacing w:line="360" w:lineRule="auto"/>
        <w:ind w:firstLine="415" w:firstLineChars="198"/>
        <w:rPr>
          <w:szCs w:val="21"/>
          <w:highlight w:val="none"/>
        </w:rPr>
      </w:pPr>
      <w:r>
        <w:rPr>
          <w:szCs w:val="21"/>
          <w:highlight w:val="none"/>
        </w:rPr>
        <w:t>法定代表人或其</w:t>
      </w:r>
      <w:r>
        <w:rPr>
          <w:rFonts w:hint="eastAsia"/>
          <w:szCs w:val="21"/>
          <w:highlight w:val="none"/>
        </w:rPr>
        <w:t>委托代理</w:t>
      </w:r>
      <w:r>
        <w:rPr>
          <w:szCs w:val="21"/>
          <w:highlight w:val="none"/>
        </w:rPr>
        <w:t>人：</w:t>
      </w:r>
      <w:r>
        <w:rPr>
          <w:szCs w:val="21"/>
          <w:highlight w:val="none"/>
          <w:u w:val="single"/>
        </w:rPr>
        <w:t>（签字）</w:t>
      </w:r>
      <w:r>
        <w:rPr>
          <w:rFonts w:hint="eastAsia"/>
          <w:szCs w:val="21"/>
          <w:highlight w:val="none"/>
        </w:rPr>
        <w:t xml:space="preserve">          </w:t>
      </w:r>
      <w:r>
        <w:rPr>
          <w:szCs w:val="21"/>
          <w:highlight w:val="none"/>
        </w:rPr>
        <w:t>法定代表人或其</w:t>
      </w:r>
      <w:r>
        <w:rPr>
          <w:rFonts w:hint="eastAsia"/>
          <w:szCs w:val="21"/>
          <w:highlight w:val="none"/>
        </w:rPr>
        <w:t>委托代理</w:t>
      </w:r>
      <w:r>
        <w:rPr>
          <w:szCs w:val="21"/>
          <w:highlight w:val="none"/>
        </w:rPr>
        <w:t>人：</w:t>
      </w:r>
      <w:r>
        <w:rPr>
          <w:szCs w:val="21"/>
          <w:highlight w:val="none"/>
          <w:u w:val="single"/>
        </w:rPr>
        <w:t>（签字）</w:t>
      </w:r>
    </w:p>
    <w:p w14:paraId="456410AD">
      <w:pPr>
        <w:adjustRightInd w:val="0"/>
        <w:snapToGrid w:val="0"/>
        <w:spacing w:line="360" w:lineRule="auto"/>
        <w:ind w:firstLine="415" w:firstLineChars="198"/>
        <w:rPr>
          <w:szCs w:val="21"/>
          <w:highlight w:val="none"/>
        </w:rPr>
      </w:pPr>
      <w:r>
        <w:rPr>
          <w:szCs w:val="21"/>
          <w:highlight w:val="none"/>
        </w:rPr>
        <w:t>开户银行：</w:t>
      </w:r>
      <w:r>
        <w:rPr>
          <w:rFonts w:hint="eastAsia"/>
          <w:szCs w:val="21"/>
          <w:highlight w:val="none"/>
        </w:rPr>
        <w:t xml:space="preserve">                                  </w:t>
      </w:r>
      <w:r>
        <w:rPr>
          <w:szCs w:val="21"/>
          <w:highlight w:val="none"/>
        </w:rPr>
        <w:t>开户银行：</w:t>
      </w:r>
    </w:p>
    <w:p w14:paraId="52655DFC">
      <w:pPr>
        <w:adjustRightInd w:val="0"/>
        <w:snapToGrid w:val="0"/>
        <w:spacing w:line="360" w:lineRule="auto"/>
        <w:ind w:firstLine="415" w:firstLineChars="198"/>
        <w:rPr>
          <w:szCs w:val="21"/>
          <w:highlight w:val="none"/>
        </w:rPr>
      </w:pPr>
      <w:r>
        <w:rPr>
          <w:szCs w:val="21"/>
          <w:highlight w:val="none"/>
        </w:rPr>
        <w:t>账号：</w:t>
      </w:r>
      <w:r>
        <w:rPr>
          <w:rFonts w:hint="eastAsia"/>
          <w:szCs w:val="21"/>
          <w:highlight w:val="none"/>
        </w:rPr>
        <w:t xml:space="preserve">                                      </w:t>
      </w:r>
      <w:r>
        <w:rPr>
          <w:szCs w:val="21"/>
          <w:highlight w:val="none"/>
        </w:rPr>
        <w:t>账号：</w:t>
      </w:r>
    </w:p>
    <w:p w14:paraId="703C07A0">
      <w:pPr>
        <w:adjustRightInd w:val="0"/>
        <w:snapToGrid w:val="0"/>
        <w:spacing w:line="360" w:lineRule="auto"/>
        <w:ind w:firstLine="415" w:firstLineChars="198"/>
        <w:rPr>
          <w:szCs w:val="21"/>
          <w:highlight w:val="none"/>
        </w:rPr>
      </w:pPr>
      <w:r>
        <w:rPr>
          <w:szCs w:val="21"/>
          <w:highlight w:val="none"/>
        </w:rPr>
        <w:t>电话：</w:t>
      </w:r>
      <w:r>
        <w:rPr>
          <w:rFonts w:hint="eastAsia"/>
          <w:szCs w:val="21"/>
          <w:highlight w:val="none"/>
        </w:rPr>
        <w:t xml:space="preserve">                                      </w:t>
      </w:r>
      <w:r>
        <w:rPr>
          <w:szCs w:val="21"/>
          <w:highlight w:val="none"/>
        </w:rPr>
        <w:t>电话：</w:t>
      </w:r>
    </w:p>
    <w:p w14:paraId="0442A795">
      <w:pPr>
        <w:adjustRightInd w:val="0"/>
        <w:snapToGrid w:val="0"/>
        <w:spacing w:line="360" w:lineRule="auto"/>
        <w:ind w:firstLine="415" w:firstLineChars="198"/>
        <w:rPr>
          <w:szCs w:val="21"/>
          <w:highlight w:val="none"/>
        </w:rPr>
      </w:pPr>
      <w:r>
        <w:rPr>
          <w:szCs w:val="21"/>
          <w:highlight w:val="none"/>
        </w:rPr>
        <w:t>传真：</w:t>
      </w:r>
      <w:r>
        <w:rPr>
          <w:rFonts w:hint="eastAsia"/>
          <w:szCs w:val="21"/>
          <w:highlight w:val="none"/>
        </w:rPr>
        <w:t xml:space="preserve">                                      </w:t>
      </w:r>
      <w:r>
        <w:rPr>
          <w:szCs w:val="21"/>
          <w:highlight w:val="none"/>
        </w:rPr>
        <w:t>传真：</w:t>
      </w:r>
    </w:p>
    <w:p w14:paraId="2AA6BF3B">
      <w:pPr>
        <w:spacing w:line="360" w:lineRule="auto"/>
        <w:ind w:firstLine="420" w:firstLineChars="200"/>
        <w:rPr>
          <w:szCs w:val="21"/>
          <w:highlight w:val="none"/>
        </w:rPr>
      </w:pPr>
      <w:r>
        <w:rPr>
          <w:szCs w:val="21"/>
          <w:highlight w:val="none"/>
        </w:rPr>
        <w:t>电子邮箱：</w:t>
      </w:r>
      <w:r>
        <w:rPr>
          <w:rFonts w:hint="eastAsia"/>
          <w:szCs w:val="21"/>
          <w:highlight w:val="none"/>
        </w:rPr>
        <w:t xml:space="preserve">                                  </w:t>
      </w:r>
      <w:r>
        <w:rPr>
          <w:szCs w:val="21"/>
          <w:highlight w:val="none"/>
        </w:rPr>
        <w:t>电子邮箱：</w:t>
      </w:r>
    </w:p>
    <w:p w14:paraId="09A92514">
      <w:pPr>
        <w:rPr>
          <w:highlight w:val="none"/>
        </w:rPr>
      </w:pPr>
    </w:p>
    <w:p w14:paraId="4F6F8439">
      <w:pPr>
        <w:widowControl/>
        <w:jc w:val="left"/>
        <w:rPr>
          <w:rFonts w:eastAsia="黑体"/>
          <w:b/>
          <w:sz w:val="32"/>
          <w:szCs w:val="20"/>
          <w:highlight w:val="none"/>
        </w:rPr>
      </w:pPr>
      <w:r>
        <w:rPr>
          <w:highlight w:val="none"/>
        </w:rPr>
        <w:br w:type="page"/>
      </w:r>
    </w:p>
    <w:p w14:paraId="2CB4E7F7">
      <w:pPr>
        <w:spacing w:line="360" w:lineRule="auto"/>
        <w:jc w:val="center"/>
        <w:outlineLvl w:val="1"/>
        <w:rPr>
          <w:rFonts w:hint="eastAsia" w:ascii="宋体" w:hAnsi="宋体" w:eastAsia="宋体" w:cs="宋体"/>
          <w:b/>
          <w:bCs/>
          <w:sz w:val="28"/>
          <w:szCs w:val="28"/>
          <w:highlight w:val="none"/>
        </w:rPr>
      </w:pPr>
      <w:bookmarkStart w:id="58" w:name="_Toc7033"/>
      <w:r>
        <w:rPr>
          <w:rFonts w:hint="eastAsia" w:ascii="宋体" w:hAnsi="宋体" w:eastAsia="宋体" w:cs="宋体"/>
          <w:b/>
          <w:bCs/>
          <w:sz w:val="28"/>
          <w:szCs w:val="28"/>
          <w:highlight w:val="none"/>
        </w:rPr>
        <w:t>第二节 通用合同条款</w:t>
      </w:r>
      <w:bookmarkEnd w:id="58"/>
    </w:p>
    <w:p w14:paraId="0598E911">
      <w:pPr>
        <w:adjustRightInd w:val="0"/>
        <w:snapToGrid w:val="0"/>
        <w:spacing w:line="360" w:lineRule="auto"/>
        <w:ind w:firstLine="420" w:firstLineChars="200"/>
        <w:rPr>
          <w:rFonts w:hint="eastAsia"/>
          <w:szCs w:val="21"/>
          <w:highlight w:val="none"/>
        </w:rPr>
      </w:pPr>
      <w:r>
        <w:rPr>
          <w:szCs w:val="21"/>
          <w:highlight w:val="none"/>
        </w:rPr>
        <w:t>采用《建设工程监理合同（示范文本）》（GF-2012-0202）中通用合同条款。上述资料由投标人自行准备</w:t>
      </w:r>
      <w:r>
        <w:rPr>
          <w:rFonts w:hint="eastAsia"/>
          <w:szCs w:val="21"/>
          <w:highlight w:val="none"/>
        </w:rPr>
        <w:t>。</w:t>
      </w:r>
    </w:p>
    <w:p w14:paraId="09E4465D">
      <w:pPr>
        <w:widowControl/>
        <w:jc w:val="left"/>
        <w:rPr>
          <w:rFonts w:eastAsia="黑体"/>
          <w:b/>
          <w:sz w:val="32"/>
          <w:szCs w:val="20"/>
          <w:highlight w:val="none"/>
        </w:rPr>
      </w:pPr>
      <w:r>
        <w:rPr>
          <w:highlight w:val="none"/>
        </w:rPr>
        <w:br w:type="page"/>
      </w:r>
    </w:p>
    <w:p w14:paraId="30ED1474">
      <w:pPr>
        <w:spacing w:line="360" w:lineRule="auto"/>
        <w:jc w:val="center"/>
        <w:outlineLvl w:val="1"/>
        <w:rPr>
          <w:rFonts w:hint="eastAsia" w:ascii="宋体" w:hAnsi="宋体" w:eastAsia="宋体" w:cs="宋体"/>
          <w:b/>
          <w:bCs/>
          <w:sz w:val="28"/>
          <w:szCs w:val="28"/>
          <w:highlight w:val="none"/>
        </w:rPr>
      </w:pPr>
      <w:bookmarkStart w:id="59" w:name="_Toc1484"/>
      <w:r>
        <w:rPr>
          <w:rFonts w:hint="eastAsia" w:ascii="宋体" w:hAnsi="宋体" w:eastAsia="宋体" w:cs="宋体"/>
          <w:b/>
          <w:bCs/>
          <w:sz w:val="28"/>
          <w:szCs w:val="28"/>
          <w:highlight w:val="none"/>
        </w:rPr>
        <w:t>第三节 专用合同条款</w:t>
      </w:r>
      <w:bookmarkEnd w:id="59"/>
    </w:p>
    <w:p w14:paraId="1DF0FDF7">
      <w:pPr>
        <w:adjustRightInd w:val="0"/>
        <w:snapToGrid w:val="0"/>
        <w:spacing w:line="360" w:lineRule="auto"/>
        <w:rPr>
          <w:rFonts w:hint="eastAsia" w:ascii="宋体" w:hAnsi="宋体" w:eastAsia="宋体" w:cs="宋体"/>
          <w:b/>
          <w:sz w:val="24"/>
          <w:szCs w:val="24"/>
          <w:highlight w:val="none"/>
        </w:rPr>
      </w:pPr>
      <w:bookmarkStart w:id="60" w:name="_Toc184635117"/>
      <w:bookmarkEnd w:id="60"/>
      <w:bookmarkStart w:id="61" w:name="_Toc29298"/>
      <w:bookmarkEnd w:id="61"/>
      <w:bookmarkStart w:id="62" w:name="_Toc246997062"/>
      <w:bookmarkEnd w:id="62"/>
      <w:bookmarkStart w:id="63" w:name="_Toc296602565"/>
      <w:bookmarkEnd w:id="63"/>
      <w:bookmarkStart w:id="64" w:name="_Toc246996319"/>
      <w:bookmarkEnd w:id="64"/>
      <w:bookmarkStart w:id="65" w:name="_Toc247085834"/>
      <w:bookmarkEnd w:id="65"/>
      <w:bookmarkStart w:id="66" w:name="_Toc9766"/>
      <w:bookmarkEnd w:id="66"/>
      <w:bookmarkStart w:id="67" w:name="_Toc369531676"/>
      <w:bookmarkEnd w:id="67"/>
      <w:bookmarkStart w:id="68" w:name="_Toc369531675"/>
      <w:bookmarkEnd w:id="68"/>
      <w:r>
        <w:rPr>
          <w:rFonts w:hint="eastAsia" w:ascii="宋体" w:hAnsi="宋体" w:eastAsia="宋体" w:cs="宋体"/>
          <w:b/>
          <w:sz w:val="24"/>
          <w:szCs w:val="24"/>
          <w:highlight w:val="none"/>
        </w:rPr>
        <w:t>1.定义与解释</w:t>
      </w:r>
    </w:p>
    <w:p w14:paraId="6498E83D">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解释</w:t>
      </w:r>
    </w:p>
    <w:p w14:paraId="6D986AB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.1本合同文件除使用中文外，还可用</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406ECC4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.2约定本合同文件的解释顺序为：</w:t>
      </w:r>
      <w:r>
        <w:rPr>
          <w:rFonts w:hint="eastAsia" w:ascii="宋体" w:hAnsi="宋体" w:eastAsia="宋体" w:cs="宋体"/>
          <w:sz w:val="24"/>
          <w:szCs w:val="24"/>
          <w:highlight w:val="none"/>
          <w:u w:val="single"/>
        </w:rPr>
        <w:t>本合同协议书；中标通知书；招标文件；专用条件；通用条件；附录；投标文件</w:t>
      </w:r>
      <w:r>
        <w:rPr>
          <w:rFonts w:hint="eastAsia" w:ascii="宋体" w:hAnsi="宋体" w:eastAsia="宋体" w:cs="宋体"/>
          <w:sz w:val="24"/>
          <w:szCs w:val="24"/>
          <w:highlight w:val="none"/>
        </w:rPr>
        <w:t>。</w:t>
      </w:r>
    </w:p>
    <w:p w14:paraId="1631EA2C">
      <w:pPr>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2.监理人义务</w:t>
      </w:r>
    </w:p>
    <w:p w14:paraId="33A89864">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2.1监理的范围和内容</w:t>
      </w:r>
    </w:p>
    <w:p w14:paraId="17251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bCs/>
          <w:color w:val="auto"/>
          <w:sz w:val="24"/>
          <w:szCs w:val="24"/>
          <w:highlight w:val="none"/>
        </w:rPr>
        <w:t>主</w:t>
      </w:r>
      <w:r>
        <w:rPr>
          <w:rFonts w:hint="eastAsia" w:ascii="宋体" w:hAnsi="宋体" w:eastAsia="宋体" w:cs="宋体"/>
          <w:color w:val="auto"/>
          <w:sz w:val="24"/>
          <w:szCs w:val="24"/>
          <w:highlight w:val="none"/>
        </w:rPr>
        <w:t>要监理内容包括但不限于：工程现场前期的准备工作、设计协调、施工过程的技术服务、设备采购及安装调试、项目建设期直至项目验收合格、整体移交以及质保期内的维修维保等全过程监理服务。包括红线范围内项目内容的建设全过程监理，并完成设计变更协调、设计变更合理性审核、设计变更费用审核、经济签证的审核和决算的初审，负责项目的质量、进度、安全、造价等控制管理和安全、合同、信息等方面协调管理服务，直至项目完成竣工验收、移交、审计（含缺陷责任期）等及招标人交办的其他任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监理工作包含但不限于：</w:t>
      </w:r>
    </w:p>
    <w:p w14:paraId="2E56868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（1）实施监理工作前，编写监理规划和监理实施细则；确定监理机构组成人员和职能分工；</w:t>
      </w:r>
    </w:p>
    <w:p w14:paraId="1B8378C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（2）协助招标人召开第一次工地会议，起草会议纪要；</w:t>
      </w:r>
    </w:p>
    <w:p w14:paraId="0492E3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（3）定期主持召开工地例会，形成会议纪要；</w:t>
      </w:r>
    </w:p>
    <w:p w14:paraId="5FE58BA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（4）组织项目监理人员熟悉图纸，参加施工图会审和设计交底，提出监理意见；</w:t>
      </w:r>
    </w:p>
    <w:p w14:paraId="55B5D7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（5）审查承包人项目现场管理机构的质量管理体系、技术管理体系、质量保证体系和安全保证体系；</w:t>
      </w:r>
    </w:p>
    <w:p w14:paraId="7F164F2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（6）审查承包人提交的施工组织设计、施工方案、总进度计划，提出审查意见；</w:t>
      </w:r>
    </w:p>
    <w:p w14:paraId="11BC66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（7）审查承包人开工申请报告，审查承包人各项施工准备工作；</w:t>
      </w:r>
    </w:p>
    <w:p w14:paraId="4FE2951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）审查承包人测量放线成果并检查对成果的保护措施；做好施工过程中测量复核、交验工作；</w:t>
      </w:r>
    </w:p>
    <w:p w14:paraId="79EDD9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）督促承包人报送重点部位、关键工序的施工工艺和确保工程质量的措施，监理审核签认；</w:t>
      </w:r>
    </w:p>
    <w:p w14:paraId="77AF1CA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）检查承包人拟进场工程材料、半成品、成品、构配件、设备的质量，审查质量证明资料，需要时采用见证取样方式进行监控；</w:t>
      </w:r>
    </w:p>
    <w:p w14:paraId="354DCAE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）监督承包人按施工规范和设计文件施工，对施工过程进行巡视和检查，对隐蔽工程施工质量进行验收。施工中的重点部位、关键部位安排人员旁站；</w:t>
      </w:r>
    </w:p>
    <w:p w14:paraId="1C75966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）从安全、质量、工期、造价等方面审查设计变更，并提出监理建议；</w:t>
      </w:r>
    </w:p>
    <w:p w14:paraId="5C73DEB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）对施工中出现的质量缺陷下达整改通知，督促整改，检查验收；</w:t>
      </w:r>
    </w:p>
    <w:p w14:paraId="4B522C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）对重大质量隐患可能造成（或已发生）质量事故时，及时下达工程暂停令。下达工程暂停令应当事先向招标人报告，如在紧急情况下未能书面报告时，立即向招标人口头汇报并在24小时内作出书面报告；</w:t>
      </w:r>
    </w:p>
    <w:p w14:paraId="79A7250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）对需返工处理或加固补强的质量事故，责令承包人报送质量事故报告，组织工程质量事故分析。督促承包人按设计认可的处理方案进行整改，对质量事故的处理过程和结果跟踪检查和验收，及时记录归档资料；</w:t>
      </w:r>
    </w:p>
    <w:p w14:paraId="1FDFA30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）审核设计变更、现场签证调整预算；</w:t>
      </w:r>
    </w:p>
    <w:p w14:paraId="624D6B3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）审核已完合格工程的工作量，签署工程款支付证书；</w:t>
      </w:r>
    </w:p>
    <w:p w14:paraId="737173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）审核承包人编制的工程结算；</w:t>
      </w:r>
    </w:p>
    <w:p w14:paraId="24700BA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）根据施工合同条款、施工图及施工组织设计制定进度控制方案，对进度目标进行风险分析，制定防范对策，报委托人；</w:t>
      </w:r>
    </w:p>
    <w:p w14:paraId="20797C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）审查承包人人员、设备的安全资格和安全专项方案，监督安全生产、文明施工。加强日常安全管理，定期组织有关单位进行安全大检查，发现问题督促责任方整改；</w:t>
      </w:r>
    </w:p>
    <w:p w14:paraId="557DAAB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）协调施工中相关方工作；</w:t>
      </w:r>
    </w:p>
    <w:p w14:paraId="5BAD39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）编报监理工作阶段总结和专题报告，重点报告施工安全管理，工程质量、进度、投资控制的执行情况，提出工程中存在的问题及处理建议；</w:t>
      </w:r>
    </w:p>
    <w:p w14:paraId="3901D94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）审查竣工资料，组织单位工程竣工预验收，签署工程竣工报验单，提出工程质量评估报告；</w:t>
      </w:r>
    </w:p>
    <w:p w14:paraId="451D8D2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）参加招标人组织的竣工验收，提交相关的监理资料，签署竣工验收报告；</w:t>
      </w:r>
    </w:p>
    <w:p w14:paraId="7168AEB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）负责办理招标人交代的其他工作。</w:t>
      </w:r>
    </w:p>
    <w:p w14:paraId="7EC17C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2.2监理与相关服务依据</w:t>
      </w:r>
    </w:p>
    <w:p w14:paraId="1864E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2.2.1监理依据包括</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《中华人民共和国民法典》、建筑工程质量管理条例、国家强制性标准、规范、施工承包合同及相关合同、地方设计法规、设计图纸及设计变更文件、其它有关文件规定。</w:t>
      </w:r>
    </w:p>
    <w:p w14:paraId="5D119404">
      <w:pPr>
        <w:adjustRightInd w:val="0"/>
        <w:snapToGrid w:val="0"/>
        <w:spacing w:line="360" w:lineRule="auto"/>
        <w:ind w:firstLine="480" w:firstLineChars="200"/>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2.2.2相关服务依据包括：</w:t>
      </w:r>
      <w:r>
        <w:rPr>
          <w:rFonts w:hint="eastAsia" w:ascii="宋体" w:hAnsi="宋体" w:eastAsia="宋体" w:cs="宋体"/>
          <w:b w:val="0"/>
          <w:bCs w:val="0"/>
          <w:color w:val="000000"/>
          <w:sz w:val="24"/>
          <w:szCs w:val="24"/>
          <w:highlight w:val="none"/>
          <w:u w:val="single"/>
        </w:rPr>
        <w:t>执行通用条款。</w:t>
      </w:r>
    </w:p>
    <w:p w14:paraId="3AC3C4FD">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2.3项目监理机构和人员</w:t>
      </w:r>
    </w:p>
    <w:p w14:paraId="20F06E5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未经过发包人同意，不得擅自更换监理人员。</w:t>
      </w:r>
    </w:p>
    <w:p w14:paraId="5BDFB65F">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2.4提交报告</w:t>
      </w:r>
    </w:p>
    <w:p w14:paraId="10BA8C3B">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监理人应提交报告的种类(包括监理规划、监理月报及约定的专项报告)、时间和份数：</w:t>
      </w:r>
    </w:p>
    <w:p w14:paraId="061DBCC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1）服务人在图纸设计交底后7天内编制并向委托人提交详细的监理规划，委托人在7天内予以审定或提出修改意见并批准实施监理。</w:t>
      </w:r>
    </w:p>
    <w:p w14:paraId="764C599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2）服务人对施工承包单位月施工计划进行核实后送交委托人。</w:t>
      </w:r>
    </w:p>
    <w:p w14:paraId="78A1977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3）服务人在每月10日之前向委托人提供监理月报，统计报表一式四份：每月10日之前向委托人提供已完成工程支付证书，一式三份。</w:t>
      </w:r>
    </w:p>
    <w:p w14:paraId="44829F2F">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2.5使用委托人的财产</w:t>
      </w:r>
    </w:p>
    <w:p w14:paraId="6B28EC19">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附录B中由委托人无偿提供的房屋、设备的所有权属于：</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7D9DF1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监理人应在本合同终止后</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天内移交委托人无偿提供的房屋、设备，移交的时间和方式为：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59EF3289">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3.委托人义务</w:t>
      </w:r>
    </w:p>
    <w:p w14:paraId="330F05F0">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3.1委托人代表</w:t>
      </w:r>
    </w:p>
    <w:p w14:paraId="610C70EA">
      <w:pPr>
        <w:adjustRightInd w:val="0"/>
        <w:snapToGrid w:val="0"/>
        <w:spacing w:line="360" w:lineRule="auto"/>
        <w:ind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委托人代表为</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w:t>
      </w:r>
    </w:p>
    <w:p w14:paraId="7922967F">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3.2答复</w:t>
      </w:r>
    </w:p>
    <w:p w14:paraId="61630ED0">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委托人同意在7天内，对监理人书面提交并要求做出决定的事宜给予书面答复。</w:t>
      </w:r>
    </w:p>
    <w:p w14:paraId="35E2DB85">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4.违约责任</w:t>
      </w:r>
    </w:p>
    <w:p w14:paraId="0CD79EF3">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4.1监理人的违约责任</w:t>
      </w:r>
    </w:p>
    <w:p w14:paraId="0D4FD1F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4.1.1监理人赔偿金额按下列方法确定：赔偿金＝直接经济损失×正常工作酬金÷工程概算投资额（或建筑安装工程费）</w:t>
      </w:r>
    </w:p>
    <w:p w14:paraId="7C477186">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4.2委托人的违约责任</w:t>
      </w:r>
    </w:p>
    <w:p w14:paraId="7D1AA427">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委托人逾期付款利息按下列方法确定：逾期付款利息＝当期应付款总额×银行同期贷款利率×拖延支付天数</w:t>
      </w:r>
    </w:p>
    <w:p w14:paraId="50A980C0">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5.支付</w:t>
      </w:r>
    </w:p>
    <w:p w14:paraId="646BF225">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5.1支付货币</w:t>
      </w:r>
    </w:p>
    <w:p w14:paraId="35B19FE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币种为：</w:t>
      </w:r>
      <w:r>
        <w:rPr>
          <w:rFonts w:hint="eastAsia" w:ascii="宋体" w:hAnsi="宋体" w:eastAsia="宋体" w:cs="宋体"/>
          <w:color w:val="000000"/>
          <w:sz w:val="24"/>
          <w:szCs w:val="24"/>
          <w:highlight w:val="none"/>
          <w:u w:val="single"/>
        </w:rPr>
        <w:t>人民币</w:t>
      </w:r>
      <w:r>
        <w:rPr>
          <w:rFonts w:hint="eastAsia" w:ascii="宋体" w:hAnsi="宋体" w:eastAsia="宋体" w:cs="宋体"/>
          <w:color w:val="000000"/>
          <w:sz w:val="24"/>
          <w:szCs w:val="24"/>
          <w:highlight w:val="none"/>
        </w:rPr>
        <w:t>。</w:t>
      </w:r>
    </w:p>
    <w:p w14:paraId="79D06D45">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5.2支付申请：</w:t>
      </w:r>
    </w:p>
    <w:p w14:paraId="2AE8C574">
      <w:pPr>
        <w:adjustRightInd w:val="0"/>
        <w:snapToGrid w:val="0"/>
        <w:spacing w:line="360" w:lineRule="auto"/>
        <w:ind w:firstLine="480" w:firstLineChars="200"/>
        <w:rPr>
          <w:rFonts w:hint="default" w:ascii="宋体" w:hAnsi="宋体" w:eastAsia="宋体" w:cs="宋体"/>
          <w:color w:val="000000"/>
          <w:sz w:val="24"/>
          <w:szCs w:val="24"/>
          <w:highlight w:val="none"/>
          <w:lang w:val="en-US"/>
        </w:rPr>
      </w:pPr>
      <w:r>
        <w:rPr>
          <w:rFonts w:hint="default" w:ascii="宋体" w:hAnsi="宋体" w:eastAsia="宋体" w:cs="宋体"/>
          <w:color w:val="000000"/>
          <w:sz w:val="24"/>
          <w:szCs w:val="24"/>
          <w:highlight w:val="none"/>
          <w:lang w:val="en-US"/>
        </w:rPr>
        <w:t xml:space="preserve">中标人每月提交支付申请书期限：每月25日前或与施工总承包单位计量周期同步。 </w:t>
      </w:r>
    </w:p>
    <w:p w14:paraId="64C3F184">
      <w:pPr>
        <w:adjustRightInd w:val="0"/>
        <w:snapToGrid w:val="0"/>
        <w:spacing w:line="360" w:lineRule="auto"/>
        <w:ind w:firstLine="480" w:firstLineChars="200"/>
        <w:rPr>
          <w:rFonts w:hint="default" w:ascii="宋体" w:hAnsi="宋体" w:eastAsia="宋体" w:cs="宋体"/>
          <w:color w:val="000000"/>
          <w:sz w:val="24"/>
          <w:szCs w:val="24"/>
          <w:highlight w:val="none"/>
          <w:lang w:val="en-US"/>
        </w:rPr>
      </w:pPr>
      <w:r>
        <w:rPr>
          <w:rFonts w:hint="default" w:ascii="宋体" w:hAnsi="宋体" w:eastAsia="宋体" w:cs="宋体"/>
          <w:color w:val="000000"/>
          <w:sz w:val="24"/>
          <w:szCs w:val="24"/>
          <w:highlight w:val="none"/>
          <w:lang w:val="en-US"/>
        </w:rPr>
        <w:t xml:space="preserve">1、每月按施工单位实际完成的合格工程量80%支付对应的监理费； </w:t>
      </w:r>
    </w:p>
    <w:p w14:paraId="49189568">
      <w:pPr>
        <w:adjustRightInd w:val="0"/>
        <w:snapToGrid w:val="0"/>
        <w:spacing w:line="360" w:lineRule="auto"/>
        <w:ind w:firstLine="480" w:firstLineChars="200"/>
        <w:rPr>
          <w:rFonts w:hint="default" w:ascii="宋体" w:hAnsi="宋体" w:eastAsia="宋体" w:cs="宋体"/>
          <w:color w:val="000000"/>
          <w:sz w:val="24"/>
          <w:szCs w:val="24"/>
          <w:highlight w:val="none"/>
          <w:lang w:val="en-US"/>
        </w:rPr>
      </w:pPr>
      <w:r>
        <w:rPr>
          <w:rFonts w:hint="default" w:ascii="宋体" w:hAnsi="宋体" w:eastAsia="宋体" w:cs="宋体"/>
          <w:color w:val="000000"/>
          <w:sz w:val="24"/>
          <w:szCs w:val="24"/>
          <w:highlight w:val="none"/>
          <w:lang w:val="en-US"/>
        </w:rPr>
        <w:t xml:space="preserve">2、所有工程验收合格并移交后付至已完工程量对应监理费的 90%； </w:t>
      </w:r>
    </w:p>
    <w:p w14:paraId="6E70BF31">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rPr>
        <w:t>3、</w:t>
      </w:r>
      <w:r>
        <w:rPr>
          <w:rFonts w:hint="eastAsia" w:ascii="宋体" w:hAnsi="宋体" w:eastAsia="宋体" w:cs="宋体"/>
          <w:color w:val="000000"/>
          <w:sz w:val="24"/>
          <w:szCs w:val="24"/>
          <w:highlight w:val="none"/>
          <w:lang w:val="en-US" w:eastAsia="zh-CN"/>
        </w:rPr>
        <w:t>竣工验收合格并经</w:t>
      </w:r>
      <w:r>
        <w:rPr>
          <w:rFonts w:hint="eastAsia" w:ascii="宋体" w:hAnsi="宋体" w:cs="宋体"/>
          <w:color w:val="000000"/>
          <w:sz w:val="24"/>
          <w:szCs w:val="24"/>
          <w:highlight w:val="none"/>
          <w:lang w:val="en-US" w:eastAsia="zh-CN"/>
        </w:rPr>
        <w:t>结</w:t>
      </w:r>
      <w:r>
        <w:rPr>
          <w:rFonts w:hint="eastAsia" w:ascii="宋体" w:hAnsi="宋体" w:eastAsia="宋体" w:cs="宋体"/>
          <w:color w:val="000000"/>
          <w:sz w:val="24"/>
          <w:szCs w:val="24"/>
          <w:highlight w:val="none"/>
          <w:lang w:val="en-US" w:eastAsia="zh-CN"/>
        </w:rPr>
        <w:t>算审计后付至结算价的100%。</w:t>
      </w:r>
    </w:p>
    <w:p w14:paraId="25DB8F9B">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5.3支付酬金</w:t>
      </w:r>
    </w:p>
    <w:p w14:paraId="05F28F7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本项目采用固定费率招标，监理费采用“固定计价费率，暂定合同总价”计价方式，暂定合同价</w:t>
      </w:r>
      <w:r>
        <w:rPr>
          <w:rFonts w:hint="eastAsia" w:ascii="宋体" w:hAnsi="宋体" w:cs="宋体"/>
          <w:color w:val="auto"/>
          <w:sz w:val="24"/>
          <w:szCs w:val="24"/>
          <w:highlight w:val="none"/>
          <w:lang w:val="en-US" w:eastAsia="zh-CN"/>
        </w:rPr>
        <w:t>9.24</w:t>
      </w:r>
      <w:r>
        <w:rPr>
          <w:rFonts w:hint="eastAsia" w:ascii="宋体" w:hAnsi="宋体" w:eastAsia="宋体" w:cs="宋体"/>
          <w:color w:val="auto"/>
          <w:sz w:val="24"/>
          <w:szCs w:val="24"/>
          <w:highlight w:val="none"/>
          <w:lang w:val="en-US" w:eastAsia="zh-CN"/>
        </w:rPr>
        <w:t>万元，</w:t>
      </w:r>
      <w:r>
        <w:rPr>
          <w:rFonts w:hint="default" w:ascii="Times New Roman" w:hAnsi="Times New Roman" w:eastAsia="宋体" w:cs="Times New Roman"/>
          <w:color w:val="auto"/>
          <w:sz w:val="24"/>
          <w:szCs w:val="24"/>
          <w:highlight w:val="none"/>
          <w:lang w:val="en-US" w:eastAsia="zh-CN"/>
        </w:rPr>
        <w:t>最终监理费以</w:t>
      </w:r>
      <w:r>
        <w:rPr>
          <w:rFonts w:hint="eastAsia" w:ascii="Times New Roman" w:hAnsi="Times New Roman" w:cs="Times New Roman"/>
          <w:color w:val="auto"/>
          <w:sz w:val="24"/>
          <w:szCs w:val="24"/>
          <w:highlight w:val="none"/>
          <w:lang w:val="en-US" w:eastAsia="zh-CN"/>
        </w:rPr>
        <w:t>施工招标</w:t>
      </w:r>
      <w:r>
        <w:rPr>
          <w:rFonts w:hint="default" w:ascii="Times New Roman" w:hAnsi="Times New Roman" w:eastAsia="宋体" w:cs="Times New Roman"/>
          <w:color w:val="auto"/>
          <w:sz w:val="24"/>
          <w:szCs w:val="24"/>
          <w:highlight w:val="none"/>
          <w:lang w:val="en-US" w:eastAsia="zh-CN"/>
        </w:rPr>
        <w:t>的清单控制价为结算依据</w:t>
      </w:r>
      <w:r>
        <w:rPr>
          <w:rFonts w:hint="eastAsia" w:ascii="宋体" w:hAnsi="宋体" w:eastAsia="宋体" w:cs="宋体"/>
          <w:color w:val="auto"/>
          <w:sz w:val="24"/>
          <w:szCs w:val="24"/>
          <w:highlight w:val="none"/>
          <w:lang w:val="en-US" w:eastAsia="zh-CN"/>
        </w:rPr>
        <w:t>，参照《建设工程监理与相关服务收费管理规定》（发改价格[2007]670号）计算得出的监理费基准价（专业调整系数、复杂程度调整系数、高程调整系数均为1.0）*固定费率为70%，如最终监理费超过暂定合同价，则最终监理费按暂定合同价进行结算。</w:t>
      </w:r>
    </w:p>
    <w:p w14:paraId="092C638D">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6.争议解决</w:t>
      </w:r>
    </w:p>
    <w:p w14:paraId="49FA1272">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.1调解</w:t>
      </w:r>
    </w:p>
    <w:p w14:paraId="5CD90BCD">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本合同争议进行调解时，可提交进行调解。</w:t>
      </w:r>
    </w:p>
    <w:p w14:paraId="6309E8BA">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.2仲裁或诉讼</w:t>
      </w:r>
    </w:p>
    <w:p w14:paraId="4207519F">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合同争议的最终解决方式为下列第(</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)种方式：</w:t>
      </w:r>
    </w:p>
    <w:p w14:paraId="6F85DC0B">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（1）提请合肥仲裁委员会进行仲裁。</w:t>
      </w:r>
    </w:p>
    <w:p w14:paraId="4E65FE4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（2）向项目所在地人民法院提起诉讼。</w:t>
      </w:r>
    </w:p>
    <w:p w14:paraId="23C6DDF4">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7.</w:t>
      </w:r>
      <w:r>
        <w:rPr>
          <w:rFonts w:hint="eastAsia" w:ascii="宋体" w:hAnsi="宋体" w:eastAsia="宋体" w:cs="宋体"/>
          <w:b/>
          <w:bCs/>
          <w:color w:val="000000"/>
          <w:sz w:val="24"/>
          <w:szCs w:val="24"/>
          <w:highlight w:val="none"/>
        </w:rPr>
        <w:t>人员要求</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2"/>
        <w:gridCol w:w="1713"/>
        <w:gridCol w:w="1702"/>
        <w:gridCol w:w="1703"/>
      </w:tblGrid>
      <w:tr w14:paraId="266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46FAA44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监理组织机构人员配备</w:t>
            </w:r>
          </w:p>
        </w:tc>
      </w:tr>
      <w:tr w14:paraId="5D2A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02" w:type="dxa"/>
            <w:noWrap w:val="0"/>
            <w:vAlign w:val="top"/>
          </w:tcPr>
          <w:p w14:paraId="068DBEE8">
            <w:pPr>
              <w:widowControl/>
              <w:spacing w:line="240" w:lineRule="exact"/>
              <w:jc w:val="center"/>
              <w:rPr>
                <w:rFonts w:hint="eastAsia" w:ascii="宋体" w:hAnsi="宋体" w:eastAsia="宋体" w:cs="宋体"/>
                <w:color w:val="000000"/>
                <w:kern w:val="0"/>
                <w:sz w:val="24"/>
                <w:szCs w:val="24"/>
                <w:highlight w:val="none"/>
                <w:lang w:bidi="ar"/>
              </w:rPr>
            </w:pPr>
          </w:p>
          <w:p w14:paraId="1F3531DA">
            <w:pPr>
              <w:widowControl/>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执业资格/职称要求</w:t>
            </w:r>
          </w:p>
          <w:p w14:paraId="49972BF9">
            <w:pPr>
              <w:spacing w:line="240" w:lineRule="exact"/>
              <w:jc w:val="center"/>
              <w:rPr>
                <w:rFonts w:hint="eastAsia" w:ascii="宋体" w:hAnsi="宋体" w:eastAsia="宋体" w:cs="宋体"/>
                <w:color w:val="000000"/>
                <w:sz w:val="24"/>
                <w:szCs w:val="24"/>
                <w:highlight w:val="none"/>
              </w:rPr>
            </w:pPr>
          </w:p>
        </w:tc>
        <w:tc>
          <w:tcPr>
            <w:tcW w:w="1702" w:type="dxa"/>
            <w:noWrap w:val="0"/>
            <w:vAlign w:val="top"/>
          </w:tcPr>
          <w:p w14:paraId="737ADF8D">
            <w:pPr>
              <w:spacing w:line="240" w:lineRule="exact"/>
              <w:jc w:val="center"/>
              <w:rPr>
                <w:rFonts w:hint="eastAsia" w:ascii="宋体" w:hAnsi="宋体" w:eastAsia="宋体" w:cs="宋体"/>
                <w:color w:val="000000"/>
                <w:sz w:val="24"/>
                <w:szCs w:val="24"/>
                <w:highlight w:val="none"/>
              </w:rPr>
            </w:pPr>
          </w:p>
          <w:p w14:paraId="66515C2F">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专业</w:t>
            </w:r>
          </w:p>
        </w:tc>
        <w:tc>
          <w:tcPr>
            <w:tcW w:w="1713" w:type="dxa"/>
            <w:noWrap w:val="0"/>
            <w:vAlign w:val="top"/>
          </w:tcPr>
          <w:p w14:paraId="6010A639">
            <w:pPr>
              <w:spacing w:line="240" w:lineRule="exact"/>
              <w:jc w:val="center"/>
              <w:rPr>
                <w:rFonts w:hint="eastAsia" w:ascii="宋体" w:hAnsi="宋体" w:eastAsia="宋体" w:cs="宋体"/>
                <w:color w:val="000000"/>
                <w:sz w:val="24"/>
                <w:szCs w:val="24"/>
                <w:highlight w:val="none"/>
              </w:rPr>
            </w:pPr>
          </w:p>
          <w:p w14:paraId="339FAC25">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岗位</w:t>
            </w:r>
          </w:p>
        </w:tc>
        <w:tc>
          <w:tcPr>
            <w:tcW w:w="1702" w:type="dxa"/>
            <w:noWrap w:val="0"/>
            <w:vAlign w:val="top"/>
          </w:tcPr>
          <w:p w14:paraId="2FAA4ECC">
            <w:pPr>
              <w:spacing w:line="240" w:lineRule="exact"/>
              <w:jc w:val="center"/>
              <w:rPr>
                <w:rFonts w:hint="eastAsia" w:ascii="宋体" w:hAnsi="宋体" w:eastAsia="宋体" w:cs="宋体"/>
                <w:color w:val="000000"/>
                <w:sz w:val="24"/>
                <w:szCs w:val="24"/>
                <w:highlight w:val="none"/>
              </w:rPr>
            </w:pPr>
          </w:p>
          <w:p w14:paraId="6D4F390D">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人员配额</w:t>
            </w:r>
          </w:p>
        </w:tc>
        <w:tc>
          <w:tcPr>
            <w:tcW w:w="1703" w:type="dxa"/>
            <w:noWrap w:val="0"/>
            <w:vAlign w:val="top"/>
          </w:tcPr>
          <w:p w14:paraId="3DD2208E">
            <w:pPr>
              <w:spacing w:line="240" w:lineRule="exact"/>
              <w:jc w:val="center"/>
              <w:rPr>
                <w:rFonts w:hint="eastAsia" w:ascii="宋体" w:hAnsi="宋体" w:eastAsia="宋体" w:cs="宋体"/>
                <w:color w:val="000000"/>
                <w:sz w:val="24"/>
                <w:szCs w:val="24"/>
                <w:highlight w:val="none"/>
              </w:rPr>
            </w:pPr>
          </w:p>
          <w:p w14:paraId="530EE6BD">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049E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3404" w:type="dxa"/>
            <w:gridSpan w:val="2"/>
            <w:noWrap w:val="0"/>
            <w:vAlign w:val="top"/>
          </w:tcPr>
          <w:p w14:paraId="31E8403A">
            <w:pPr>
              <w:widowControl/>
              <w:jc w:val="left"/>
              <w:rPr>
                <w:rFonts w:hint="eastAsia" w:ascii="宋体" w:hAnsi="宋体" w:eastAsia="宋体" w:cs="宋体"/>
                <w:b/>
                <w:bCs/>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（1）房屋建筑工程专业国家注册监理工程师证书。</w:t>
            </w:r>
          </w:p>
          <w:p w14:paraId="746BC23F">
            <w:pPr>
              <w:widowControl/>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bidi="ar"/>
              </w:rPr>
              <w:t>（2）其他要求见投标人须知前附表附录 4及第一章招标公告。</w:t>
            </w:r>
          </w:p>
          <w:p w14:paraId="3807EA7C">
            <w:pPr>
              <w:jc w:val="center"/>
              <w:rPr>
                <w:rFonts w:hint="eastAsia" w:ascii="宋体" w:hAnsi="宋体" w:eastAsia="宋体" w:cs="宋体"/>
                <w:color w:val="000000"/>
                <w:sz w:val="24"/>
                <w:szCs w:val="24"/>
                <w:highlight w:val="none"/>
              </w:rPr>
            </w:pPr>
          </w:p>
        </w:tc>
        <w:tc>
          <w:tcPr>
            <w:tcW w:w="1713" w:type="dxa"/>
            <w:noWrap w:val="0"/>
            <w:vAlign w:val="top"/>
          </w:tcPr>
          <w:p w14:paraId="03D8DE71">
            <w:pPr>
              <w:widowControl/>
              <w:jc w:val="center"/>
              <w:rPr>
                <w:rFonts w:hint="eastAsia" w:ascii="宋体" w:hAnsi="宋体" w:eastAsia="宋体" w:cs="宋体"/>
                <w:b/>
                <w:bCs/>
                <w:color w:val="000000"/>
                <w:kern w:val="0"/>
                <w:sz w:val="24"/>
                <w:szCs w:val="24"/>
                <w:highlight w:val="none"/>
                <w:lang w:bidi="ar"/>
              </w:rPr>
            </w:pPr>
          </w:p>
          <w:p w14:paraId="506B6C41">
            <w:pPr>
              <w:widowControl/>
              <w:jc w:val="center"/>
              <w:rPr>
                <w:rFonts w:hint="eastAsia" w:ascii="宋体" w:hAnsi="宋体" w:eastAsia="宋体" w:cs="宋体"/>
                <w:b/>
                <w:bCs/>
                <w:color w:val="000000"/>
                <w:kern w:val="0"/>
                <w:sz w:val="24"/>
                <w:szCs w:val="24"/>
                <w:highlight w:val="none"/>
                <w:lang w:bidi="ar"/>
              </w:rPr>
            </w:pPr>
          </w:p>
          <w:p w14:paraId="66088A25">
            <w:pPr>
              <w:widowControl/>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总监理工程师</w:t>
            </w:r>
          </w:p>
          <w:p w14:paraId="3EEE94A7">
            <w:pPr>
              <w:jc w:val="center"/>
              <w:rPr>
                <w:rFonts w:hint="eastAsia" w:ascii="宋体" w:hAnsi="宋体" w:eastAsia="宋体" w:cs="宋体"/>
                <w:b/>
                <w:bCs/>
                <w:color w:val="000000"/>
                <w:sz w:val="24"/>
                <w:szCs w:val="24"/>
                <w:highlight w:val="none"/>
              </w:rPr>
            </w:pPr>
          </w:p>
        </w:tc>
        <w:tc>
          <w:tcPr>
            <w:tcW w:w="1702" w:type="dxa"/>
            <w:noWrap w:val="0"/>
            <w:vAlign w:val="top"/>
          </w:tcPr>
          <w:p w14:paraId="21C04FAF">
            <w:pPr>
              <w:jc w:val="center"/>
              <w:rPr>
                <w:rFonts w:hint="eastAsia" w:ascii="宋体" w:hAnsi="宋体" w:eastAsia="宋体" w:cs="宋体"/>
                <w:b/>
                <w:bCs/>
                <w:sz w:val="24"/>
                <w:szCs w:val="24"/>
                <w:highlight w:val="none"/>
              </w:rPr>
            </w:pPr>
          </w:p>
          <w:p w14:paraId="561513FB">
            <w:pPr>
              <w:pStyle w:val="39"/>
              <w:ind w:firstLine="562"/>
              <w:rPr>
                <w:rFonts w:hint="eastAsia" w:ascii="宋体" w:hAnsi="宋体" w:eastAsia="宋体" w:cs="宋体"/>
                <w:b/>
                <w:sz w:val="24"/>
                <w:szCs w:val="24"/>
                <w:highlight w:val="none"/>
                <w:lang w:val="en-US" w:eastAsia="zh-CN"/>
              </w:rPr>
            </w:pPr>
          </w:p>
          <w:p w14:paraId="45BDAE6D">
            <w:pPr>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1人</w:t>
            </w:r>
          </w:p>
        </w:tc>
        <w:tc>
          <w:tcPr>
            <w:tcW w:w="1703" w:type="dxa"/>
            <w:noWrap w:val="0"/>
            <w:vAlign w:val="top"/>
          </w:tcPr>
          <w:p w14:paraId="2EE4AF0D">
            <w:pPr>
              <w:jc w:val="center"/>
              <w:rPr>
                <w:rFonts w:hint="eastAsia" w:ascii="宋体" w:hAnsi="宋体" w:eastAsia="宋体" w:cs="宋体"/>
                <w:b/>
                <w:bCs/>
                <w:sz w:val="24"/>
                <w:szCs w:val="24"/>
                <w:highlight w:val="none"/>
              </w:rPr>
            </w:pPr>
          </w:p>
          <w:p w14:paraId="167C1947">
            <w:pPr>
              <w:pStyle w:val="39"/>
              <w:ind w:firstLine="562"/>
              <w:rPr>
                <w:rFonts w:hint="eastAsia" w:ascii="宋体" w:hAnsi="宋体" w:eastAsia="宋体" w:cs="宋体"/>
                <w:b/>
                <w:sz w:val="24"/>
                <w:szCs w:val="24"/>
                <w:highlight w:val="none"/>
                <w:lang w:val="en-US" w:eastAsia="zh-CN"/>
              </w:rPr>
            </w:pPr>
          </w:p>
          <w:p w14:paraId="50FADB35">
            <w:pPr>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初审项</w:t>
            </w:r>
          </w:p>
        </w:tc>
      </w:tr>
      <w:tr w14:paraId="0803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02" w:type="dxa"/>
            <w:vMerge w:val="restart"/>
            <w:noWrap w:val="0"/>
            <w:vAlign w:val="top"/>
          </w:tcPr>
          <w:p w14:paraId="375A0AE7">
            <w:pPr>
              <w:spacing w:line="240" w:lineRule="exact"/>
              <w:jc w:val="center"/>
              <w:rPr>
                <w:rFonts w:hint="eastAsia" w:ascii="宋体" w:hAnsi="宋体" w:eastAsia="宋体" w:cs="宋体"/>
                <w:color w:val="000000"/>
                <w:sz w:val="24"/>
                <w:szCs w:val="24"/>
                <w:highlight w:val="none"/>
              </w:rPr>
            </w:pPr>
          </w:p>
          <w:p w14:paraId="20052609">
            <w:pPr>
              <w:spacing w:line="240" w:lineRule="exact"/>
              <w:jc w:val="center"/>
              <w:rPr>
                <w:rFonts w:hint="eastAsia" w:ascii="宋体" w:hAnsi="宋体" w:eastAsia="宋体" w:cs="宋体"/>
                <w:color w:val="000000"/>
                <w:sz w:val="24"/>
                <w:szCs w:val="24"/>
                <w:highlight w:val="none"/>
              </w:rPr>
            </w:pPr>
          </w:p>
          <w:p w14:paraId="6DC1F35E">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w:t>
            </w:r>
          </w:p>
          <w:p w14:paraId="1FC2F403">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w:t>
            </w:r>
          </w:p>
          <w:p w14:paraId="4C78FB39">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w:t>
            </w:r>
          </w:p>
          <w:p w14:paraId="2BDEC282">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理</w:t>
            </w:r>
          </w:p>
          <w:p w14:paraId="1A78F600">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w:t>
            </w:r>
          </w:p>
          <w:p w14:paraId="0A808830">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程</w:t>
            </w:r>
          </w:p>
          <w:p w14:paraId="67CA8A6E">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师</w:t>
            </w:r>
          </w:p>
        </w:tc>
        <w:tc>
          <w:tcPr>
            <w:tcW w:w="1702" w:type="dxa"/>
            <w:noWrap w:val="0"/>
            <w:vAlign w:val="top"/>
          </w:tcPr>
          <w:p w14:paraId="6E0E8C8D">
            <w:pPr>
              <w:widowControl/>
              <w:spacing w:line="240" w:lineRule="exact"/>
              <w:jc w:val="center"/>
              <w:rPr>
                <w:rFonts w:hint="eastAsia" w:ascii="宋体" w:hAnsi="宋体" w:eastAsia="宋体" w:cs="宋体"/>
                <w:color w:val="000000"/>
                <w:kern w:val="0"/>
                <w:sz w:val="24"/>
                <w:szCs w:val="24"/>
                <w:highlight w:val="none"/>
                <w:lang w:bidi="ar"/>
              </w:rPr>
            </w:pPr>
          </w:p>
          <w:p w14:paraId="1553FCBB">
            <w:pPr>
              <w:widowControl/>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土建</w:t>
            </w:r>
          </w:p>
        </w:tc>
        <w:tc>
          <w:tcPr>
            <w:tcW w:w="1713" w:type="dxa"/>
            <w:noWrap w:val="0"/>
            <w:vAlign w:val="top"/>
          </w:tcPr>
          <w:p w14:paraId="217046E0">
            <w:pPr>
              <w:widowControl/>
              <w:spacing w:line="240" w:lineRule="exact"/>
              <w:jc w:val="center"/>
              <w:rPr>
                <w:rFonts w:hint="eastAsia" w:ascii="宋体" w:hAnsi="宋体" w:eastAsia="宋体" w:cs="宋体"/>
                <w:color w:val="000000"/>
                <w:kern w:val="0"/>
                <w:sz w:val="24"/>
                <w:szCs w:val="24"/>
                <w:highlight w:val="none"/>
                <w:lang w:bidi="ar"/>
              </w:rPr>
            </w:pPr>
          </w:p>
          <w:p w14:paraId="34889544">
            <w:pPr>
              <w:widowControl/>
              <w:spacing w:line="240" w:lineRule="exact"/>
              <w:jc w:val="center"/>
              <w:rPr>
                <w:rFonts w:hint="eastAsia" w:ascii="宋体" w:hAnsi="宋体" w:eastAsia="宋体" w:cs="宋体"/>
                <w:color w:val="000000"/>
                <w:sz w:val="24"/>
                <w:szCs w:val="24"/>
                <w:highlight w:val="none"/>
              </w:rPr>
            </w:pPr>
            <w:r>
              <w:rPr>
                <w:rFonts w:hint="eastAsia" w:ascii="宋体" w:hAnsi="宋体" w:cs="宋体"/>
                <w:color w:val="000000"/>
                <w:kern w:val="0"/>
                <w:sz w:val="24"/>
                <w:szCs w:val="24"/>
                <w:highlight w:val="none"/>
                <w:lang w:val="en-US" w:eastAsia="zh-CN" w:bidi="ar"/>
              </w:rPr>
              <w:t>建筑工程</w:t>
            </w:r>
            <w:r>
              <w:rPr>
                <w:rFonts w:hint="eastAsia" w:ascii="宋体" w:hAnsi="宋体" w:eastAsia="宋体" w:cs="宋体"/>
                <w:color w:val="000000"/>
                <w:kern w:val="0"/>
                <w:sz w:val="24"/>
                <w:szCs w:val="24"/>
                <w:highlight w:val="none"/>
                <w:lang w:bidi="ar"/>
              </w:rPr>
              <w:t>专业监理工程师</w:t>
            </w:r>
          </w:p>
          <w:p w14:paraId="7707BB4F">
            <w:pPr>
              <w:spacing w:line="240" w:lineRule="exact"/>
              <w:jc w:val="center"/>
              <w:rPr>
                <w:rFonts w:hint="eastAsia" w:ascii="宋体" w:hAnsi="宋体" w:eastAsia="宋体" w:cs="宋体"/>
                <w:color w:val="000000"/>
                <w:sz w:val="24"/>
                <w:szCs w:val="24"/>
                <w:highlight w:val="none"/>
              </w:rPr>
            </w:pPr>
          </w:p>
        </w:tc>
        <w:tc>
          <w:tcPr>
            <w:tcW w:w="1702" w:type="dxa"/>
            <w:noWrap w:val="0"/>
            <w:vAlign w:val="top"/>
          </w:tcPr>
          <w:p w14:paraId="0BC257D0">
            <w:pPr>
              <w:spacing w:line="240" w:lineRule="exact"/>
              <w:jc w:val="center"/>
              <w:rPr>
                <w:rFonts w:hint="eastAsia" w:ascii="宋体" w:hAnsi="宋体" w:eastAsia="宋体" w:cs="宋体"/>
                <w:color w:val="000000"/>
                <w:sz w:val="24"/>
                <w:szCs w:val="24"/>
                <w:highlight w:val="none"/>
              </w:rPr>
            </w:pPr>
          </w:p>
          <w:p w14:paraId="1C574C55">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1人</w:t>
            </w:r>
          </w:p>
        </w:tc>
        <w:tc>
          <w:tcPr>
            <w:tcW w:w="1703" w:type="dxa"/>
            <w:noWrap w:val="0"/>
            <w:vAlign w:val="top"/>
          </w:tcPr>
          <w:p w14:paraId="73155050">
            <w:pPr>
              <w:spacing w:line="240" w:lineRule="exact"/>
              <w:jc w:val="center"/>
              <w:rPr>
                <w:rFonts w:hint="eastAsia" w:ascii="宋体" w:hAnsi="宋体" w:eastAsia="宋体" w:cs="宋体"/>
                <w:color w:val="000000"/>
                <w:sz w:val="24"/>
                <w:szCs w:val="24"/>
                <w:highlight w:val="none"/>
              </w:rPr>
            </w:pPr>
          </w:p>
          <w:p w14:paraId="297ACD77">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非初审项</w:t>
            </w:r>
          </w:p>
        </w:tc>
      </w:tr>
      <w:tr w14:paraId="3A6B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702" w:type="dxa"/>
            <w:vMerge w:val="continue"/>
            <w:noWrap w:val="0"/>
            <w:vAlign w:val="top"/>
          </w:tcPr>
          <w:p w14:paraId="3A4A10FA">
            <w:pPr>
              <w:spacing w:line="240" w:lineRule="exact"/>
              <w:jc w:val="center"/>
              <w:rPr>
                <w:rFonts w:hint="eastAsia" w:ascii="宋体" w:hAnsi="宋体" w:eastAsia="宋体" w:cs="宋体"/>
                <w:color w:val="000000"/>
                <w:sz w:val="24"/>
                <w:szCs w:val="24"/>
                <w:highlight w:val="none"/>
              </w:rPr>
            </w:pPr>
          </w:p>
        </w:tc>
        <w:tc>
          <w:tcPr>
            <w:tcW w:w="1702" w:type="dxa"/>
            <w:noWrap w:val="0"/>
            <w:vAlign w:val="top"/>
          </w:tcPr>
          <w:p w14:paraId="3A7B0EE5">
            <w:pPr>
              <w:widowControl/>
              <w:spacing w:line="240" w:lineRule="exact"/>
              <w:jc w:val="center"/>
              <w:rPr>
                <w:rFonts w:hint="eastAsia" w:ascii="宋体" w:hAnsi="宋体" w:eastAsia="宋体" w:cs="宋体"/>
                <w:color w:val="000000"/>
                <w:kern w:val="0"/>
                <w:sz w:val="24"/>
                <w:szCs w:val="24"/>
                <w:highlight w:val="none"/>
                <w:lang w:bidi="ar"/>
              </w:rPr>
            </w:pPr>
          </w:p>
          <w:p w14:paraId="047B6511">
            <w:pPr>
              <w:widowControl/>
              <w:spacing w:line="240" w:lineRule="exact"/>
              <w:jc w:val="both"/>
              <w:rPr>
                <w:rFonts w:hint="eastAsia" w:ascii="宋体" w:hAnsi="宋体" w:eastAsia="宋体" w:cs="宋体"/>
                <w:color w:val="000000"/>
                <w:kern w:val="0"/>
                <w:sz w:val="24"/>
                <w:szCs w:val="24"/>
                <w:highlight w:val="none"/>
                <w:lang w:bidi="ar"/>
              </w:rPr>
            </w:pPr>
          </w:p>
          <w:p w14:paraId="7359C203">
            <w:pPr>
              <w:widowControl/>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t>
            </w:r>
          </w:p>
          <w:p w14:paraId="6D213B9B">
            <w:pPr>
              <w:spacing w:line="240" w:lineRule="exact"/>
              <w:jc w:val="center"/>
              <w:rPr>
                <w:rFonts w:hint="eastAsia" w:ascii="宋体" w:hAnsi="宋体" w:eastAsia="宋体" w:cs="宋体"/>
                <w:color w:val="000000"/>
                <w:sz w:val="24"/>
                <w:szCs w:val="24"/>
                <w:highlight w:val="none"/>
              </w:rPr>
            </w:pPr>
          </w:p>
        </w:tc>
        <w:tc>
          <w:tcPr>
            <w:tcW w:w="1713" w:type="dxa"/>
            <w:noWrap w:val="0"/>
            <w:vAlign w:val="center"/>
          </w:tcPr>
          <w:p w14:paraId="482C2FA5">
            <w:pPr>
              <w:widowControl/>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安全专业监理工程师（可兼任）</w:t>
            </w:r>
          </w:p>
        </w:tc>
        <w:tc>
          <w:tcPr>
            <w:tcW w:w="1702" w:type="dxa"/>
            <w:noWrap w:val="0"/>
            <w:vAlign w:val="top"/>
          </w:tcPr>
          <w:p w14:paraId="3515EDB0">
            <w:pPr>
              <w:spacing w:line="240" w:lineRule="exact"/>
              <w:jc w:val="center"/>
              <w:rPr>
                <w:rFonts w:hint="eastAsia" w:ascii="宋体" w:hAnsi="宋体" w:eastAsia="宋体" w:cs="宋体"/>
                <w:color w:val="000000"/>
                <w:sz w:val="24"/>
                <w:szCs w:val="24"/>
                <w:highlight w:val="none"/>
              </w:rPr>
            </w:pPr>
          </w:p>
          <w:p w14:paraId="40130DE4">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1人</w:t>
            </w:r>
          </w:p>
        </w:tc>
        <w:tc>
          <w:tcPr>
            <w:tcW w:w="1703" w:type="dxa"/>
            <w:noWrap w:val="0"/>
            <w:vAlign w:val="top"/>
          </w:tcPr>
          <w:p w14:paraId="4E242C21">
            <w:pPr>
              <w:spacing w:line="240" w:lineRule="exact"/>
              <w:jc w:val="center"/>
              <w:rPr>
                <w:rFonts w:hint="eastAsia" w:ascii="宋体" w:hAnsi="宋体" w:eastAsia="宋体" w:cs="宋体"/>
                <w:color w:val="000000"/>
                <w:sz w:val="24"/>
                <w:szCs w:val="24"/>
                <w:highlight w:val="none"/>
              </w:rPr>
            </w:pPr>
          </w:p>
          <w:p w14:paraId="156BEF35">
            <w:pPr>
              <w:spacing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非初审项</w:t>
            </w:r>
          </w:p>
        </w:tc>
      </w:tr>
      <w:tr w14:paraId="1D72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2E3D98A3">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监理组织机构人员的配备须符合以上所列要求。人员配备中除注明的作为初步评审的人员外，其他人员不作为初步评审指标。其余人员岗位资格和人员数量配备满足以上所列要求即可（无须提供证明材料，商务技术评分中另有要求的除外，由招标人中标后核实），具体人员名单合同签订后再行上报业主单位考核后确定。 </w:t>
            </w:r>
          </w:p>
          <w:p w14:paraId="64F9A35E">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人员配备通则： </w:t>
            </w:r>
          </w:p>
          <w:p w14:paraId="34849D50">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1.各类助理人员配额由中标单位根据招标文件要求及项目实际情况提供。 </w:t>
            </w:r>
          </w:p>
          <w:p w14:paraId="62CCC290">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2.安全专业监理工程师岗位如配备国家级注册安全工程师，无须具备监理工程师或以上执业资格。 </w:t>
            </w:r>
          </w:p>
          <w:p w14:paraId="51A1DFAF">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3.岗位人员执业证书如不能反映专业的，可在毕业证书或学历证书或职称证书方面反映。 </w:t>
            </w:r>
          </w:p>
          <w:p w14:paraId="33C9A0D4">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相近专业是指招标文件要求专业和投标文件配备专业之间为建设部、水利部、交通部等不同行业(部门)定义的具备同一或类似功能的专业关系，或要求专业的功能涵盖在配备专业之中。例如：建设部的市政公用工程与交通部的道路与桥梁工程、绿化（要求专业）与市政公用工程或环境工程（配备专业）均为相近专业。 </w:t>
            </w:r>
          </w:p>
          <w:p w14:paraId="1B6FA71F">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5.除总监外，项目监理组织机构其余人员可认可相近专业。 </w:t>
            </w:r>
          </w:p>
          <w:p w14:paraId="3DEEA0CA">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6.以上人员要求分阶段入驻现场，当项目进展到相应阶段时，相关人员配备必须达到要求。以上所有人员要求有丰富的实践经验、良好职业道德，遵纪守法；身体健康，能够胜 任现场艰苦条件下的工作；具备相应的从业资格证书。 </w:t>
            </w:r>
          </w:p>
          <w:p w14:paraId="797D4BB3">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7.考勤要求：</w:t>
            </w:r>
          </w:p>
          <w:p w14:paraId="0C3F0FAD">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（1）总监</w:t>
            </w:r>
            <w:r>
              <w:rPr>
                <w:rFonts w:hint="eastAsia" w:ascii="宋体" w:hAnsi="宋体" w:eastAsia="宋体" w:cs="宋体"/>
                <w:sz w:val="24"/>
                <w:szCs w:val="24"/>
                <w:highlight w:val="none"/>
                <w:lang w:val="en-US" w:eastAsia="zh-CN"/>
              </w:rPr>
              <w:t>月考勤到岗率不得低于本月施工时间80%</w:t>
            </w:r>
            <w:r>
              <w:rPr>
                <w:rFonts w:hint="eastAsia" w:ascii="宋体" w:hAnsi="宋体" w:eastAsia="宋体" w:cs="宋体"/>
                <w:sz w:val="24"/>
                <w:szCs w:val="24"/>
                <w:highlight w:val="none"/>
              </w:rPr>
              <w:t xml:space="preserve">； </w:t>
            </w:r>
          </w:p>
          <w:p w14:paraId="794BA5FE">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（2）中标人负责在现场办公室安装考勤打卡机（中标人购买并安装，费用含在投标报价中）， </w:t>
            </w:r>
          </w:p>
          <w:p w14:paraId="795842AF">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并负责对施工、项目监理机构等相关人员考勤，每月底分类形成书面材料上报委托人。 </w:t>
            </w:r>
          </w:p>
          <w:p w14:paraId="133E14EB">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8.人员进场考核要求： </w:t>
            </w:r>
          </w:p>
          <w:p w14:paraId="5E56A1B2">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（1）须满足本招标约定资格、业绩要求； </w:t>
            </w:r>
          </w:p>
          <w:p w14:paraId="094D6B51">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（2）中标人须在合同签订后 5 日内完成人员选配工作，并将名单（姓名、岗位、资格、业绩、身份证号、联系方式、社保证明）上报至招标人；</w:t>
            </w:r>
          </w:p>
          <w:p w14:paraId="00B8782D">
            <w:pPr>
              <w:rPr>
                <w:rFonts w:hint="eastAsia" w:ascii="宋体" w:hAnsi="宋体" w:eastAsia="宋体" w:cs="宋体"/>
                <w:color w:val="000000"/>
                <w:sz w:val="24"/>
                <w:szCs w:val="24"/>
                <w:highlight w:val="none"/>
              </w:rPr>
            </w:pPr>
          </w:p>
        </w:tc>
      </w:tr>
    </w:tbl>
    <w:p w14:paraId="0D9EA9BB">
      <w:pPr>
        <w:spacing w:line="360" w:lineRule="auto"/>
        <w:rPr>
          <w:rFonts w:hint="eastAsia" w:ascii="宋体" w:hAnsi="宋体" w:eastAsia="宋体" w:cs="宋体"/>
          <w:sz w:val="24"/>
          <w:szCs w:val="24"/>
          <w:highlight w:val="none"/>
        </w:rPr>
      </w:pPr>
      <w:bookmarkStart w:id="69" w:name="_Toc482188645"/>
    </w:p>
    <w:p w14:paraId="63B1CACF">
      <w:pPr>
        <w:adjustRightInd w:val="0"/>
        <w:snapToGrid w:val="0"/>
        <w:spacing w:line="360" w:lineRule="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8.</w:t>
      </w:r>
      <w:r>
        <w:rPr>
          <w:rFonts w:hint="eastAsia" w:ascii="宋体" w:hAnsi="宋体" w:eastAsia="宋体" w:cs="宋体"/>
          <w:b/>
          <w:bCs/>
          <w:color w:val="000000"/>
          <w:sz w:val="24"/>
          <w:szCs w:val="24"/>
          <w:highlight w:val="none"/>
        </w:rPr>
        <w:t>其他要求</w:t>
      </w:r>
    </w:p>
    <w:bookmarkEnd w:id="69"/>
    <w:p w14:paraId="4DDA2C83">
      <w:pPr>
        <w:spacing w:line="440" w:lineRule="exac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1</w:t>
      </w:r>
      <w:r>
        <w:rPr>
          <w:rFonts w:hint="eastAsia" w:ascii="宋体" w:hAnsi="宋体" w:eastAsia="宋体" w:cs="宋体"/>
          <w:sz w:val="24"/>
          <w:szCs w:val="24"/>
          <w:highlight w:val="none"/>
        </w:rPr>
        <w:t xml:space="preserve">、按招标文件条款执行。 </w:t>
      </w:r>
    </w:p>
    <w:p w14:paraId="2131FA74">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项目实行信用信息公开。履约期间，服务人、服务人法定代表人、项目主要管理人员信息、项目履约过程信息等，按照发包人信用信息公开和履约评价考核管理要求，直接上传至合肥市、包河区相关信用信息平台系统，按照公开范围，公开企业、个人信用信息。 </w:t>
      </w:r>
    </w:p>
    <w:p w14:paraId="5CCF02C0">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3、按照规范要求的旁站的部位，发包人或质监站到场 15 分钟内没有见到对应的监理人员，视同监理没有旁站，承担该部位质量问题的监理责任。 </w:t>
      </w:r>
    </w:p>
    <w:p w14:paraId="489EC0B1">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4、服务人必须对工程设计变更、签证、决算审计持严谨、负责的态度。 </w:t>
      </w:r>
    </w:p>
    <w:p w14:paraId="05445693">
      <w:pPr>
        <w:spacing w:line="440" w:lineRule="exact"/>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 xml:space="preserve">5、服务人必须强化施工现场的安全管理监督工作，将严格按照发包人相关文件执行。安全文明施工管理是服务人的日常工作，若被上级有关部门通报批评，媒体曝光，服务人要承担相应违约金。 </w:t>
      </w:r>
    </w:p>
    <w:p w14:paraId="7ED4FA51">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6.中标人的所有人员在服务期内的人身保险和人身伤害由中标人承担，招标人概不负责。 </w:t>
      </w:r>
    </w:p>
    <w:p w14:paraId="1435CF0A">
      <w:pPr>
        <w:spacing w:line="44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7.须遵守国家及地方法律法规、现行规范及文投公司的相关规定。</w:t>
      </w:r>
    </w:p>
    <w:p w14:paraId="5A20A483">
      <w:pPr>
        <w:adjustRightInd w:val="0"/>
        <w:snapToGrid w:val="0"/>
        <w:spacing w:line="360" w:lineRule="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9.</w:t>
      </w:r>
      <w:r>
        <w:rPr>
          <w:rFonts w:hint="eastAsia" w:ascii="宋体" w:hAnsi="宋体" w:eastAsia="宋体" w:cs="宋体"/>
          <w:b/>
          <w:sz w:val="24"/>
          <w:szCs w:val="24"/>
          <w:highlight w:val="none"/>
        </w:rPr>
        <w:t>补充条款</w:t>
      </w:r>
    </w:p>
    <w:p w14:paraId="77BC75F8">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考勤要求</w:t>
      </w:r>
      <w:r>
        <w:rPr>
          <w:rFonts w:hint="eastAsia" w:ascii="宋体" w:hAnsi="宋体" w:cs="宋体"/>
          <w:color w:val="000000"/>
          <w:sz w:val="24"/>
          <w:szCs w:val="24"/>
          <w:highlight w:val="none"/>
          <w:lang w:eastAsia="zh-CN"/>
        </w:rPr>
        <w:t>：</w:t>
      </w:r>
      <w:r>
        <w:rPr>
          <w:rFonts w:hint="eastAsia" w:ascii="宋体" w:hAnsi="宋体" w:eastAsia="宋体" w:cs="宋体"/>
          <w:sz w:val="24"/>
          <w:szCs w:val="24"/>
          <w:highlight w:val="none"/>
        </w:rPr>
        <w:t>总监</w:t>
      </w:r>
      <w:r>
        <w:rPr>
          <w:rFonts w:hint="eastAsia" w:ascii="宋体" w:hAnsi="宋体" w:eastAsia="宋体" w:cs="宋体"/>
          <w:sz w:val="24"/>
          <w:szCs w:val="24"/>
          <w:highlight w:val="none"/>
          <w:lang w:val="en-US" w:eastAsia="zh-CN"/>
        </w:rPr>
        <w:t>月考勤到岗率不得低于本月施工时间80%</w:t>
      </w:r>
      <w:r>
        <w:rPr>
          <w:rFonts w:hint="eastAsia" w:ascii="宋体" w:hAnsi="宋体" w:eastAsia="宋体" w:cs="宋体"/>
          <w:color w:val="000000"/>
          <w:sz w:val="24"/>
          <w:szCs w:val="24"/>
          <w:highlight w:val="none"/>
        </w:rPr>
        <w:t>。监理人员无故缺勤，总监理工程师按每次500元违约金处理。其他人员按每人每次300元违约金处理。监理机构的人员需请假的，履行逐级请假制度，总监理工程师请假需报委托人批准。</w:t>
      </w:r>
    </w:p>
    <w:p w14:paraId="2105B285">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人员进场考核要求：</w:t>
      </w:r>
    </w:p>
    <w:p w14:paraId="68B164B4">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（1）须满足本招标约定资格、业绩要求；</w:t>
      </w:r>
    </w:p>
    <w:p w14:paraId="67C6A8BC">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（2）服务人须在中标公示结束5日内完成人员选配工作，并将名单（姓名、岗位、资格、业绩、身份证号、联系方式、社保证明）上报至发包人；</w:t>
      </w:r>
    </w:p>
    <w:p w14:paraId="15D577C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服务人未将农民工工资支付情况记入监理日志和未按时核定工资性工程进度款的，由工程所在地建设领域农民工维权机构责令其限期整改；逾期未整改或整改不到位的，发包人将报建设行政主管部门记入市建设行业信用信息系统，列入全市建筑市场重点监管对象。</w:t>
      </w:r>
    </w:p>
    <w:p w14:paraId="14C11A7E">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服务人在工程竣工验收合格后及时向发包人提供一份完整的项目监理工作手册，内容包括工程全过程项目监理工作内容、工作流程、工作重点及控制要点。</w:t>
      </w:r>
    </w:p>
    <w:p w14:paraId="6E91AF82">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服务人不得擅自更换人员。如确需更换，应提前20天报告发包人，经同意后方可更换，且更换后的人员的资格、阅历及经验等不得低于更换前的人员。无论何种原因更换人员的，按总监理工程师1万元/人次处违约金（6个月内未开工的更换总监免违约金）。由此造成的损失由服务人自行承担，并赔偿可能给发包人造成的损失。</w:t>
      </w:r>
    </w:p>
    <w:p w14:paraId="2FA3066D">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由于服务人监管不到位，导致项目发生数字化城管案件且引起扣分情况的，处以1000元/次的违约金。</w:t>
      </w:r>
    </w:p>
    <w:p w14:paraId="4F4624CC">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设备配备基本要求：</w:t>
      </w:r>
      <w:r>
        <w:rPr>
          <w:rFonts w:hint="eastAsia" w:ascii="宋体" w:hAnsi="宋体" w:eastAsia="宋体" w:cs="宋体"/>
          <w:color w:val="000000"/>
          <w:sz w:val="24"/>
          <w:szCs w:val="24"/>
          <w:highlight w:val="none"/>
          <w:u w:val="single"/>
        </w:rPr>
        <w:t>详见招标需求</w:t>
      </w:r>
      <w:r>
        <w:rPr>
          <w:rFonts w:hint="eastAsia" w:ascii="宋体" w:hAnsi="宋体" w:eastAsia="宋体" w:cs="宋体"/>
          <w:color w:val="000000"/>
          <w:sz w:val="24"/>
          <w:szCs w:val="24"/>
          <w:highlight w:val="none"/>
        </w:rPr>
        <w:t>。</w:t>
      </w:r>
    </w:p>
    <w:p w14:paraId="6D7B4837">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竣工资料</w:t>
      </w:r>
    </w:p>
    <w:p w14:paraId="5D891AB1">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工程竣工时服务人必须提交本工程施工全过程的监理资料，同时监督承包人向委托人提交完整的资料2份（包括扫描电子版）。</w:t>
      </w:r>
    </w:p>
    <w:p w14:paraId="2CAFAC3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违约金标准如下：</w:t>
      </w:r>
    </w:p>
    <w:tbl>
      <w:tblPr>
        <w:tblStyle w:val="40"/>
        <w:tblW w:w="8505" w:type="dxa"/>
        <w:tblInd w:w="96" w:type="dxa"/>
        <w:tblLayout w:type="fixed"/>
        <w:tblCellMar>
          <w:top w:w="0" w:type="dxa"/>
          <w:left w:w="108" w:type="dxa"/>
          <w:bottom w:w="0" w:type="dxa"/>
          <w:right w:w="108" w:type="dxa"/>
        </w:tblCellMar>
      </w:tblPr>
      <w:tblGrid>
        <w:gridCol w:w="795"/>
        <w:gridCol w:w="1840"/>
        <w:gridCol w:w="3780"/>
        <w:gridCol w:w="2090"/>
      </w:tblGrid>
      <w:tr w14:paraId="22DB9996">
        <w:tblPrEx>
          <w:tblCellMar>
            <w:top w:w="0" w:type="dxa"/>
            <w:left w:w="108" w:type="dxa"/>
            <w:bottom w:w="0" w:type="dxa"/>
            <w:right w:w="108" w:type="dxa"/>
          </w:tblCellMar>
        </w:tblPrEx>
        <w:trPr>
          <w:trHeight w:val="61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605641BD">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0C700BBB">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检查项目</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776290AE">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检查内容</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1CB7824">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违约金标准</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（元/条.人.处）</w:t>
            </w:r>
          </w:p>
        </w:tc>
      </w:tr>
      <w:tr w14:paraId="44E61370">
        <w:tblPrEx>
          <w:tblCellMar>
            <w:top w:w="0" w:type="dxa"/>
            <w:left w:w="108" w:type="dxa"/>
            <w:bottom w:w="0" w:type="dxa"/>
            <w:right w:w="108" w:type="dxa"/>
          </w:tblCellMar>
        </w:tblPrEx>
        <w:trPr>
          <w:trHeight w:val="61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14:paraId="1EA6D61F">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840" w:type="dxa"/>
            <w:vMerge w:val="restart"/>
            <w:tcBorders>
              <w:top w:val="single" w:color="000000" w:sz="4" w:space="0"/>
              <w:left w:val="single" w:color="000000" w:sz="4" w:space="0"/>
              <w:bottom w:val="single" w:color="000000" w:sz="4" w:space="0"/>
              <w:right w:val="nil"/>
            </w:tcBorders>
            <w:noWrap/>
            <w:vAlign w:val="center"/>
          </w:tcPr>
          <w:p w14:paraId="6E6AB00F">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技术准备</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E1F9C18">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1.监理规划、监理实施细则、旁站方案、工程检测方案等文件是否按要求编制和审批</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76A5897B">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2E9CAD05">
        <w:tblPrEx>
          <w:tblCellMar>
            <w:top w:w="0" w:type="dxa"/>
            <w:left w:w="108" w:type="dxa"/>
            <w:bottom w:w="0" w:type="dxa"/>
            <w:right w:w="108" w:type="dxa"/>
          </w:tblCellMar>
        </w:tblPrEx>
        <w:trPr>
          <w:trHeight w:val="9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513DDB89">
            <w:pPr>
              <w:adjustRightInd w:val="0"/>
              <w:snapToGrid w:val="0"/>
              <w:spacing w:line="360" w:lineRule="auto"/>
              <w:ind w:firstLine="480" w:firstLineChars="200"/>
              <w:jc w:val="center"/>
              <w:rPr>
                <w:rFonts w:hint="eastAsia" w:ascii="宋体" w:hAnsi="宋体" w:eastAsia="宋体" w:cs="宋体"/>
                <w:color w:val="000000"/>
                <w:sz w:val="24"/>
                <w:szCs w:val="24"/>
                <w:highlight w:val="none"/>
              </w:rPr>
            </w:pPr>
          </w:p>
        </w:tc>
        <w:tc>
          <w:tcPr>
            <w:tcW w:w="1840" w:type="dxa"/>
            <w:vMerge w:val="continue"/>
            <w:tcBorders>
              <w:top w:val="single" w:color="000000" w:sz="4" w:space="0"/>
              <w:left w:val="single" w:color="000000" w:sz="4" w:space="0"/>
              <w:bottom w:val="single" w:color="000000" w:sz="4" w:space="0"/>
              <w:right w:val="nil"/>
            </w:tcBorders>
            <w:noWrap/>
            <w:vAlign w:val="center"/>
          </w:tcPr>
          <w:p w14:paraId="5E011A46">
            <w:pPr>
              <w:adjustRightInd w:val="0"/>
              <w:snapToGrid w:val="0"/>
              <w:spacing w:line="360" w:lineRule="auto"/>
              <w:ind w:firstLine="480" w:firstLineChars="200"/>
              <w:jc w:val="center"/>
              <w:rPr>
                <w:rFonts w:hint="eastAsia" w:ascii="宋体" w:hAnsi="宋体" w:eastAsia="宋体" w:cs="宋体"/>
                <w:color w:val="000000"/>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453DF30">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2.是否及时审查施工单位项目部组织机构、施工组织设计、技术交底、各类专项方案等，总监是否签署意见</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FE3057C">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119C73E5">
        <w:tblPrEx>
          <w:tblCellMar>
            <w:top w:w="0" w:type="dxa"/>
            <w:left w:w="108" w:type="dxa"/>
            <w:bottom w:w="0" w:type="dxa"/>
            <w:right w:w="108" w:type="dxa"/>
          </w:tblCellMar>
        </w:tblPrEx>
        <w:trPr>
          <w:trHeight w:val="31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ign w:val="center"/>
          </w:tcPr>
          <w:p w14:paraId="596E5F61">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840" w:type="dxa"/>
            <w:vMerge w:val="restart"/>
            <w:tcBorders>
              <w:top w:val="single" w:color="000000" w:sz="4" w:space="0"/>
              <w:left w:val="single" w:color="000000" w:sz="4" w:space="0"/>
              <w:bottom w:val="single" w:color="000000" w:sz="4" w:space="0"/>
              <w:right w:val="single" w:color="000000" w:sz="4" w:space="0"/>
            </w:tcBorders>
            <w:noWrap/>
            <w:vAlign w:val="center"/>
          </w:tcPr>
          <w:p w14:paraId="04EF24D7">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监理过程</w:t>
            </w: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80B1CAA">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1.是否按要求进行旁站及见证取样工作</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058205E">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48B55348">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2063D55C">
            <w:pPr>
              <w:adjustRightInd w:val="0"/>
              <w:snapToGrid w:val="0"/>
              <w:spacing w:line="360" w:lineRule="auto"/>
              <w:ind w:firstLine="480" w:firstLineChars="200"/>
              <w:jc w:val="center"/>
              <w:rPr>
                <w:rFonts w:hint="eastAsia" w:ascii="宋体" w:hAnsi="宋体" w:eastAsia="宋体" w:cs="宋体"/>
                <w:color w:val="000000"/>
                <w:sz w:val="24"/>
                <w:szCs w:val="24"/>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3FDE4740">
            <w:pPr>
              <w:adjustRightInd w:val="0"/>
              <w:snapToGrid w:val="0"/>
              <w:spacing w:line="360" w:lineRule="auto"/>
              <w:ind w:firstLine="480" w:firstLineChars="200"/>
              <w:jc w:val="center"/>
              <w:rPr>
                <w:rFonts w:hint="eastAsia" w:ascii="宋体" w:hAnsi="宋体" w:eastAsia="宋体" w:cs="宋体"/>
                <w:color w:val="000000"/>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3BE5184">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2.对检查提出的问题是否及时整改并督促施工等单位整改</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09F2CC3">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660FF6B3">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166A05EE">
            <w:pPr>
              <w:adjustRightInd w:val="0"/>
              <w:snapToGrid w:val="0"/>
              <w:spacing w:line="360" w:lineRule="auto"/>
              <w:ind w:firstLine="480" w:firstLineChars="200"/>
              <w:jc w:val="center"/>
              <w:rPr>
                <w:rFonts w:hint="eastAsia" w:ascii="宋体" w:hAnsi="宋体" w:eastAsia="宋体" w:cs="宋体"/>
                <w:color w:val="000000"/>
                <w:sz w:val="24"/>
                <w:szCs w:val="24"/>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4A64F7C4">
            <w:pPr>
              <w:adjustRightInd w:val="0"/>
              <w:snapToGrid w:val="0"/>
              <w:spacing w:line="360" w:lineRule="auto"/>
              <w:ind w:firstLine="480" w:firstLineChars="200"/>
              <w:jc w:val="center"/>
              <w:rPr>
                <w:rFonts w:hint="eastAsia" w:ascii="宋体" w:hAnsi="宋体" w:eastAsia="宋体" w:cs="宋体"/>
                <w:color w:val="000000"/>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47EA3DF0">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3.是否如实、及时向业主反映施工现场、后场实际情况</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1917F5B2">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636DDBE6">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4A3A1516">
            <w:pPr>
              <w:adjustRightInd w:val="0"/>
              <w:snapToGrid w:val="0"/>
              <w:spacing w:line="360" w:lineRule="auto"/>
              <w:ind w:firstLine="480" w:firstLineChars="200"/>
              <w:jc w:val="center"/>
              <w:rPr>
                <w:rFonts w:hint="eastAsia" w:ascii="宋体" w:hAnsi="宋体" w:eastAsia="宋体" w:cs="宋体"/>
                <w:color w:val="000000"/>
                <w:sz w:val="24"/>
                <w:szCs w:val="24"/>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4FF6BA4C">
            <w:pPr>
              <w:adjustRightInd w:val="0"/>
              <w:snapToGrid w:val="0"/>
              <w:spacing w:line="360" w:lineRule="auto"/>
              <w:ind w:firstLine="480" w:firstLineChars="200"/>
              <w:jc w:val="center"/>
              <w:rPr>
                <w:rFonts w:hint="eastAsia" w:ascii="宋体" w:hAnsi="宋体" w:eastAsia="宋体" w:cs="宋体"/>
                <w:color w:val="000000"/>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0EC22163">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4.是否及时对进场材料、机械设备及隐蔽工程进行验收并留置影像资料</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37EF64D7">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67C3AE92">
        <w:tblPrEx>
          <w:tblCellMar>
            <w:top w:w="0" w:type="dxa"/>
            <w:left w:w="108" w:type="dxa"/>
            <w:bottom w:w="0" w:type="dxa"/>
            <w:right w:w="108" w:type="dxa"/>
          </w:tblCellMar>
        </w:tblPrEx>
        <w:trPr>
          <w:trHeight w:val="31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ign w:val="center"/>
          </w:tcPr>
          <w:p w14:paraId="0A73CCA4">
            <w:pPr>
              <w:adjustRightInd w:val="0"/>
              <w:snapToGrid w:val="0"/>
              <w:spacing w:line="360" w:lineRule="auto"/>
              <w:ind w:firstLine="480" w:firstLineChars="200"/>
              <w:jc w:val="center"/>
              <w:rPr>
                <w:rFonts w:hint="eastAsia" w:ascii="宋体" w:hAnsi="宋体" w:eastAsia="宋体" w:cs="宋体"/>
                <w:color w:val="000000"/>
                <w:sz w:val="24"/>
                <w:szCs w:val="24"/>
                <w:highlight w:val="none"/>
              </w:rPr>
            </w:pPr>
          </w:p>
        </w:tc>
        <w:tc>
          <w:tcPr>
            <w:tcW w:w="1840" w:type="dxa"/>
            <w:vMerge w:val="continue"/>
            <w:tcBorders>
              <w:top w:val="single" w:color="000000" w:sz="4" w:space="0"/>
              <w:left w:val="single" w:color="000000" w:sz="4" w:space="0"/>
              <w:bottom w:val="single" w:color="000000" w:sz="4" w:space="0"/>
              <w:right w:val="single" w:color="000000" w:sz="4" w:space="0"/>
            </w:tcBorders>
            <w:noWrap/>
            <w:vAlign w:val="center"/>
          </w:tcPr>
          <w:p w14:paraId="64A8E29B">
            <w:pPr>
              <w:adjustRightInd w:val="0"/>
              <w:snapToGrid w:val="0"/>
              <w:spacing w:line="360" w:lineRule="auto"/>
              <w:ind w:firstLine="480" w:firstLineChars="200"/>
              <w:jc w:val="center"/>
              <w:rPr>
                <w:rFonts w:hint="eastAsia" w:ascii="宋体" w:hAnsi="宋体" w:eastAsia="宋体" w:cs="宋体"/>
                <w:color w:val="000000"/>
                <w:sz w:val="24"/>
                <w:szCs w:val="24"/>
                <w:highlight w:val="none"/>
              </w:rPr>
            </w:pPr>
          </w:p>
        </w:tc>
        <w:tc>
          <w:tcPr>
            <w:tcW w:w="3780" w:type="dxa"/>
            <w:tcBorders>
              <w:top w:val="single" w:color="000000" w:sz="4" w:space="0"/>
              <w:left w:val="single" w:color="000000" w:sz="4" w:space="0"/>
              <w:bottom w:val="single" w:color="000000" w:sz="4" w:space="0"/>
              <w:right w:val="single" w:color="000000" w:sz="4" w:space="0"/>
            </w:tcBorders>
            <w:noWrap/>
            <w:vAlign w:val="center"/>
          </w:tcPr>
          <w:p w14:paraId="15235365">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5.是否及时审核验工计量、工程结算资料</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791B79E0">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r w14:paraId="2469118D">
        <w:tblPrEx>
          <w:tblCellMar>
            <w:top w:w="0" w:type="dxa"/>
            <w:left w:w="108" w:type="dxa"/>
            <w:bottom w:w="0" w:type="dxa"/>
            <w:right w:w="108" w:type="dxa"/>
          </w:tblCellMar>
        </w:tblPrEx>
        <w:trPr>
          <w:trHeight w:val="610"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4E087C10">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840" w:type="dxa"/>
            <w:tcBorders>
              <w:top w:val="single" w:color="000000" w:sz="4" w:space="0"/>
              <w:left w:val="single" w:color="000000" w:sz="4" w:space="0"/>
              <w:bottom w:val="single" w:color="000000" w:sz="4" w:space="0"/>
              <w:right w:val="nil"/>
            </w:tcBorders>
            <w:noWrap/>
            <w:vAlign w:val="center"/>
          </w:tcPr>
          <w:p w14:paraId="3A48EFCA">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内业资料</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AB3AC89">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质量安全管理、验收资料是否与工程实体同步、真实</w:t>
            </w:r>
          </w:p>
        </w:tc>
        <w:tc>
          <w:tcPr>
            <w:tcW w:w="2090" w:type="dxa"/>
            <w:tcBorders>
              <w:top w:val="single" w:color="000000" w:sz="4" w:space="0"/>
              <w:left w:val="single" w:color="000000" w:sz="4" w:space="0"/>
              <w:bottom w:val="single" w:color="000000" w:sz="4" w:space="0"/>
              <w:right w:val="single" w:color="000000" w:sz="4" w:space="0"/>
            </w:tcBorders>
            <w:noWrap/>
            <w:vAlign w:val="center"/>
          </w:tcPr>
          <w:p w14:paraId="05BC802D">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500</w:t>
            </w:r>
          </w:p>
        </w:tc>
      </w:tr>
    </w:tbl>
    <w:p w14:paraId="401A4655">
      <w:pPr>
        <w:pStyle w:val="32"/>
        <w:ind w:left="0" w:leftChars="0" w:firstLine="0" w:firstLineChars="0"/>
        <w:jc w:val="both"/>
        <w:rPr>
          <w:rFonts w:hint="default" w:ascii="Times New Roman" w:hAnsi="Times New Roman" w:cs="Times New Roman"/>
          <w:b/>
          <w:color w:val="auto"/>
          <w:sz w:val="24"/>
          <w:highlight w:val="none"/>
        </w:rPr>
      </w:pPr>
    </w:p>
    <w:bookmarkEnd w:id="50"/>
    <w:bookmarkEnd w:id="52"/>
    <w:bookmarkEnd w:id="53"/>
    <w:bookmarkEnd w:id="54"/>
    <w:bookmarkEnd w:id="55"/>
    <w:bookmarkEnd w:id="56"/>
    <w:p w14:paraId="02BAC497">
      <w:pPr>
        <w:jc w:val="center"/>
        <w:rPr>
          <w:rFonts w:hint="default" w:ascii="Times New Roman" w:hAnsi="Times New Roman" w:cs="Times New Roman"/>
          <w:b/>
          <w:color w:val="auto"/>
          <w:sz w:val="28"/>
          <w:highlight w:val="none"/>
        </w:rPr>
      </w:pPr>
      <w:bookmarkStart w:id="70" w:name="_Toc29760"/>
      <w:bookmarkStart w:id="71" w:name="_Toc10441"/>
    </w:p>
    <w:p w14:paraId="1C6A1FBB">
      <w:pPr>
        <w:jc w:val="center"/>
        <w:rPr>
          <w:rFonts w:hint="default" w:ascii="Times New Roman" w:hAnsi="Times New Roman" w:cs="Times New Roman"/>
          <w:b/>
          <w:color w:val="auto"/>
          <w:sz w:val="28"/>
          <w:highlight w:val="none"/>
        </w:rPr>
      </w:pPr>
    </w:p>
    <w:p w14:paraId="5C0C9139">
      <w:pPr>
        <w:jc w:val="center"/>
        <w:rPr>
          <w:rFonts w:hint="default" w:ascii="Times New Roman" w:hAnsi="Times New Roman" w:cs="Times New Roman"/>
          <w:b/>
          <w:color w:val="auto"/>
          <w:sz w:val="28"/>
          <w:highlight w:val="none"/>
        </w:rPr>
      </w:pPr>
    </w:p>
    <w:p w14:paraId="12E26C6B">
      <w:pPr>
        <w:jc w:val="center"/>
        <w:rPr>
          <w:rFonts w:hint="default" w:ascii="Times New Roman" w:hAnsi="Times New Roman" w:cs="Times New Roman"/>
          <w:b/>
          <w:color w:val="auto"/>
          <w:sz w:val="28"/>
          <w:highlight w:val="none"/>
        </w:rPr>
      </w:pPr>
    </w:p>
    <w:p w14:paraId="2113386F">
      <w:pPr>
        <w:jc w:val="center"/>
        <w:rPr>
          <w:rFonts w:hint="default" w:ascii="Times New Roman" w:hAnsi="Times New Roman" w:cs="Times New Roman"/>
          <w:b/>
          <w:color w:val="auto"/>
          <w:sz w:val="28"/>
          <w:highlight w:val="none"/>
        </w:rPr>
      </w:pPr>
    </w:p>
    <w:p w14:paraId="72128D70">
      <w:pPr>
        <w:jc w:val="center"/>
        <w:rPr>
          <w:rFonts w:hint="default" w:ascii="Times New Roman" w:hAnsi="Times New Roman" w:cs="Times New Roman"/>
          <w:b/>
          <w:color w:val="auto"/>
          <w:sz w:val="28"/>
          <w:highlight w:val="none"/>
        </w:rPr>
      </w:pPr>
    </w:p>
    <w:p w14:paraId="0C74AA2D">
      <w:pPr>
        <w:jc w:val="center"/>
        <w:rPr>
          <w:rFonts w:hint="default" w:ascii="Times New Roman" w:hAnsi="Times New Roman" w:cs="Times New Roman"/>
          <w:b/>
          <w:color w:val="auto"/>
          <w:sz w:val="28"/>
          <w:highlight w:val="none"/>
        </w:rPr>
      </w:pPr>
    </w:p>
    <w:p w14:paraId="18BA52AD">
      <w:pPr>
        <w:jc w:val="center"/>
        <w:rPr>
          <w:rFonts w:hint="default" w:ascii="Times New Roman" w:hAnsi="Times New Roman" w:cs="Times New Roman"/>
          <w:b/>
          <w:color w:val="auto"/>
          <w:sz w:val="28"/>
          <w:highlight w:val="none"/>
        </w:rPr>
      </w:pPr>
    </w:p>
    <w:p w14:paraId="68194FE5">
      <w:pPr>
        <w:jc w:val="center"/>
        <w:rPr>
          <w:rFonts w:hint="default" w:ascii="Times New Roman" w:hAnsi="Times New Roman" w:cs="Times New Roman"/>
          <w:b/>
          <w:color w:val="auto"/>
          <w:sz w:val="28"/>
          <w:highlight w:val="none"/>
        </w:rPr>
      </w:pPr>
    </w:p>
    <w:p w14:paraId="3EE3D156">
      <w:pPr>
        <w:rPr>
          <w:rFonts w:hint="default" w:ascii="Times New Roman" w:hAnsi="Times New Roman" w:cs="Times New Roman"/>
          <w:b/>
          <w:color w:val="auto"/>
          <w:sz w:val="28"/>
          <w:highlight w:val="none"/>
        </w:rPr>
      </w:pPr>
    </w:p>
    <w:p w14:paraId="0B091092">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70"/>
      <w:bookmarkEnd w:id="71"/>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607F88B0">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2EEFDF8D">
      <w:pPr>
        <w:pStyle w:val="39"/>
        <w:ind w:left="0" w:leftChars="0" w:firstLine="0" w:firstLineChars="0"/>
        <w:jc w:val="center"/>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cs="Times New Roman"/>
          <w:b/>
          <w:color w:val="auto"/>
          <w:spacing w:val="20"/>
          <w:kern w:val="0"/>
          <w:sz w:val="30"/>
          <w:szCs w:val="30"/>
          <w:highlight w:val="none"/>
          <w:u w:val="single"/>
          <w:lang w:val="en-US" w:eastAsia="zh-CN"/>
        </w:rPr>
        <w:t>华兴路小学地块室外体育场地及部分配套工程监理</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z w:val="32"/>
          <w:highlight w:val="none"/>
          <w:u w:val="single"/>
          <w:lang w:eastAsia="zh-CN"/>
        </w:rPr>
        <w:t>BHSG-ZTB-2025-37</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投</w:t>
      </w:r>
    </w:p>
    <w:p w14:paraId="7EA656E2">
      <w:pPr>
        <w:spacing w:line="900" w:lineRule="exact"/>
        <w:jc w:val="center"/>
        <w:rPr>
          <w:rFonts w:hint="default" w:ascii="Times New Roman" w:hAnsi="Times New Roman" w:cs="Times New Roman"/>
          <w:b/>
          <w:color w:val="auto"/>
          <w:sz w:val="52"/>
          <w:szCs w:val="52"/>
          <w:highlight w:val="none"/>
        </w:rPr>
      </w:pPr>
    </w:p>
    <w:p w14:paraId="1A990CEA">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标</w:t>
      </w:r>
    </w:p>
    <w:p w14:paraId="64969516">
      <w:pPr>
        <w:spacing w:line="900" w:lineRule="exact"/>
        <w:jc w:val="center"/>
        <w:rPr>
          <w:rFonts w:hint="default" w:ascii="Times New Roman" w:hAnsi="Times New Roman" w:cs="Times New Roman"/>
          <w:b/>
          <w:color w:val="auto"/>
          <w:sz w:val="52"/>
          <w:szCs w:val="52"/>
          <w:highlight w:val="none"/>
        </w:rPr>
      </w:pPr>
    </w:p>
    <w:p w14:paraId="2F5166C7">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文</w:t>
      </w:r>
    </w:p>
    <w:p w14:paraId="661CCCD2">
      <w:pPr>
        <w:spacing w:line="900" w:lineRule="exact"/>
        <w:jc w:val="both"/>
        <w:rPr>
          <w:rFonts w:hint="default" w:ascii="Times New Roman" w:hAnsi="Times New Roman" w:cs="Times New Roman"/>
          <w:b/>
          <w:color w:val="auto"/>
          <w:sz w:val="52"/>
          <w:szCs w:val="52"/>
          <w:highlight w:val="none"/>
        </w:rPr>
      </w:pPr>
    </w:p>
    <w:p w14:paraId="19B39BC1">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52"/>
          <w:szCs w:val="52"/>
          <w:highlight w:val="none"/>
        </w:rPr>
        <w:t>件</w:t>
      </w: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5549B00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72" w:name="_Toc520983587"/>
      <w:bookmarkStart w:id="73" w:name="_Toc461053086"/>
      <w:bookmarkStart w:id="74" w:name="_Toc461056631"/>
      <w:r>
        <w:rPr>
          <w:rFonts w:hint="default" w:ascii="Times New Roman" w:hAnsi="Times New Roman" w:eastAsia="宋体" w:cs="Times New Roman"/>
          <w:color w:val="auto"/>
          <w:szCs w:val="28"/>
          <w:highlight w:val="none"/>
        </w:rPr>
        <w:t>投标文件资料清单</w:t>
      </w:r>
    </w:p>
    <w:p w14:paraId="741735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75" w:name="_Toc477794142"/>
      <w:bookmarkStart w:id="76" w:name="_Toc507694547"/>
      <w:r>
        <w:rPr>
          <w:rFonts w:hint="default" w:ascii="Times New Roman" w:hAnsi="Times New Roman" w:eastAsia="宋体" w:cs="Times New Roman"/>
          <w:b/>
          <w:color w:val="auto"/>
          <w:sz w:val="24"/>
          <w:highlight w:val="none"/>
        </w:rPr>
        <w:t>投标文件格式</w:t>
      </w:r>
      <w:bookmarkEnd w:id="75"/>
      <w:bookmarkEnd w:id="76"/>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03B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071433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FB90AD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1F65CE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A7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44198F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7FAF6913">
            <w:pPr>
              <w:spacing w:after="50"/>
              <w:ind w:right="-10" w:rightChars="0"/>
              <w:jc w:val="center"/>
              <w:rPr>
                <w:rFonts w:hint="default" w:ascii="Times New Roman" w:hAnsi="Times New Roman" w:eastAsia="宋体" w:cs="Times New Roman"/>
                <w:b/>
                <w:bCs/>
                <w:color w:val="auto"/>
                <w:sz w:val="24"/>
                <w:highlight w:val="none"/>
              </w:rPr>
            </w:pPr>
            <w:r>
              <w:rPr>
                <w:rFonts w:hint="default" w:ascii="Times New Roman" w:hAnsi="Times New Roman" w:cs="Times New Roman"/>
                <w:b/>
                <w:bCs/>
                <w:color w:val="auto"/>
                <w:sz w:val="24"/>
                <w:highlight w:val="none"/>
              </w:rPr>
              <w:t>开标一览表</w:t>
            </w:r>
          </w:p>
        </w:tc>
        <w:tc>
          <w:tcPr>
            <w:tcW w:w="1779" w:type="dxa"/>
            <w:noWrap w:val="0"/>
            <w:vAlign w:val="center"/>
          </w:tcPr>
          <w:p w14:paraId="5FE685DB">
            <w:pPr>
              <w:spacing w:line="360" w:lineRule="auto"/>
              <w:jc w:val="center"/>
              <w:outlineLvl w:val="2"/>
              <w:rPr>
                <w:rFonts w:hint="default" w:ascii="Times New Roman" w:hAnsi="Times New Roman" w:eastAsia="宋体" w:cs="Times New Roman"/>
                <w:b/>
                <w:color w:val="C00000"/>
                <w:sz w:val="24"/>
                <w:highlight w:val="none"/>
              </w:rPr>
            </w:pPr>
          </w:p>
        </w:tc>
      </w:tr>
      <w:tr w14:paraId="5305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DD4161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17562A10">
            <w:pPr>
              <w:spacing w:after="50"/>
              <w:ind w:right="-10" w:rightChars="0"/>
              <w:jc w:val="center"/>
              <w:rPr>
                <w:rFonts w:hint="default" w:ascii="Times New Roman" w:hAnsi="Times New Roman" w:eastAsia="宋体" w:cs="Times New Roman"/>
                <w:b/>
                <w:bCs/>
                <w:color w:val="auto"/>
                <w:sz w:val="24"/>
                <w:highlight w:val="none"/>
              </w:rPr>
            </w:pPr>
            <w:r>
              <w:rPr>
                <w:rFonts w:hint="default" w:ascii="Times New Roman" w:hAnsi="Times New Roman" w:cs="Times New Roman"/>
                <w:b/>
                <w:bCs/>
                <w:color w:val="auto"/>
                <w:sz w:val="24"/>
                <w:szCs w:val="28"/>
                <w:highlight w:val="none"/>
              </w:rPr>
              <w:t>投标函</w:t>
            </w:r>
          </w:p>
        </w:tc>
        <w:tc>
          <w:tcPr>
            <w:tcW w:w="1779" w:type="dxa"/>
            <w:noWrap w:val="0"/>
            <w:vAlign w:val="center"/>
          </w:tcPr>
          <w:p w14:paraId="7D134BF1">
            <w:pPr>
              <w:spacing w:line="360" w:lineRule="auto"/>
              <w:jc w:val="center"/>
              <w:outlineLvl w:val="2"/>
              <w:rPr>
                <w:rFonts w:hint="default" w:ascii="Times New Roman" w:hAnsi="Times New Roman" w:eastAsia="宋体" w:cs="Times New Roman"/>
                <w:b/>
                <w:color w:val="C00000"/>
                <w:sz w:val="24"/>
                <w:highlight w:val="none"/>
              </w:rPr>
            </w:pPr>
          </w:p>
        </w:tc>
      </w:tr>
      <w:tr w14:paraId="1DC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7AD7912">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4CA3543F">
            <w:pPr>
              <w:spacing w:after="50"/>
              <w:ind w:right="-10" w:rightChars="0"/>
              <w:jc w:val="center"/>
              <w:rPr>
                <w:rFonts w:hint="default" w:ascii="Times New Roman" w:hAnsi="Times New Roman" w:eastAsia="宋体" w:cs="Times New Roman"/>
                <w:b/>
                <w:bCs/>
                <w:color w:val="auto"/>
                <w:sz w:val="24"/>
                <w:highlight w:val="none"/>
              </w:rPr>
            </w:pPr>
            <w:r>
              <w:rPr>
                <w:rFonts w:hint="eastAsia" w:ascii="Times New Roman" w:hAnsi="Times New Roman" w:cs="Times New Roman"/>
                <w:b/>
                <w:bCs/>
                <w:color w:val="auto"/>
                <w:sz w:val="24"/>
                <w:szCs w:val="28"/>
                <w:highlight w:val="none"/>
                <w:lang w:val="en-US" w:eastAsia="zh-CN"/>
              </w:rPr>
              <w:t>投标人信用承诺</w:t>
            </w:r>
          </w:p>
        </w:tc>
        <w:tc>
          <w:tcPr>
            <w:tcW w:w="1779" w:type="dxa"/>
            <w:noWrap w:val="0"/>
            <w:vAlign w:val="center"/>
          </w:tcPr>
          <w:p w14:paraId="31FB8BB3">
            <w:pPr>
              <w:spacing w:line="360" w:lineRule="auto"/>
              <w:jc w:val="center"/>
              <w:outlineLvl w:val="2"/>
              <w:rPr>
                <w:rFonts w:hint="default" w:ascii="Times New Roman" w:hAnsi="Times New Roman" w:eastAsia="宋体" w:cs="Times New Roman"/>
                <w:b/>
                <w:color w:val="C00000"/>
                <w:sz w:val="24"/>
                <w:highlight w:val="none"/>
              </w:rPr>
            </w:pPr>
          </w:p>
        </w:tc>
      </w:tr>
      <w:tr w14:paraId="38AA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3FD5C10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C70021D">
            <w:pPr>
              <w:spacing w:after="50"/>
              <w:ind w:right="-10" w:rightChars="0"/>
              <w:jc w:val="center"/>
              <w:rPr>
                <w:rFonts w:hint="default" w:ascii="Times New Roman" w:hAnsi="Times New Roman" w:eastAsia="宋体" w:cs="Times New Roman"/>
                <w:b/>
                <w:bCs/>
                <w:color w:val="auto"/>
                <w:sz w:val="24"/>
                <w:highlight w:val="none"/>
              </w:rPr>
            </w:pPr>
            <w:r>
              <w:rPr>
                <w:rFonts w:hint="default" w:ascii="Times New Roman" w:hAnsi="Times New Roman" w:cs="Times New Roman"/>
                <w:b/>
                <w:bCs/>
                <w:color w:val="auto"/>
                <w:sz w:val="24"/>
                <w:szCs w:val="28"/>
                <w:highlight w:val="none"/>
              </w:rPr>
              <w:t>授权书</w:t>
            </w:r>
          </w:p>
        </w:tc>
        <w:tc>
          <w:tcPr>
            <w:tcW w:w="1779" w:type="dxa"/>
            <w:noWrap w:val="0"/>
            <w:vAlign w:val="center"/>
          </w:tcPr>
          <w:p w14:paraId="51736162">
            <w:pPr>
              <w:spacing w:line="360" w:lineRule="auto"/>
              <w:jc w:val="center"/>
              <w:outlineLvl w:val="2"/>
              <w:rPr>
                <w:rFonts w:hint="default" w:ascii="Times New Roman" w:hAnsi="Times New Roman" w:eastAsia="宋体" w:cs="Times New Roman"/>
                <w:b/>
                <w:color w:val="C00000"/>
                <w:sz w:val="24"/>
                <w:highlight w:val="none"/>
              </w:rPr>
            </w:pPr>
          </w:p>
        </w:tc>
      </w:tr>
      <w:tr w14:paraId="725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F0C9EC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w:t>
            </w:r>
          </w:p>
        </w:tc>
        <w:tc>
          <w:tcPr>
            <w:tcW w:w="5493" w:type="dxa"/>
            <w:noWrap w:val="0"/>
            <w:vAlign w:val="center"/>
          </w:tcPr>
          <w:p w14:paraId="6FDDFF7C">
            <w:pPr>
              <w:spacing w:after="50"/>
              <w:ind w:right="-10" w:rightChars="0"/>
              <w:jc w:val="center"/>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szCs w:val="28"/>
                <w:highlight w:val="none"/>
              </w:rPr>
              <w:t>商务响应情况</w:t>
            </w:r>
          </w:p>
        </w:tc>
        <w:tc>
          <w:tcPr>
            <w:tcW w:w="1779" w:type="dxa"/>
            <w:noWrap w:val="0"/>
            <w:vAlign w:val="center"/>
          </w:tcPr>
          <w:p w14:paraId="1E0C8092">
            <w:pPr>
              <w:spacing w:line="360" w:lineRule="auto"/>
              <w:jc w:val="center"/>
              <w:outlineLvl w:val="2"/>
              <w:rPr>
                <w:rFonts w:hint="default" w:ascii="Times New Roman" w:hAnsi="Times New Roman" w:eastAsia="宋体" w:cs="Times New Roman"/>
                <w:b/>
                <w:color w:val="C00000"/>
                <w:sz w:val="24"/>
                <w:highlight w:val="none"/>
              </w:rPr>
            </w:pPr>
          </w:p>
        </w:tc>
      </w:tr>
      <w:tr w14:paraId="6D8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2F80246A">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76911EF9">
            <w:pPr>
              <w:spacing w:after="50"/>
              <w:ind w:right="-10" w:rightChars="0"/>
              <w:jc w:val="center"/>
              <w:rPr>
                <w:rFonts w:hint="default" w:ascii="Times New Roman" w:hAnsi="Times New Roman" w:eastAsia="宋体" w:cs="Times New Roman"/>
                <w:b/>
                <w:bCs/>
                <w:color w:val="auto"/>
                <w:sz w:val="24"/>
                <w:highlight w:val="none"/>
                <w:lang w:val="en-US" w:eastAsia="zh-CN"/>
              </w:rPr>
            </w:pPr>
            <w:r>
              <w:rPr>
                <w:rFonts w:hint="eastAsia" w:ascii="Times New Roman" w:hAnsi="Times New Roman" w:cs="Times New Roman"/>
                <w:b/>
                <w:bCs/>
                <w:color w:val="auto"/>
                <w:sz w:val="24"/>
                <w:szCs w:val="28"/>
                <w:highlight w:val="none"/>
                <w:lang w:val="en-US" w:eastAsia="zh-CN"/>
              </w:rPr>
              <w:t>业绩承诺函</w:t>
            </w:r>
          </w:p>
        </w:tc>
        <w:tc>
          <w:tcPr>
            <w:tcW w:w="1779" w:type="dxa"/>
            <w:noWrap w:val="0"/>
            <w:vAlign w:val="center"/>
          </w:tcPr>
          <w:p w14:paraId="016FEF30">
            <w:pPr>
              <w:spacing w:line="360" w:lineRule="auto"/>
              <w:jc w:val="center"/>
              <w:outlineLvl w:val="2"/>
              <w:rPr>
                <w:rFonts w:hint="default" w:ascii="Times New Roman" w:hAnsi="Times New Roman" w:eastAsia="宋体" w:cs="Times New Roman"/>
                <w:b/>
                <w:color w:val="auto"/>
                <w:sz w:val="24"/>
                <w:highlight w:val="none"/>
              </w:rPr>
            </w:pPr>
          </w:p>
        </w:tc>
      </w:tr>
      <w:tr w14:paraId="500D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1F8AB12E">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2F482161">
            <w:pPr>
              <w:spacing w:after="50"/>
              <w:ind w:right="-10" w:rightChars="0"/>
              <w:jc w:val="center"/>
              <w:rPr>
                <w:rFonts w:hint="eastAsia" w:ascii="Times New Roman" w:hAnsi="Times New Roman" w:cs="Times New Roman"/>
                <w:b/>
                <w:bCs/>
                <w:color w:val="auto"/>
                <w:sz w:val="24"/>
                <w:highlight w:val="none"/>
                <w:lang w:val="en-US" w:eastAsia="zh-CN"/>
              </w:rPr>
            </w:pPr>
            <w:r>
              <w:rPr>
                <w:rFonts w:hint="eastAsia" w:ascii="Times New Roman" w:hAnsi="Times New Roman" w:eastAsia="宋体" w:cs="Times New Roman"/>
                <w:b/>
                <w:bCs/>
                <w:color w:val="auto"/>
                <w:sz w:val="24"/>
                <w:szCs w:val="28"/>
                <w:highlight w:val="none"/>
                <w:lang w:val="en-US" w:eastAsia="zh-CN"/>
              </w:rPr>
              <w:t>人员配备</w:t>
            </w:r>
          </w:p>
        </w:tc>
        <w:tc>
          <w:tcPr>
            <w:tcW w:w="1779" w:type="dxa"/>
            <w:noWrap w:val="0"/>
            <w:vAlign w:val="center"/>
          </w:tcPr>
          <w:p w14:paraId="3AE5B8DF">
            <w:pPr>
              <w:spacing w:line="360" w:lineRule="auto"/>
              <w:jc w:val="center"/>
              <w:outlineLvl w:val="2"/>
              <w:rPr>
                <w:rFonts w:hint="default" w:ascii="Times New Roman" w:hAnsi="Times New Roman" w:eastAsia="宋体" w:cs="Times New Roman"/>
                <w:b/>
                <w:color w:val="auto"/>
                <w:sz w:val="24"/>
                <w:highlight w:val="none"/>
              </w:rPr>
            </w:pPr>
          </w:p>
        </w:tc>
      </w:tr>
      <w:tr w14:paraId="3C48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50E6AF89">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八</w:t>
            </w:r>
          </w:p>
        </w:tc>
        <w:tc>
          <w:tcPr>
            <w:tcW w:w="5493" w:type="dxa"/>
            <w:noWrap w:val="0"/>
            <w:vAlign w:val="center"/>
          </w:tcPr>
          <w:p w14:paraId="20D01176">
            <w:pPr>
              <w:spacing w:after="50"/>
              <w:ind w:right="-10" w:rightChars="0"/>
              <w:jc w:val="center"/>
              <w:rPr>
                <w:rFonts w:hint="eastAsia" w:ascii="Times New Roman" w:hAnsi="Times New Roman" w:cs="Times New Roman"/>
                <w:b/>
                <w:bCs/>
                <w:color w:val="auto"/>
                <w:sz w:val="24"/>
                <w:highlight w:val="none"/>
                <w:lang w:val="en-US" w:eastAsia="zh-CN"/>
              </w:rPr>
            </w:pPr>
            <w:r>
              <w:rPr>
                <w:rFonts w:hint="eastAsia" w:ascii="Times New Roman" w:hAnsi="Times New Roman" w:eastAsia="宋体" w:cs="Times New Roman"/>
                <w:b/>
                <w:bCs/>
                <w:color w:val="auto"/>
                <w:sz w:val="24"/>
                <w:szCs w:val="28"/>
                <w:highlight w:val="none"/>
                <w:lang w:val="en-US" w:eastAsia="zh-CN"/>
              </w:rPr>
              <w:t>服务方案</w:t>
            </w:r>
          </w:p>
        </w:tc>
        <w:tc>
          <w:tcPr>
            <w:tcW w:w="1779" w:type="dxa"/>
            <w:noWrap w:val="0"/>
            <w:vAlign w:val="center"/>
          </w:tcPr>
          <w:p w14:paraId="2790C915">
            <w:pPr>
              <w:spacing w:line="360" w:lineRule="auto"/>
              <w:jc w:val="center"/>
              <w:outlineLvl w:val="2"/>
              <w:rPr>
                <w:rFonts w:hint="default" w:ascii="Times New Roman" w:hAnsi="Times New Roman" w:eastAsia="宋体" w:cs="Times New Roman"/>
                <w:b/>
                <w:color w:val="auto"/>
                <w:sz w:val="24"/>
                <w:highlight w:val="none"/>
              </w:rPr>
            </w:pPr>
          </w:p>
        </w:tc>
      </w:tr>
      <w:tr w14:paraId="474C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3D4DCB92">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九</w:t>
            </w:r>
          </w:p>
        </w:tc>
        <w:tc>
          <w:tcPr>
            <w:tcW w:w="5493" w:type="dxa"/>
            <w:noWrap w:val="0"/>
            <w:vAlign w:val="center"/>
          </w:tcPr>
          <w:p w14:paraId="4BF47ABB">
            <w:pPr>
              <w:spacing w:after="50"/>
              <w:ind w:right="-10" w:rightChars="0"/>
              <w:jc w:val="center"/>
              <w:rPr>
                <w:rFonts w:hint="eastAsia" w:ascii="Times New Roman" w:hAnsi="Times New Roman" w:cs="Times New Roman"/>
                <w:b/>
                <w:bCs/>
                <w:color w:val="auto"/>
                <w:sz w:val="24"/>
                <w:highlight w:val="none"/>
                <w:lang w:val="en-US" w:eastAsia="zh-CN"/>
              </w:rPr>
            </w:pPr>
            <w:r>
              <w:rPr>
                <w:rFonts w:hint="eastAsia" w:ascii="Times New Roman" w:hAnsi="Times New Roman" w:eastAsia="宋体" w:cs="Times New Roman"/>
                <w:b/>
                <w:bCs/>
                <w:color w:val="auto"/>
                <w:sz w:val="24"/>
                <w:szCs w:val="28"/>
                <w:highlight w:val="none"/>
                <w:lang w:val="en-US" w:eastAsia="zh-CN"/>
              </w:rPr>
              <w:t>服务承诺</w:t>
            </w:r>
          </w:p>
        </w:tc>
        <w:tc>
          <w:tcPr>
            <w:tcW w:w="1779" w:type="dxa"/>
            <w:noWrap w:val="0"/>
            <w:vAlign w:val="center"/>
          </w:tcPr>
          <w:p w14:paraId="7C24C88F">
            <w:pPr>
              <w:spacing w:line="360" w:lineRule="auto"/>
              <w:jc w:val="center"/>
              <w:outlineLvl w:val="2"/>
              <w:rPr>
                <w:rFonts w:hint="default" w:ascii="Times New Roman" w:hAnsi="Times New Roman" w:eastAsia="宋体" w:cs="Times New Roman"/>
                <w:b/>
                <w:color w:val="auto"/>
                <w:sz w:val="24"/>
                <w:highlight w:val="none"/>
              </w:rPr>
            </w:pPr>
          </w:p>
        </w:tc>
      </w:tr>
      <w:tr w14:paraId="3710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4E1F7ED0">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十</w:t>
            </w:r>
          </w:p>
        </w:tc>
        <w:tc>
          <w:tcPr>
            <w:tcW w:w="5493" w:type="dxa"/>
            <w:noWrap w:val="0"/>
            <w:vAlign w:val="center"/>
          </w:tcPr>
          <w:p w14:paraId="39D9B8E5">
            <w:pPr>
              <w:spacing w:after="50"/>
              <w:ind w:right="-10" w:rightChars="0"/>
              <w:jc w:val="center"/>
              <w:rPr>
                <w:rFonts w:hint="eastAsia" w:ascii="Times New Roman" w:hAnsi="Times New Roman" w:cs="Times New Roman"/>
                <w:b/>
                <w:bCs/>
                <w:color w:val="auto"/>
                <w:sz w:val="24"/>
                <w:highlight w:val="none"/>
                <w:lang w:val="en-US" w:eastAsia="zh-CN"/>
              </w:rPr>
            </w:pPr>
            <w:r>
              <w:rPr>
                <w:rFonts w:hint="eastAsia" w:ascii="Times New Roman" w:hAnsi="Times New Roman" w:cs="Times New Roman"/>
                <w:b/>
                <w:bCs/>
                <w:color w:val="auto"/>
                <w:sz w:val="24"/>
                <w:szCs w:val="28"/>
                <w:highlight w:val="none"/>
                <w:lang w:val="en-US" w:eastAsia="zh-CN"/>
              </w:rPr>
              <w:t>其他相关证明材料</w:t>
            </w:r>
          </w:p>
        </w:tc>
        <w:tc>
          <w:tcPr>
            <w:tcW w:w="1779" w:type="dxa"/>
            <w:noWrap w:val="0"/>
            <w:vAlign w:val="center"/>
          </w:tcPr>
          <w:p w14:paraId="1AA35C65">
            <w:pPr>
              <w:spacing w:line="360" w:lineRule="auto"/>
              <w:jc w:val="center"/>
              <w:outlineLvl w:val="2"/>
              <w:rPr>
                <w:rFonts w:hint="default" w:ascii="Times New Roman" w:hAnsi="Times New Roman" w:eastAsia="宋体" w:cs="Times New Roman"/>
                <w:b/>
                <w:color w:val="auto"/>
                <w:sz w:val="24"/>
                <w:highlight w:val="none"/>
              </w:rPr>
            </w:pPr>
          </w:p>
        </w:tc>
      </w:tr>
      <w:tr w14:paraId="06A1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7337B6AE">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十一</w:t>
            </w:r>
          </w:p>
        </w:tc>
        <w:tc>
          <w:tcPr>
            <w:tcW w:w="5493" w:type="dxa"/>
            <w:noWrap w:val="0"/>
            <w:vAlign w:val="center"/>
          </w:tcPr>
          <w:p w14:paraId="626BCE33">
            <w:pPr>
              <w:spacing w:after="50"/>
              <w:ind w:right="-10" w:rightChars="0"/>
              <w:jc w:val="center"/>
              <w:rPr>
                <w:rFonts w:hint="eastAsia"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szCs w:val="28"/>
                <w:highlight w:val="none"/>
              </w:rPr>
              <w:t>投标文件规范性</w:t>
            </w:r>
          </w:p>
        </w:tc>
        <w:tc>
          <w:tcPr>
            <w:tcW w:w="1779" w:type="dxa"/>
            <w:noWrap w:val="0"/>
            <w:vAlign w:val="center"/>
          </w:tcPr>
          <w:p w14:paraId="40D9AEB2">
            <w:pPr>
              <w:spacing w:line="360" w:lineRule="auto"/>
              <w:jc w:val="center"/>
              <w:outlineLvl w:val="2"/>
              <w:rPr>
                <w:rFonts w:hint="default" w:ascii="Times New Roman" w:hAnsi="Times New Roman" w:eastAsia="宋体" w:cs="Times New Roman"/>
                <w:b/>
                <w:color w:val="auto"/>
                <w:sz w:val="24"/>
                <w:highlight w:val="none"/>
              </w:rPr>
            </w:pPr>
          </w:p>
        </w:tc>
      </w:tr>
      <w:tr w14:paraId="71C0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66A70F3D">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十二</w:t>
            </w:r>
          </w:p>
        </w:tc>
        <w:tc>
          <w:tcPr>
            <w:tcW w:w="5493" w:type="dxa"/>
            <w:noWrap w:val="0"/>
            <w:vAlign w:val="center"/>
          </w:tcPr>
          <w:p w14:paraId="6D3ADCEF">
            <w:pPr>
              <w:spacing w:after="50"/>
              <w:ind w:right="-10" w:rightChars="0"/>
              <w:jc w:val="center"/>
              <w:rPr>
                <w:rFonts w:hint="eastAsia"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szCs w:val="28"/>
                <w:highlight w:val="none"/>
              </w:rPr>
              <w:t>其他实质性要求</w:t>
            </w:r>
          </w:p>
        </w:tc>
        <w:tc>
          <w:tcPr>
            <w:tcW w:w="1779" w:type="dxa"/>
            <w:noWrap w:val="0"/>
            <w:vAlign w:val="center"/>
          </w:tcPr>
          <w:p w14:paraId="17CA12D1">
            <w:pPr>
              <w:spacing w:line="360" w:lineRule="auto"/>
              <w:jc w:val="center"/>
              <w:outlineLvl w:val="2"/>
              <w:rPr>
                <w:rFonts w:hint="default" w:ascii="Times New Roman" w:hAnsi="Times New Roman" w:eastAsia="宋体" w:cs="Times New Roman"/>
                <w:b/>
                <w:color w:val="auto"/>
                <w:sz w:val="24"/>
                <w:highlight w:val="none"/>
              </w:rPr>
            </w:pPr>
          </w:p>
        </w:tc>
      </w:tr>
    </w:tbl>
    <w:p w14:paraId="38C81753">
      <w:pPr>
        <w:spacing w:line="360" w:lineRule="auto"/>
        <w:jc w:val="center"/>
        <w:outlineLvl w:val="2"/>
        <w:rPr>
          <w:rFonts w:hint="default" w:ascii="Times New Roman" w:hAnsi="Times New Roman" w:cs="Times New Roman"/>
          <w:b/>
          <w:color w:val="auto"/>
          <w:sz w:val="24"/>
          <w:highlight w:val="none"/>
        </w:rPr>
      </w:pPr>
    </w:p>
    <w:p w14:paraId="0AC9B251">
      <w:pPr>
        <w:spacing w:line="360" w:lineRule="auto"/>
        <w:jc w:val="center"/>
        <w:outlineLvl w:val="2"/>
        <w:rPr>
          <w:rFonts w:hint="default" w:ascii="Times New Roman" w:hAnsi="Times New Roman" w:cs="Times New Roman"/>
          <w:b/>
          <w:color w:val="auto"/>
          <w:sz w:val="24"/>
          <w:highlight w:val="none"/>
        </w:rPr>
      </w:pPr>
    </w:p>
    <w:p w14:paraId="0985BD2B">
      <w:pPr>
        <w:spacing w:line="360" w:lineRule="auto"/>
        <w:jc w:val="center"/>
        <w:outlineLvl w:val="2"/>
        <w:rPr>
          <w:rFonts w:hint="default" w:ascii="Times New Roman" w:hAnsi="Times New Roman" w:cs="Times New Roman"/>
          <w:b/>
          <w:color w:val="auto"/>
          <w:sz w:val="24"/>
          <w:highlight w:val="none"/>
        </w:rPr>
      </w:pPr>
    </w:p>
    <w:p w14:paraId="0764CA07">
      <w:pPr>
        <w:spacing w:line="360" w:lineRule="auto"/>
        <w:jc w:val="center"/>
        <w:outlineLvl w:val="2"/>
        <w:rPr>
          <w:rFonts w:hint="default" w:ascii="Times New Roman" w:hAnsi="Times New Roman" w:cs="Times New Roman"/>
          <w:b/>
          <w:color w:val="auto"/>
          <w:sz w:val="24"/>
          <w:highlight w:val="none"/>
        </w:rPr>
      </w:pPr>
    </w:p>
    <w:p w14:paraId="46E1BFD3">
      <w:pPr>
        <w:spacing w:line="360" w:lineRule="auto"/>
        <w:jc w:val="center"/>
        <w:outlineLvl w:val="2"/>
        <w:rPr>
          <w:rFonts w:hint="default" w:ascii="Times New Roman" w:hAnsi="Times New Roman" w:cs="Times New Roman"/>
          <w:b/>
          <w:color w:val="auto"/>
          <w:sz w:val="24"/>
          <w:highlight w:val="none"/>
        </w:rPr>
      </w:pPr>
    </w:p>
    <w:p w14:paraId="203641E4">
      <w:pPr>
        <w:spacing w:line="360" w:lineRule="auto"/>
        <w:jc w:val="center"/>
        <w:outlineLvl w:val="2"/>
        <w:rPr>
          <w:rFonts w:hint="default" w:ascii="Times New Roman" w:hAnsi="Times New Roman" w:cs="Times New Roman"/>
          <w:b/>
          <w:color w:val="auto"/>
          <w:sz w:val="24"/>
          <w:highlight w:val="none"/>
        </w:rPr>
      </w:pPr>
    </w:p>
    <w:p w14:paraId="7B4B3964">
      <w:pPr>
        <w:spacing w:line="360" w:lineRule="auto"/>
        <w:jc w:val="center"/>
        <w:outlineLvl w:val="2"/>
        <w:rPr>
          <w:rFonts w:hint="default" w:ascii="Times New Roman" w:hAnsi="Times New Roman" w:cs="Times New Roman"/>
          <w:b/>
          <w:color w:val="auto"/>
          <w:sz w:val="24"/>
          <w:highlight w:val="none"/>
        </w:rPr>
      </w:pPr>
    </w:p>
    <w:bookmarkEnd w:id="72"/>
    <w:bookmarkEnd w:id="73"/>
    <w:bookmarkEnd w:id="74"/>
    <w:p w14:paraId="2E51840C">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152A6852">
      <w:pPr>
        <w:rPr>
          <w:rFonts w:hint="default" w:ascii="Times New Roman" w:hAnsi="Times New Roman" w:eastAsia="宋体" w:cs="Times New Roman"/>
          <w:b/>
          <w:color w:val="auto"/>
          <w:kern w:val="2"/>
          <w:sz w:val="28"/>
          <w:szCs w:val="28"/>
          <w:highlight w:val="none"/>
          <w:lang w:val="en-US" w:eastAsia="zh-CN" w:bidi="ar-SA"/>
        </w:rPr>
      </w:pPr>
      <w:r>
        <w:rPr>
          <w:rFonts w:hint="default" w:ascii="Times New Roman" w:hAnsi="Times New Roman" w:eastAsia="宋体" w:cs="Times New Roman"/>
          <w:b/>
          <w:color w:val="auto"/>
          <w:kern w:val="2"/>
          <w:sz w:val="28"/>
          <w:szCs w:val="28"/>
          <w:highlight w:val="none"/>
          <w:lang w:val="en-US" w:eastAsia="zh-CN" w:bidi="ar-SA"/>
        </w:rPr>
        <w:br w:type="page"/>
      </w:r>
    </w:p>
    <w:p w14:paraId="57630F6E">
      <w:pPr>
        <w:pStyle w:val="90"/>
        <w:numPr>
          <w:ilvl w:val="0"/>
          <w:numId w:val="0"/>
        </w:numPr>
        <w:spacing w:line="360" w:lineRule="auto"/>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653"/>
      </w:tblGrid>
      <w:tr w14:paraId="7E4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466" w:type="dxa"/>
            <w:tcBorders>
              <w:top w:val="single" w:color="auto" w:sz="4" w:space="0"/>
              <w:bottom w:val="single" w:color="auto" w:sz="4" w:space="0"/>
              <w:right w:val="single" w:color="auto" w:sz="4" w:space="0"/>
            </w:tcBorders>
            <w:noWrap w:val="0"/>
            <w:vAlign w:val="center"/>
          </w:tcPr>
          <w:p w14:paraId="2A43910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53" w:type="dxa"/>
            <w:tcBorders>
              <w:top w:val="single" w:color="auto" w:sz="4" w:space="0"/>
              <w:bottom w:val="single" w:color="auto" w:sz="4" w:space="0"/>
              <w:right w:val="single" w:color="auto" w:sz="4" w:space="0"/>
            </w:tcBorders>
            <w:noWrap w:val="0"/>
            <w:vAlign w:val="center"/>
          </w:tcPr>
          <w:p w14:paraId="5B3FB038">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华兴路小学地块室外体育场地及部分配套工程监理</w:t>
            </w:r>
          </w:p>
        </w:tc>
      </w:tr>
      <w:tr w14:paraId="364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1C94F95E">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53" w:type="dxa"/>
            <w:tcBorders>
              <w:top w:val="single" w:color="auto" w:sz="4" w:space="0"/>
              <w:bottom w:val="single" w:color="auto" w:sz="4" w:space="0"/>
              <w:right w:val="single" w:color="auto" w:sz="4" w:space="0"/>
            </w:tcBorders>
            <w:noWrap w:val="0"/>
            <w:vAlign w:val="center"/>
          </w:tcPr>
          <w:p w14:paraId="1E94293B">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BHSG-ZTB-2025-</w:t>
            </w:r>
            <w:r>
              <w:rPr>
                <w:rFonts w:hint="eastAsia" w:ascii="Times New Roman" w:hAnsi="Times New Roman" w:cs="Times New Roman"/>
                <w:color w:val="auto"/>
                <w:sz w:val="24"/>
                <w:highlight w:val="none"/>
                <w:lang w:val="en-US" w:eastAsia="zh-CN"/>
              </w:rPr>
              <w:t>37</w:t>
            </w:r>
          </w:p>
        </w:tc>
      </w:tr>
      <w:tr w14:paraId="1FB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7D2D3B18">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53" w:type="dxa"/>
            <w:tcBorders>
              <w:top w:val="nil"/>
            </w:tcBorders>
            <w:noWrap w:val="0"/>
            <w:vAlign w:val="center"/>
          </w:tcPr>
          <w:p w14:paraId="56115876">
            <w:pPr>
              <w:spacing w:line="360" w:lineRule="auto"/>
              <w:rPr>
                <w:rFonts w:hint="default" w:ascii="Times New Roman" w:hAnsi="Times New Roman" w:eastAsia="宋体" w:cs="Times New Roman"/>
                <w:color w:val="auto"/>
                <w:sz w:val="24"/>
                <w:highlight w:val="none"/>
              </w:rPr>
            </w:pPr>
          </w:p>
        </w:tc>
      </w:tr>
      <w:tr w14:paraId="2CE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04C64D9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53" w:type="dxa"/>
            <w:tcBorders>
              <w:top w:val="nil"/>
            </w:tcBorders>
            <w:noWrap w:val="0"/>
            <w:vAlign w:val="center"/>
          </w:tcPr>
          <w:p w14:paraId="5E3B91CF">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56D5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2466" w:type="dxa"/>
            <w:tcBorders>
              <w:top w:val="nil"/>
            </w:tcBorders>
            <w:noWrap w:val="0"/>
            <w:vAlign w:val="center"/>
          </w:tcPr>
          <w:p w14:paraId="6624ECEE">
            <w:pPr>
              <w:spacing w:line="360" w:lineRule="auto"/>
              <w:jc w:val="center"/>
              <w:rPr>
                <w:rFonts w:hint="eastAsia" w:eastAsia="宋体"/>
                <w:lang w:eastAsia="zh-CN"/>
              </w:rPr>
            </w:pPr>
            <w:r>
              <w:rPr>
                <w:rFonts w:hint="default" w:ascii="Times New Roman" w:hAnsi="Times New Roman" w:eastAsia="宋体" w:cs="Times New Roman"/>
                <w:b/>
                <w:bCs/>
                <w:color w:val="auto"/>
                <w:sz w:val="24"/>
                <w:highlight w:val="none"/>
              </w:rPr>
              <w:t>投标报价</w:t>
            </w:r>
            <w:r>
              <w:rPr>
                <w:rFonts w:hint="eastAsia" w:ascii="Times New Roman" w:hAnsi="Times New Roman" w:cs="Times New Roman"/>
                <w:b/>
                <w:bCs/>
                <w:color w:val="auto"/>
                <w:sz w:val="24"/>
                <w:highlight w:val="none"/>
                <w:lang w:eastAsia="zh-CN"/>
              </w:rPr>
              <w:t>（</w:t>
            </w:r>
            <w:r>
              <w:rPr>
                <w:rFonts w:hint="eastAsia" w:ascii="Times New Roman" w:hAnsi="Times New Roman" w:cs="Times New Roman"/>
                <w:b/>
                <w:bCs/>
                <w:color w:val="auto"/>
                <w:sz w:val="24"/>
                <w:highlight w:val="none"/>
                <w:lang w:val="en-US" w:eastAsia="zh-CN"/>
              </w:rPr>
              <w:t>费率</w:t>
            </w:r>
            <w:r>
              <w:rPr>
                <w:rFonts w:hint="eastAsia" w:ascii="Times New Roman" w:hAnsi="Times New Roman" w:cs="Times New Roman"/>
                <w:b/>
                <w:bCs/>
                <w:color w:val="auto"/>
                <w:sz w:val="24"/>
                <w:highlight w:val="none"/>
                <w:lang w:eastAsia="zh-CN"/>
              </w:rPr>
              <w:t>）</w:t>
            </w:r>
          </w:p>
        </w:tc>
        <w:tc>
          <w:tcPr>
            <w:tcW w:w="6653" w:type="dxa"/>
            <w:tcBorders>
              <w:top w:val="nil"/>
            </w:tcBorders>
            <w:noWrap w:val="0"/>
            <w:vAlign w:val="center"/>
          </w:tcPr>
          <w:p w14:paraId="2C7E389E">
            <w:pPr>
              <w:spacing w:line="360" w:lineRule="auto"/>
              <w:rPr>
                <w:rFonts w:hint="default" w:ascii="Times New Roman" w:hAnsi="Times New Roman" w:eastAsia="宋体" w:cs="Times New Roman"/>
                <w:color w:val="auto"/>
                <w:sz w:val="24"/>
                <w:highlight w:val="none"/>
              </w:rPr>
            </w:pPr>
          </w:p>
          <w:p w14:paraId="0769363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eastAsia" w:ascii="Times New Roman" w:hAnsi="Times New Roman" w:cs="Times New Roman"/>
                <w:color w:val="auto"/>
                <w:sz w:val="24"/>
                <w:highlight w:val="none"/>
                <w:u w:val="none"/>
                <w:lang w:val="en-US" w:eastAsia="zh-CN"/>
              </w:rPr>
              <w:t>%</w:t>
            </w:r>
            <w:r>
              <w:rPr>
                <w:rFonts w:hint="default" w:ascii="Times New Roman" w:hAnsi="Times New Roman" w:eastAsia="宋体" w:cs="Times New Roman"/>
                <w:color w:val="auto"/>
                <w:sz w:val="24"/>
                <w:highlight w:val="none"/>
                <w:u w:val="none"/>
              </w:rPr>
              <w:t xml:space="preserve"> </w:t>
            </w:r>
            <w:r>
              <w:rPr>
                <w:rFonts w:hint="default" w:ascii="Times New Roman" w:hAnsi="Times New Roman" w:eastAsia="宋体" w:cs="Times New Roman"/>
                <w:color w:val="auto"/>
                <w:sz w:val="24"/>
                <w:highlight w:val="none"/>
              </w:rPr>
              <w:t xml:space="preserve">    </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含税）</w:t>
            </w:r>
            <w:r>
              <w:rPr>
                <w:rFonts w:hint="default" w:ascii="Times New Roman" w:hAnsi="Times New Roman" w:eastAsia="宋体" w:cs="Times New Roman"/>
                <w:color w:val="auto"/>
                <w:sz w:val="24"/>
                <w:highlight w:val="none"/>
              </w:rPr>
              <w:t xml:space="preserve">       </w:t>
            </w:r>
          </w:p>
          <w:p w14:paraId="60303A4B">
            <w:pPr>
              <w:spacing w:line="360" w:lineRule="auto"/>
              <w:rPr>
                <w:rFonts w:hint="default" w:ascii="Times New Roman" w:hAnsi="Times New Roman" w:eastAsia="宋体" w:cs="Times New Roman"/>
                <w:color w:val="auto"/>
                <w:sz w:val="24"/>
                <w:highlight w:val="none"/>
              </w:rPr>
            </w:pPr>
            <w:bookmarkStart w:id="81" w:name="_GoBack"/>
            <w:bookmarkEnd w:id="81"/>
          </w:p>
        </w:tc>
      </w:tr>
      <w:tr w14:paraId="5BB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466" w:type="dxa"/>
            <w:tcBorders>
              <w:top w:val="nil"/>
            </w:tcBorders>
            <w:noWrap w:val="0"/>
            <w:vAlign w:val="center"/>
          </w:tcPr>
          <w:p w14:paraId="0637FFBF">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53" w:type="dxa"/>
            <w:tcBorders>
              <w:top w:val="nil"/>
            </w:tcBorders>
            <w:noWrap w:val="0"/>
            <w:vAlign w:val="center"/>
          </w:tcPr>
          <w:p w14:paraId="6061A18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F81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3" w:hRule="atLeast"/>
          <w:jc w:val="center"/>
        </w:trPr>
        <w:tc>
          <w:tcPr>
            <w:tcW w:w="2466" w:type="dxa"/>
            <w:tcBorders>
              <w:top w:val="nil"/>
            </w:tcBorders>
            <w:noWrap w:val="0"/>
            <w:vAlign w:val="center"/>
          </w:tcPr>
          <w:p w14:paraId="6F4F55E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53" w:type="dxa"/>
            <w:tcBorders>
              <w:top w:val="nil"/>
            </w:tcBorders>
            <w:noWrap w:val="0"/>
            <w:vAlign w:val="center"/>
          </w:tcPr>
          <w:p w14:paraId="335E89F2">
            <w:pPr>
              <w:spacing w:line="360" w:lineRule="auto"/>
              <w:rPr>
                <w:rFonts w:hint="default" w:ascii="Times New Roman" w:hAnsi="Times New Roman" w:eastAsia="宋体" w:cs="Times New Roman"/>
                <w:color w:val="auto"/>
                <w:sz w:val="24"/>
                <w:highlight w:val="none"/>
              </w:rPr>
            </w:pPr>
          </w:p>
        </w:tc>
      </w:tr>
    </w:tbl>
    <w:p w14:paraId="505391FB">
      <w:pPr>
        <w:spacing w:line="360" w:lineRule="auto"/>
        <w:rPr>
          <w:rFonts w:hint="default" w:ascii="Times New Roman" w:hAnsi="Times New Roman" w:eastAsia="宋体" w:cs="Times New Roman"/>
          <w:color w:val="auto"/>
          <w:sz w:val="24"/>
          <w:highlight w:val="none"/>
        </w:rPr>
      </w:pPr>
    </w:p>
    <w:p w14:paraId="5259972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2B19615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7E4075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03CB804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3A10EF42">
      <w:pPr>
        <w:spacing w:line="360" w:lineRule="auto"/>
        <w:ind w:firstLine="435"/>
        <w:rPr>
          <w:rFonts w:hint="default" w:ascii="Times New Roman" w:hAnsi="Times New Roman" w:cs="Times New Roman"/>
          <w:b/>
          <w:color w:val="auto"/>
          <w:sz w:val="28"/>
          <w:szCs w:val="28"/>
          <w:highlight w:val="none"/>
        </w:rPr>
      </w:pPr>
      <w:bookmarkStart w:id="77" w:name="_Toc520983588"/>
      <w:bookmarkStart w:id="78" w:name="_Toc461056632"/>
      <w:bookmarkStart w:id="79" w:name="_Toc461053087"/>
      <w:r>
        <w:rPr>
          <w:rFonts w:hint="default" w:ascii="Times New Roman" w:hAnsi="Times New Roman" w:cs="Times New Roman"/>
          <w:color w:val="auto"/>
          <w:sz w:val="24"/>
          <w:highlight w:val="none"/>
        </w:rPr>
        <w:br w:type="page"/>
      </w:r>
      <w:bookmarkEnd w:id="77"/>
      <w:bookmarkEnd w:id="78"/>
      <w:bookmarkEnd w:id="79"/>
      <w:bookmarkStart w:id="80" w:name="_Toc520983591"/>
    </w:p>
    <w:p w14:paraId="7001E29A">
      <w:pPr>
        <w:spacing w:line="360" w:lineRule="auto"/>
        <w:jc w:val="center"/>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二、投标函</w:t>
      </w:r>
    </w:p>
    <w:p w14:paraId="1BAC2C0C">
      <w:pPr>
        <w:pStyle w:val="21"/>
        <w:spacing w:line="360" w:lineRule="auto"/>
        <w:rPr>
          <w:rFonts w:hint="default" w:ascii="Times New Roman" w:hAnsi="Times New Roman" w:cs="Times New Roman"/>
          <w:color w:val="auto"/>
          <w:sz w:val="24"/>
          <w:szCs w:val="24"/>
          <w:highlight w:val="none"/>
        </w:rPr>
      </w:pPr>
    </w:p>
    <w:p w14:paraId="6D8F4343">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34851BFC">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7C7C47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33735BD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627A444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3D3B854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22B828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7773087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FAB3E5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669D07E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7B60D4B5">
      <w:pPr>
        <w:spacing w:line="360" w:lineRule="auto"/>
        <w:ind w:firstLine="435"/>
        <w:rPr>
          <w:rFonts w:hint="default" w:ascii="Times New Roman" w:hAnsi="Times New Roman" w:cs="Times New Roman"/>
          <w:color w:val="auto"/>
          <w:sz w:val="24"/>
          <w:szCs w:val="24"/>
          <w:highlight w:val="none"/>
        </w:rPr>
      </w:pPr>
    </w:p>
    <w:p w14:paraId="07C839CC">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6D009A89">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35062D7">
      <w:pPr>
        <w:pStyle w:val="32"/>
        <w:rPr>
          <w:rFonts w:hint="default" w:ascii="Times New Roman" w:hAnsi="Times New Roman" w:cs="Times New Roman"/>
          <w:color w:val="auto"/>
          <w:sz w:val="24"/>
          <w:szCs w:val="24"/>
          <w:highlight w:val="none"/>
        </w:rPr>
      </w:pPr>
    </w:p>
    <w:p w14:paraId="1B85CC0D">
      <w:pPr>
        <w:widowControl/>
        <w:jc w:val="center"/>
        <w:rPr>
          <w:rFonts w:hint="default" w:ascii="Times New Roman" w:hAnsi="Times New Roman" w:cs="Times New Roman"/>
          <w:b/>
          <w:color w:val="auto"/>
          <w:sz w:val="24"/>
          <w:szCs w:val="24"/>
          <w:highlight w:val="none"/>
        </w:rPr>
      </w:pPr>
    </w:p>
    <w:p w14:paraId="2E0169D2">
      <w:pPr>
        <w:widowControl/>
        <w:jc w:val="center"/>
        <w:rPr>
          <w:rFonts w:hint="default" w:ascii="Times New Roman" w:hAnsi="Times New Roman" w:cs="Times New Roman"/>
          <w:b/>
          <w:color w:val="auto"/>
          <w:sz w:val="24"/>
          <w:szCs w:val="24"/>
          <w:highlight w:val="none"/>
        </w:rPr>
      </w:pPr>
    </w:p>
    <w:p w14:paraId="78FA24BB">
      <w:pPr>
        <w:widowControl/>
        <w:jc w:val="center"/>
        <w:rPr>
          <w:rFonts w:hint="default" w:ascii="Times New Roman" w:hAnsi="Times New Roman" w:cs="Times New Roman"/>
          <w:b/>
          <w:color w:val="auto"/>
          <w:sz w:val="24"/>
          <w:szCs w:val="24"/>
          <w:highlight w:val="none"/>
        </w:rPr>
      </w:pPr>
    </w:p>
    <w:p w14:paraId="47F045D6">
      <w:pPr>
        <w:widowControl/>
        <w:jc w:val="center"/>
        <w:rPr>
          <w:rFonts w:hint="default" w:ascii="Times New Roman" w:hAnsi="Times New Roman" w:cs="Times New Roman"/>
          <w:b/>
          <w:color w:val="auto"/>
          <w:sz w:val="24"/>
          <w:szCs w:val="24"/>
          <w:highlight w:val="none"/>
        </w:rPr>
      </w:pPr>
    </w:p>
    <w:p w14:paraId="1213A178">
      <w:pPr>
        <w:widowControl/>
        <w:jc w:val="center"/>
        <w:rPr>
          <w:rFonts w:hint="default" w:ascii="Times New Roman" w:hAnsi="Times New Roman" w:cs="Times New Roman"/>
          <w:b/>
          <w:color w:val="auto"/>
          <w:sz w:val="24"/>
          <w:szCs w:val="24"/>
          <w:highlight w:val="none"/>
        </w:rPr>
      </w:pPr>
    </w:p>
    <w:p w14:paraId="32BE9968">
      <w:pPr>
        <w:widowControl/>
        <w:jc w:val="center"/>
        <w:rPr>
          <w:rFonts w:hint="default" w:ascii="Times New Roman" w:hAnsi="Times New Roman" w:cs="Times New Roman"/>
          <w:b/>
          <w:color w:val="auto"/>
          <w:sz w:val="24"/>
          <w:szCs w:val="24"/>
          <w:highlight w:val="none"/>
        </w:rPr>
      </w:pPr>
    </w:p>
    <w:p w14:paraId="232F333A">
      <w:pPr>
        <w:widowControl/>
        <w:jc w:val="center"/>
        <w:rPr>
          <w:rFonts w:hint="default" w:ascii="Times New Roman" w:hAnsi="Times New Roman" w:cs="Times New Roman"/>
          <w:b/>
          <w:color w:val="auto"/>
          <w:sz w:val="24"/>
          <w:szCs w:val="24"/>
          <w:highlight w:val="none"/>
        </w:rPr>
      </w:pPr>
    </w:p>
    <w:p w14:paraId="4C49D6DE">
      <w:pPr>
        <w:widowControl/>
        <w:jc w:val="both"/>
        <w:rPr>
          <w:rFonts w:hint="default" w:ascii="Times New Roman" w:hAnsi="Times New Roman" w:cs="Times New Roman"/>
          <w:b/>
          <w:color w:val="auto"/>
          <w:sz w:val="24"/>
          <w:szCs w:val="24"/>
          <w:highlight w:val="none"/>
        </w:rPr>
      </w:pPr>
    </w:p>
    <w:p w14:paraId="44255F79">
      <w:pPr>
        <w:widowControl/>
        <w:jc w:val="cente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cs="Times New Roman"/>
          <w:b/>
          <w:color w:val="auto"/>
          <w:sz w:val="28"/>
          <w:szCs w:val="28"/>
          <w:highlight w:val="none"/>
        </w:rPr>
        <w:t>三、无重大违法记录、无不良信用记录</w:t>
      </w:r>
      <w:r>
        <w:rPr>
          <w:rFonts w:hint="default" w:ascii="Times New Roman" w:hAnsi="Times New Roman" w:cs="Times New Roman"/>
          <w:b/>
          <w:color w:val="auto"/>
          <w:sz w:val="28"/>
          <w:szCs w:val="28"/>
          <w:highlight w:val="none"/>
          <w:lang w:val="en-US" w:eastAsia="zh-CN"/>
        </w:rPr>
        <w:t>承诺函</w:t>
      </w:r>
    </w:p>
    <w:p w14:paraId="7502F9C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344155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741C375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74ABAD7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3A5B3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2409787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5B8A6C9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B74969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0A94377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0B8782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C22590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66F03D0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9B6196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49D7C287">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A2785F2">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084103BD">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515F8BBB">
      <w:pPr>
        <w:spacing w:line="360" w:lineRule="auto"/>
        <w:jc w:val="center"/>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四、授权书</w:t>
      </w:r>
    </w:p>
    <w:p w14:paraId="396A2388">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BAC5C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6E59A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42F4F0A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73AE35D1">
      <w:pPr>
        <w:spacing w:line="360" w:lineRule="auto"/>
        <w:ind w:firstLine="435"/>
        <w:rPr>
          <w:rFonts w:hint="default" w:ascii="Times New Roman" w:hAnsi="Times New Roman" w:cs="Times New Roman"/>
          <w:color w:val="auto"/>
          <w:sz w:val="24"/>
          <w:szCs w:val="24"/>
          <w:highlight w:val="none"/>
        </w:rPr>
      </w:pPr>
    </w:p>
    <w:p w14:paraId="00EDCB38">
      <w:pPr>
        <w:spacing w:line="360" w:lineRule="auto"/>
        <w:ind w:firstLine="435"/>
        <w:rPr>
          <w:rFonts w:hint="default" w:ascii="Times New Roman" w:hAnsi="Times New Roman" w:cs="Times New Roman"/>
          <w:color w:val="auto"/>
          <w:sz w:val="24"/>
          <w:szCs w:val="24"/>
          <w:highlight w:val="none"/>
        </w:rPr>
      </w:pPr>
    </w:p>
    <w:p w14:paraId="436D1C11">
      <w:pPr>
        <w:spacing w:line="360" w:lineRule="auto"/>
        <w:ind w:firstLine="435"/>
        <w:rPr>
          <w:rFonts w:hint="default" w:ascii="Times New Roman" w:hAnsi="Times New Roman" w:cs="Times New Roman"/>
          <w:color w:val="auto"/>
          <w:sz w:val="24"/>
          <w:szCs w:val="24"/>
          <w:highlight w:val="none"/>
        </w:rPr>
      </w:pPr>
    </w:p>
    <w:p w14:paraId="7A87EBE6">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49FBB046">
      <w:pPr>
        <w:spacing w:line="360" w:lineRule="auto"/>
        <w:ind w:firstLine="435"/>
        <w:rPr>
          <w:rFonts w:hint="default" w:ascii="Times New Roman" w:hAnsi="Times New Roman" w:cs="Times New Roman"/>
          <w:color w:val="auto"/>
          <w:sz w:val="24"/>
          <w:szCs w:val="24"/>
          <w:highlight w:val="none"/>
        </w:rPr>
      </w:pPr>
    </w:p>
    <w:p w14:paraId="2FEB05F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FD63A57">
      <w:pPr>
        <w:spacing w:line="360" w:lineRule="auto"/>
        <w:rPr>
          <w:rFonts w:hint="default" w:ascii="Times New Roman" w:hAnsi="Times New Roman" w:cs="Times New Roman"/>
          <w:color w:val="auto"/>
          <w:sz w:val="24"/>
          <w:szCs w:val="24"/>
          <w:highlight w:val="none"/>
        </w:rPr>
      </w:pPr>
    </w:p>
    <w:p w14:paraId="13C27717">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27F2928">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14:paraId="2D48FA81">
      <w:pPr>
        <w:spacing w:line="360" w:lineRule="auto"/>
        <w:ind w:firstLine="435"/>
        <w:rPr>
          <w:rFonts w:hint="default" w:ascii="Times New Roman" w:hAnsi="Times New Roman" w:cs="Times New Roman"/>
          <w:color w:val="auto"/>
          <w:sz w:val="24"/>
          <w:szCs w:val="24"/>
          <w:highlight w:val="none"/>
        </w:rPr>
      </w:pPr>
    </w:p>
    <w:p w14:paraId="0DBD30CB">
      <w:pPr>
        <w:spacing w:line="360" w:lineRule="auto"/>
        <w:ind w:firstLine="435"/>
        <w:rPr>
          <w:rFonts w:hint="default" w:ascii="Times New Roman" w:hAnsi="Times New Roman" w:cs="Times New Roman"/>
          <w:color w:val="auto"/>
          <w:sz w:val="24"/>
          <w:szCs w:val="24"/>
          <w:highlight w:val="none"/>
        </w:rPr>
      </w:pPr>
    </w:p>
    <w:p w14:paraId="3806788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85E9D3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6505A2F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67546A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80"/>
    <w:p w14:paraId="34EEC3E6">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五、</w:t>
      </w:r>
      <w:r>
        <w:rPr>
          <w:rFonts w:hint="eastAsia" w:ascii="Times New Roman" w:hAnsi="Times New Roman" w:cs="Times New Roman"/>
          <w:b/>
          <w:color w:val="auto"/>
          <w:sz w:val="28"/>
          <w:szCs w:val="28"/>
          <w:highlight w:val="none"/>
          <w:lang w:val="en-US" w:eastAsia="zh-CN"/>
        </w:rPr>
        <w:t>响应表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44"/>
        <w:gridCol w:w="2046"/>
        <w:gridCol w:w="1812"/>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2144"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46"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2144" w:type="dxa"/>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46" w:type="dxa"/>
          </w:tcPr>
          <w:p w14:paraId="08A16C8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2144" w:type="dxa"/>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46" w:type="dxa"/>
          </w:tcPr>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2144" w:type="dxa"/>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46" w:type="dxa"/>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1CABA68A">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224C6FE8">
      <w:pPr>
        <w:spacing w:line="360" w:lineRule="auto"/>
        <w:jc w:val="center"/>
        <w:outlineLvl w:val="2"/>
        <w:rPr>
          <w:rFonts w:hint="eastAsia" w:ascii="Times New Roman" w:hAnsi="Times New Roman" w:cs="Times New Roman"/>
          <w:b/>
          <w:color w:val="auto"/>
          <w:sz w:val="28"/>
          <w:szCs w:val="28"/>
          <w:highlight w:val="none"/>
          <w:lang w:val="en-US" w:eastAsia="zh-CN"/>
        </w:rPr>
      </w:pPr>
    </w:p>
    <w:p w14:paraId="486302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4DE47A7E">
      <w:pPr>
        <w:spacing w:line="360" w:lineRule="auto"/>
        <w:jc w:val="center"/>
        <w:outlineLvl w:val="2"/>
        <w:rPr>
          <w:rFonts w:hint="eastAsia" w:ascii="Times New Roman" w:hAnsi="Times New Roman" w:cs="Times New Roman"/>
          <w:b/>
          <w:color w:val="auto"/>
          <w:sz w:val="28"/>
          <w:szCs w:val="28"/>
          <w:highlight w:val="none"/>
          <w:lang w:val="en-US" w:eastAsia="zh-CN"/>
        </w:rPr>
      </w:pPr>
    </w:p>
    <w:p w14:paraId="14E9E41B">
      <w:pPr>
        <w:spacing w:line="360" w:lineRule="auto"/>
        <w:jc w:val="center"/>
        <w:outlineLvl w:val="2"/>
        <w:rPr>
          <w:rFonts w:hint="eastAsia" w:ascii="Times New Roman" w:hAnsi="Times New Roman" w:cs="Times New Roman"/>
          <w:b/>
          <w:color w:val="auto"/>
          <w:sz w:val="28"/>
          <w:szCs w:val="28"/>
          <w:highlight w:val="none"/>
          <w:lang w:val="en-US" w:eastAsia="zh-CN"/>
        </w:rPr>
      </w:pPr>
    </w:p>
    <w:p w14:paraId="44E7BC84">
      <w:pPr>
        <w:spacing w:line="360" w:lineRule="auto"/>
        <w:jc w:val="center"/>
        <w:outlineLvl w:val="2"/>
        <w:rPr>
          <w:rFonts w:hint="eastAsia" w:ascii="Times New Roman" w:hAnsi="Times New Roman" w:cs="Times New Roman"/>
          <w:b/>
          <w:color w:val="auto"/>
          <w:sz w:val="28"/>
          <w:szCs w:val="28"/>
          <w:highlight w:val="none"/>
          <w:lang w:val="en-US" w:eastAsia="zh-CN"/>
        </w:rPr>
      </w:pPr>
    </w:p>
    <w:p w14:paraId="4A587D57">
      <w:pPr>
        <w:spacing w:line="360" w:lineRule="auto"/>
        <w:jc w:val="center"/>
        <w:outlineLvl w:val="2"/>
        <w:rPr>
          <w:rFonts w:hint="eastAsia" w:ascii="Times New Roman" w:hAnsi="Times New Roman" w:cs="Times New Roman"/>
          <w:b/>
          <w:color w:val="auto"/>
          <w:sz w:val="28"/>
          <w:szCs w:val="28"/>
          <w:highlight w:val="none"/>
          <w:lang w:val="en-US" w:eastAsia="zh-CN"/>
        </w:rPr>
      </w:pPr>
    </w:p>
    <w:p w14:paraId="405D2B58">
      <w:pPr>
        <w:spacing w:line="360" w:lineRule="auto"/>
        <w:jc w:val="center"/>
        <w:outlineLvl w:val="2"/>
        <w:rPr>
          <w:rFonts w:hint="eastAsia" w:ascii="Times New Roman" w:hAnsi="Times New Roman" w:cs="Times New Roman"/>
          <w:b/>
          <w:color w:val="auto"/>
          <w:sz w:val="28"/>
          <w:szCs w:val="28"/>
          <w:highlight w:val="none"/>
          <w:lang w:val="en-US" w:eastAsia="zh-CN"/>
        </w:rPr>
      </w:pPr>
    </w:p>
    <w:p w14:paraId="03ADE764">
      <w:pPr>
        <w:spacing w:line="360" w:lineRule="auto"/>
        <w:jc w:val="center"/>
        <w:outlineLvl w:val="2"/>
        <w:rPr>
          <w:rFonts w:hint="eastAsia" w:ascii="Times New Roman" w:hAnsi="Times New Roman" w:cs="Times New Roman"/>
          <w:b/>
          <w:color w:val="auto"/>
          <w:sz w:val="28"/>
          <w:szCs w:val="28"/>
          <w:highlight w:val="none"/>
          <w:lang w:val="en-US" w:eastAsia="zh-CN"/>
        </w:rPr>
      </w:pPr>
    </w:p>
    <w:p w14:paraId="3A11B5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5D1C2D6A">
      <w:pPr>
        <w:spacing w:line="360" w:lineRule="auto"/>
        <w:jc w:val="center"/>
        <w:outlineLvl w:val="2"/>
        <w:rPr>
          <w:rFonts w:hint="eastAsia" w:ascii="Times New Roman" w:hAnsi="Times New Roman" w:cs="Times New Roman"/>
          <w:b/>
          <w:color w:val="auto"/>
          <w:sz w:val="28"/>
          <w:szCs w:val="28"/>
          <w:highlight w:val="none"/>
          <w:lang w:val="en-US" w:eastAsia="zh-CN"/>
        </w:rPr>
      </w:pPr>
    </w:p>
    <w:p w14:paraId="6ACB137D">
      <w:pPr>
        <w:spacing w:line="360" w:lineRule="auto"/>
        <w:jc w:val="center"/>
        <w:outlineLvl w:val="2"/>
        <w:rPr>
          <w:rFonts w:hint="eastAsia" w:ascii="Times New Roman" w:hAnsi="Times New Roman" w:cs="Times New Roman"/>
          <w:b/>
          <w:color w:val="auto"/>
          <w:sz w:val="28"/>
          <w:szCs w:val="28"/>
          <w:highlight w:val="none"/>
          <w:lang w:val="en-US" w:eastAsia="zh-CN"/>
        </w:rPr>
      </w:pPr>
    </w:p>
    <w:p w14:paraId="42F636D3">
      <w:pPr>
        <w:spacing w:line="360" w:lineRule="auto"/>
        <w:jc w:val="center"/>
        <w:outlineLvl w:val="2"/>
        <w:rPr>
          <w:rFonts w:hint="eastAsia" w:ascii="Times New Roman" w:hAnsi="Times New Roman" w:cs="Times New Roman"/>
          <w:b/>
          <w:color w:val="auto"/>
          <w:sz w:val="28"/>
          <w:szCs w:val="28"/>
          <w:highlight w:val="none"/>
          <w:lang w:val="en-US" w:eastAsia="zh-CN"/>
        </w:rPr>
      </w:pPr>
    </w:p>
    <w:p w14:paraId="08A559BE">
      <w:pPr>
        <w:spacing w:line="360" w:lineRule="auto"/>
        <w:jc w:val="center"/>
        <w:outlineLvl w:val="2"/>
        <w:rPr>
          <w:rFonts w:hint="eastAsia" w:ascii="Times New Roman" w:hAnsi="Times New Roman" w:cs="Times New Roman"/>
          <w:b/>
          <w:color w:val="auto"/>
          <w:sz w:val="28"/>
          <w:szCs w:val="28"/>
          <w:highlight w:val="none"/>
          <w:lang w:val="en-US" w:eastAsia="zh-CN"/>
        </w:rPr>
      </w:pPr>
    </w:p>
    <w:p w14:paraId="4C9B0F0E">
      <w:pPr>
        <w:spacing w:line="360" w:lineRule="auto"/>
        <w:jc w:val="both"/>
        <w:outlineLvl w:val="2"/>
        <w:rPr>
          <w:rFonts w:hint="eastAsia" w:ascii="Times New Roman" w:hAnsi="Times New Roman" w:cs="Times New Roman"/>
          <w:b/>
          <w:color w:val="auto"/>
          <w:sz w:val="28"/>
          <w:szCs w:val="28"/>
          <w:highlight w:val="none"/>
          <w:lang w:val="en-US" w:eastAsia="zh-CN"/>
        </w:rPr>
      </w:pPr>
    </w:p>
    <w:p w14:paraId="0E54DF8E">
      <w:pPr>
        <w:spacing w:line="360" w:lineRule="auto"/>
        <w:jc w:val="center"/>
        <w:outlineLvl w:val="2"/>
        <w:rPr>
          <w:rFonts w:hint="eastAsia" w:ascii="Times New Roman" w:hAnsi="Times New Roman" w:cs="Times New Roman"/>
          <w:b/>
          <w:color w:val="auto"/>
          <w:sz w:val="28"/>
          <w:szCs w:val="28"/>
          <w:highlight w:val="none"/>
          <w:lang w:val="en-US" w:eastAsia="zh-CN"/>
        </w:rPr>
      </w:pPr>
    </w:p>
    <w:p w14:paraId="415D291C">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六、业绩承诺函</w:t>
      </w:r>
    </w:p>
    <w:p w14:paraId="352A27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imes New Roman" w:hAnsi="Times New Roman" w:cs="Times New Roman"/>
          <w:b/>
          <w:color w:val="auto"/>
          <w:sz w:val="28"/>
          <w:szCs w:val="28"/>
          <w:highlight w:val="none"/>
          <w:lang w:val="en-US" w:eastAsia="zh-CN"/>
        </w:rPr>
      </w:pPr>
      <w:r>
        <w:rPr>
          <w:rFonts w:ascii="宋体" w:hAnsi="宋体" w:eastAsia="宋体" w:cs="宋体"/>
          <w:sz w:val="24"/>
          <w:szCs w:val="24"/>
          <w:highlight w:val="none"/>
        </w:rPr>
        <w:t>我单位承诺：响应文件中所提供的业绩均真实有效，且不属于与关联公司（如母 公司、控股公司、分公司、子公司、同一法定代表人的公司）之间的业绩，若被发现 存在任何虚假、隐瞒情况，我单位承担由此产生的一切后果。</w:t>
      </w:r>
    </w:p>
    <w:p w14:paraId="0CB96EB6">
      <w:pPr>
        <w:spacing w:line="360" w:lineRule="auto"/>
        <w:jc w:val="center"/>
        <w:outlineLvl w:val="2"/>
        <w:rPr>
          <w:rFonts w:hint="eastAsia" w:ascii="Times New Roman" w:hAnsi="Times New Roman" w:cs="Times New Roman"/>
          <w:b/>
          <w:color w:val="auto"/>
          <w:sz w:val="28"/>
          <w:szCs w:val="28"/>
          <w:highlight w:val="none"/>
          <w:lang w:val="en-US" w:eastAsia="zh-CN"/>
        </w:rPr>
      </w:pPr>
    </w:p>
    <w:p w14:paraId="0D6B697D">
      <w:pPr>
        <w:spacing w:line="360" w:lineRule="auto"/>
        <w:ind w:firstLine="4800" w:firstLineChars="2000"/>
        <w:jc w:val="left"/>
        <w:outlineLvl w:val="2"/>
        <w:rPr>
          <w:rFonts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投标人公</w:t>
      </w:r>
      <w:r>
        <w:rPr>
          <w:rFonts w:ascii="宋体" w:hAnsi="宋体" w:eastAsia="宋体" w:cs="宋体"/>
          <w:sz w:val="24"/>
          <w:szCs w:val="24"/>
          <w:highlight w:val="none"/>
        </w:rPr>
        <w:t>章：</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u w:val="single"/>
        </w:rPr>
        <w:t xml:space="preserve"> </w:t>
      </w:r>
    </w:p>
    <w:p w14:paraId="40F0AACD">
      <w:pPr>
        <w:spacing w:line="360" w:lineRule="auto"/>
        <w:ind w:firstLine="4800" w:firstLineChars="2000"/>
        <w:jc w:val="left"/>
        <w:outlineLvl w:val="2"/>
        <w:rPr>
          <w:rFonts w:hint="eastAsia" w:ascii="Times New Roman" w:hAnsi="Times New Roman" w:cs="Times New Roman"/>
          <w:b/>
          <w:color w:val="auto"/>
          <w:sz w:val="28"/>
          <w:szCs w:val="28"/>
          <w:highlight w:val="none"/>
          <w:u w:val="single"/>
          <w:lang w:val="en-US" w:eastAsia="zh-CN"/>
        </w:rPr>
      </w:pPr>
      <w:r>
        <w:rPr>
          <w:rFonts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ascii="宋体" w:hAnsi="宋体" w:eastAsia="宋体" w:cs="宋体"/>
          <w:sz w:val="24"/>
          <w:szCs w:val="24"/>
          <w:highlight w:val="none"/>
        </w:rPr>
        <w:t>期：</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u w:val="single"/>
        </w:rPr>
        <w:t xml:space="preserve"> </w:t>
      </w:r>
    </w:p>
    <w:p w14:paraId="506CCCD5">
      <w:pPr>
        <w:spacing w:line="360" w:lineRule="auto"/>
        <w:jc w:val="center"/>
        <w:outlineLvl w:val="2"/>
        <w:rPr>
          <w:rFonts w:hint="eastAsia" w:ascii="Times New Roman" w:hAnsi="Times New Roman" w:cs="Times New Roman"/>
          <w:b/>
          <w:color w:val="auto"/>
          <w:sz w:val="28"/>
          <w:szCs w:val="28"/>
          <w:highlight w:val="none"/>
          <w:lang w:val="en-US" w:eastAsia="zh-CN"/>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3120"/>
        <w:gridCol w:w="2326"/>
        <w:gridCol w:w="2266"/>
      </w:tblGrid>
      <w:tr w14:paraId="3E6A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56366A89">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序号</w:t>
            </w:r>
          </w:p>
        </w:tc>
        <w:tc>
          <w:tcPr>
            <w:tcW w:w="3120" w:type="dxa"/>
          </w:tcPr>
          <w:p w14:paraId="63F72701">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项目名称</w:t>
            </w:r>
          </w:p>
        </w:tc>
        <w:tc>
          <w:tcPr>
            <w:tcW w:w="2326" w:type="dxa"/>
          </w:tcPr>
          <w:p w14:paraId="6C0ECCFC">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服务范围</w:t>
            </w:r>
          </w:p>
        </w:tc>
        <w:tc>
          <w:tcPr>
            <w:tcW w:w="2266" w:type="dxa"/>
          </w:tcPr>
          <w:p w14:paraId="70228C49">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备注</w:t>
            </w:r>
          </w:p>
        </w:tc>
      </w:tr>
      <w:tr w14:paraId="7ADA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4A41A48B">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1</w:t>
            </w:r>
          </w:p>
        </w:tc>
        <w:tc>
          <w:tcPr>
            <w:tcW w:w="3120" w:type="dxa"/>
          </w:tcPr>
          <w:p w14:paraId="075F6981">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0A74D28D">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754AD600">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49EB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270435A3">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2</w:t>
            </w:r>
          </w:p>
        </w:tc>
        <w:tc>
          <w:tcPr>
            <w:tcW w:w="3120" w:type="dxa"/>
          </w:tcPr>
          <w:p w14:paraId="23785BFB">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282441D9">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3EFE328E">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2B8A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70755CBB">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3</w:t>
            </w:r>
          </w:p>
        </w:tc>
        <w:tc>
          <w:tcPr>
            <w:tcW w:w="3120" w:type="dxa"/>
          </w:tcPr>
          <w:p w14:paraId="2BD7BA54">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16143513">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049DA584">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5053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3E5BF42B">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4</w:t>
            </w:r>
          </w:p>
        </w:tc>
        <w:tc>
          <w:tcPr>
            <w:tcW w:w="3120" w:type="dxa"/>
          </w:tcPr>
          <w:p w14:paraId="02FFD228">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37CBC82A">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0E5871C8">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6F1B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55659F68">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5</w:t>
            </w:r>
          </w:p>
        </w:tc>
        <w:tc>
          <w:tcPr>
            <w:tcW w:w="3120" w:type="dxa"/>
          </w:tcPr>
          <w:p w14:paraId="41231D77">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4142EA17">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3AB5242F">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6638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67448E54">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w:t>
            </w:r>
          </w:p>
        </w:tc>
        <w:tc>
          <w:tcPr>
            <w:tcW w:w="3120" w:type="dxa"/>
          </w:tcPr>
          <w:p w14:paraId="1158823C">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164376F8">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5A37E2CB">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bl>
    <w:p w14:paraId="6AE539D7">
      <w:pPr>
        <w:spacing w:line="360" w:lineRule="auto"/>
        <w:jc w:val="center"/>
        <w:outlineLvl w:val="2"/>
        <w:rPr>
          <w:rFonts w:hint="eastAsia" w:ascii="Times New Roman" w:hAnsi="Times New Roman" w:cs="Times New Roman"/>
          <w:b/>
          <w:color w:val="auto"/>
          <w:sz w:val="28"/>
          <w:szCs w:val="28"/>
          <w:highlight w:val="none"/>
          <w:lang w:val="en-US" w:eastAsia="zh-CN"/>
        </w:rPr>
      </w:pPr>
    </w:p>
    <w:p w14:paraId="5F725A21">
      <w:pPr>
        <w:spacing w:line="360" w:lineRule="auto"/>
        <w:jc w:val="both"/>
        <w:outlineLvl w:val="2"/>
        <w:rPr>
          <w:rFonts w:ascii="宋体" w:hAnsi="宋体" w:eastAsia="宋体" w:cs="宋体"/>
          <w:sz w:val="24"/>
          <w:szCs w:val="24"/>
          <w:highlight w:val="none"/>
        </w:rPr>
      </w:pPr>
      <w:r>
        <w:rPr>
          <w:rFonts w:ascii="宋体" w:hAnsi="宋体" w:eastAsia="宋体" w:cs="宋体"/>
          <w:b/>
          <w:bCs/>
          <w:sz w:val="24"/>
          <w:szCs w:val="24"/>
          <w:highlight w:val="none"/>
        </w:rPr>
        <w:t>备注：</w:t>
      </w:r>
      <w:r>
        <w:rPr>
          <w:rFonts w:ascii="宋体" w:hAnsi="宋体" w:eastAsia="宋体" w:cs="宋体"/>
          <w:sz w:val="24"/>
          <w:szCs w:val="24"/>
          <w:highlight w:val="none"/>
        </w:rPr>
        <w:t xml:space="preserve"> </w:t>
      </w:r>
    </w:p>
    <w:p w14:paraId="026443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eastAsia" w:ascii="Times New Roman" w:hAnsi="Times New Roman" w:eastAsia="宋体" w:cs="Times New Roman"/>
          <w:b/>
          <w:color w:val="auto"/>
          <w:sz w:val="28"/>
          <w:szCs w:val="28"/>
          <w:highlight w:val="none"/>
          <w:lang w:val="en-US" w:eastAsia="zh-CN"/>
        </w:rPr>
      </w:pPr>
      <w:r>
        <w:rPr>
          <w:rFonts w:ascii="宋体" w:hAnsi="宋体" w:eastAsia="宋体" w:cs="宋体"/>
          <w:sz w:val="24"/>
          <w:szCs w:val="24"/>
          <w:highlight w:val="none"/>
        </w:rPr>
        <w:t>表中所列业绩应为</w:t>
      </w:r>
      <w:r>
        <w:rPr>
          <w:rFonts w:hint="eastAsia" w:ascii="宋体" w:hAnsi="宋体" w:eastAsia="宋体" w:cs="宋体"/>
          <w:sz w:val="24"/>
          <w:szCs w:val="24"/>
          <w:highlight w:val="none"/>
          <w:lang w:val="en-US" w:eastAsia="zh-CN"/>
        </w:rPr>
        <w:t>投标人</w:t>
      </w:r>
      <w:r>
        <w:rPr>
          <w:rFonts w:ascii="宋体" w:hAnsi="宋体" w:eastAsia="宋体" w:cs="宋体"/>
          <w:sz w:val="24"/>
          <w:szCs w:val="24"/>
          <w:highlight w:val="none"/>
        </w:rPr>
        <w:t>满足</w:t>
      </w:r>
      <w:r>
        <w:rPr>
          <w:rFonts w:hint="eastAsia" w:ascii="宋体" w:hAnsi="宋体" w:eastAsia="宋体" w:cs="宋体"/>
          <w:sz w:val="24"/>
          <w:szCs w:val="24"/>
          <w:highlight w:val="none"/>
          <w:lang w:val="en-US" w:eastAsia="zh-CN"/>
        </w:rPr>
        <w:t>招标</w:t>
      </w:r>
      <w:r>
        <w:rPr>
          <w:rFonts w:ascii="宋体" w:hAnsi="宋体" w:eastAsia="宋体" w:cs="宋体"/>
          <w:sz w:val="24"/>
          <w:szCs w:val="24"/>
          <w:highlight w:val="none"/>
        </w:rPr>
        <w:t>文件要求的业绩</w:t>
      </w:r>
      <w:r>
        <w:rPr>
          <w:rFonts w:hint="eastAsia" w:ascii="宋体" w:hAnsi="宋体" w:eastAsia="宋体" w:cs="宋体"/>
          <w:sz w:val="24"/>
          <w:szCs w:val="24"/>
          <w:highlight w:val="none"/>
          <w:lang w:eastAsia="zh-CN"/>
        </w:rPr>
        <w:t>。</w:t>
      </w:r>
    </w:p>
    <w:p w14:paraId="5914A3C2">
      <w:pPr>
        <w:spacing w:line="360" w:lineRule="auto"/>
        <w:jc w:val="center"/>
        <w:outlineLvl w:val="2"/>
        <w:rPr>
          <w:rFonts w:hint="eastAsia" w:ascii="Times New Roman" w:hAnsi="Times New Roman" w:cs="Times New Roman"/>
          <w:b/>
          <w:color w:val="auto"/>
          <w:sz w:val="28"/>
          <w:szCs w:val="28"/>
          <w:highlight w:val="none"/>
          <w:lang w:val="en-US" w:eastAsia="zh-CN"/>
        </w:rPr>
      </w:pPr>
    </w:p>
    <w:p w14:paraId="08B7078E">
      <w:pPr>
        <w:spacing w:line="360" w:lineRule="auto"/>
        <w:jc w:val="center"/>
        <w:outlineLvl w:val="2"/>
        <w:rPr>
          <w:rFonts w:hint="eastAsia" w:ascii="Times New Roman" w:hAnsi="Times New Roman" w:cs="Times New Roman"/>
          <w:b/>
          <w:color w:val="auto"/>
          <w:sz w:val="28"/>
          <w:szCs w:val="28"/>
          <w:highlight w:val="none"/>
          <w:lang w:val="en-US" w:eastAsia="zh-CN"/>
        </w:rPr>
      </w:pPr>
    </w:p>
    <w:p w14:paraId="1087260E">
      <w:pPr>
        <w:spacing w:line="360" w:lineRule="auto"/>
        <w:jc w:val="center"/>
        <w:outlineLvl w:val="2"/>
        <w:rPr>
          <w:rFonts w:hint="eastAsia" w:ascii="Times New Roman" w:hAnsi="Times New Roman" w:cs="Times New Roman"/>
          <w:b/>
          <w:color w:val="auto"/>
          <w:sz w:val="28"/>
          <w:szCs w:val="28"/>
          <w:highlight w:val="none"/>
          <w:lang w:val="en-US" w:eastAsia="zh-CN"/>
        </w:rPr>
      </w:pPr>
    </w:p>
    <w:p w14:paraId="181E835E">
      <w:pPr>
        <w:spacing w:line="360" w:lineRule="auto"/>
        <w:jc w:val="center"/>
        <w:outlineLvl w:val="2"/>
        <w:rPr>
          <w:rFonts w:hint="eastAsia" w:ascii="Times New Roman" w:hAnsi="Times New Roman" w:cs="Times New Roman"/>
          <w:b/>
          <w:color w:val="auto"/>
          <w:sz w:val="28"/>
          <w:szCs w:val="28"/>
          <w:highlight w:val="none"/>
          <w:lang w:val="en-US" w:eastAsia="zh-CN"/>
        </w:rPr>
      </w:pPr>
    </w:p>
    <w:p w14:paraId="486B633B">
      <w:pPr>
        <w:spacing w:line="360" w:lineRule="auto"/>
        <w:jc w:val="center"/>
        <w:outlineLvl w:val="2"/>
        <w:rPr>
          <w:rFonts w:hint="eastAsia" w:ascii="Times New Roman" w:hAnsi="Times New Roman" w:cs="Times New Roman"/>
          <w:b/>
          <w:color w:val="auto"/>
          <w:sz w:val="28"/>
          <w:szCs w:val="28"/>
          <w:highlight w:val="none"/>
          <w:lang w:val="en-US" w:eastAsia="zh-CN"/>
        </w:rPr>
      </w:pPr>
    </w:p>
    <w:p w14:paraId="157D7BF9">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七、</w:t>
      </w:r>
      <w:r>
        <w:rPr>
          <w:rFonts w:hint="eastAsia" w:ascii="Times New Roman" w:hAnsi="Times New Roman" w:cs="Times New Roman"/>
          <w:b/>
          <w:color w:val="auto"/>
          <w:sz w:val="28"/>
          <w:szCs w:val="28"/>
          <w:highlight w:val="none"/>
          <w:lang w:val="en-US" w:eastAsia="zh-CN"/>
        </w:rPr>
        <w:t>人员配备</w:t>
      </w:r>
    </w:p>
    <w:p w14:paraId="4E72456D">
      <w:pPr>
        <w:pStyle w:val="58"/>
        <w:numPr>
          <w:ilvl w:val="0"/>
          <w:numId w:val="0"/>
        </w:numPr>
        <w:jc w:val="center"/>
        <w:rPr>
          <w:rFonts w:hint="eastAsia" w:ascii="Times New Roman" w:hAnsi="Times New Roman" w:eastAsia="宋体" w:cs="Times New Roman"/>
          <w:b/>
          <w:color w:val="auto"/>
          <w:kern w:val="2"/>
          <w:sz w:val="28"/>
          <w:szCs w:val="28"/>
          <w:highlight w:val="none"/>
          <w:lang w:val="en-US" w:eastAsia="zh-CN" w:bidi="ar-SA"/>
        </w:rPr>
      </w:pPr>
      <w:r>
        <w:rPr>
          <w:rFonts w:hint="eastAsia"/>
          <w:sz w:val="24"/>
          <w:szCs w:val="24"/>
          <w:highlight w:val="none"/>
          <w:lang w:val="en-US" w:eastAsia="zh-CN"/>
        </w:rPr>
        <w:t>（投标人可自拟制作格式）</w:t>
      </w:r>
    </w:p>
    <w:p w14:paraId="00C0F45C">
      <w:pPr>
        <w:numPr>
          <w:ilvl w:val="0"/>
          <w:numId w:val="0"/>
        </w:numPr>
        <w:spacing w:line="360" w:lineRule="auto"/>
        <w:jc w:val="center"/>
        <w:outlineLvl w:val="2"/>
        <w:rPr>
          <w:rFonts w:hint="eastAsia" w:ascii="Times New Roman" w:hAnsi="Times New Roman" w:eastAsia="宋体" w:cs="Times New Roman"/>
          <w:b/>
          <w:color w:val="auto"/>
          <w:kern w:val="2"/>
          <w:sz w:val="28"/>
          <w:szCs w:val="28"/>
          <w:highlight w:val="none"/>
          <w:lang w:val="en-US" w:eastAsia="zh-CN" w:bidi="ar-SA"/>
        </w:rPr>
      </w:pPr>
    </w:p>
    <w:p w14:paraId="55BF5DF4">
      <w:pPr>
        <w:numPr>
          <w:ilvl w:val="0"/>
          <w:numId w:val="0"/>
        </w:numPr>
        <w:spacing w:line="360" w:lineRule="auto"/>
        <w:jc w:val="center"/>
        <w:outlineLvl w:val="2"/>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八、</w:t>
      </w:r>
      <w:r>
        <w:rPr>
          <w:rFonts w:hint="eastAsia" w:ascii="Times New Roman" w:hAnsi="Times New Roman" w:eastAsia="宋体" w:cs="Times New Roman"/>
          <w:b/>
          <w:color w:val="auto"/>
          <w:sz w:val="28"/>
          <w:szCs w:val="28"/>
          <w:highlight w:val="none"/>
          <w:lang w:val="en-US" w:eastAsia="zh-CN"/>
        </w:rPr>
        <w:t>服务方案</w:t>
      </w:r>
    </w:p>
    <w:p w14:paraId="32EEB004">
      <w:pPr>
        <w:pStyle w:val="58"/>
        <w:numPr>
          <w:ilvl w:val="0"/>
          <w:numId w:val="0"/>
        </w:numPr>
        <w:jc w:val="center"/>
        <w:rPr>
          <w:rFonts w:hint="eastAsia" w:ascii="Times New Roman" w:hAnsi="Times New Roman" w:eastAsia="宋体" w:cs="Times New Roman"/>
          <w:b/>
          <w:color w:val="auto"/>
          <w:kern w:val="2"/>
          <w:sz w:val="28"/>
          <w:szCs w:val="28"/>
          <w:highlight w:val="none"/>
          <w:lang w:val="en-US" w:eastAsia="zh-CN" w:bidi="ar-SA"/>
        </w:rPr>
      </w:pPr>
      <w:r>
        <w:rPr>
          <w:rFonts w:hint="eastAsia"/>
          <w:sz w:val="24"/>
          <w:szCs w:val="24"/>
          <w:highlight w:val="none"/>
          <w:lang w:val="en-US" w:eastAsia="zh-CN"/>
        </w:rPr>
        <w:t>（投标人可自拟制作格式）</w:t>
      </w:r>
    </w:p>
    <w:p w14:paraId="4BD2A1AA">
      <w:pPr>
        <w:numPr>
          <w:ilvl w:val="0"/>
          <w:numId w:val="0"/>
        </w:numPr>
        <w:spacing w:line="360" w:lineRule="auto"/>
        <w:jc w:val="center"/>
        <w:outlineLvl w:val="2"/>
        <w:rPr>
          <w:rFonts w:hint="eastAsia" w:ascii="Times New Roman" w:hAnsi="Times New Roman" w:eastAsia="宋体" w:cs="Times New Roman"/>
          <w:b/>
          <w:color w:val="auto"/>
          <w:kern w:val="2"/>
          <w:sz w:val="28"/>
          <w:szCs w:val="28"/>
          <w:highlight w:val="none"/>
          <w:lang w:val="en-US" w:eastAsia="zh-CN" w:bidi="ar-SA"/>
        </w:rPr>
      </w:pPr>
    </w:p>
    <w:p w14:paraId="03A40413">
      <w:pPr>
        <w:numPr>
          <w:ilvl w:val="0"/>
          <w:numId w:val="0"/>
        </w:numPr>
        <w:spacing w:line="360" w:lineRule="auto"/>
        <w:jc w:val="center"/>
        <w:outlineLvl w:val="2"/>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九、</w:t>
      </w:r>
      <w:r>
        <w:rPr>
          <w:rFonts w:hint="eastAsia" w:ascii="Times New Roman" w:hAnsi="Times New Roman" w:eastAsia="宋体" w:cs="Times New Roman"/>
          <w:b/>
          <w:color w:val="auto"/>
          <w:sz w:val="28"/>
          <w:szCs w:val="28"/>
          <w:highlight w:val="none"/>
          <w:lang w:val="en-US" w:eastAsia="zh-CN"/>
        </w:rPr>
        <w:t>服务承诺</w:t>
      </w:r>
    </w:p>
    <w:p w14:paraId="1E2E54E8">
      <w:pPr>
        <w:pStyle w:val="58"/>
        <w:numPr>
          <w:ilvl w:val="0"/>
          <w:numId w:val="0"/>
        </w:numPr>
        <w:jc w:val="center"/>
        <w:rPr>
          <w:rFonts w:hint="eastAsia" w:ascii="Times New Roman" w:hAnsi="Times New Roman" w:cs="Times New Roman"/>
          <w:b/>
          <w:color w:val="auto"/>
          <w:sz w:val="28"/>
          <w:szCs w:val="28"/>
          <w:highlight w:val="none"/>
          <w:lang w:val="en-US" w:eastAsia="zh-CN"/>
        </w:rPr>
      </w:pPr>
      <w:r>
        <w:rPr>
          <w:rFonts w:hint="eastAsia"/>
          <w:sz w:val="24"/>
          <w:szCs w:val="24"/>
          <w:highlight w:val="none"/>
          <w:lang w:val="en-US" w:eastAsia="zh-CN"/>
        </w:rPr>
        <w:t>（投标人可自拟制作格式）</w:t>
      </w:r>
    </w:p>
    <w:p w14:paraId="75DEADBC">
      <w:pPr>
        <w:spacing w:line="360" w:lineRule="auto"/>
        <w:jc w:val="both"/>
        <w:outlineLvl w:val="2"/>
        <w:rPr>
          <w:rFonts w:hint="eastAsia" w:ascii="Times New Roman" w:hAnsi="Times New Roman" w:cs="Times New Roman"/>
          <w:b/>
          <w:color w:val="auto"/>
          <w:sz w:val="28"/>
          <w:szCs w:val="28"/>
          <w:highlight w:val="none"/>
          <w:lang w:val="en-US" w:eastAsia="zh-CN"/>
        </w:rPr>
      </w:pPr>
    </w:p>
    <w:p w14:paraId="614306F1">
      <w:pPr>
        <w:spacing w:line="360" w:lineRule="auto"/>
        <w:jc w:val="center"/>
        <w:outlineLvl w:val="2"/>
        <w:rPr>
          <w:rFonts w:hint="eastAsia" w:ascii="Times New Roman" w:hAnsi="Times New Roman" w:cs="Times New Roman"/>
          <w:b/>
          <w:color w:val="auto"/>
          <w:sz w:val="28"/>
          <w:szCs w:val="28"/>
          <w:highlight w:val="none"/>
          <w:lang w:val="en-US" w:eastAsia="zh-CN"/>
        </w:rPr>
      </w:pPr>
    </w:p>
    <w:p w14:paraId="480992D7">
      <w:pPr>
        <w:spacing w:line="360" w:lineRule="auto"/>
        <w:jc w:val="center"/>
        <w:outlineLvl w:val="2"/>
        <w:rPr>
          <w:rFonts w:hint="eastAsia" w:ascii="Times New Roman" w:hAnsi="Times New Roman" w:cs="Times New Roman"/>
          <w:b/>
          <w:color w:val="auto"/>
          <w:sz w:val="28"/>
          <w:szCs w:val="28"/>
          <w:highlight w:val="none"/>
          <w:lang w:val="en-US" w:eastAsia="zh-CN"/>
        </w:rPr>
      </w:pPr>
    </w:p>
    <w:p w14:paraId="3A616449">
      <w:pPr>
        <w:spacing w:line="360" w:lineRule="auto"/>
        <w:jc w:val="center"/>
        <w:outlineLvl w:val="2"/>
        <w:rPr>
          <w:rFonts w:hint="eastAsia" w:ascii="Times New Roman" w:hAnsi="Times New Roman" w:cs="Times New Roman"/>
          <w:b/>
          <w:color w:val="auto"/>
          <w:sz w:val="28"/>
          <w:szCs w:val="28"/>
          <w:highlight w:val="none"/>
          <w:lang w:val="en-US" w:eastAsia="zh-CN"/>
        </w:rPr>
      </w:pPr>
    </w:p>
    <w:p w14:paraId="0A782F53">
      <w:pPr>
        <w:spacing w:line="360" w:lineRule="auto"/>
        <w:jc w:val="center"/>
        <w:outlineLvl w:val="2"/>
        <w:rPr>
          <w:rFonts w:hint="eastAsia" w:ascii="Times New Roman" w:hAnsi="Times New Roman" w:cs="Times New Roman"/>
          <w:b/>
          <w:color w:val="auto"/>
          <w:sz w:val="28"/>
          <w:szCs w:val="28"/>
          <w:highlight w:val="none"/>
          <w:lang w:val="en-US" w:eastAsia="zh-CN"/>
        </w:rPr>
      </w:pPr>
    </w:p>
    <w:p w14:paraId="51768B7A">
      <w:pPr>
        <w:spacing w:line="360" w:lineRule="auto"/>
        <w:jc w:val="center"/>
        <w:outlineLvl w:val="2"/>
        <w:rPr>
          <w:rFonts w:hint="eastAsia" w:ascii="Times New Roman" w:hAnsi="Times New Roman" w:cs="Times New Roman"/>
          <w:b/>
          <w:color w:val="auto"/>
          <w:sz w:val="28"/>
          <w:szCs w:val="28"/>
          <w:highlight w:val="none"/>
          <w:lang w:val="en-US" w:eastAsia="zh-CN"/>
        </w:rPr>
      </w:pPr>
    </w:p>
    <w:p w14:paraId="0D78490C">
      <w:pPr>
        <w:spacing w:line="360" w:lineRule="auto"/>
        <w:jc w:val="center"/>
        <w:outlineLvl w:val="2"/>
        <w:rPr>
          <w:rFonts w:hint="eastAsia" w:ascii="Times New Roman" w:hAnsi="Times New Roman" w:cs="Times New Roman"/>
          <w:b/>
          <w:color w:val="auto"/>
          <w:sz w:val="28"/>
          <w:szCs w:val="28"/>
          <w:highlight w:val="none"/>
          <w:lang w:val="en-US" w:eastAsia="zh-CN"/>
        </w:rPr>
      </w:pPr>
    </w:p>
    <w:p w14:paraId="285AFE90">
      <w:pPr>
        <w:spacing w:line="360" w:lineRule="auto"/>
        <w:jc w:val="center"/>
        <w:outlineLvl w:val="2"/>
        <w:rPr>
          <w:rFonts w:hint="eastAsia" w:ascii="Times New Roman" w:hAnsi="Times New Roman" w:cs="Times New Roman"/>
          <w:b/>
          <w:color w:val="auto"/>
          <w:sz w:val="28"/>
          <w:szCs w:val="28"/>
          <w:highlight w:val="none"/>
          <w:lang w:val="en-US" w:eastAsia="zh-CN"/>
        </w:rPr>
      </w:pPr>
    </w:p>
    <w:p w14:paraId="14F51779">
      <w:pPr>
        <w:spacing w:line="360" w:lineRule="auto"/>
        <w:jc w:val="center"/>
        <w:outlineLvl w:val="2"/>
        <w:rPr>
          <w:rFonts w:hint="eastAsia" w:ascii="Times New Roman" w:hAnsi="Times New Roman" w:cs="Times New Roman"/>
          <w:b/>
          <w:color w:val="auto"/>
          <w:sz w:val="28"/>
          <w:szCs w:val="28"/>
          <w:highlight w:val="none"/>
          <w:lang w:val="en-US" w:eastAsia="zh-CN"/>
        </w:rPr>
      </w:pPr>
    </w:p>
    <w:p w14:paraId="7FF30CC8">
      <w:pPr>
        <w:spacing w:line="360" w:lineRule="auto"/>
        <w:jc w:val="center"/>
        <w:outlineLvl w:val="2"/>
        <w:rPr>
          <w:rFonts w:hint="eastAsia" w:ascii="Times New Roman" w:hAnsi="Times New Roman" w:cs="Times New Roman"/>
          <w:b/>
          <w:color w:val="auto"/>
          <w:sz w:val="28"/>
          <w:szCs w:val="28"/>
          <w:highlight w:val="none"/>
          <w:lang w:val="en-US" w:eastAsia="zh-CN"/>
        </w:rPr>
      </w:pPr>
    </w:p>
    <w:p w14:paraId="6BE9529B">
      <w:pPr>
        <w:spacing w:line="360" w:lineRule="auto"/>
        <w:jc w:val="center"/>
        <w:outlineLvl w:val="2"/>
        <w:rPr>
          <w:rFonts w:hint="eastAsia" w:ascii="Times New Roman" w:hAnsi="Times New Roman" w:cs="Times New Roman"/>
          <w:b/>
          <w:color w:val="auto"/>
          <w:sz w:val="28"/>
          <w:szCs w:val="28"/>
          <w:highlight w:val="none"/>
          <w:lang w:val="en-US" w:eastAsia="zh-CN"/>
        </w:rPr>
      </w:pPr>
    </w:p>
    <w:p w14:paraId="5C380923">
      <w:pPr>
        <w:spacing w:line="360" w:lineRule="auto"/>
        <w:jc w:val="center"/>
        <w:outlineLvl w:val="2"/>
        <w:rPr>
          <w:rFonts w:hint="eastAsia" w:ascii="Times New Roman" w:hAnsi="Times New Roman" w:cs="Times New Roman"/>
          <w:b/>
          <w:color w:val="auto"/>
          <w:sz w:val="28"/>
          <w:szCs w:val="28"/>
          <w:highlight w:val="none"/>
          <w:lang w:val="en-US" w:eastAsia="zh-CN"/>
        </w:rPr>
      </w:pPr>
    </w:p>
    <w:p w14:paraId="2DF9CBEA">
      <w:pPr>
        <w:spacing w:line="360" w:lineRule="auto"/>
        <w:jc w:val="center"/>
        <w:outlineLvl w:val="2"/>
        <w:rPr>
          <w:rFonts w:hint="eastAsia" w:ascii="Times New Roman" w:hAnsi="Times New Roman" w:cs="Times New Roman"/>
          <w:b/>
          <w:color w:val="auto"/>
          <w:sz w:val="28"/>
          <w:szCs w:val="28"/>
          <w:highlight w:val="none"/>
          <w:lang w:val="en-US" w:eastAsia="zh-CN"/>
        </w:rPr>
      </w:pPr>
    </w:p>
    <w:p w14:paraId="1C6D033D">
      <w:pPr>
        <w:spacing w:line="360" w:lineRule="auto"/>
        <w:jc w:val="center"/>
        <w:outlineLvl w:val="2"/>
        <w:rPr>
          <w:rFonts w:hint="eastAsia" w:ascii="Times New Roman" w:hAnsi="Times New Roman" w:cs="Times New Roman"/>
          <w:b/>
          <w:color w:val="auto"/>
          <w:sz w:val="28"/>
          <w:szCs w:val="28"/>
          <w:highlight w:val="none"/>
          <w:lang w:val="en-US" w:eastAsia="zh-CN"/>
        </w:rPr>
      </w:pPr>
    </w:p>
    <w:p w14:paraId="637E6856">
      <w:pPr>
        <w:spacing w:line="360" w:lineRule="auto"/>
        <w:jc w:val="center"/>
        <w:outlineLvl w:val="2"/>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十</w:t>
      </w:r>
      <w:r>
        <w:rPr>
          <w:rFonts w:hint="default" w:ascii="Times New Roman" w:hAnsi="Times New Roman" w:cs="Times New Roman"/>
          <w:b/>
          <w:color w:val="auto"/>
          <w:sz w:val="28"/>
          <w:szCs w:val="28"/>
          <w:highlight w:val="none"/>
        </w:rPr>
        <w:t>、其他相关证明材料</w:t>
      </w:r>
    </w:p>
    <w:p w14:paraId="153EF1DB">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1E93CF9A">
      <w:pPr>
        <w:spacing w:line="360" w:lineRule="auto"/>
        <w:ind w:firstLine="435"/>
        <w:rPr>
          <w:rFonts w:hint="default" w:ascii="Times New Roman" w:hAnsi="Times New Roman" w:cs="Times New Roman"/>
          <w:color w:val="auto"/>
          <w:sz w:val="24"/>
          <w:highlight w:val="none"/>
        </w:rPr>
      </w:pPr>
    </w:p>
    <w:p w14:paraId="7C32FB8F">
      <w:pPr>
        <w:pStyle w:val="32"/>
        <w:rPr>
          <w:rFonts w:hint="default" w:ascii="Times New Roman" w:hAnsi="Times New Roman" w:cs="Times New Roman"/>
          <w:color w:val="auto"/>
          <w:sz w:val="24"/>
          <w:highlight w:val="none"/>
        </w:rPr>
      </w:pPr>
    </w:p>
    <w:p w14:paraId="09FB86B4">
      <w:pPr>
        <w:rPr>
          <w:rFonts w:hint="default" w:ascii="Times New Roman" w:hAnsi="Times New Roman" w:cs="Times New Roman"/>
          <w:color w:val="auto"/>
          <w:sz w:val="24"/>
          <w:highlight w:val="none"/>
        </w:rPr>
      </w:pPr>
    </w:p>
    <w:p w14:paraId="637A1F50">
      <w:pPr>
        <w:pStyle w:val="32"/>
        <w:rPr>
          <w:rFonts w:hint="default" w:ascii="Times New Roman" w:hAnsi="Times New Roman" w:cs="Times New Roman"/>
          <w:color w:val="auto"/>
          <w:sz w:val="24"/>
          <w:highlight w:val="none"/>
        </w:rPr>
      </w:pPr>
    </w:p>
    <w:p w14:paraId="08F09FF2">
      <w:pPr>
        <w:rPr>
          <w:rFonts w:hint="default" w:ascii="Times New Roman" w:hAnsi="Times New Roman" w:cs="Times New Roman"/>
          <w:color w:val="auto"/>
          <w:sz w:val="28"/>
          <w:szCs w:val="28"/>
          <w:highlight w:val="none"/>
        </w:rPr>
      </w:pPr>
    </w:p>
    <w:p w14:paraId="22B03B12">
      <w:pPr>
        <w:jc w:val="center"/>
        <w:rPr>
          <w:rFonts w:hint="default" w:ascii="Times New Roman" w:hAnsi="Times New Roman" w:cs="Times New Roman"/>
          <w:color w:val="auto"/>
          <w:sz w:val="32"/>
          <w:szCs w:val="28"/>
          <w:highlight w:val="none"/>
          <w:lang w:val="en-US" w:eastAsia="zh-CN"/>
        </w:rPr>
      </w:pPr>
    </w:p>
    <w:p w14:paraId="6DE44BE9">
      <w:pPr>
        <w:jc w:val="center"/>
        <w:rPr>
          <w:rFonts w:hint="default" w:ascii="Times New Roman" w:hAnsi="Times New Roman" w:eastAsia="宋体" w:cs="Times New Roman"/>
          <w:color w:val="auto"/>
          <w:sz w:val="32"/>
          <w:szCs w:val="28"/>
          <w:highlight w:val="none"/>
          <w:lang w:val="en-US" w:eastAsia="zh-CN"/>
        </w:rPr>
      </w:pPr>
    </w:p>
    <w:p w14:paraId="75C39B4A">
      <w:pPr>
        <w:pStyle w:val="58"/>
        <w:rPr>
          <w:rFonts w:hint="default"/>
          <w:highlight w:val="none"/>
          <w:lang w:val="en-US" w:eastAsia="zh-CN"/>
        </w:rPr>
      </w:pPr>
    </w:p>
    <w:p w14:paraId="08944197">
      <w:pPr>
        <w:jc w:val="center"/>
        <w:rPr>
          <w:rFonts w:hint="default" w:ascii="Times New Roman" w:hAnsi="Times New Roman" w:eastAsia="宋体" w:cs="Times New Roman"/>
          <w:color w:val="auto"/>
          <w:sz w:val="32"/>
          <w:szCs w:val="28"/>
          <w:highlight w:val="none"/>
          <w:lang w:val="en-US" w:eastAsia="zh-CN"/>
        </w:rPr>
      </w:pPr>
    </w:p>
    <w:sectPr>
      <w:headerReference r:id="rId6" w:type="default"/>
      <w:footerReference r:id="rId7" w:type="default"/>
      <w:pgSz w:w="11905" w:h="16838"/>
      <w:pgMar w:top="2098" w:right="1474" w:bottom="1701" w:left="1587" w:header="850"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064E18E-FFC8-491C-B57F-B14C65EB5D1D}"/>
  </w:font>
  <w:font w:name="黑体">
    <w:panose1 w:val="02010609060101010101"/>
    <w:charset w:val="86"/>
    <w:family w:val="auto"/>
    <w:pitch w:val="default"/>
    <w:sig w:usb0="800002BF" w:usb1="38CF7CFA" w:usb2="00000016" w:usb3="00000000" w:csb0="00040001" w:csb1="00000000"/>
    <w:embedRegular r:id="rId2" w:fontKey="{FCA1C05E-5CD5-4AB7-A7D5-B6D1FD62BB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EE670191-E5AC-4672-9C3B-80D5A005597A}"/>
  </w:font>
  <w:font w:name="微软雅黑">
    <w:panose1 w:val="020B0503020204020204"/>
    <w:charset w:val="86"/>
    <w:family w:val="swiss"/>
    <w:pitch w:val="default"/>
    <w:sig w:usb0="80000287" w:usb1="2ACF3C50" w:usb2="00000016" w:usb3="00000000" w:csb0="0004001F" w:csb1="00000000"/>
    <w:embedRegular r:id="rId4" w:fontKey="{84FFF12A-4AA3-42AE-A1FE-7FAD227E84D8}"/>
  </w:font>
  <w:font w:name="MS Mincho">
    <w:altName w:val="MS UI Gothic"/>
    <w:panose1 w:val="02020609040205080304"/>
    <w:charset w:val="00"/>
    <w:family w:val="modern"/>
    <w:pitch w:val="default"/>
    <w:sig w:usb0="00000000" w:usb1="00000000" w:usb2="00000010" w:usb3="00000000" w:csb0="4002009F" w:csb1="DFD70000"/>
    <w:embedRegular r:id="rId5" w:fontKey="{26D499BE-2D0E-403F-A4E6-0F63BD505A14}"/>
  </w:font>
  <w:font w:name="MS UI Gothic">
    <w:panose1 w:val="020B0600070205080204"/>
    <w:charset w:val="80"/>
    <w:family w:val="auto"/>
    <w:pitch w:val="default"/>
    <w:sig w:usb0="E00002FF" w:usb1="6AC7FDFB" w:usb2="08000012" w:usb3="00000000" w:csb0="4002009F" w:csb1="DFD70000"/>
  </w:font>
  <w:font w:name="Wingdings 2">
    <w:panose1 w:val="05020102010507070707"/>
    <w:charset w:val="02"/>
    <w:family w:val="decorative"/>
    <w:pitch w:val="default"/>
    <w:sig w:usb0="00000000" w:usb1="00000000" w:usb2="00000000" w:usb3="00000000" w:csb0="80000000" w:csb1="00000000"/>
    <w:embedRegular r:id="rId6" w:fontKey="{64025BA0-4EE4-4BFF-807C-4F1BFB0D45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65686"/>
    <w:multiLevelType w:val="multilevel"/>
    <w:tmpl w:val="58765686"/>
    <w:lvl w:ilvl="0" w:tentative="0">
      <w:start w:val="1"/>
      <w:numFmt w:val="decimal"/>
      <w:lvlText w:val="（%1）"/>
      <w:lvlJc w:val="left"/>
      <w:pPr>
        <w:ind w:left="637"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225" w:hanging="529"/>
      </w:pPr>
      <w:rPr>
        <w:rFonts w:hint="default"/>
        <w:lang w:val="zh-CN" w:eastAsia="zh-CN" w:bidi="zh-CN"/>
      </w:rPr>
    </w:lvl>
    <w:lvl w:ilvl="2" w:tentative="0">
      <w:start w:val="0"/>
      <w:numFmt w:val="bullet"/>
      <w:lvlText w:val="•"/>
      <w:lvlJc w:val="left"/>
      <w:pPr>
        <w:ind w:left="1810" w:hanging="529"/>
      </w:pPr>
      <w:rPr>
        <w:rFonts w:hint="default"/>
        <w:lang w:val="zh-CN" w:eastAsia="zh-CN" w:bidi="zh-CN"/>
      </w:rPr>
    </w:lvl>
    <w:lvl w:ilvl="3" w:tentative="0">
      <w:start w:val="0"/>
      <w:numFmt w:val="bullet"/>
      <w:lvlText w:val="•"/>
      <w:lvlJc w:val="left"/>
      <w:pPr>
        <w:ind w:left="2395" w:hanging="529"/>
      </w:pPr>
      <w:rPr>
        <w:rFonts w:hint="default"/>
        <w:lang w:val="zh-CN" w:eastAsia="zh-CN" w:bidi="zh-CN"/>
      </w:rPr>
    </w:lvl>
    <w:lvl w:ilvl="4" w:tentative="0">
      <w:start w:val="0"/>
      <w:numFmt w:val="bullet"/>
      <w:lvlText w:val="•"/>
      <w:lvlJc w:val="left"/>
      <w:pPr>
        <w:ind w:left="2980" w:hanging="529"/>
      </w:pPr>
      <w:rPr>
        <w:rFonts w:hint="default"/>
        <w:lang w:val="zh-CN" w:eastAsia="zh-CN" w:bidi="zh-CN"/>
      </w:rPr>
    </w:lvl>
    <w:lvl w:ilvl="5" w:tentative="0">
      <w:start w:val="0"/>
      <w:numFmt w:val="bullet"/>
      <w:lvlText w:val="•"/>
      <w:lvlJc w:val="left"/>
      <w:pPr>
        <w:ind w:left="3565" w:hanging="529"/>
      </w:pPr>
      <w:rPr>
        <w:rFonts w:hint="default"/>
        <w:lang w:val="zh-CN" w:eastAsia="zh-CN" w:bidi="zh-CN"/>
      </w:rPr>
    </w:lvl>
    <w:lvl w:ilvl="6" w:tentative="0">
      <w:start w:val="0"/>
      <w:numFmt w:val="bullet"/>
      <w:lvlText w:val="•"/>
      <w:lvlJc w:val="left"/>
      <w:pPr>
        <w:ind w:left="4150" w:hanging="529"/>
      </w:pPr>
      <w:rPr>
        <w:rFonts w:hint="default"/>
        <w:lang w:val="zh-CN" w:eastAsia="zh-CN" w:bidi="zh-CN"/>
      </w:rPr>
    </w:lvl>
    <w:lvl w:ilvl="7" w:tentative="0">
      <w:start w:val="0"/>
      <w:numFmt w:val="bullet"/>
      <w:lvlText w:val="•"/>
      <w:lvlJc w:val="left"/>
      <w:pPr>
        <w:ind w:left="4735" w:hanging="529"/>
      </w:pPr>
      <w:rPr>
        <w:rFonts w:hint="default"/>
        <w:lang w:val="zh-CN" w:eastAsia="zh-CN" w:bidi="zh-CN"/>
      </w:rPr>
    </w:lvl>
    <w:lvl w:ilvl="8" w:tentative="0">
      <w:start w:val="0"/>
      <w:numFmt w:val="bullet"/>
      <w:lvlText w:val="•"/>
      <w:lvlJc w:val="left"/>
      <w:pPr>
        <w:ind w:left="5320" w:hanging="529"/>
      </w:pPr>
      <w:rPr>
        <w:rFonts w:hint="default"/>
        <w:lang w:val="zh-CN" w:eastAsia="zh-CN" w:bidi="zh-CN"/>
      </w:rPr>
    </w:lvl>
  </w:abstractNum>
  <w:abstractNum w:abstractNumId="1">
    <w:nsid w:val="629F7852"/>
    <w:multiLevelType w:val="multilevel"/>
    <w:tmpl w:val="629F7852"/>
    <w:lvl w:ilvl="0" w:tentative="0">
      <w:start w:val="1"/>
      <w:numFmt w:val="decimal"/>
      <w:lvlText w:val="%1."/>
      <w:lvlJc w:val="left"/>
      <w:pPr>
        <w:ind w:left="687"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1452" w:hanging="160"/>
      </w:pPr>
      <w:rPr>
        <w:rFonts w:hint="default"/>
        <w:lang w:val="zh-CN" w:eastAsia="zh-CN" w:bidi="zh-CN"/>
      </w:rPr>
    </w:lvl>
    <w:lvl w:ilvl="2" w:tentative="0">
      <w:start w:val="0"/>
      <w:numFmt w:val="bullet"/>
      <w:lvlText w:val="•"/>
      <w:lvlJc w:val="left"/>
      <w:pPr>
        <w:ind w:left="2225" w:hanging="160"/>
      </w:pPr>
      <w:rPr>
        <w:rFonts w:hint="default"/>
        <w:lang w:val="zh-CN" w:eastAsia="zh-CN" w:bidi="zh-CN"/>
      </w:rPr>
    </w:lvl>
    <w:lvl w:ilvl="3" w:tentative="0">
      <w:start w:val="0"/>
      <w:numFmt w:val="bullet"/>
      <w:lvlText w:val="•"/>
      <w:lvlJc w:val="left"/>
      <w:pPr>
        <w:ind w:left="2997" w:hanging="160"/>
      </w:pPr>
      <w:rPr>
        <w:rFonts w:hint="default"/>
        <w:lang w:val="zh-CN" w:eastAsia="zh-CN" w:bidi="zh-CN"/>
      </w:rPr>
    </w:lvl>
    <w:lvl w:ilvl="4" w:tentative="0">
      <w:start w:val="0"/>
      <w:numFmt w:val="bullet"/>
      <w:lvlText w:val="•"/>
      <w:lvlJc w:val="left"/>
      <w:pPr>
        <w:ind w:left="3770" w:hanging="160"/>
      </w:pPr>
      <w:rPr>
        <w:rFonts w:hint="default"/>
        <w:lang w:val="zh-CN" w:eastAsia="zh-CN" w:bidi="zh-CN"/>
      </w:rPr>
    </w:lvl>
    <w:lvl w:ilvl="5" w:tentative="0">
      <w:start w:val="0"/>
      <w:numFmt w:val="bullet"/>
      <w:lvlText w:val="•"/>
      <w:lvlJc w:val="left"/>
      <w:pPr>
        <w:ind w:left="4543" w:hanging="160"/>
      </w:pPr>
      <w:rPr>
        <w:rFonts w:hint="default"/>
        <w:lang w:val="zh-CN" w:eastAsia="zh-CN" w:bidi="zh-CN"/>
      </w:rPr>
    </w:lvl>
    <w:lvl w:ilvl="6" w:tentative="0">
      <w:start w:val="0"/>
      <w:numFmt w:val="bullet"/>
      <w:lvlText w:val="•"/>
      <w:lvlJc w:val="left"/>
      <w:pPr>
        <w:ind w:left="5315" w:hanging="160"/>
      </w:pPr>
      <w:rPr>
        <w:rFonts w:hint="default"/>
        <w:lang w:val="zh-CN" w:eastAsia="zh-CN" w:bidi="zh-CN"/>
      </w:rPr>
    </w:lvl>
    <w:lvl w:ilvl="7" w:tentative="0">
      <w:start w:val="0"/>
      <w:numFmt w:val="bullet"/>
      <w:lvlText w:val="•"/>
      <w:lvlJc w:val="left"/>
      <w:pPr>
        <w:ind w:left="6088" w:hanging="160"/>
      </w:pPr>
      <w:rPr>
        <w:rFonts w:hint="default"/>
        <w:lang w:val="zh-CN" w:eastAsia="zh-CN" w:bidi="zh-CN"/>
      </w:rPr>
    </w:lvl>
    <w:lvl w:ilvl="8" w:tentative="0">
      <w:start w:val="0"/>
      <w:numFmt w:val="bullet"/>
      <w:lvlText w:val="•"/>
      <w:lvlJc w:val="left"/>
      <w:pPr>
        <w:ind w:left="6860" w:hanging="160"/>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DU3ZjBjYzJjMzIyZmRlNGE1YjkyODVmYmY1NWQ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4FFD"/>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7CD"/>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120B4"/>
    <w:rsid w:val="017B2F92"/>
    <w:rsid w:val="017B7436"/>
    <w:rsid w:val="01AF35D1"/>
    <w:rsid w:val="01B15D5D"/>
    <w:rsid w:val="01C17FEF"/>
    <w:rsid w:val="01C42B8B"/>
    <w:rsid w:val="01ED7DBB"/>
    <w:rsid w:val="01EF13EE"/>
    <w:rsid w:val="02001055"/>
    <w:rsid w:val="02103D94"/>
    <w:rsid w:val="02151EEE"/>
    <w:rsid w:val="021C2189"/>
    <w:rsid w:val="021F4265"/>
    <w:rsid w:val="02364FBB"/>
    <w:rsid w:val="02382C27"/>
    <w:rsid w:val="023F3511"/>
    <w:rsid w:val="026E346E"/>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BE5FB8"/>
    <w:rsid w:val="04C866EB"/>
    <w:rsid w:val="04DB2CAD"/>
    <w:rsid w:val="04F44A69"/>
    <w:rsid w:val="04F5119C"/>
    <w:rsid w:val="04F96FF0"/>
    <w:rsid w:val="04FA68C4"/>
    <w:rsid w:val="05006369"/>
    <w:rsid w:val="0500742E"/>
    <w:rsid w:val="050F05C1"/>
    <w:rsid w:val="05194546"/>
    <w:rsid w:val="0524576E"/>
    <w:rsid w:val="05373ADC"/>
    <w:rsid w:val="05575AC4"/>
    <w:rsid w:val="057D0F55"/>
    <w:rsid w:val="057D520D"/>
    <w:rsid w:val="058A03B9"/>
    <w:rsid w:val="058E754E"/>
    <w:rsid w:val="05A05B06"/>
    <w:rsid w:val="05AC08F7"/>
    <w:rsid w:val="05CA5B9D"/>
    <w:rsid w:val="05CB3411"/>
    <w:rsid w:val="05D30528"/>
    <w:rsid w:val="05D4629F"/>
    <w:rsid w:val="05ED6429"/>
    <w:rsid w:val="05F872A7"/>
    <w:rsid w:val="062E4A77"/>
    <w:rsid w:val="065E3ED0"/>
    <w:rsid w:val="066F6244"/>
    <w:rsid w:val="06704764"/>
    <w:rsid w:val="067F61EA"/>
    <w:rsid w:val="068C0D46"/>
    <w:rsid w:val="069B740A"/>
    <w:rsid w:val="069D2BE0"/>
    <w:rsid w:val="06A116ED"/>
    <w:rsid w:val="06AE5768"/>
    <w:rsid w:val="06B86512"/>
    <w:rsid w:val="06C5217B"/>
    <w:rsid w:val="06F3181D"/>
    <w:rsid w:val="0700034F"/>
    <w:rsid w:val="07171DAE"/>
    <w:rsid w:val="071874D5"/>
    <w:rsid w:val="071F7685"/>
    <w:rsid w:val="0729785D"/>
    <w:rsid w:val="073A3E6D"/>
    <w:rsid w:val="07534192"/>
    <w:rsid w:val="075524D7"/>
    <w:rsid w:val="075C5614"/>
    <w:rsid w:val="07924A9B"/>
    <w:rsid w:val="07971970"/>
    <w:rsid w:val="07B45450"/>
    <w:rsid w:val="07B87556"/>
    <w:rsid w:val="07E61381"/>
    <w:rsid w:val="07F33DC6"/>
    <w:rsid w:val="085F62D4"/>
    <w:rsid w:val="08935065"/>
    <w:rsid w:val="08B50556"/>
    <w:rsid w:val="08D12F8B"/>
    <w:rsid w:val="08E96A5C"/>
    <w:rsid w:val="0909558F"/>
    <w:rsid w:val="0932487E"/>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536A8"/>
    <w:rsid w:val="0AA84591"/>
    <w:rsid w:val="0ABE349C"/>
    <w:rsid w:val="0AD57BB7"/>
    <w:rsid w:val="0ADE52FB"/>
    <w:rsid w:val="0AE60A5A"/>
    <w:rsid w:val="0B224DC6"/>
    <w:rsid w:val="0B23686C"/>
    <w:rsid w:val="0B5F3925"/>
    <w:rsid w:val="0B6121D2"/>
    <w:rsid w:val="0B6A07AF"/>
    <w:rsid w:val="0B7F3FC7"/>
    <w:rsid w:val="0BDA16AA"/>
    <w:rsid w:val="0BE1330C"/>
    <w:rsid w:val="0BFB1B63"/>
    <w:rsid w:val="0C073878"/>
    <w:rsid w:val="0C410E60"/>
    <w:rsid w:val="0C523489"/>
    <w:rsid w:val="0C7840D0"/>
    <w:rsid w:val="0C7F1C11"/>
    <w:rsid w:val="0C8C02F7"/>
    <w:rsid w:val="0CBA5828"/>
    <w:rsid w:val="0CD438CB"/>
    <w:rsid w:val="0CE42333"/>
    <w:rsid w:val="0CFD51A3"/>
    <w:rsid w:val="0D042714"/>
    <w:rsid w:val="0D104307"/>
    <w:rsid w:val="0D132C19"/>
    <w:rsid w:val="0D225DB0"/>
    <w:rsid w:val="0D2D535E"/>
    <w:rsid w:val="0D3F57BC"/>
    <w:rsid w:val="0D40067A"/>
    <w:rsid w:val="0D58062B"/>
    <w:rsid w:val="0D7E2680"/>
    <w:rsid w:val="0DA93E40"/>
    <w:rsid w:val="0DE40111"/>
    <w:rsid w:val="0DEE10BE"/>
    <w:rsid w:val="0DF27A6D"/>
    <w:rsid w:val="0DF43E62"/>
    <w:rsid w:val="0E100F06"/>
    <w:rsid w:val="0E296B84"/>
    <w:rsid w:val="0E4378B3"/>
    <w:rsid w:val="0E763583"/>
    <w:rsid w:val="0EA35954"/>
    <w:rsid w:val="0EB65F51"/>
    <w:rsid w:val="0EC95C9F"/>
    <w:rsid w:val="0EDA2EEF"/>
    <w:rsid w:val="0EE24651"/>
    <w:rsid w:val="0F026827"/>
    <w:rsid w:val="0F1678E8"/>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B01ACD"/>
    <w:rsid w:val="10CB64C5"/>
    <w:rsid w:val="10DE27E2"/>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04C78"/>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8E2FF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8C17BA"/>
    <w:rsid w:val="15923843"/>
    <w:rsid w:val="15CF6BB0"/>
    <w:rsid w:val="15D078F9"/>
    <w:rsid w:val="15DE21ED"/>
    <w:rsid w:val="15F72A6C"/>
    <w:rsid w:val="16077FE3"/>
    <w:rsid w:val="161D0664"/>
    <w:rsid w:val="163B0AEA"/>
    <w:rsid w:val="165A2044"/>
    <w:rsid w:val="16640041"/>
    <w:rsid w:val="166762DE"/>
    <w:rsid w:val="166B13D0"/>
    <w:rsid w:val="16730284"/>
    <w:rsid w:val="16742CE0"/>
    <w:rsid w:val="16930926"/>
    <w:rsid w:val="16FC651F"/>
    <w:rsid w:val="173537D5"/>
    <w:rsid w:val="17635248"/>
    <w:rsid w:val="17A857B7"/>
    <w:rsid w:val="17BE7C25"/>
    <w:rsid w:val="17C90A93"/>
    <w:rsid w:val="182E4A5F"/>
    <w:rsid w:val="183432DB"/>
    <w:rsid w:val="18376848"/>
    <w:rsid w:val="185E19C0"/>
    <w:rsid w:val="18602A8A"/>
    <w:rsid w:val="186D2DAD"/>
    <w:rsid w:val="18820C52"/>
    <w:rsid w:val="18AD2A16"/>
    <w:rsid w:val="18BD7BD0"/>
    <w:rsid w:val="18E13BCB"/>
    <w:rsid w:val="18EF79F4"/>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962065"/>
    <w:rsid w:val="1AA42C91"/>
    <w:rsid w:val="1AB11059"/>
    <w:rsid w:val="1AC2012B"/>
    <w:rsid w:val="1AC80779"/>
    <w:rsid w:val="1AC83E8D"/>
    <w:rsid w:val="1AD05CA5"/>
    <w:rsid w:val="1AD066F5"/>
    <w:rsid w:val="1AD67E21"/>
    <w:rsid w:val="1AF57D5B"/>
    <w:rsid w:val="1AF8060F"/>
    <w:rsid w:val="1AFB36BE"/>
    <w:rsid w:val="1AFC1232"/>
    <w:rsid w:val="1B0D6EF9"/>
    <w:rsid w:val="1B154000"/>
    <w:rsid w:val="1B6D5BEA"/>
    <w:rsid w:val="1BCF41AF"/>
    <w:rsid w:val="1BD86ABB"/>
    <w:rsid w:val="1BDB3E45"/>
    <w:rsid w:val="1BFC4701"/>
    <w:rsid w:val="1C1147C7"/>
    <w:rsid w:val="1C2A75A8"/>
    <w:rsid w:val="1C536B8E"/>
    <w:rsid w:val="1C572903"/>
    <w:rsid w:val="1C5B3C94"/>
    <w:rsid w:val="1C6F7740"/>
    <w:rsid w:val="1C8651B5"/>
    <w:rsid w:val="1C8B33CB"/>
    <w:rsid w:val="1C9D42AD"/>
    <w:rsid w:val="1CBD494F"/>
    <w:rsid w:val="1CD33C78"/>
    <w:rsid w:val="1CE343B6"/>
    <w:rsid w:val="1CEF0653"/>
    <w:rsid w:val="1D1633DB"/>
    <w:rsid w:val="1D3028A5"/>
    <w:rsid w:val="1D653FD5"/>
    <w:rsid w:val="1D813BCE"/>
    <w:rsid w:val="1D862F93"/>
    <w:rsid w:val="1D9236E6"/>
    <w:rsid w:val="1D931E0A"/>
    <w:rsid w:val="1DB14C98"/>
    <w:rsid w:val="1DB573D4"/>
    <w:rsid w:val="1DCF7EF7"/>
    <w:rsid w:val="1DE33F41"/>
    <w:rsid w:val="1DE94DA0"/>
    <w:rsid w:val="1DF148B0"/>
    <w:rsid w:val="1E0B65F8"/>
    <w:rsid w:val="1E564A2C"/>
    <w:rsid w:val="1E79668E"/>
    <w:rsid w:val="1E901008"/>
    <w:rsid w:val="1EAE49C7"/>
    <w:rsid w:val="1EBA1CB7"/>
    <w:rsid w:val="1ED07464"/>
    <w:rsid w:val="1F4B3F19"/>
    <w:rsid w:val="1F58571C"/>
    <w:rsid w:val="1F614D81"/>
    <w:rsid w:val="1FC972B5"/>
    <w:rsid w:val="1FF4147B"/>
    <w:rsid w:val="1FF561AE"/>
    <w:rsid w:val="200F41A6"/>
    <w:rsid w:val="201B1917"/>
    <w:rsid w:val="20315438"/>
    <w:rsid w:val="2033565F"/>
    <w:rsid w:val="204D7D98"/>
    <w:rsid w:val="20710D0B"/>
    <w:rsid w:val="20786F8B"/>
    <w:rsid w:val="20946051"/>
    <w:rsid w:val="209918BD"/>
    <w:rsid w:val="209B5C0C"/>
    <w:rsid w:val="20BD5B33"/>
    <w:rsid w:val="20C302C5"/>
    <w:rsid w:val="20CA6586"/>
    <w:rsid w:val="20D568F7"/>
    <w:rsid w:val="20E71C8B"/>
    <w:rsid w:val="20EC135F"/>
    <w:rsid w:val="212F42EC"/>
    <w:rsid w:val="213B1AA3"/>
    <w:rsid w:val="21763A79"/>
    <w:rsid w:val="2193532F"/>
    <w:rsid w:val="219F0AC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5C0A1E"/>
    <w:rsid w:val="23900769"/>
    <w:rsid w:val="23AB72A0"/>
    <w:rsid w:val="23AC3027"/>
    <w:rsid w:val="23B55F2B"/>
    <w:rsid w:val="23D031BA"/>
    <w:rsid w:val="23F073B8"/>
    <w:rsid w:val="243C7B16"/>
    <w:rsid w:val="2460234C"/>
    <w:rsid w:val="247C2D8F"/>
    <w:rsid w:val="2480698E"/>
    <w:rsid w:val="248539D2"/>
    <w:rsid w:val="2496467F"/>
    <w:rsid w:val="24AE25E4"/>
    <w:rsid w:val="24B34650"/>
    <w:rsid w:val="24C85C3F"/>
    <w:rsid w:val="24D06AA4"/>
    <w:rsid w:val="24E11F66"/>
    <w:rsid w:val="24F92A57"/>
    <w:rsid w:val="251004E8"/>
    <w:rsid w:val="251B0465"/>
    <w:rsid w:val="251E609F"/>
    <w:rsid w:val="256924E9"/>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7FF406E"/>
    <w:rsid w:val="281B4844"/>
    <w:rsid w:val="285048C9"/>
    <w:rsid w:val="2868600E"/>
    <w:rsid w:val="286C07DA"/>
    <w:rsid w:val="28D513C3"/>
    <w:rsid w:val="28E81B70"/>
    <w:rsid w:val="28F21994"/>
    <w:rsid w:val="28FC05AD"/>
    <w:rsid w:val="29023E15"/>
    <w:rsid w:val="292875F4"/>
    <w:rsid w:val="292B04CC"/>
    <w:rsid w:val="29493A78"/>
    <w:rsid w:val="294E5D48"/>
    <w:rsid w:val="295C2DFA"/>
    <w:rsid w:val="296F6E5A"/>
    <w:rsid w:val="29710F8A"/>
    <w:rsid w:val="29986528"/>
    <w:rsid w:val="29AC3D81"/>
    <w:rsid w:val="29B643EE"/>
    <w:rsid w:val="29BB0F74"/>
    <w:rsid w:val="29BB3F92"/>
    <w:rsid w:val="29C54E43"/>
    <w:rsid w:val="29E51916"/>
    <w:rsid w:val="2A0F3FB0"/>
    <w:rsid w:val="2A300EB8"/>
    <w:rsid w:val="2A35412F"/>
    <w:rsid w:val="2A4479D7"/>
    <w:rsid w:val="2A573E05"/>
    <w:rsid w:val="2A835621"/>
    <w:rsid w:val="2A8A61F7"/>
    <w:rsid w:val="2ADE6B4A"/>
    <w:rsid w:val="2B065713"/>
    <w:rsid w:val="2B472907"/>
    <w:rsid w:val="2B7F538B"/>
    <w:rsid w:val="2BB60EE7"/>
    <w:rsid w:val="2BBA59CC"/>
    <w:rsid w:val="2BBE7D9C"/>
    <w:rsid w:val="2BE12008"/>
    <w:rsid w:val="2BF92F32"/>
    <w:rsid w:val="2BFB406D"/>
    <w:rsid w:val="2C4320AD"/>
    <w:rsid w:val="2C46226B"/>
    <w:rsid w:val="2C464019"/>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DFD7FE0"/>
    <w:rsid w:val="2E3C1B78"/>
    <w:rsid w:val="2EA64F2E"/>
    <w:rsid w:val="2EB2322D"/>
    <w:rsid w:val="2EB77450"/>
    <w:rsid w:val="2EF642E1"/>
    <w:rsid w:val="2EFB2629"/>
    <w:rsid w:val="2F0401BB"/>
    <w:rsid w:val="2F0E519C"/>
    <w:rsid w:val="2F290682"/>
    <w:rsid w:val="2F2B74F6"/>
    <w:rsid w:val="2F3738F6"/>
    <w:rsid w:val="2F3C7955"/>
    <w:rsid w:val="2F6509D0"/>
    <w:rsid w:val="2F995607"/>
    <w:rsid w:val="2FB614B6"/>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76CC8"/>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1A7FAD"/>
    <w:rsid w:val="332848FF"/>
    <w:rsid w:val="333170A5"/>
    <w:rsid w:val="333755A9"/>
    <w:rsid w:val="334223E0"/>
    <w:rsid w:val="33587D99"/>
    <w:rsid w:val="337771AE"/>
    <w:rsid w:val="33814F8D"/>
    <w:rsid w:val="33857B1D"/>
    <w:rsid w:val="3393422B"/>
    <w:rsid w:val="339A650A"/>
    <w:rsid w:val="33A5765A"/>
    <w:rsid w:val="33CB02F8"/>
    <w:rsid w:val="33F72671"/>
    <w:rsid w:val="34037804"/>
    <w:rsid w:val="34041F1A"/>
    <w:rsid w:val="341D7D55"/>
    <w:rsid w:val="342F5CDB"/>
    <w:rsid w:val="345C74F2"/>
    <w:rsid w:val="34B6208F"/>
    <w:rsid w:val="34BD4190"/>
    <w:rsid w:val="34BF01E0"/>
    <w:rsid w:val="34C5219B"/>
    <w:rsid w:val="34CB3182"/>
    <w:rsid w:val="34D17522"/>
    <w:rsid w:val="34D707D6"/>
    <w:rsid w:val="34E647FA"/>
    <w:rsid w:val="35085D0E"/>
    <w:rsid w:val="3511441F"/>
    <w:rsid w:val="35164520"/>
    <w:rsid w:val="356B4AF0"/>
    <w:rsid w:val="357725E6"/>
    <w:rsid w:val="359C1C0F"/>
    <w:rsid w:val="35CA5890"/>
    <w:rsid w:val="35D96C73"/>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7D1016"/>
    <w:rsid w:val="3A8C23C1"/>
    <w:rsid w:val="3A9A444B"/>
    <w:rsid w:val="3AAA7E69"/>
    <w:rsid w:val="3AE838BC"/>
    <w:rsid w:val="3AF954DC"/>
    <w:rsid w:val="3AFB06C4"/>
    <w:rsid w:val="3B001415"/>
    <w:rsid w:val="3B2A71FC"/>
    <w:rsid w:val="3B2C4D22"/>
    <w:rsid w:val="3BBA40DC"/>
    <w:rsid w:val="3BD038FF"/>
    <w:rsid w:val="3BF35840"/>
    <w:rsid w:val="3C0E2679"/>
    <w:rsid w:val="3C137C90"/>
    <w:rsid w:val="3C157A35"/>
    <w:rsid w:val="3C770C51"/>
    <w:rsid w:val="3C86556E"/>
    <w:rsid w:val="3C9561C6"/>
    <w:rsid w:val="3C9C1EDC"/>
    <w:rsid w:val="3CA20495"/>
    <w:rsid w:val="3CA871F1"/>
    <w:rsid w:val="3CAF6B4F"/>
    <w:rsid w:val="3CE157CC"/>
    <w:rsid w:val="3CF45AB1"/>
    <w:rsid w:val="3D0575D8"/>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3FF322B2"/>
    <w:rsid w:val="4001306B"/>
    <w:rsid w:val="401F30A7"/>
    <w:rsid w:val="40273D0A"/>
    <w:rsid w:val="406D3E12"/>
    <w:rsid w:val="40BC08F6"/>
    <w:rsid w:val="40E20CEC"/>
    <w:rsid w:val="40F3031D"/>
    <w:rsid w:val="40F45C25"/>
    <w:rsid w:val="41114BBA"/>
    <w:rsid w:val="41120516"/>
    <w:rsid w:val="412874F2"/>
    <w:rsid w:val="413C03C9"/>
    <w:rsid w:val="41594397"/>
    <w:rsid w:val="41651F0D"/>
    <w:rsid w:val="416556F9"/>
    <w:rsid w:val="4171334E"/>
    <w:rsid w:val="418F4508"/>
    <w:rsid w:val="41B355CC"/>
    <w:rsid w:val="41C25A06"/>
    <w:rsid w:val="41D50910"/>
    <w:rsid w:val="41DB4DAC"/>
    <w:rsid w:val="41F4499C"/>
    <w:rsid w:val="42350960"/>
    <w:rsid w:val="42397D6D"/>
    <w:rsid w:val="425A0117"/>
    <w:rsid w:val="42B52C15"/>
    <w:rsid w:val="42F83EEA"/>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4F763A1"/>
    <w:rsid w:val="45036AF3"/>
    <w:rsid w:val="45487A8E"/>
    <w:rsid w:val="454F300E"/>
    <w:rsid w:val="4568227F"/>
    <w:rsid w:val="457A3D23"/>
    <w:rsid w:val="458F3906"/>
    <w:rsid w:val="459546AA"/>
    <w:rsid w:val="45997458"/>
    <w:rsid w:val="45A8769B"/>
    <w:rsid w:val="45B74AF3"/>
    <w:rsid w:val="45BA4E3B"/>
    <w:rsid w:val="45C04310"/>
    <w:rsid w:val="45C14613"/>
    <w:rsid w:val="45C71FD4"/>
    <w:rsid w:val="45DD6271"/>
    <w:rsid w:val="45E14209"/>
    <w:rsid w:val="45EC556F"/>
    <w:rsid w:val="4612476D"/>
    <w:rsid w:val="461B6D11"/>
    <w:rsid w:val="461D3BE5"/>
    <w:rsid w:val="462A180E"/>
    <w:rsid w:val="46353667"/>
    <w:rsid w:val="46A240EA"/>
    <w:rsid w:val="46EF6468"/>
    <w:rsid w:val="470B4500"/>
    <w:rsid w:val="471A45C8"/>
    <w:rsid w:val="473C166C"/>
    <w:rsid w:val="47491235"/>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003255"/>
    <w:rsid w:val="4C1E2465"/>
    <w:rsid w:val="4C5C55AD"/>
    <w:rsid w:val="4CB15087"/>
    <w:rsid w:val="4CC052CA"/>
    <w:rsid w:val="4CCC3C6F"/>
    <w:rsid w:val="4CFC7063"/>
    <w:rsid w:val="4D111FCA"/>
    <w:rsid w:val="4D5C3A5E"/>
    <w:rsid w:val="4D72244E"/>
    <w:rsid w:val="4D7240AF"/>
    <w:rsid w:val="4D7E6D03"/>
    <w:rsid w:val="4D9F1383"/>
    <w:rsid w:val="4DAA4D9B"/>
    <w:rsid w:val="4DB73221"/>
    <w:rsid w:val="4DCB2178"/>
    <w:rsid w:val="4E17245D"/>
    <w:rsid w:val="4E1C0C26"/>
    <w:rsid w:val="4E1E04FA"/>
    <w:rsid w:val="4E5D1AB9"/>
    <w:rsid w:val="4E6B7E80"/>
    <w:rsid w:val="4E6D1139"/>
    <w:rsid w:val="4EBD4EA8"/>
    <w:rsid w:val="4EDD2F44"/>
    <w:rsid w:val="4EE14B13"/>
    <w:rsid w:val="4F295E53"/>
    <w:rsid w:val="4F8079F5"/>
    <w:rsid w:val="4F8C0F11"/>
    <w:rsid w:val="4F97214F"/>
    <w:rsid w:val="4F9D01AA"/>
    <w:rsid w:val="4FB235F0"/>
    <w:rsid w:val="4FD30759"/>
    <w:rsid w:val="4FEF2B17"/>
    <w:rsid w:val="500D6A78"/>
    <w:rsid w:val="50153B7F"/>
    <w:rsid w:val="5019621A"/>
    <w:rsid w:val="501B52E3"/>
    <w:rsid w:val="50206A09"/>
    <w:rsid w:val="502427D3"/>
    <w:rsid w:val="503009B9"/>
    <w:rsid w:val="503404A9"/>
    <w:rsid w:val="503E4A83"/>
    <w:rsid w:val="50577CF3"/>
    <w:rsid w:val="50680152"/>
    <w:rsid w:val="506A2AFE"/>
    <w:rsid w:val="50B1634E"/>
    <w:rsid w:val="50EA5EA6"/>
    <w:rsid w:val="50F44BFF"/>
    <w:rsid w:val="510058F1"/>
    <w:rsid w:val="51025EB1"/>
    <w:rsid w:val="5114119C"/>
    <w:rsid w:val="51156C3B"/>
    <w:rsid w:val="51452242"/>
    <w:rsid w:val="516D5B98"/>
    <w:rsid w:val="516E1798"/>
    <w:rsid w:val="5179477F"/>
    <w:rsid w:val="51B04CD5"/>
    <w:rsid w:val="51B318A1"/>
    <w:rsid w:val="522220BC"/>
    <w:rsid w:val="522B1438"/>
    <w:rsid w:val="52416EAD"/>
    <w:rsid w:val="524B7D2C"/>
    <w:rsid w:val="527C6137"/>
    <w:rsid w:val="52A64F11"/>
    <w:rsid w:val="52A65DDA"/>
    <w:rsid w:val="52D15A02"/>
    <w:rsid w:val="52DE64B1"/>
    <w:rsid w:val="52E0059C"/>
    <w:rsid w:val="52E23FE1"/>
    <w:rsid w:val="530348CC"/>
    <w:rsid w:val="533B38FC"/>
    <w:rsid w:val="53595EB0"/>
    <w:rsid w:val="537D2167"/>
    <w:rsid w:val="538771E8"/>
    <w:rsid w:val="53C27AFA"/>
    <w:rsid w:val="53DF072C"/>
    <w:rsid w:val="53E2021C"/>
    <w:rsid w:val="53FC12DE"/>
    <w:rsid w:val="546450D5"/>
    <w:rsid w:val="546A3CB6"/>
    <w:rsid w:val="547A60F6"/>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020E8D"/>
    <w:rsid w:val="58102C16"/>
    <w:rsid w:val="582160FE"/>
    <w:rsid w:val="582165A1"/>
    <w:rsid w:val="582A050E"/>
    <w:rsid w:val="58515970"/>
    <w:rsid w:val="589809DC"/>
    <w:rsid w:val="589F4805"/>
    <w:rsid w:val="58AD4AF5"/>
    <w:rsid w:val="58AE4B70"/>
    <w:rsid w:val="58B65789"/>
    <w:rsid w:val="58CD4FF7"/>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074CC3"/>
    <w:rsid w:val="5C3D00E9"/>
    <w:rsid w:val="5C9522CF"/>
    <w:rsid w:val="5C9F6CAA"/>
    <w:rsid w:val="5CA93F38"/>
    <w:rsid w:val="5CD62855"/>
    <w:rsid w:val="5CE13766"/>
    <w:rsid w:val="5CE15514"/>
    <w:rsid w:val="5CE371E2"/>
    <w:rsid w:val="5CEB5280"/>
    <w:rsid w:val="5D13024E"/>
    <w:rsid w:val="5D1D5D61"/>
    <w:rsid w:val="5D213B63"/>
    <w:rsid w:val="5D2D5867"/>
    <w:rsid w:val="5D6E129C"/>
    <w:rsid w:val="5D951E96"/>
    <w:rsid w:val="5DA603AA"/>
    <w:rsid w:val="5DD15589"/>
    <w:rsid w:val="5DE27226"/>
    <w:rsid w:val="5DE51034"/>
    <w:rsid w:val="5DEA21A7"/>
    <w:rsid w:val="5DF53918"/>
    <w:rsid w:val="5DF866B7"/>
    <w:rsid w:val="5DFF5981"/>
    <w:rsid w:val="5E230800"/>
    <w:rsid w:val="5E39312E"/>
    <w:rsid w:val="5E3E1E95"/>
    <w:rsid w:val="5E483371"/>
    <w:rsid w:val="5E4963F2"/>
    <w:rsid w:val="5E4F64AE"/>
    <w:rsid w:val="5E5E2B95"/>
    <w:rsid w:val="5E9B7345"/>
    <w:rsid w:val="5EFD7E9A"/>
    <w:rsid w:val="5F3A5CEE"/>
    <w:rsid w:val="5F40721D"/>
    <w:rsid w:val="5F49114F"/>
    <w:rsid w:val="5F5A480F"/>
    <w:rsid w:val="5F743C57"/>
    <w:rsid w:val="5F7E4861"/>
    <w:rsid w:val="5FB35030"/>
    <w:rsid w:val="5FB46F10"/>
    <w:rsid w:val="5FD01870"/>
    <w:rsid w:val="5FE77A37"/>
    <w:rsid w:val="5FEB7BC5"/>
    <w:rsid w:val="5FF01979"/>
    <w:rsid w:val="5FF91BB5"/>
    <w:rsid w:val="60057DE3"/>
    <w:rsid w:val="600F1A46"/>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D20DB"/>
    <w:rsid w:val="618F0721"/>
    <w:rsid w:val="619C1D31"/>
    <w:rsid w:val="61B00E22"/>
    <w:rsid w:val="61BB1F4B"/>
    <w:rsid w:val="61BF394A"/>
    <w:rsid w:val="61DB15D5"/>
    <w:rsid w:val="61EA6B92"/>
    <w:rsid w:val="61FA7530"/>
    <w:rsid w:val="622F6D22"/>
    <w:rsid w:val="62391B02"/>
    <w:rsid w:val="625978FB"/>
    <w:rsid w:val="626C4A83"/>
    <w:rsid w:val="62A13F4D"/>
    <w:rsid w:val="62AA45FB"/>
    <w:rsid w:val="62D64540"/>
    <w:rsid w:val="62DD43B4"/>
    <w:rsid w:val="62E10E63"/>
    <w:rsid w:val="62FE72EA"/>
    <w:rsid w:val="63035AB9"/>
    <w:rsid w:val="63164D24"/>
    <w:rsid w:val="632717A7"/>
    <w:rsid w:val="634467FD"/>
    <w:rsid w:val="63A65FFE"/>
    <w:rsid w:val="63A80B9C"/>
    <w:rsid w:val="63B8285C"/>
    <w:rsid w:val="63E01F38"/>
    <w:rsid w:val="63EC1C65"/>
    <w:rsid w:val="63ED3058"/>
    <w:rsid w:val="64104931"/>
    <w:rsid w:val="64B04B1B"/>
    <w:rsid w:val="64B04CD0"/>
    <w:rsid w:val="64B74DAD"/>
    <w:rsid w:val="64BB18DC"/>
    <w:rsid w:val="64C175E6"/>
    <w:rsid w:val="650608D1"/>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8E5ED8"/>
    <w:rsid w:val="66950DE9"/>
    <w:rsid w:val="670C7632"/>
    <w:rsid w:val="6723497B"/>
    <w:rsid w:val="67281F92"/>
    <w:rsid w:val="673A1452"/>
    <w:rsid w:val="67C938CC"/>
    <w:rsid w:val="67EC408F"/>
    <w:rsid w:val="67F56318"/>
    <w:rsid w:val="67FE046D"/>
    <w:rsid w:val="680829E6"/>
    <w:rsid w:val="68095FB7"/>
    <w:rsid w:val="68174F57"/>
    <w:rsid w:val="681E5961"/>
    <w:rsid w:val="683406DE"/>
    <w:rsid w:val="683871D4"/>
    <w:rsid w:val="684C43B6"/>
    <w:rsid w:val="68535110"/>
    <w:rsid w:val="6885769C"/>
    <w:rsid w:val="68B55F36"/>
    <w:rsid w:val="68BE36F5"/>
    <w:rsid w:val="68C462F1"/>
    <w:rsid w:val="68F04DBC"/>
    <w:rsid w:val="68F52FE1"/>
    <w:rsid w:val="68F91E38"/>
    <w:rsid w:val="68FC16D7"/>
    <w:rsid w:val="690F51B7"/>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6F389E"/>
    <w:rsid w:val="6A9122B5"/>
    <w:rsid w:val="6AEE5468"/>
    <w:rsid w:val="6AFC29D0"/>
    <w:rsid w:val="6B0D5727"/>
    <w:rsid w:val="6B157DBF"/>
    <w:rsid w:val="6B1C1E0E"/>
    <w:rsid w:val="6B322169"/>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142245"/>
    <w:rsid w:val="6D1B0D1D"/>
    <w:rsid w:val="6D1D3DC2"/>
    <w:rsid w:val="6D1D6078"/>
    <w:rsid w:val="6D463C2E"/>
    <w:rsid w:val="6D7E290C"/>
    <w:rsid w:val="6D83283D"/>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70525"/>
    <w:rsid w:val="6ED924EF"/>
    <w:rsid w:val="6F055301"/>
    <w:rsid w:val="6F0A3320"/>
    <w:rsid w:val="6F173018"/>
    <w:rsid w:val="6F345978"/>
    <w:rsid w:val="6F3C270D"/>
    <w:rsid w:val="6F531AAA"/>
    <w:rsid w:val="6F6238F1"/>
    <w:rsid w:val="6F7A0897"/>
    <w:rsid w:val="6F7E6748"/>
    <w:rsid w:val="6F8166E3"/>
    <w:rsid w:val="6F8E49DA"/>
    <w:rsid w:val="6FF463F0"/>
    <w:rsid w:val="701B08E6"/>
    <w:rsid w:val="70417478"/>
    <w:rsid w:val="705F139B"/>
    <w:rsid w:val="706611D1"/>
    <w:rsid w:val="707253C1"/>
    <w:rsid w:val="70725AA9"/>
    <w:rsid w:val="70756B0C"/>
    <w:rsid w:val="70826EAE"/>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B21822"/>
    <w:rsid w:val="72B55021"/>
    <w:rsid w:val="72BE6EA8"/>
    <w:rsid w:val="72C12DC9"/>
    <w:rsid w:val="72FD6249"/>
    <w:rsid w:val="73013DC3"/>
    <w:rsid w:val="73217033"/>
    <w:rsid w:val="732706F9"/>
    <w:rsid w:val="734514B7"/>
    <w:rsid w:val="735715C9"/>
    <w:rsid w:val="736949E6"/>
    <w:rsid w:val="7376140D"/>
    <w:rsid w:val="737B68E0"/>
    <w:rsid w:val="738549F4"/>
    <w:rsid w:val="73880603"/>
    <w:rsid w:val="73B462F8"/>
    <w:rsid w:val="73D0707A"/>
    <w:rsid w:val="740B1FF0"/>
    <w:rsid w:val="744711F6"/>
    <w:rsid w:val="745942EE"/>
    <w:rsid w:val="745F4590"/>
    <w:rsid w:val="74650381"/>
    <w:rsid w:val="746A0574"/>
    <w:rsid w:val="746C1A93"/>
    <w:rsid w:val="747417CE"/>
    <w:rsid w:val="747D102B"/>
    <w:rsid w:val="749C391A"/>
    <w:rsid w:val="74BF7515"/>
    <w:rsid w:val="74CE2F72"/>
    <w:rsid w:val="74D53759"/>
    <w:rsid w:val="74D84FF7"/>
    <w:rsid w:val="74DD0860"/>
    <w:rsid w:val="74E064C9"/>
    <w:rsid w:val="74E512DE"/>
    <w:rsid w:val="75083C44"/>
    <w:rsid w:val="75162AAB"/>
    <w:rsid w:val="75184561"/>
    <w:rsid w:val="751D3629"/>
    <w:rsid w:val="75781811"/>
    <w:rsid w:val="757B11EC"/>
    <w:rsid w:val="758B206A"/>
    <w:rsid w:val="75B441DC"/>
    <w:rsid w:val="75BE06D4"/>
    <w:rsid w:val="75C32123"/>
    <w:rsid w:val="75CA0DE4"/>
    <w:rsid w:val="75CD1C51"/>
    <w:rsid w:val="75E57C6F"/>
    <w:rsid w:val="761D3A1E"/>
    <w:rsid w:val="762E3BD5"/>
    <w:rsid w:val="766F725C"/>
    <w:rsid w:val="7684252C"/>
    <w:rsid w:val="76984A3E"/>
    <w:rsid w:val="76AB6601"/>
    <w:rsid w:val="76BB31AD"/>
    <w:rsid w:val="76DD4B47"/>
    <w:rsid w:val="76EF6628"/>
    <w:rsid w:val="77316C41"/>
    <w:rsid w:val="7734199B"/>
    <w:rsid w:val="77484CAB"/>
    <w:rsid w:val="77902D6F"/>
    <w:rsid w:val="779C3CC8"/>
    <w:rsid w:val="77BC3493"/>
    <w:rsid w:val="77C86594"/>
    <w:rsid w:val="78197E01"/>
    <w:rsid w:val="7826619A"/>
    <w:rsid w:val="7831362E"/>
    <w:rsid w:val="783469E8"/>
    <w:rsid w:val="783F5297"/>
    <w:rsid w:val="78435E52"/>
    <w:rsid w:val="7844495E"/>
    <w:rsid w:val="78457672"/>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902877"/>
    <w:rsid w:val="7AA53BCD"/>
    <w:rsid w:val="7AD17C9C"/>
    <w:rsid w:val="7B0A3A31"/>
    <w:rsid w:val="7B103033"/>
    <w:rsid w:val="7B163388"/>
    <w:rsid w:val="7B354100"/>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0012C"/>
    <w:rsid w:val="7CAB3AC4"/>
    <w:rsid w:val="7CDF524F"/>
    <w:rsid w:val="7D147F9C"/>
    <w:rsid w:val="7D172435"/>
    <w:rsid w:val="7D587166"/>
    <w:rsid w:val="7D6134D2"/>
    <w:rsid w:val="7D717D97"/>
    <w:rsid w:val="7D8A2C07"/>
    <w:rsid w:val="7DA017BC"/>
    <w:rsid w:val="7DA63EE4"/>
    <w:rsid w:val="7DA9081B"/>
    <w:rsid w:val="7DBD2FDC"/>
    <w:rsid w:val="7DC2296C"/>
    <w:rsid w:val="7DE042DE"/>
    <w:rsid w:val="7DE40E3C"/>
    <w:rsid w:val="7DF2702E"/>
    <w:rsid w:val="7DFDEC03"/>
    <w:rsid w:val="7E0B7E62"/>
    <w:rsid w:val="7E1802CF"/>
    <w:rsid w:val="7E1846B6"/>
    <w:rsid w:val="7E295E51"/>
    <w:rsid w:val="7E6241D9"/>
    <w:rsid w:val="7E643271"/>
    <w:rsid w:val="7E8314F8"/>
    <w:rsid w:val="7E9276B5"/>
    <w:rsid w:val="7EC3062C"/>
    <w:rsid w:val="7EC52758"/>
    <w:rsid w:val="7EEB258C"/>
    <w:rsid w:val="7F0E5811"/>
    <w:rsid w:val="7F397345"/>
    <w:rsid w:val="7F571ED1"/>
    <w:rsid w:val="7F5DB2A3"/>
    <w:rsid w:val="7F74E094"/>
    <w:rsid w:val="7F7676A4"/>
    <w:rsid w:val="7F873A64"/>
    <w:rsid w:val="7F8F3FAC"/>
    <w:rsid w:val="7F970ECA"/>
    <w:rsid w:val="7F9E036E"/>
    <w:rsid w:val="7FA53646"/>
    <w:rsid w:val="7FAD558D"/>
    <w:rsid w:val="7FEB33E1"/>
    <w:rsid w:val="D76B00FE"/>
    <w:rsid w:val="EB67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link w:val="92"/>
    <w:autoRedefine/>
    <w:qFormat/>
    <w:uiPriority w:val="0"/>
    <w:rPr>
      <w:rFonts w:ascii="宋体" w:hAnsi="Arial" w:cs="Times New Roman"/>
      <w:sz w:val="28"/>
    </w:rPr>
  </w:style>
  <w:style w:type="paragraph" w:styleId="17">
    <w:name w:val="Body Text Indent"/>
    <w:basedOn w:val="1"/>
    <w:next w:val="18"/>
    <w:link w:val="140"/>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next w:val="1"/>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4"/>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2"/>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4"/>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 w:type="paragraph" w:customStyle="1" w:styleId="197">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12405</Words>
  <Characters>13067</Characters>
  <Lines>305</Lines>
  <Paragraphs>86</Paragraphs>
  <TotalTime>319</TotalTime>
  <ScaleCrop>false</ScaleCrop>
  <LinksUpToDate>false</LinksUpToDate>
  <CharactersWithSpaces>13177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2023-07-11T14:24:00Z</dcterms:created>
  <dc:creator>Anakin</dc:creator>
  <cp:lastModifiedBy>汤雨濛</cp:lastModifiedBy>
  <cp:lastPrinted>2024-09-24T05:39:00Z</cp:lastPrinted>
  <dcterms:modified xsi:type="dcterms:W3CDTF">2025-08-08T06:46:29Z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9842BD54AADA4810A3B461A9C6B7122D_13</vt:lpwstr>
  </property>
  <property fmtid="{D5CDD505-2E9C-101B-9397-08002B2CF9AE}" pid="4" name="KSOTemplateDocerSaveRecord">
    <vt:lpwstr>eyJoZGlkIjoiNjE5ODU3ZjBjYzJjMzIyZmRlNGE1YjkyODVmYmY1NWQiLCJ1c2VySWQiOiIxNjQ0NzUzMDQ2In0=</vt:lpwstr>
  </property>
</Properties>
</file>