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left="2444" w:leftChars="304" w:hanging="1806" w:hangingChars="5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28"/>
          <w:szCs w:val="28"/>
          <w:highlight w:val="none"/>
          <w:u w:val="single"/>
          <w:lang w:val="en-US" w:eastAsia="zh-CN"/>
        </w:rPr>
        <w:t>2025年度集团本部及子公司法律顾问服务采购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 xml:space="preserve">     BHSG-ZTB-2025-39          </w:t>
      </w:r>
      <w:r>
        <w:rPr>
          <w:rFonts w:hint="default" w:ascii="Times New Roman" w:hAnsi="Times New Roman" w:eastAsia="宋体" w:cs="Times New Roman"/>
          <w:b/>
          <w:color w:val="auto"/>
          <w:spacing w:val="20"/>
          <w:kern w:val="0"/>
          <w:sz w:val="32"/>
          <w:szCs w:val="32"/>
          <w:highlight w:val="none"/>
          <w:u w:val="single"/>
        </w:rPr>
        <w:t xml:space="preserve"> </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招标人：</w:t>
      </w:r>
      <w:r>
        <w:rPr>
          <w:rFonts w:hint="eastAsia" w:ascii="Times New Roman" w:hAnsi="Times New Roman" w:cs="Times New Roman"/>
          <w:b/>
          <w:color w:val="auto"/>
          <w:spacing w:val="20"/>
          <w:kern w:val="0"/>
          <w:sz w:val="32"/>
          <w:szCs w:val="32"/>
          <w:highlight w:val="none"/>
          <w:lang w:val="en-US" w:eastAsia="zh-CN"/>
        </w:rPr>
        <w:t xml:space="preserve">  </w:t>
      </w:r>
      <w:r>
        <w:rPr>
          <w:rFonts w:hint="default" w:ascii="Times New Roman" w:hAnsi="Times New Roman" w:cs="Times New Roman"/>
          <w:b/>
          <w:color w:val="auto"/>
          <w:spacing w:val="20"/>
          <w:kern w:val="0"/>
          <w:sz w:val="32"/>
          <w:szCs w:val="32"/>
          <w:highlight w:val="none"/>
          <w:u w:val="single"/>
        </w:rPr>
        <w:t>合肥滨湖时光产业投资集团有限公司</w:t>
      </w:r>
      <w:r>
        <w:rPr>
          <w:rFonts w:hint="eastAsia" w:ascii="Times New Roman" w:hAnsi="Times New Roman" w:cs="Times New Roman"/>
          <w:b/>
          <w:color w:val="auto"/>
          <w:spacing w:val="20"/>
          <w:kern w:val="0"/>
          <w:sz w:val="32"/>
          <w:szCs w:val="32"/>
          <w:highlight w:val="none"/>
          <w:u w:val="single"/>
          <w:lang w:val="en-US" w:eastAsia="zh-CN"/>
        </w:rPr>
        <w:t xml:space="preserve">  </w:t>
      </w: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eastAsia" w:ascii="Times New Roman" w:hAnsi="Times New Roman" w:cs="Times New Roman"/>
          <w:b/>
          <w:color w:val="auto"/>
          <w:sz w:val="36"/>
          <w:highlight w:val="none"/>
          <w:u w:val="single"/>
          <w:lang w:val="en-US" w:eastAsia="zh-CN"/>
        </w:rPr>
        <w:t>8</w:t>
      </w:r>
      <w:r>
        <w:rPr>
          <w:rFonts w:hint="default" w:ascii="Times New Roman" w:hAnsi="Times New Roman" w:cs="Times New Roman"/>
          <w:b/>
          <w:color w:val="auto"/>
          <w:sz w:val="36"/>
          <w:highlight w:val="none"/>
        </w:rPr>
        <w:t>月</w:t>
      </w:r>
    </w:p>
    <w:bookmarkEnd w:id="0"/>
    <w:p w14:paraId="34461DD8">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30C2670E">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35393791"/>
      <w:bookmarkStart w:id="4" w:name="_Toc28359003"/>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2025年度集团本部及子公司法律顾问服务采购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20</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79"/>
      <w:bookmarkStart w:id="7" w:name="_Toc28359002"/>
      <w:bookmarkStart w:id="8" w:name="_Toc35393621"/>
      <w:bookmarkStart w:id="9" w:name="_Toc35393790"/>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eastAsia" w:ascii="Times New Roman" w:hAnsi="Times New Roman" w:cs="Times New Roman"/>
          <w:color w:val="auto"/>
          <w:sz w:val="24"/>
          <w:szCs w:val="24"/>
          <w:highlight w:val="none"/>
          <w:u w:val="single"/>
          <w:lang w:val="en-US" w:eastAsia="zh-CN"/>
        </w:rPr>
        <w:t xml:space="preserve">  BHSG-ZTB-2025-39 </w:t>
      </w:r>
    </w:p>
    <w:p w14:paraId="050C7277">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rPr>
        <w:t>2025年度集团本部及子公司法律顾问服务采购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z w:val="24"/>
          <w:szCs w:val="24"/>
          <w:highlight w:val="none"/>
          <w:u w:val="single"/>
        </w:rPr>
        <w:t>为满足</w:t>
      </w:r>
      <w:r>
        <w:rPr>
          <w:rFonts w:hint="eastAsia" w:ascii="Times New Roman" w:hAnsi="Times New Roman" w:cs="Times New Roman"/>
          <w:color w:val="auto"/>
          <w:sz w:val="24"/>
          <w:szCs w:val="24"/>
          <w:highlight w:val="none"/>
          <w:u w:val="single"/>
          <w:lang w:eastAsia="zh-CN"/>
        </w:rPr>
        <w:t>滨湖时光</w:t>
      </w:r>
      <w:r>
        <w:rPr>
          <w:rFonts w:hint="default" w:ascii="Times New Roman" w:hAnsi="Times New Roman" w:cs="Times New Roman"/>
          <w:color w:val="auto"/>
          <w:sz w:val="24"/>
          <w:szCs w:val="24"/>
          <w:highlight w:val="none"/>
          <w:u w:val="single"/>
        </w:rPr>
        <w:t>集团</w:t>
      </w:r>
      <w:r>
        <w:rPr>
          <w:rFonts w:hint="eastAsia" w:ascii="Times New Roman" w:hAnsi="Times New Roman" w:cs="Times New Roman"/>
          <w:color w:val="auto"/>
          <w:sz w:val="24"/>
          <w:szCs w:val="24"/>
          <w:highlight w:val="none"/>
          <w:u w:val="single"/>
          <w:lang w:eastAsia="zh-CN"/>
        </w:rPr>
        <w:t>本部及子公司</w:t>
      </w:r>
      <w:r>
        <w:rPr>
          <w:rFonts w:hint="default" w:ascii="Times New Roman" w:hAnsi="Times New Roman" w:cs="Times New Roman"/>
          <w:color w:val="auto"/>
          <w:sz w:val="24"/>
          <w:szCs w:val="24"/>
          <w:highlight w:val="none"/>
          <w:u w:val="single"/>
        </w:rPr>
        <w:t>的业务发展需要，保障相关工作的合法合规性，有效控制法律风险，亟需引入外部专业法律服务机构提供</w:t>
      </w:r>
      <w:r>
        <w:rPr>
          <w:rFonts w:hint="eastAsia" w:ascii="Times New Roman" w:hAnsi="Times New Roman" w:cs="Times New Roman"/>
          <w:color w:val="auto"/>
          <w:sz w:val="24"/>
          <w:szCs w:val="24"/>
          <w:highlight w:val="none"/>
          <w:u w:val="single"/>
          <w:lang w:eastAsia="zh-CN"/>
        </w:rPr>
        <w:t>常年法务顾问服务</w:t>
      </w:r>
      <w:r>
        <w:rPr>
          <w:rFonts w:hint="default" w:ascii="Times New Roman" w:hAnsi="Times New Roman" w:cs="Times New Roman"/>
          <w:color w:val="auto"/>
          <w:sz w:val="24"/>
          <w:szCs w:val="24"/>
          <w:highlight w:val="none"/>
          <w:u w:val="single"/>
          <w:lang w:val="en-US" w:eastAsia="zh-CN"/>
        </w:rPr>
        <w:t>。具体内容详见本项目招标文件。</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12</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120000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（大写：壹拾贰万</w:t>
      </w:r>
      <w:r>
        <w:rPr>
          <w:rFonts w:hint="eastAsia" w:ascii="Times New Roman" w:hAnsi="Times New Roman" w:cs="Times New Roman"/>
          <w:color w:val="auto"/>
          <w:sz w:val="24"/>
          <w:szCs w:val="24"/>
          <w:highlight w:val="none"/>
          <w:u w:val="single"/>
          <w:lang w:val="en-US" w:eastAsia="zh-CN"/>
        </w:rPr>
        <w:t>圆</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01EB45E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投标人应依法设立并具备承担本项目的如下条件：</w:t>
      </w:r>
    </w:p>
    <w:p w14:paraId="0A96A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lang w:val="en-US" w:eastAsia="zh-CN"/>
        </w:rPr>
        <w:t>1.</w:t>
      </w:r>
      <w:r>
        <w:rPr>
          <w:rFonts w:hint="default" w:ascii="Times New Roman" w:hAnsi="Times New Roman" w:cs="Times New Roman"/>
          <w:color w:val="auto"/>
          <w:sz w:val="24"/>
          <w:szCs w:val="18"/>
          <w:highlight w:val="none"/>
        </w:rPr>
        <w:t>资质要求：投标人具有有效的律师事务所执业许可证扫描件（需完整地体现出律师事务所执业许可证的全部内容）</w:t>
      </w:r>
      <w:r>
        <w:rPr>
          <w:rFonts w:hint="eastAsia" w:ascii="Times New Roman" w:hAnsi="Times New Roman" w:cs="Times New Roman"/>
          <w:color w:val="auto"/>
          <w:sz w:val="24"/>
          <w:szCs w:val="18"/>
          <w:highlight w:val="none"/>
          <w:lang w:eastAsia="zh-CN"/>
        </w:rPr>
        <w:t>，许可证载明的名称须与该投标人名称一致</w:t>
      </w:r>
      <w:r>
        <w:rPr>
          <w:rFonts w:hint="default" w:ascii="Times New Roman" w:hAnsi="Times New Roman" w:cs="Times New Roman"/>
          <w:color w:val="auto"/>
          <w:sz w:val="24"/>
          <w:szCs w:val="18"/>
          <w:highlight w:val="none"/>
        </w:rPr>
        <w:t>；</w:t>
      </w:r>
    </w:p>
    <w:p w14:paraId="56FAE8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lang w:val="en-US" w:eastAsia="zh-CN"/>
        </w:rPr>
        <w:t>2.</w:t>
      </w:r>
      <w:r>
        <w:rPr>
          <w:rFonts w:hint="default" w:ascii="Times New Roman" w:hAnsi="Times New Roman" w:cs="Times New Roman"/>
          <w:color w:val="auto"/>
          <w:sz w:val="24"/>
          <w:szCs w:val="18"/>
          <w:highlight w:val="none"/>
        </w:rPr>
        <w:t>业绩要求：</w:t>
      </w:r>
      <w:r>
        <w:rPr>
          <w:rFonts w:hint="eastAsia" w:ascii="Times New Roman" w:hAnsi="Times New Roman" w:cs="Times New Roman"/>
          <w:color w:val="auto"/>
          <w:sz w:val="24"/>
          <w:szCs w:val="18"/>
          <w:highlight w:val="none"/>
          <w:lang w:val="en-US" w:eastAsia="zh-CN"/>
        </w:rPr>
        <w:t>/</w:t>
      </w:r>
      <w:r>
        <w:rPr>
          <w:rFonts w:hint="default" w:ascii="Times New Roman" w:hAnsi="Times New Roman" w:cs="Times New Roman"/>
          <w:color w:val="auto"/>
          <w:sz w:val="24"/>
          <w:szCs w:val="18"/>
          <w:highlight w:val="none"/>
        </w:rPr>
        <w:t>；</w:t>
      </w:r>
    </w:p>
    <w:p w14:paraId="01D4C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eastAsia" w:ascii="Times New Roman" w:hAnsi="Times New Roman" w:cs="Times New Roman"/>
          <w:color w:val="auto"/>
          <w:sz w:val="24"/>
          <w:szCs w:val="18"/>
          <w:highlight w:val="none"/>
          <w:lang w:val="en-US" w:eastAsia="zh-CN"/>
        </w:rPr>
        <w:t>3</w:t>
      </w:r>
      <w:r>
        <w:rPr>
          <w:rFonts w:hint="default" w:ascii="Times New Roman" w:hAnsi="Times New Roman" w:cs="Times New Roman"/>
          <w:color w:val="auto"/>
          <w:sz w:val="24"/>
          <w:szCs w:val="18"/>
          <w:highlight w:val="none"/>
        </w:rPr>
        <w:t>.本项目不接受联合体投标；</w:t>
      </w:r>
    </w:p>
    <w:p w14:paraId="675ED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4.</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0F3C61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0D8E7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E95C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w:t>
      </w:r>
      <w:r>
        <w:rPr>
          <w:rFonts w:hint="eastAsia" w:ascii="Times New Roman" w:hAnsi="Times New Roman" w:cs="Times New Roman"/>
          <w:strike w:val="0"/>
          <w:dstrike w:val="0"/>
          <w:color w:val="auto"/>
          <w:sz w:val="24"/>
          <w:szCs w:val="18"/>
          <w:highlight w:val="none"/>
          <w:lang w:val="en-US" w:eastAsia="zh-CN"/>
        </w:rPr>
        <w:t>3</w:t>
      </w:r>
      <w:r>
        <w:rPr>
          <w:rFonts w:hint="default" w:ascii="Times New Roman" w:hAnsi="Times New Roman" w:cs="Times New Roman"/>
          <w:strike w:val="0"/>
          <w:dstrike w:val="0"/>
          <w:color w:val="auto"/>
          <w:sz w:val="24"/>
          <w:szCs w:val="18"/>
          <w:highlight w:val="none"/>
        </w:rPr>
        <w:t xml:space="preserve">年，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8</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12</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8</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20</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20</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9：30</w:t>
      </w:r>
      <w:r>
        <w:rPr>
          <w:rFonts w:hint="default" w:ascii="Times New Roman" w:hAnsi="Times New Roman" w:cs="Times New Roman"/>
          <w:color w:val="auto"/>
          <w:sz w:val="24"/>
          <w:szCs w:val="24"/>
          <w:highlight w:val="none"/>
          <w:u w:val="single"/>
        </w:rPr>
        <w:t xml:space="preserve">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8ABE760">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合肥滨湖时光产业投资集团有限公司</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14D0F093">
      <w:pPr>
        <w:pStyle w:val="39"/>
        <w:ind w:left="0" w:leftChars="0"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none"/>
          <w:lang w:val="en-US" w:eastAsia="zh-CN"/>
        </w:rPr>
        <w:t>开户行：</w:t>
      </w:r>
      <w:r>
        <w:rPr>
          <w:rFonts w:hint="default" w:ascii="Times New Roman" w:hAnsi="Times New Roman" w:eastAsia="宋体" w:cs="Times New Roman"/>
          <w:color w:val="auto"/>
          <w:sz w:val="24"/>
          <w:szCs w:val="24"/>
          <w:highlight w:val="none"/>
          <w:u w:val="single"/>
          <w:lang w:val="en-US" w:eastAsia="zh-CN"/>
        </w:rPr>
        <w:t>徽商银行股份有限公司合肥包河支行</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账号：</w:t>
      </w:r>
      <w:r>
        <w:rPr>
          <w:rFonts w:hint="default" w:ascii="Times New Roman" w:hAnsi="Times New Roman" w:eastAsia="宋体" w:cs="Times New Roman"/>
          <w:color w:val="auto"/>
          <w:kern w:val="2"/>
          <w:sz w:val="24"/>
          <w:szCs w:val="24"/>
          <w:highlight w:val="none"/>
          <w:u w:val="single"/>
          <w:lang w:val="en-US" w:eastAsia="zh-CN" w:bidi="ar-SA"/>
        </w:rPr>
        <w:t xml:space="preserve"> 261675076891000002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阎</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0551-6335</w:t>
      </w:r>
      <w:r>
        <w:rPr>
          <w:rFonts w:hint="eastAsia" w:ascii="Times New Roman" w:hAnsi="Times New Roman" w:cs="Times New Roman"/>
          <w:color w:val="auto"/>
          <w:sz w:val="24"/>
          <w:szCs w:val="24"/>
          <w:highlight w:val="none"/>
          <w:u w:val="single"/>
          <w:lang w:val="en-US" w:eastAsia="zh-CN"/>
        </w:rPr>
        <w:t xml:space="preserve">1158  </w:t>
      </w:r>
      <w:r>
        <w:rPr>
          <w:rFonts w:hint="default" w:ascii="Times New Roman" w:hAnsi="Times New Roman" w:eastAsia="宋体" w:cs="Times New Roman"/>
          <w:color w:val="auto"/>
          <w:sz w:val="24"/>
          <w:szCs w:val="24"/>
          <w:highlight w:val="none"/>
          <w:u w:val="none"/>
          <w:lang w:val="en-US" w:eastAsia="zh-CN"/>
        </w:rPr>
        <w:t xml:space="preserve"> </w:t>
      </w:r>
      <w:r>
        <w:rPr>
          <w:rFonts w:hint="eastAsia" w:ascii="Times New Roman" w:hAnsi="Times New Roman" w:cs="Times New Roman"/>
          <w:color w:val="auto"/>
          <w:sz w:val="24"/>
          <w:szCs w:val="24"/>
          <w:highlight w:val="none"/>
          <w:u w:val="none"/>
          <w:lang w:val="en-US" w:eastAsia="zh-CN"/>
        </w:rPr>
        <w:t>（周一到周五8</w:t>
      </w:r>
      <w:r>
        <w:rPr>
          <w:rFonts w:hint="default"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lang w:val="en-US" w:eastAsia="zh-CN"/>
        </w:rPr>
        <w:t>0-17：30）</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eastAsia" w:ascii="Times New Roman" w:hAnsi="Times New Roman" w:eastAsia="宋体" w:cs="Times New Roman"/>
                <w:b w:val="0"/>
                <w:bCs w:val="0"/>
                <w:color w:val="auto"/>
                <w:sz w:val="24"/>
                <w:szCs w:val="18"/>
                <w:highlight w:val="none"/>
                <w:lang w:eastAsia="zh-CN"/>
              </w:rPr>
            </w:pPr>
            <w:r>
              <w:rPr>
                <w:rFonts w:hint="default" w:ascii="Times New Roman" w:hAnsi="Times New Roman" w:cs="Times New Roman"/>
                <w:b w:val="0"/>
                <w:bCs w:val="0"/>
                <w:color w:val="auto"/>
                <w:sz w:val="24"/>
                <w:szCs w:val="18"/>
                <w:highlight w:val="none"/>
              </w:rPr>
              <w:t>合肥滨湖时光产业投资集团有限公司</w:t>
            </w:r>
            <w:r>
              <w:rPr>
                <w:rFonts w:hint="eastAsia" w:ascii="Times New Roman" w:hAnsi="Times New Roman" w:cs="Times New Roman"/>
                <w:b w:val="0"/>
                <w:bCs w:val="0"/>
                <w:color w:val="auto"/>
                <w:sz w:val="24"/>
                <w:szCs w:val="18"/>
                <w:highlight w:val="none"/>
                <w:lang w:eastAsia="zh-CN"/>
              </w:rPr>
              <w:t>纪检监察室</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2600B62">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2667F1">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p>
          <w:p w14:paraId="0E96872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p>
          <w:p w14:paraId="34F3C03F">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p>
          <w:p w14:paraId="4B5B335D">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p>
          <w:p w14:paraId="057A53E1">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p>
          <w:p w14:paraId="5827CE49">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12D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7FB8F30">
            <w:pPr>
              <w:keepNext w:val="0"/>
              <w:keepLines w:val="0"/>
              <w:widowControl/>
              <w:suppressLineNumbers w:val="0"/>
              <w:jc w:val="center"/>
            </w:pPr>
            <w:r>
              <w:rPr>
                <w:rFonts w:ascii="宋体" w:hAnsi="宋体" w:eastAsia="宋体" w:cs="宋体"/>
                <w:color w:val="000000"/>
                <w:kern w:val="0"/>
                <w:sz w:val="24"/>
                <w:szCs w:val="24"/>
                <w:lang w:val="en-US" w:eastAsia="zh-CN" w:bidi="ar"/>
              </w:rPr>
              <w:t>业绩证明材料</w:t>
            </w:r>
          </w:p>
          <w:p w14:paraId="6079EEC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p>
        </w:tc>
        <w:tc>
          <w:tcPr>
            <w:tcW w:w="6687" w:type="dxa"/>
            <w:vAlign w:val="center"/>
          </w:tcPr>
          <w:p w14:paraId="1584132C">
            <w:pPr>
              <w:pStyle w:val="60"/>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 xml:space="preserve">1.本招标文件中要求的业绩须同时提供以下业绩证明材料： </w:t>
            </w:r>
          </w:p>
          <w:p w14:paraId="07C93E4F">
            <w:pPr>
              <w:keepNext w:val="0"/>
              <w:keepLines w:val="0"/>
              <w:widowControl/>
              <w:suppressLineNumbers w:val="0"/>
              <w:jc w:val="left"/>
              <w:rPr>
                <w:rFonts w:hint="default" w:ascii="Times New Roman" w:hAnsi="Times New Roman" w:eastAsia="宋体" w:cs="Times New Roman"/>
                <w:b w:val="0"/>
                <w:color w:val="auto"/>
                <w:sz w:val="24"/>
                <w:highlight w:val="none"/>
              </w:rPr>
            </w:pPr>
            <w:r>
              <w:rPr>
                <w:rFonts w:hint="eastAsia" w:ascii="Times New Roman" w:hAnsi="Times New Roman" w:cs="Times New Roman"/>
                <w:b w:val="0"/>
                <w:color w:val="auto"/>
                <w:sz w:val="24"/>
                <w:highlight w:val="none"/>
                <w:lang w:val="en-US" w:eastAsia="zh-CN"/>
              </w:rPr>
              <w:t>（1）</w:t>
            </w:r>
            <w:r>
              <w:rPr>
                <w:rFonts w:hint="default" w:ascii="Times New Roman" w:hAnsi="Times New Roman" w:eastAsia="宋体" w:cs="Times New Roman"/>
                <w:b w:val="0"/>
                <w:color w:val="auto"/>
                <w:sz w:val="24"/>
                <w:highlight w:val="none"/>
                <w:lang w:val="en-US" w:eastAsia="zh-CN"/>
              </w:rPr>
              <w:t>业绩合同扫描件</w:t>
            </w:r>
            <w:r>
              <w:rPr>
                <w:rFonts w:hint="eastAsia" w:ascii="Times New Roman" w:hAnsi="Times New Roman" w:eastAsia="宋体" w:cs="Times New Roman"/>
                <w:b w:val="0"/>
                <w:bCs w:val="0"/>
                <w:color w:val="auto"/>
                <w:sz w:val="24"/>
                <w:highlight w:val="none"/>
                <w:lang w:val="en-US" w:eastAsia="zh-CN"/>
              </w:rPr>
              <w:t>（</w:t>
            </w:r>
            <w:r>
              <w:rPr>
                <w:rFonts w:ascii="宋体" w:hAnsi="宋体" w:eastAsia="宋体" w:cs="宋体"/>
                <w:b w:val="0"/>
                <w:bCs w:val="0"/>
                <w:color w:val="000000"/>
                <w:kern w:val="0"/>
                <w:sz w:val="24"/>
                <w:szCs w:val="24"/>
                <w:highlight w:val="none"/>
                <w:lang w:val="en-US" w:eastAsia="zh-CN" w:bidi="ar"/>
              </w:rPr>
              <w:t>须加盖甲方单位章</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 xml:space="preserve">； </w:t>
            </w:r>
          </w:p>
          <w:p w14:paraId="78CB9E55">
            <w:pPr>
              <w:pStyle w:val="60"/>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eastAsia" w:ascii="Times New Roman" w:hAnsi="Times New Roman" w:cs="Times New Roman"/>
                <w:b w:val="0"/>
                <w:color w:val="auto"/>
                <w:sz w:val="24"/>
                <w:highlight w:val="none"/>
                <w:lang w:val="en-US" w:eastAsia="zh-CN"/>
              </w:rPr>
              <w:t>（2）</w:t>
            </w:r>
            <w:r>
              <w:rPr>
                <w:rFonts w:hint="default" w:ascii="Times New Roman" w:hAnsi="Times New Roman" w:eastAsia="宋体" w:cs="Times New Roman"/>
                <w:b w:val="0"/>
                <w:color w:val="auto"/>
                <w:sz w:val="24"/>
                <w:highlight w:val="none"/>
                <w:lang w:val="en-US" w:eastAsia="zh-CN"/>
              </w:rPr>
              <w:t xml:space="preserve">针对技术部分评审标准的“人员业绩”，还须另提供载有业 </w:t>
            </w:r>
          </w:p>
          <w:p w14:paraId="79E02CDB">
            <w:pPr>
              <w:pStyle w:val="60"/>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 xml:space="preserve">绩人员姓名的法院判决书或裁定书或仲裁书扫描件。 </w:t>
            </w:r>
          </w:p>
          <w:p w14:paraId="36FD0F87">
            <w:pPr>
              <w:pStyle w:val="60"/>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 xml:space="preserve">2.已签订合同但尚未实施的业绩不予认可。即截至投标截止时间，项目如存在目前尚未开始履约、人员进场但尚未实质性开展、处于暂停等情况的，该业绩不予认可。 </w:t>
            </w:r>
          </w:p>
          <w:p w14:paraId="7CFB82BB">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eastAsia="宋体" w:cs="Times New Roman"/>
                <w:b w:val="0"/>
                <w:color w:val="auto"/>
                <w:sz w:val="24"/>
                <w:highlight w:val="none"/>
                <w:lang w:val="en-US" w:eastAsia="zh-CN"/>
              </w:rPr>
              <w:t>备注：如投标人提供的上述要求的业绩证明材料均未能明确反映出招标文件所要求的内容的（如合同签订日期、合同服务内容等），应另附合同甲方证明材料予以明确说明，须加盖合同甲方公章，否则评标委员会不予认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eastAsia="宋体" w:cs="Times New Roman"/>
                <w:b w:val="0"/>
                <w:bCs/>
                <w:snapToGrid w:val="0"/>
                <w:color w:val="auto"/>
                <w:kern w:val="0"/>
                <w:sz w:val="24"/>
                <w:szCs w:val="24"/>
                <w:highlight w:val="none"/>
              </w:rPr>
            </w:pPr>
            <w:r>
              <w:rPr>
                <w:rFonts w:hint="default" w:ascii="Times New Roman" w:hAnsi="Times New Roman" w:cs="Times New Roman"/>
                <w:b w:val="0"/>
                <w:bCs/>
                <w:snapToGrid w:val="0"/>
                <w:color w:val="auto"/>
                <w:kern w:val="0"/>
                <w:sz w:val="24"/>
                <w:szCs w:val="24"/>
                <w:highlight w:val="none"/>
              </w:rPr>
              <w:t>本项目是否要求</w:t>
            </w:r>
            <w:r>
              <w:rPr>
                <w:rFonts w:hint="eastAsia" w:ascii="Times New Roman" w:hAnsi="Times New Roman" w:cs="Times New Roman"/>
                <w:b w:val="0"/>
                <w:bCs/>
                <w:snapToGrid w:val="0"/>
                <w:color w:val="auto"/>
                <w:kern w:val="0"/>
                <w:sz w:val="24"/>
                <w:szCs w:val="24"/>
                <w:highlight w:val="none"/>
                <w:lang w:val="en-US" w:eastAsia="zh-CN"/>
              </w:rPr>
              <w:t>便利</w:t>
            </w:r>
            <w:r>
              <w:rPr>
                <w:rFonts w:hint="default" w:ascii="Times New Roman" w:hAnsi="Times New Roman" w:cs="Times New Roman"/>
                <w:b w:val="0"/>
                <w:bCs/>
                <w:snapToGrid w:val="0"/>
                <w:color w:val="auto"/>
                <w:kern w:val="0"/>
                <w:sz w:val="24"/>
                <w:szCs w:val="24"/>
                <w:highlight w:val="none"/>
              </w:rPr>
              <w:t>化</w:t>
            </w:r>
            <w:r>
              <w:rPr>
                <w:rFonts w:hint="default" w:ascii="Times New Roman" w:hAnsi="Times New Roman" w:eastAsia="宋体" w:cs="Times New Roman"/>
                <w:b w:val="0"/>
                <w:bCs/>
                <w:snapToGrid w:val="0"/>
                <w:color w:val="auto"/>
                <w:kern w:val="0"/>
                <w:sz w:val="24"/>
                <w:szCs w:val="24"/>
                <w:highlight w:val="none"/>
              </w:rPr>
              <w:t>服务能力：</w:t>
            </w:r>
            <w:r>
              <w:rPr>
                <w:rFonts w:hint="eastAsia" w:ascii="Times New Roman" w:hAnsi="Times New Roman" w:eastAsia="宋体" w:cs="Times New Roman"/>
                <w:b w:val="0"/>
                <w:bCs/>
                <w:snapToGrid w:val="0"/>
                <w:color w:val="auto"/>
                <w:kern w:val="0"/>
                <w:sz w:val="24"/>
                <w:szCs w:val="24"/>
                <w:highlight w:val="none"/>
                <w:lang w:eastAsia="zh-CN"/>
              </w:rPr>
              <w:t>□</w:t>
            </w:r>
            <w:r>
              <w:rPr>
                <w:rFonts w:hint="default" w:ascii="Times New Roman" w:hAnsi="Times New Roman" w:eastAsia="宋体" w:cs="Times New Roman"/>
                <w:b w:val="0"/>
                <w:bCs/>
                <w:snapToGrid w:val="0"/>
                <w:color w:val="auto"/>
                <w:kern w:val="0"/>
                <w:sz w:val="24"/>
                <w:szCs w:val="24"/>
                <w:highlight w:val="none"/>
              </w:rPr>
              <w:t>要求</w:t>
            </w:r>
            <w:r>
              <w:rPr>
                <w:rFonts w:hint="eastAsia" w:ascii="Times New Roman" w:hAnsi="Times New Roman" w:eastAsia="宋体" w:cs="Times New Roman"/>
                <w:b w:val="0"/>
                <w:bCs/>
                <w:snapToGrid w:val="0"/>
                <w:color w:val="auto"/>
                <w:kern w:val="0"/>
                <w:sz w:val="24"/>
                <w:szCs w:val="24"/>
                <w:highlight w:val="none"/>
                <w:lang w:eastAsia="zh-CN"/>
              </w:rPr>
              <w:t>☑</w:t>
            </w:r>
            <w:r>
              <w:rPr>
                <w:rFonts w:hint="default" w:ascii="Times New Roman" w:hAnsi="Times New Roman" w:eastAsia="宋体" w:cs="Times New Roman"/>
                <w:b w:val="0"/>
                <w:bCs/>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val="0"/>
                <w:bCs/>
                <w:snapToGrid w:val="0"/>
                <w:color w:val="auto"/>
                <w:kern w:val="0"/>
                <w:sz w:val="24"/>
                <w:szCs w:val="24"/>
                <w:highlight w:val="none"/>
              </w:rPr>
            </w:pPr>
            <w:r>
              <w:rPr>
                <w:rFonts w:hint="eastAsia" w:ascii="Times New Roman" w:hAnsi="Times New Roman" w:cs="Times New Roman"/>
                <w:b w:val="0"/>
                <w:bCs/>
                <w:snapToGrid w:val="0"/>
                <w:color w:val="auto"/>
                <w:kern w:val="0"/>
                <w:sz w:val="24"/>
                <w:szCs w:val="24"/>
                <w:highlight w:val="none"/>
                <w:lang w:val="en-US" w:eastAsia="zh-CN"/>
              </w:rPr>
              <w:t>便利化</w:t>
            </w:r>
            <w:r>
              <w:rPr>
                <w:rFonts w:hint="default" w:ascii="Times New Roman" w:hAnsi="Times New Roman" w:cs="Times New Roman"/>
                <w:b w:val="0"/>
                <w:bCs/>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val="0"/>
                <w:bCs/>
                <w:snapToGrid w:val="0"/>
                <w:color w:val="auto"/>
                <w:kern w:val="0"/>
                <w:sz w:val="24"/>
                <w:szCs w:val="24"/>
                <w:highlight w:val="none"/>
              </w:rPr>
            </w:pPr>
            <w:r>
              <w:rPr>
                <w:rFonts w:hint="default" w:ascii="Times New Roman" w:hAnsi="Times New Roman" w:cs="Times New Roman"/>
                <w:b w:val="0"/>
                <w:bCs/>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val="0"/>
                <w:bCs/>
                <w:snapToGrid w:val="0"/>
                <w:color w:val="auto"/>
                <w:kern w:val="0"/>
                <w:sz w:val="24"/>
                <w:szCs w:val="24"/>
                <w:highlight w:val="none"/>
              </w:rPr>
            </w:pPr>
            <w:r>
              <w:rPr>
                <w:rFonts w:hint="default" w:ascii="Times New Roman" w:hAnsi="Times New Roman" w:cs="Times New Roman"/>
                <w:b w:val="0"/>
                <w:bCs/>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val="0"/>
                <w:bCs/>
                <w:snapToGrid w:val="0"/>
                <w:color w:val="auto"/>
                <w:kern w:val="0"/>
                <w:sz w:val="24"/>
                <w:szCs w:val="24"/>
                <w:highlight w:val="none"/>
              </w:rPr>
            </w:pPr>
            <w:r>
              <w:rPr>
                <w:rFonts w:hint="default" w:ascii="Times New Roman" w:hAnsi="Times New Roman" w:cs="Times New Roman"/>
                <w:b w:val="0"/>
                <w:bCs/>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 w:val="0"/>
                <w:bCs/>
                <w:color w:val="auto"/>
                <w:sz w:val="24"/>
                <w:highlight w:val="none"/>
              </w:rPr>
            </w:pPr>
            <w:r>
              <w:rPr>
                <w:rFonts w:hint="default" w:ascii="Times New Roman" w:hAnsi="Times New Roman" w:cs="Times New Roman"/>
                <w:b w:val="0"/>
                <w:bCs/>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660062"/>
      <w:bookmarkStart w:id="14" w:name="_Toc283798416"/>
      <w:bookmarkStart w:id="15" w:name="_Toc26766"/>
      <w:bookmarkStart w:id="16" w:name="_Toc421916975"/>
      <w:bookmarkStart w:id="17" w:name="_Toc460226989"/>
      <w:bookmarkStart w:id="18" w:name="_Toc460226720"/>
      <w:bookmarkStart w:id="19" w:name="_Toc11078137"/>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0"/>
        </w:numPr>
        <w:spacing w:line="360" w:lineRule="auto"/>
        <w:ind w:firstLine="482" w:firstLineChars="200"/>
        <w:outlineLvl w:val="3"/>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13.</w:t>
      </w: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r>
        <w:rPr>
          <w:rFonts w:hint="eastAsia" w:ascii="Times New Roman" w:hAnsi="Times New Roman" w:cs="Times New Roman"/>
          <w:color w:val="auto"/>
          <w:sz w:val="24"/>
          <w:szCs w:val="18"/>
          <w:highlight w:val="none"/>
          <w:lang w:val="en-US" w:eastAsia="zh-CN"/>
        </w:rPr>
        <w:t>同意</w:t>
      </w:r>
      <w:r>
        <w:rPr>
          <w:rFonts w:hint="default" w:ascii="Times New Roman" w:hAnsi="Times New Roman" w:cs="Times New Roman"/>
          <w:color w:val="auto"/>
          <w:sz w:val="24"/>
          <w:szCs w:val="18"/>
          <w:highlight w:val="none"/>
          <w:lang w:val="en-US" w:eastAsia="zh-CN"/>
        </w:rPr>
        <w:t>。</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298E6531">
            <w:pPr>
              <w:keepNext w:val="0"/>
              <w:keepLines w:val="0"/>
              <w:widowControl/>
              <w:suppressLineNumbers w:val="0"/>
              <w:jc w:val="left"/>
              <w:rPr>
                <w:rStyle w:val="103"/>
                <w:rFonts w:hint="eastAsia" w:ascii="Times New Roman" w:hAnsi="Times New Roman" w:eastAsia="宋体" w:cs="Times New Roman"/>
                <w:b w:val="0"/>
                <w:bCs/>
                <w:color w:val="auto"/>
                <w:kern w:val="0"/>
                <w:sz w:val="24"/>
                <w:szCs w:val="28"/>
                <w:highlight w:val="none"/>
              </w:rPr>
            </w:pPr>
            <w:r>
              <w:rPr>
                <w:rStyle w:val="103"/>
                <w:rFonts w:hint="eastAsia" w:ascii="Times New Roman" w:hAnsi="Times New Roman" w:eastAsia="宋体" w:cs="Times New Roman"/>
                <w:b w:val="0"/>
                <w:bCs/>
                <w:color w:val="auto"/>
                <w:kern w:val="0"/>
                <w:sz w:val="24"/>
                <w:szCs w:val="28"/>
                <w:highlight w:val="none"/>
                <w:lang w:val="en-US" w:eastAsia="zh-CN"/>
              </w:rPr>
              <w:t>付款方式：</w:t>
            </w:r>
            <w:r>
              <w:rPr>
                <w:rStyle w:val="103"/>
                <w:rFonts w:hint="eastAsia" w:ascii="Times New Roman" w:hAnsi="Times New Roman" w:cs="Times New Roman"/>
                <w:b w:val="0"/>
                <w:bCs/>
                <w:color w:val="auto"/>
                <w:kern w:val="0"/>
                <w:sz w:val="24"/>
                <w:szCs w:val="28"/>
                <w:highlight w:val="none"/>
                <w:lang w:val="en-US" w:eastAsia="zh-CN"/>
              </w:rPr>
              <w:t>合同服务期满后一个月内付清</w:t>
            </w:r>
            <w:r>
              <w:rPr>
                <w:rStyle w:val="103"/>
                <w:rFonts w:hint="eastAsia" w:ascii="Times New Roman" w:hAnsi="Times New Roman" w:eastAsia="宋体" w:cs="Times New Roman"/>
                <w:b w:val="0"/>
                <w:bCs/>
                <w:color w:val="auto"/>
                <w:kern w:val="0"/>
                <w:sz w:val="24"/>
                <w:szCs w:val="28"/>
                <w:highlight w:val="none"/>
                <w:lang w:val="en-US" w:eastAsia="zh-CN"/>
              </w:rPr>
              <w:t xml:space="preserve">。 </w:t>
            </w:r>
          </w:p>
          <w:p w14:paraId="570A49B2">
            <w:pPr>
              <w:keepNext w:val="0"/>
              <w:keepLines w:val="0"/>
              <w:widowControl/>
              <w:suppressLineNumbers w:val="0"/>
              <w:jc w:val="left"/>
              <w:rPr>
                <w:rStyle w:val="103"/>
                <w:rFonts w:hint="eastAsia" w:ascii="Times New Roman" w:hAnsi="Times New Roman" w:eastAsia="宋体" w:cs="Times New Roman"/>
                <w:b w:val="0"/>
                <w:bCs/>
                <w:color w:val="auto"/>
                <w:kern w:val="0"/>
                <w:sz w:val="24"/>
                <w:szCs w:val="28"/>
                <w:highlight w:val="none"/>
              </w:rPr>
            </w:pPr>
            <w:r>
              <w:rPr>
                <w:rStyle w:val="103"/>
                <w:rFonts w:hint="eastAsia" w:ascii="Times New Roman" w:hAnsi="Times New Roman" w:eastAsia="宋体" w:cs="Times New Roman"/>
                <w:b w:val="0"/>
                <w:bCs/>
                <w:color w:val="auto"/>
                <w:kern w:val="0"/>
                <w:sz w:val="24"/>
                <w:szCs w:val="28"/>
                <w:highlight w:val="none"/>
                <w:lang w:val="en-US" w:eastAsia="zh-CN"/>
              </w:rPr>
              <w:t>投标人提交的投标文件中如有关于付款条件的表述与招标文件规定负偏离的，投标无效。</w:t>
            </w:r>
          </w:p>
          <w:p w14:paraId="0B1B4F4D">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1C2A1D75">
            <w:pPr>
              <w:pStyle w:val="18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自合同签订之日起一年。</w:t>
            </w:r>
          </w:p>
          <w:p w14:paraId="3D8F8C67">
            <w:pPr>
              <w:pStyle w:val="187"/>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若履约情况良好且年度预算允许的前提下，到期后经双方协商一致，可续签一年且合同金额不变。</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09A1067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b w:val="0"/>
          <w:color w:val="auto"/>
          <w:sz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本项目为</w:t>
      </w:r>
      <w:r>
        <w:rPr>
          <w:rFonts w:hint="default" w:ascii="Times New Roman" w:hAnsi="Times New Roman" w:cs="Times New Roman"/>
          <w:color w:val="auto"/>
          <w:sz w:val="24"/>
          <w:szCs w:val="24"/>
          <w:highlight w:val="none"/>
          <w:u w:val="none"/>
          <w:lang w:val="en-US" w:eastAsia="zh-CN"/>
        </w:rPr>
        <w:t>合肥滨湖时光产业投资集团有限公司</w:t>
      </w:r>
      <w:r>
        <w:rPr>
          <w:rFonts w:hint="eastAsia" w:ascii="Times New Roman" w:hAnsi="Times New Roman" w:cs="Times New Roman"/>
          <w:color w:val="auto"/>
          <w:sz w:val="24"/>
          <w:szCs w:val="24"/>
          <w:highlight w:val="none"/>
          <w:u w:val="none"/>
          <w:lang w:val="en-US" w:eastAsia="zh-CN"/>
        </w:rPr>
        <w:t>及其下属子公司确定常年法律顾问服务单位。合肥滨湖时光产业投资集团有限公司</w:t>
      </w:r>
      <w:r>
        <w:rPr>
          <w:rFonts w:hint="default" w:ascii="Times New Roman" w:hAnsi="Times New Roman" w:cs="Times New Roman"/>
          <w:color w:val="auto"/>
          <w:sz w:val="24"/>
          <w:szCs w:val="24"/>
          <w:highlight w:val="none"/>
          <w:u w:val="none"/>
          <w:lang w:val="en-US" w:eastAsia="zh-CN"/>
        </w:rPr>
        <w:t>是合肥市包河区国有全资公司，是受合肥市包河区国资委重点监管的一级企业。</w:t>
      </w:r>
      <w:r>
        <w:rPr>
          <w:rFonts w:hint="eastAsia" w:ascii="Times New Roman" w:hAnsi="Times New Roman" w:cs="Times New Roman"/>
          <w:color w:val="auto"/>
          <w:sz w:val="24"/>
          <w:szCs w:val="24"/>
          <w:highlight w:val="none"/>
          <w:u w:val="none"/>
          <w:lang w:val="en-US" w:eastAsia="zh-CN"/>
        </w:rPr>
        <w:t>滨湖时光</w:t>
      </w:r>
      <w:r>
        <w:rPr>
          <w:rFonts w:hint="default" w:ascii="Times New Roman" w:hAnsi="Times New Roman" w:cs="Times New Roman"/>
          <w:color w:val="auto"/>
          <w:sz w:val="24"/>
          <w:szCs w:val="24"/>
          <w:highlight w:val="none"/>
          <w:u w:val="none"/>
          <w:lang w:val="en-US" w:eastAsia="zh-CN"/>
        </w:rPr>
        <w:t>集团以满足人民群众对美好生活的向往为目标，专注于公共事业，统筹文化教育、文化体育、文化旅游、公共文化空间、健康养老、公共资源交易等公共事业运营。为满足集团</w:t>
      </w:r>
      <w:r>
        <w:rPr>
          <w:rFonts w:hint="eastAsia" w:ascii="Times New Roman" w:hAnsi="Times New Roman" w:cs="Times New Roman"/>
          <w:color w:val="auto"/>
          <w:sz w:val="24"/>
          <w:szCs w:val="24"/>
          <w:highlight w:val="none"/>
          <w:u w:val="none"/>
          <w:lang w:val="en-US" w:eastAsia="zh-CN"/>
        </w:rPr>
        <w:t>本部及子公司</w:t>
      </w:r>
      <w:r>
        <w:rPr>
          <w:rFonts w:hint="default" w:ascii="Times New Roman" w:hAnsi="Times New Roman" w:cs="Times New Roman"/>
          <w:color w:val="auto"/>
          <w:sz w:val="24"/>
          <w:szCs w:val="24"/>
          <w:highlight w:val="none"/>
          <w:u w:val="none"/>
          <w:lang w:val="en-US" w:eastAsia="zh-CN"/>
        </w:rPr>
        <w:t>的业务发展需要，保障相关工作的合法合规性，有效控制法律风险，亟需引入外部专业法律服务机构提供常年</w:t>
      </w:r>
      <w:r>
        <w:rPr>
          <w:rFonts w:hint="eastAsia" w:ascii="Times New Roman" w:hAnsi="Times New Roman" w:cs="Times New Roman"/>
          <w:color w:val="auto"/>
          <w:sz w:val="24"/>
          <w:szCs w:val="24"/>
          <w:highlight w:val="none"/>
          <w:u w:val="none"/>
          <w:lang w:val="en-US" w:eastAsia="zh-CN"/>
        </w:rPr>
        <w:t>法律</w:t>
      </w:r>
      <w:r>
        <w:rPr>
          <w:rFonts w:hint="default" w:ascii="Times New Roman" w:hAnsi="Times New Roman" w:cs="Times New Roman"/>
          <w:color w:val="auto"/>
          <w:sz w:val="24"/>
          <w:szCs w:val="24"/>
          <w:highlight w:val="none"/>
          <w:u w:val="none"/>
          <w:lang w:val="en-US" w:eastAsia="zh-CN"/>
        </w:rPr>
        <w:t>顾问服务。</w:t>
      </w:r>
    </w:p>
    <w:p w14:paraId="60AB44D2">
      <w:pPr>
        <w:numPr>
          <w:ilvl w:val="0"/>
          <w:numId w:val="1"/>
        </w:numPr>
        <w:spacing w:line="360" w:lineRule="auto"/>
        <w:ind w:firstLine="437"/>
        <w:rPr>
          <w:rFonts w:hint="eastAsia" w:ascii="Times New Roman" w:hAnsi="Times New Roman" w:cs="Times New Roman"/>
          <w:b/>
          <w:color w:val="auto"/>
          <w:sz w:val="24"/>
          <w:szCs w:val="18"/>
          <w:highlight w:val="none"/>
          <w:lang w:val="en-US" w:eastAsia="zh-CN"/>
        </w:rPr>
      </w:pPr>
      <w:r>
        <w:rPr>
          <w:rFonts w:hint="default" w:ascii="Times New Roman" w:hAnsi="Times New Roman" w:eastAsia="宋体" w:cs="Times New Roman"/>
          <w:b/>
          <w:color w:val="auto"/>
          <w:sz w:val="24"/>
          <w:szCs w:val="18"/>
          <w:highlight w:val="none"/>
          <w:lang w:val="en-US" w:eastAsia="zh-CN"/>
        </w:rPr>
        <w:t>服务</w:t>
      </w:r>
      <w:r>
        <w:rPr>
          <w:rFonts w:hint="eastAsia" w:ascii="Times New Roman" w:hAnsi="Times New Roman" w:cs="Times New Roman"/>
          <w:b/>
          <w:color w:val="auto"/>
          <w:sz w:val="24"/>
          <w:szCs w:val="18"/>
          <w:highlight w:val="none"/>
          <w:lang w:val="en-US" w:eastAsia="zh-CN"/>
        </w:rPr>
        <w:t>对象</w:t>
      </w:r>
    </w:p>
    <w:p w14:paraId="62E29BD3">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cyan"/>
          <w:u w:val="none"/>
          <w:lang w:val="en-US" w:eastAsia="zh-CN"/>
        </w:rPr>
      </w:pPr>
      <w:r>
        <w:rPr>
          <w:rFonts w:hint="default" w:ascii="Times New Roman" w:hAnsi="Times New Roman" w:eastAsia="宋体" w:cs="Times New Roman"/>
          <w:color w:val="auto"/>
          <w:sz w:val="24"/>
          <w:szCs w:val="24"/>
          <w:highlight w:val="none"/>
          <w:u w:val="none"/>
          <w:lang w:val="en-US" w:eastAsia="zh-CN"/>
        </w:rPr>
        <w:t>本招标文件中，招标人及其</w:t>
      </w:r>
      <w:r>
        <w:rPr>
          <w:rFonts w:hint="eastAsia" w:ascii="Times New Roman" w:hAnsi="Times New Roman" w:eastAsia="宋体" w:cs="Times New Roman"/>
          <w:color w:val="auto"/>
          <w:sz w:val="24"/>
          <w:szCs w:val="24"/>
          <w:highlight w:val="none"/>
          <w:u w:val="none"/>
          <w:lang w:val="en-US" w:eastAsia="zh-CN"/>
        </w:rPr>
        <w:t>需要进行服务的全资子公司</w:t>
      </w:r>
      <w:r>
        <w:rPr>
          <w:rFonts w:hint="default" w:ascii="Times New Roman" w:hAnsi="Times New Roman" w:eastAsia="宋体" w:cs="Times New Roman"/>
          <w:color w:val="auto"/>
          <w:sz w:val="24"/>
          <w:szCs w:val="24"/>
          <w:highlight w:val="none"/>
          <w:u w:val="none"/>
          <w:lang w:val="en-US" w:eastAsia="zh-CN"/>
        </w:rPr>
        <w:t>名录详见下表，若招标人在中标人提供服务期间出现设立分公司、子公司等对外投资产生的新增主体，该新增主体亦在中标人服务范围内。</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5645"/>
        <w:gridCol w:w="2003"/>
      </w:tblGrid>
      <w:tr w14:paraId="5048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25B0D57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auto"/>
                <w:sz w:val="24"/>
                <w:szCs w:val="24"/>
                <w:highlight w:val="none"/>
                <w:u w:val="none"/>
                <w:vertAlign w:val="baseline"/>
                <w:lang w:val="en-US" w:eastAsia="zh-CN"/>
              </w:rPr>
            </w:pPr>
            <w:r>
              <w:rPr>
                <w:rFonts w:hint="eastAsia" w:ascii="Times New Roman" w:hAnsi="Times New Roman" w:eastAsia="宋体" w:cs="Times New Roman"/>
                <w:b/>
                <w:bCs/>
                <w:color w:val="auto"/>
                <w:sz w:val="24"/>
                <w:szCs w:val="24"/>
                <w:highlight w:val="none"/>
                <w:u w:val="none"/>
                <w:vertAlign w:val="baseline"/>
                <w:lang w:val="en-US" w:eastAsia="zh-CN"/>
              </w:rPr>
              <w:t>序号</w:t>
            </w:r>
          </w:p>
        </w:tc>
        <w:tc>
          <w:tcPr>
            <w:tcW w:w="5645" w:type="dxa"/>
          </w:tcPr>
          <w:p w14:paraId="3ED237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auto"/>
                <w:sz w:val="24"/>
                <w:szCs w:val="24"/>
                <w:highlight w:val="none"/>
                <w:u w:val="none"/>
                <w:vertAlign w:val="baseline"/>
                <w:lang w:val="en-US" w:eastAsia="zh-CN"/>
              </w:rPr>
            </w:pPr>
            <w:r>
              <w:rPr>
                <w:rFonts w:hint="eastAsia" w:ascii="Times New Roman" w:hAnsi="Times New Roman" w:eastAsia="宋体" w:cs="Times New Roman"/>
                <w:b/>
                <w:bCs/>
                <w:color w:val="auto"/>
                <w:sz w:val="24"/>
                <w:szCs w:val="24"/>
                <w:highlight w:val="none"/>
                <w:u w:val="none"/>
                <w:vertAlign w:val="baseline"/>
                <w:lang w:val="en-US" w:eastAsia="zh-CN"/>
              </w:rPr>
              <w:t>公司名称</w:t>
            </w:r>
          </w:p>
        </w:tc>
        <w:tc>
          <w:tcPr>
            <w:tcW w:w="2003" w:type="dxa"/>
          </w:tcPr>
          <w:p w14:paraId="1779E77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bCs/>
                <w:color w:val="auto"/>
                <w:sz w:val="24"/>
                <w:szCs w:val="24"/>
                <w:highlight w:val="none"/>
                <w:u w:val="none"/>
                <w:vertAlign w:val="baseline"/>
                <w:lang w:val="en-US" w:eastAsia="zh-CN"/>
              </w:rPr>
            </w:pPr>
            <w:r>
              <w:rPr>
                <w:rFonts w:hint="eastAsia" w:ascii="Times New Roman" w:hAnsi="Times New Roman" w:eastAsia="宋体" w:cs="Times New Roman"/>
                <w:b/>
                <w:bCs/>
                <w:color w:val="auto"/>
                <w:sz w:val="24"/>
                <w:szCs w:val="24"/>
                <w:highlight w:val="none"/>
                <w:u w:val="none"/>
                <w:vertAlign w:val="baseline"/>
                <w:lang w:val="en-US" w:eastAsia="zh-CN"/>
              </w:rPr>
              <w:t>与招标人的关系</w:t>
            </w:r>
          </w:p>
        </w:tc>
      </w:tr>
      <w:tr w14:paraId="05AD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F9C9EE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1</w:t>
            </w:r>
          </w:p>
        </w:tc>
        <w:tc>
          <w:tcPr>
            <w:tcW w:w="5645" w:type="dxa"/>
          </w:tcPr>
          <w:p w14:paraId="6DF0B4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合肥滨湖时光产业投资集团有限公司</w:t>
            </w:r>
          </w:p>
        </w:tc>
        <w:tc>
          <w:tcPr>
            <w:tcW w:w="2003" w:type="dxa"/>
          </w:tcPr>
          <w:p w14:paraId="32C91D4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招标人</w:t>
            </w:r>
          </w:p>
        </w:tc>
      </w:tr>
      <w:tr w14:paraId="07EA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802B1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2</w:t>
            </w:r>
          </w:p>
        </w:tc>
        <w:tc>
          <w:tcPr>
            <w:tcW w:w="5645" w:type="dxa"/>
          </w:tcPr>
          <w:p w14:paraId="714A731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合肥滨湖时光教育管理有限公司及其下属公司</w:t>
            </w:r>
          </w:p>
        </w:tc>
        <w:tc>
          <w:tcPr>
            <w:tcW w:w="2003" w:type="dxa"/>
          </w:tcPr>
          <w:p w14:paraId="5A4B7B1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全资子公司</w:t>
            </w:r>
          </w:p>
        </w:tc>
      </w:tr>
      <w:tr w14:paraId="0AF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6EAF31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3</w:t>
            </w:r>
          </w:p>
        </w:tc>
        <w:tc>
          <w:tcPr>
            <w:tcW w:w="5645" w:type="dxa"/>
          </w:tcPr>
          <w:p w14:paraId="1794D6D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合肥滨湖时光体育发展有限公司及其下属公司</w:t>
            </w:r>
          </w:p>
        </w:tc>
        <w:tc>
          <w:tcPr>
            <w:tcW w:w="2003" w:type="dxa"/>
          </w:tcPr>
          <w:p w14:paraId="0CF5961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全资子公司</w:t>
            </w:r>
          </w:p>
        </w:tc>
      </w:tr>
      <w:tr w14:paraId="0F8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82C2CD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4</w:t>
            </w:r>
          </w:p>
        </w:tc>
        <w:tc>
          <w:tcPr>
            <w:tcW w:w="5645" w:type="dxa"/>
          </w:tcPr>
          <w:p w14:paraId="1A83BB0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合肥滨湖时光空间运营管理有限公司及其下属公司</w:t>
            </w:r>
          </w:p>
        </w:tc>
        <w:tc>
          <w:tcPr>
            <w:tcW w:w="2003" w:type="dxa"/>
          </w:tcPr>
          <w:p w14:paraId="3E91CD7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全资子公司</w:t>
            </w:r>
          </w:p>
        </w:tc>
      </w:tr>
      <w:tr w14:paraId="217F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0E5B72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5</w:t>
            </w:r>
          </w:p>
        </w:tc>
        <w:tc>
          <w:tcPr>
            <w:tcW w:w="5645" w:type="dxa"/>
          </w:tcPr>
          <w:p w14:paraId="6086D89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合肥滨湖时光康养产业有限公司及其下属</w:t>
            </w:r>
            <w:r>
              <w:rPr>
                <w:rFonts w:hint="eastAsia" w:ascii="Times New Roman" w:hAnsi="Times New Roman" w:cs="Times New Roman"/>
                <w:b w:val="0"/>
                <w:bCs/>
                <w:color w:val="auto"/>
                <w:kern w:val="0"/>
                <w:sz w:val="24"/>
                <w:szCs w:val="28"/>
                <w:highlight w:val="none"/>
                <w:lang w:val="en-US" w:eastAsia="zh-CN" w:bidi="ar-SA"/>
              </w:rPr>
              <w:t>公司</w:t>
            </w:r>
          </w:p>
        </w:tc>
        <w:tc>
          <w:tcPr>
            <w:tcW w:w="2003" w:type="dxa"/>
          </w:tcPr>
          <w:p w14:paraId="593C09E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全资子公司</w:t>
            </w:r>
          </w:p>
        </w:tc>
      </w:tr>
    </w:tbl>
    <w:p w14:paraId="19121AB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p>
    <w:p w14:paraId="3AE69600">
      <w:pPr>
        <w:numPr>
          <w:ilvl w:val="0"/>
          <w:numId w:val="1"/>
        </w:numPr>
        <w:spacing w:line="360" w:lineRule="auto"/>
        <w:ind w:firstLine="437"/>
        <w:rPr>
          <w:rFonts w:hint="default" w:ascii="Times New Roman" w:hAnsi="Times New Roman" w:eastAsia="宋体" w:cs="Times New Roman"/>
          <w:b/>
          <w:color w:val="auto"/>
          <w:sz w:val="24"/>
          <w:szCs w:val="18"/>
          <w:highlight w:val="none"/>
        </w:rPr>
      </w:pPr>
      <w:r>
        <w:rPr>
          <w:rFonts w:hint="eastAsia" w:ascii="Times New Roman" w:hAnsi="Times New Roman" w:cs="Times New Roman"/>
          <w:b/>
          <w:color w:val="auto"/>
          <w:sz w:val="24"/>
          <w:szCs w:val="18"/>
          <w:highlight w:val="none"/>
          <w:lang w:eastAsia="zh-CN"/>
        </w:rPr>
        <w:t>服务内容</w:t>
      </w:r>
    </w:p>
    <w:p w14:paraId="61DCD18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由中标人为招标人及其需要进行服务的全资子公司提供以下法律服务：</w:t>
      </w:r>
    </w:p>
    <w:p w14:paraId="01992D9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1.协助招标人起草或审核公司日常经营中涉及的各类合同、协议等法律文件</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并出具书面法律意见；</w:t>
      </w:r>
    </w:p>
    <w:p w14:paraId="2A74F88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2.按照招标人要求，为招标人起草、审查重要法律文件和规章制度等；</w:t>
      </w:r>
    </w:p>
    <w:p w14:paraId="33223E23">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3.按照招标人要求，协助招标人参与重要商业谈判，为招标人重大经营决策提供书面法律论证和书面法律意见；</w:t>
      </w:r>
    </w:p>
    <w:p w14:paraId="0497D85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4.依据招标人委托，向第三方发送律师函或发表律师声明；</w:t>
      </w:r>
    </w:p>
    <w:p w14:paraId="5558D28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5.提供与经营、管理活动有关的法律咨询，解答相关法律问题；</w:t>
      </w:r>
    </w:p>
    <w:p w14:paraId="500BE01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6.协助招标人对职工进行</w:t>
      </w:r>
      <w:r>
        <w:rPr>
          <w:rFonts w:hint="eastAsia" w:ascii="Times New Roman" w:hAnsi="Times New Roman" w:eastAsia="宋体" w:cs="Times New Roman"/>
          <w:color w:val="auto"/>
          <w:sz w:val="24"/>
          <w:szCs w:val="24"/>
          <w:highlight w:val="none"/>
          <w:u w:val="none"/>
          <w:lang w:val="en-US" w:eastAsia="zh-CN"/>
        </w:rPr>
        <w:t>针对性</w:t>
      </w:r>
      <w:r>
        <w:rPr>
          <w:rFonts w:hint="default" w:ascii="Times New Roman" w:hAnsi="Times New Roman" w:eastAsia="宋体" w:cs="Times New Roman"/>
          <w:color w:val="auto"/>
          <w:sz w:val="24"/>
          <w:szCs w:val="24"/>
          <w:highlight w:val="none"/>
          <w:u w:val="none"/>
          <w:lang w:val="en-US" w:eastAsia="zh-CN"/>
        </w:rPr>
        <w:t>法律培训（1-3 次/年度，根据实际需求确定）；</w:t>
      </w:r>
    </w:p>
    <w:p w14:paraId="333092C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7.协助招标人处理劳动人事法律纠纷（不含仲裁和诉讼）；</w:t>
      </w:r>
    </w:p>
    <w:p w14:paraId="580DC619">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8.就招标人与第三方的矛盾纠纷进行协调、调解，出席相关会议；</w:t>
      </w:r>
    </w:p>
    <w:p w14:paraId="04F276B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9.就招标人在日常经营中可能出现的各类纠纷等事项，进行法律论证，提出解决方案，对已经面临的纠纷与第三方进行交涉，出具律师函，维护</w:t>
      </w:r>
      <w:r>
        <w:rPr>
          <w:rFonts w:hint="eastAsia" w:ascii="Times New Roman" w:hAnsi="Times New Roman" w:cs="Times New Roman"/>
          <w:color w:val="auto"/>
          <w:sz w:val="24"/>
          <w:szCs w:val="24"/>
          <w:highlight w:val="none"/>
          <w:u w:val="none"/>
          <w:lang w:val="en-US" w:eastAsia="zh-CN"/>
        </w:rPr>
        <w:t>招标人的</w:t>
      </w:r>
      <w:r>
        <w:rPr>
          <w:rFonts w:hint="default" w:ascii="Times New Roman" w:hAnsi="Times New Roman" w:eastAsia="宋体" w:cs="Times New Roman"/>
          <w:color w:val="auto"/>
          <w:sz w:val="24"/>
          <w:szCs w:val="24"/>
          <w:highlight w:val="none"/>
          <w:u w:val="none"/>
          <w:lang w:val="en-US" w:eastAsia="zh-CN"/>
        </w:rPr>
        <w:t>合法权益;</w:t>
      </w:r>
    </w:p>
    <w:p w14:paraId="215FF47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highlight w:val="none"/>
        </w:rPr>
      </w:pPr>
      <w:r>
        <w:rPr>
          <w:rFonts w:hint="default" w:ascii="Times New Roman" w:hAnsi="Times New Roman" w:eastAsia="宋体" w:cs="Times New Roman"/>
          <w:color w:val="auto"/>
          <w:sz w:val="24"/>
          <w:szCs w:val="24"/>
          <w:highlight w:val="none"/>
          <w:u w:val="none"/>
          <w:lang w:val="en-US" w:eastAsia="zh-CN"/>
        </w:rPr>
        <w:t>10.</w:t>
      </w:r>
      <w:r>
        <w:rPr>
          <w:rFonts w:hint="eastAsia" w:ascii="Times New Roman" w:hAnsi="Times New Roman" w:cs="Times New Roman"/>
          <w:color w:val="auto"/>
          <w:sz w:val="24"/>
          <w:szCs w:val="24"/>
          <w:highlight w:val="none"/>
          <w:u w:val="none"/>
          <w:lang w:val="en-US" w:eastAsia="zh-CN"/>
        </w:rPr>
        <w:t>按照招标人要求，</w:t>
      </w:r>
      <w:r>
        <w:rPr>
          <w:rFonts w:hint="eastAsia" w:ascii="Times New Roman" w:hAnsi="Times New Roman" w:eastAsia="宋体" w:cs="Times New Roman"/>
          <w:color w:val="auto"/>
          <w:sz w:val="24"/>
          <w:szCs w:val="24"/>
          <w:highlight w:val="none"/>
          <w:u w:val="none"/>
          <w:lang w:val="en-US" w:eastAsia="zh-CN"/>
        </w:rPr>
        <w:t>每周固定一天时间在指定地点坐班，</w:t>
      </w:r>
      <w:r>
        <w:rPr>
          <w:rFonts w:hint="eastAsia" w:ascii="Times New Roman" w:hAnsi="Times New Roman" w:cs="Times New Roman"/>
          <w:color w:val="auto"/>
          <w:sz w:val="24"/>
          <w:szCs w:val="24"/>
          <w:highlight w:val="none"/>
          <w:u w:val="none"/>
          <w:lang w:val="en-US" w:eastAsia="zh-CN"/>
        </w:rPr>
        <w:t>为</w:t>
      </w:r>
      <w:r>
        <w:rPr>
          <w:rFonts w:hint="eastAsia" w:ascii="Times New Roman" w:hAnsi="Times New Roman" w:eastAsia="宋体" w:cs="Times New Roman"/>
          <w:color w:val="auto"/>
          <w:sz w:val="24"/>
          <w:szCs w:val="24"/>
          <w:highlight w:val="none"/>
          <w:u w:val="none"/>
          <w:lang w:val="en-US" w:eastAsia="zh-CN"/>
        </w:rPr>
        <w:t>所有服务对象</w:t>
      </w:r>
      <w:r>
        <w:rPr>
          <w:rFonts w:hint="eastAsia" w:ascii="Times New Roman" w:hAnsi="Times New Roman" w:cs="Times New Roman"/>
          <w:color w:val="auto"/>
          <w:sz w:val="24"/>
          <w:szCs w:val="24"/>
          <w:highlight w:val="none"/>
          <w:u w:val="none"/>
          <w:lang w:val="en-US" w:eastAsia="zh-CN"/>
        </w:rPr>
        <w:t>提供</w:t>
      </w:r>
      <w:r>
        <w:rPr>
          <w:rFonts w:hint="default" w:ascii="@仿宋_GB2312" w:hAnsi="@仿宋_GB2312" w:eastAsia="宋体" w:cs="@仿宋_GB2312"/>
          <w:kern w:val="0"/>
          <w:sz w:val="24"/>
          <w:highlight w:val="none"/>
          <w:lang w:val="en-US" w:eastAsia="zh-CN" w:bidi="ar-SA"/>
        </w:rPr>
        <w:t>招标人</w:t>
      </w:r>
      <w:r>
        <w:rPr>
          <w:rFonts w:hint="eastAsia" w:eastAsia="宋体" w:cs="@仿宋_GB2312"/>
          <w:kern w:val="0"/>
          <w:sz w:val="24"/>
          <w:highlight w:val="none"/>
          <w:lang w:val="en-US" w:eastAsia="zh-CN" w:bidi="ar-SA"/>
        </w:rPr>
        <w:t>招标</w:t>
      </w:r>
      <w:r>
        <w:rPr>
          <w:rFonts w:hint="default" w:ascii="@仿宋_GB2312" w:hAnsi="@仿宋_GB2312" w:eastAsia="宋体" w:cs="@仿宋_GB2312"/>
          <w:kern w:val="0"/>
          <w:sz w:val="24"/>
          <w:highlight w:val="none"/>
          <w:lang w:val="en-US" w:eastAsia="zh-CN" w:bidi="ar-SA"/>
        </w:rPr>
        <w:t>范围内的</w:t>
      </w:r>
      <w:r>
        <w:rPr>
          <w:rFonts w:hint="eastAsia" w:ascii="Times New Roman" w:hAnsi="Times New Roman" w:eastAsia="宋体" w:cs="Times New Roman"/>
          <w:color w:val="auto"/>
          <w:sz w:val="24"/>
          <w:szCs w:val="24"/>
          <w:highlight w:val="none"/>
          <w:u w:val="none"/>
          <w:lang w:val="en-US" w:eastAsia="zh-CN"/>
        </w:rPr>
        <w:t>集中</w:t>
      </w:r>
      <w:r>
        <w:rPr>
          <w:rFonts w:hint="eastAsia" w:ascii="Times New Roman" w:hAnsi="Times New Roman" w:cs="Times New Roman"/>
          <w:color w:val="auto"/>
          <w:sz w:val="24"/>
          <w:szCs w:val="24"/>
          <w:highlight w:val="none"/>
          <w:u w:val="none"/>
          <w:lang w:val="en-US" w:eastAsia="zh-CN"/>
        </w:rPr>
        <w:t>法律</w:t>
      </w:r>
      <w:r>
        <w:rPr>
          <w:rFonts w:hint="eastAsia" w:ascii="Times New Roman" w:hAnsi="Times New Roman" w:eastAsia="宋体" w:cs="Times New Roman"/>
          <w:color w:val="auto"/>
          <w:sz w:val="24"/>
          <w:szCs w:val="24"/>
          <w:highlight w:val="none"/>
          <w:u w:val="none"/>
          <w:lang w:val="en-US" w:eastAsia="zh-CN"/>
        </w:rPr>
        <w:t>服务（一天</w:t>
      </w:r>
      <w:r>
        <w:rPr>
          <w:rFonts w:hint="eastAsia" w:ascii="Times New Roman" w:hAnsi="Times New Roman" w:cs="Times New Roman"/>
          <w:color w:val="auto"/>
          <w:sz w:val="24"/>
          <w:szCs w:val="24"/>
          <w:highlight w:val="none"/>
          <w:u w:val="none"/>
          <w:lang w:val="en-US" w:eastAsia="zh-CN"/>
        </w:rPr>
        <w:t>工作</w:t>
      </w:r>
      <w:r>
        <w:rPr>
          <w:rFonts w:hint="eastAsia" w:ascii="Times New Roman" w:hAnsi="Times New Roman" w:eastAsia="宋体" w:cs="Times New Roman"/>
          <w:color w:val="auto"/>
          <w:sz w:val="24"/>
          <w:szCs w:val="24"/>
          <w:highlight w:val="none"/>
          <w:u w:val="none"/>
          <w:lang w:val="en-US" w:eastAsia="zh-CN"/>
        </w:rPr>
        <w:t>时间不低于6小时）；</w:t>
      </w:r>
    </w:p>
    <w:p w14:paraId="726DDDA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11.在招标人知悉其可能或已经面临诉讼、仲裁、行政处罚或其他法律程序时，及时提供应对前的法律咨询与评估服务，包括初步风险分析、策略建议等。</w:t>
      </w:r>
    </w:p>
    <w:p w14:paraId="1AC380C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w:t>
      </w:r>
      <w:r>
        <w:rPr>
          <w:rFonts w:hint="eastAsia" w:ascii="Times New Roman" w:hAnsi="Times New Roman" w:cs="Times New Roman"/>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lang w:val="en-US" w:eastAsia="zh-CN"/>
        </w:rPr>
        <w:t>.中标人对招标人业务应当单独建档，并保存完整的工作记录（包括法律意见书台账、</w:t>
      </w:r>
      <w:r>
        <w:rPr>
          <w:rFonts w:hint="eastAsia" w:ascii="Times New Roman" w:hAnsi="Times New Roman" w:eastAsia="宋体" w:cs="Times New Roman"/>
          <w:color w:val="auto"/>
          <w:sz w:val="24"/>
          <w:szCs w:val="24"/>
          <w:highlight w:val="none"/>
          <w:u w:val="none"/>
          <w:lang w:val="en-US" w:eastAsia="zh-CN"/>
        </w:rPr>
        <w:t>重大商业谈判</w:t>
      </w:r>
      <w:r>
        <w:rPr>
          <w:rFonts w:hint="default" w:ascii="Times New Roman" w:hAnsi="Times New Roman" w:eastAsia="宋体" w:cs="Times New Roman"/>
          <w:color w:val="auto"/>
          <w:sz w:val="24"/>
          <w:szCs w:val="24"/>
          <w:highlight w:val="none"/>
          <w:u w:val="none"/>
          <w:lang w:val="en-US" w:eastAsia="zh-CN"/>
        </w:rPr>
        <w:t>法律</w:t>
      </w:r>
      <w:r>
        <w:rPr>
          <w:rFonts w:hint="eastAsia" w:ascii="Times New Roman" w:hAnsi="Times New Roman" w:eastAsia="宋体" w:cs="Times New Roman"/>
          <w:color w:val="auto"/>
          <w:sz w:val="24"/>
          <w:szCs w:val="24"/>
          <w:highlight w:val="none"/>
          <w:u w:val="none"/>
          <w:lang w:val="en-US" w:eastAsia="zh-CN"/>
        </w:rPr>
        <w:t>谈判意见等</w:t>
      </w:r>
      <w:r>
        <w:rPr>
          <w:rFonts w:hint="default" w:ascii="Times New Roman" w:hAnsi="Times New Roman" w:eastAsia="宋体" w:cs="Times New Roman"/>
          <w:color w:val="auto"/>
          <w:sz w:val="24"/>
          <w:szCs w:val="24"/>
          <w:highlight w:val="none"/>
          <w:u w:val="none"/>
          <w:lang w:val="en-US" w:eastAsia="zh-CN"/>
        </w:rPr>
        <w:t>）；</w:t>
      </w:r>
    </w:p>
    <w:p w14:paraId="4A9DF999">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w:t>
      </w:r>
      <w:r>
        <w:rPr>
          <w:rFonts w:hint="eastAsia" w:ascii="Times New Roman" w:hAnsi="Times New Roman" w:cs="Times New Roman"/>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lang w:val="en-US" w:eastAsia="zh-CN"/>
        </w:rPr>
        <w:t>.对涉及招标人的原始证据、法律文件等应当妥善保管，保证其安全与完整；</w:t>
      </w:r>
    </w:p>
    <w:p w14:paraId="1ECACC39">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w:t>
      </w:r>
      <w:r>
        <w:rPr>
          <w:rFonts w:hint="eastAsia" w:ascii="Times New Roman" w:hAnsi="Times New Roman"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val="en-US" w:eastAsia="zh-CN"/>
        </w:rPr>
        <w:t>.完成招标人交办的其他法律事务。</w:t>
      </w:r>
    </w:p>
    <w:p w14:paraId="01FA20A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如遇仲裁、诉讼等</w:t>
      </w:r>
      <w:r>
        <w:rPr>
          <w:rFonts w:hint="default" w:ascii="Times New Roman" w:hAnsi="Times New Roman" w:eastAsia="宋体" w:cs="Times New Roman"/>
          <w:color w:val="auto"/>
          <w:sz w:val="24"/>
          <w:szCs w:val="24"/>
          <w:highlight w:val="none"/>
          <w:u w:val="none"/>
          <w:lang w:val="en-US" w:eastAsia="zh-CN"/>
        </w:rPr>
        <w:t>重大事项，由招标人按照内部管理制度另行采购或双方另行协商签订委托合同。</w:t>
      </w:r>
    </w:p>
    <w:p w14:paraId="0D07BAE9">
      <w:pPr>
        <w:spacing w:line="360" w:lineRule="auto"/>
        <w:ind w:left="437"/>
        <w:rPr>
          <w:rFonts w:hint="default" w:ascii="Times New Roman" w:hAnsi="Times New Roman" w:cs="Times New Roman"/>
          <w:b/>
          <w:bCs/>
          <w:color w:val="auto"/>
          <w:sz w:val="24"/>
          <w:szCs w:val="18"/>
          <w:highlight w:val="none"/>
        </w:rPr>
      </w:pPr>
      <w:r>
        <w:rPr>
          <w:rFonts w:hint="eastAsia" w:ascii="Times New Roman" w:hAnsi="Times New Roman" w:cs="Times New Roman"/>
          <w:b/>
          <w:bCs/>
          <w:color w:val="auto"/>
          <w:sz w:val="24"/>
          <w:szCs w:val="18"/>
          <w:highlight w:val="none"/>
          <w:lang w:val="en-US" w:eastAsia="zh-CN"/>
        </w:rPr>
        <w:t>四</w:t>
      </w:r>
      <w:r>
        <w:rPr>
          <w:rFonts w:hint="default" w:ascii="Times New Roman" w:hAnsi="Times New Roman" w:cs="Times New Roman"/>
          <w:b/>
          <w:bCs/>
          <w:color w:val="auto"/>
          <w:sz w:val="24"/>
          <w:szCs w:val="18"/>
          <w:highlight w:val="none"/>
        </w:rPr>
        <w:t>、报价要求</w:t>
      </w:r>
    </w:p>
    <w:p w14:paraId="195A9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本项目报价报</w:t>
      </w:r>
      <w:r>
        <w:rPr>
          <w:rFonts w:hint="eastAsia" w:ascii="Times New Roman" w:hAnsi="Times New Roman" w:cs="Times New Roman"/>
          <w:b/>
          <w:bCs/>
          <w:color w:val="auto"/>
          <w:sz w:val="24"/>
          <w:szCs w:val="24"/>
          <w:highlight w:val="none"/>
          <w:u w:val="none"/>
          <w:lang w:val="en-US" w:eastAsia="zh-CN"/>
        </w:rPr>
        <w:t>项目</w:t>
      </w:r>
      <w:r>
        <w:rPr>
          <w:rFonts w:hint="eastAsia" w:ascii="Times New Roman" w:hAnsi="Times New Roman" w:eastAsia="宋体" w:cs="Times New Roman"/>
          <w:b/>
          <w:bCs/>
          <w:color w:val="auto"/>
          <w:sz w:val="24"/>
          <w:szCs w:val="24"/>
          <w:highlight w:val="none"/>
          <w:u w:val="none"/>
          <w:lang w:val="en-US" w:eastAsia="zh-CN"/>
        </w:rPr>
        <w:t>总价，具体如下</w:t>
      </w:r>
      <w:r>
        <w:rPr>
          <w:rFonts w:hint="eastAsia" w:ascii="Times New Roman" w:hAnsi="Times New Roman" w:eastAsia="宋体" w:cs="Times New Roman"/>
          <w:color w:val="auto"/>
          <w:sz w:val="24"/>
          <w:szCs w:val="24"/>
          <w:highlight w:val="none"/>
          <w:u w:val="none"/>
          <w:lang w:val="en-US" w:eastAsia="zh-CN"/>
        </w:rPr>
        <w:t>：</w:t>
      </w:r>
    </w:p>
    <w:p w14:paraId="6FFF11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常年法律顾问服务以</w:t>
      </w:r>
      <w:r>
        <w:rPr>
          <w:rFonts w:hint="eastAsia" w:ascii="Times New Roman" w:hAnsi="Times New Roman" w:cs="Times New Roman"/>
          <w:b/>
          <w:bCs/>
          <w:color w:val="auto"/>
          <w:sz w:val="24"/>
          <w:szCs w:val="24"/>
          <w:highlight w:val="none"/>
          <w:u w:val="none"/>
          <w:lang w:val="en-US" w:eastAsia="zh-CN"/>
        </w:rPr>
        <w:t>总价12</w:t>
      </w:r>
      <w:r>
        <w:rPr>
          <w:rFonts w:hint="eastAsia" w:ascii="Times New Roman" w:hAnsi="Times New Roman" w:eastAsia="宋体" w:cs="Times New Roman"/>
          <w:b/>
          <w:bCs/>
          <w:color w:val="auto"/>
          <w:sz w:val="24"/>
          <w:szCs w:val="24"/>
          <w:highlight w:val="none"/>
          <w:u w:val="none"/>
          <w:lang w:val="en-US" w:eastAsia="zh-CN"/>
        </w:rPr>
        <w:t>万元/年</w:t>
      </w:r>
      <w:r>
        <w:rPr>
          <w:rFonts w:hint="eastAsia" w:ascii="Times New Roman" w:hAnsi="Times New Roman" w:cs="Times New Roman"/>
          <w:b/>
          <w:bCs/>
          <w:color w:val="auto"/>
          <w:sz w:val="24"/>
          <w:szCs w:val="24"/>
          <w:highlight w:val="none"/>
          <w:u w:val="none"/>
          <w:lang w:val="en-US" w:eastAsia="zh-CN"/>
        </w:rPr>
        <w:t>（含税）</w:t>
      </w:r>
      <w:r>
        <w:rPr>
          <w:rFonts w:hint="eastAsia" w:ascii="Times New Roman" w:hAnsi="Times New Roman" w:eastAsia="宋体" w:cs="Times New Roman"/>
          <w:b/>
          <w:bCs/>
          <w:color w:val="auto"/>
          <w:sz w:val="24"/>
          <w:szCs w:val="24"/>
          <w:highlight w:val="none"/>
          <w:u w:val="none"/>
          <w:lang w:val="en-US" w:eastAsia="zh-CN"/>
        </w:rPr>
        <w:t>为</w:t>
      </w:r>
      <w:r>
        <w:rPr>
          <w:rFonts w:hint="eastAsia" w:ascii="Times New Roman" w:hAnsi="Times New Roman" w:cs="Times New Roman"/>
          <w:b/>
          <w:bCs/>
          <w:color w:val="auto"/>
          <w:sz w:val="24"/>
          <w:szCs w:val="24"/>
          <w:highlight w:val="none"/>
          <w:u w:val="none"/>
          <w:lang w:val="en-US" w:eastAsia="zh-CN"/>
        </w:rPr>
        <w:t>上限</w:t>
      </w:r>
      <w:r>
        <w:rPr>
          <w:rFonts w:hint="eastAsia" w:ascii="Times New Roman" w:hAnsi="Times New Roman" w:eastAsia="宋体" w:cs="Times New Roman"/>
          <w:b/>
          <w:bCs/>
          <w:color w:val="auto"/>
          <w:sz w:val="24"/>
          <w:szCs w:val="24"/>
          <w:highlight w:val="none"/>
          <w:u w:val="none"/>
          <w:lang w:val="en-US" w:eastAsia="zh-CN"/>
        </w:rPr>
        <w:t>报出一个</w:t>
      </w:r>
      <w:r>
        <w:rPr>
          <w:rFonts w:hint="eastAsia" w:ascii="Times New Roman" w:hAnsi="Times New Roman" w:cs="Times New Roman"/>
          <w:b/>
          <w:bCs/>
          <w:color w:val="auto"/>
          <w:sz w:val="24"/>
          <w:szCs w:val="24"/>
          <w:highlight w:val="none"/>
          <w:u w:val="none"/>
          <w:lang w:val="en-US" w:eastAsia="zh-CN"/>
        </w:rPr>
        <w:t>价格</w:t>
      </w:r>
      <w:r>
        <w:rPr>
          <w:rFonts w:hint="eastAsia" w:ascii="Times New Roman" w:hAnsi="Times New Roman" w:eastAsia="宋体" w:cs="Times New Roman"/>
          <w:b/>
          <w:bCs/>
          <w:color w:val="auto"/>
          <w:sz w:val="24"/>
          <w:szCs w:val="24"/>
          <w:highlight w:val="none"/>
          <w:u w:val="none"/>
          <w:lang w:val="en-US" w:eastAsia="zh-CN"/>
        </w:rPr>
        <w:t>，</w:t>
      </w:r>
      <w:r>
        <w:rPr>
          <w:rFonts w:hint="eastAsia" w:ascii="Times New Roman" w:hAnsi="Times New Roman" w:cs="Times New Roman"/>
          <w:b/>
          <w:bCs/>
          <w:color w:val="auto"/>
          <w:sz w:val="24"/>
          <w:szCs w:val="24"/>
          <w:highlight w:val="none"/>
          <w:u w:val="none"/>
          <w:lang w:val="en-US" w:eastAsia="zh-CN"/>
        </w:rPr>
        <w:t>各分项均摊价格</w:t>
      </w:r>
      <w:r>
        <w:rPr>
          <w:rFonts w:hint="eastAsia" w:ascii="Times New Roman" w:hAnsi="Times New Roman" w:eastAsia="宋体" w:cs="Times New Roman"/>
          <w:b/>
          <w:bCs/>
          <w:color w:val="auto"/>
          <w:sz w:val="24"/>
          <w:szCs w:val="24"/>
          <w:highlight w:val="none"/>
          <w:u w:val="none"/>
          <w:lang w:val="en-US" w:eastAsia="zh-CN"/>
        </w:rPr>
        <w:t>，如中标价格为10万元，即各分项价格为2万。</w:t>
      </w:r>
      <w:r>
        <w:rPr>
          <w:rFonts w:hint="eastAsia" w:ascii="Times New Roman" w:hAnsi="Times New Roman" w:eastAsia="宋体" w:cs="Times New Roman"/>
          <w:color w:val="auto"/>
          <w:sz w:val="24"/>
          <w:szCs w:val="24"/>
          <w:highlight w:val="none"/>
          <w:u w:val="none"/>
          <w:lang w:val="en-US" w:eastAsia="zh-CN"/>
        </w:rPr>
        <w:t>所</w:t>
      </w:r>
      <w:r>
        <w:rPr>
          <w:rFonts w:hint="eastAsia" w:ascii="Times New Roman" w:hAnsi="Times New Roman" w:cs="Times New Roman"/>
          <w:color w:val="auto"/>
          <w:sz w:val="24"/>
          <w:szCs w:val="24"/>
          <w:highlight w:val="none"/>
          <w:u w:val="none"/>
          <w:lang w:val="en-US" w:eastAsia="zh-CN"/>
        </w:rPr>
        <w:t>报价格不得</w:t>
      </w:r>
      <w:r>
        <w:rPr>
          <w:rFonts w:hint="eastAsia" w:ascii="Times New Roman" w:hAnsi="Times New Roman" w:eastAsia="宋体" w:cs="Times New Roman"/>
          <w:color w:val="auto"/>
          <w:sz w:val="24"/>
          <w:szCs w:val="24"/>
          <w:highlight w:val="none"/>
          <w:u w:val="none"/>
          <w:lang w:val="en-US" w:eastAsia="zh-CN"/>
        </w:rPr>
        <w:t>超过</w:t>
      </w:r>
      <w:r>
        <w:rPr>
          <w:rFonts w:hint="eastAsia" w:ascii="Times New Roman" w:hAnsi="Times New Roman" w:cs="Times New Roman"/>
          <w:color w:val="auto"/>
          <w:sz w:val="24"/>
          <w:szCs w:val="24"/>
          <w:highlight w:val="none"/>
          <w:u w:val="none"/>
          <w:lang w:val="en-US" w:eastAsia="zh-CN"/>
        </w:rPr>
        <w:t>12万</w:t>
      </w:r>
      <w:r>
        <w:rPr>
          <w:rFonts w:hint="eastAsia" w:ascii="Times New Roman" w:hAnsi="Times New Roman" w:eastAsia="宋体" w:cs="Times New Roman"/>
          <w:color w:val="auto"/>
          <w:sz w:val="24"/>
          <w:szCs w:val="24"/>
          <w:highlight w:val="none"/>
          <w:u w:val="none"/>
          <w:lang w:val="en-US" w:eastAsia="zh-CN"/>
        </w:rPr>
        <w:t>，否则投标无效。</w:t>
      </w:r>
      <w:r>
        <w:rPr>
          <w:rFonts w:hint="eastAsia" w:ascii="Times New Roman" w:hAnsi="Times New Roman" w:cs="Times New Roman"/>
          <w:color w:val="auto"/>
          <w:sz w:val="24"/>
          <w:szCs w:val="24"/>
          <w:highlight w:val="none"/>
          <w:u w:val="none"/>
          <w:lang w:val="en-US" w:eastAsia="zh-CN"/>
        </w:rPr>
        <w:t>以总价</w:t>
      </w:r>
      <w:r>
        <w:rPr>
          <w:rFonts w:hint="eastAsia" w:ascii="Times New Roman" w:hAnsi="Times New Roman" w:eastAsia="宋体" w:cs="Times New Roman"/>
          <w:color w:val="auto"/>
          <w:sz w:val="24"/>
          <w:szCs w:val="24"/>
          <w:highlight w:val="none"/>
          <w:u w:val="none"/>
          <w:lang w:val="en-US" w:eastAsia="zh-CN"/>
        </w:rPr>
        <w:t>作为评标、定标、候选人公示、合同签订依据。投标人应综合考虑报价，报价包含指派律师在服务期间为完成本项目所发生的一切费用</w:t>
      </w:r>
      <w:r>
        <w:rPr>
          <w:rFonts w:hint="eastAsia" w:ascii="Times New Roman" w:hAnsi="Times New Roman" w:cs="Times New Roman"/>
          <w:color w:val="auto"/>
          <w:sz w:val="24"/>
          <w:szCs w:val="24"/>
          <w:highlight w:val="none"/>
          <w:u w:val="none"/>
          <w:lang w:val="en-US" w:eastAsia="zh-CN"/>
        </w:rPr>
        <w:t>，中标后不得因为业务量的变化而调整价格</w:t>
      </w:r>
      <w:r>
        <w:rPr>
          <w:rFonts w:hint="eastAsia" w:ascii="Times New Roman" w:hAnsi="Times New Roman" w:eastAsia="宋体" w:cs="Times New Roman"/>
          <w:color w:val="auto"/>
          <w:sz w:val="24"/>
          <w:szCs w:val="24"/>
          <w:highlight w:val="none"/>
          <w:u w:val="none"/>
          <w:lang w:val="en-US" w:eastAsia="zh-CN"/>
        </w:rPr>
        <w:t>。投标人需自行考虑各种风险，谨慎报价。</w:t>
      </w:r>
    </w:p>
    <w:p w14:paraId="00CC74E2">
      <w:pPr>
        <w:spacing w:line="360" w:lineRule="auto"/>
        <w:ind w:left="437"/>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eastAsia="宋体" w:cs="Times New Roman"/>
          <w:b/>
          <w:bCs/>
          <w:color w:val="auto"/>
          <w:sz w:val="24"/>
          <w:szCs w:val="18"/>
          <w:highlight w:val="none"/>
          <w:lang w:val="en-US" w:eastAsia="zh-CN"/>
        </w:rPr>
        <w:t>五</w:t>
      </w:r>
      <w:r>
        <w:rPr>
          <w:rFonts w:hint="default" w:ascii="Times New Roman" w:hAnsi="Times New Roman" w:eastAsia="宋体" w:cs="Times New Roman"/>
          <w:b/>
          <w:bCs/>
          <w:color w:val="auto"/>
          <w:sz w:val="24"/>
          <w:szCs w:val="18"/>
          <w:highlight w:val="none"/>
          <w:lang w:val="en-US" w:eastAsia="zh-CN"/>
        </w:rPr>
        <w:t>、其他要求</w:t>
      </w:r>
    </w:p>
    <w:p w14:paraId="7721F2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bookmarkStart w:id="29" w:name="_Toc7286"/>
      <w:r>
        <w:rPr>
          <w:rFonts w:hint="eastAsia" w:ascii="Times New Roman" w:hAnsi="Times New Roman" w:eastAsia="宋体" w:cs="Times New Roman"/>
          <w:color w:val="auto"/>
          <w:sz w:val="24"/>
          <w:szCs w:val="24"/>
          <w:highlight w:val="none"/>
          <w:u w:val="none"/>
          <w:lang w:val="en-US" w:eastAsia="zh-CN"/>
        </w:rPr>
        <w:t>中标人须为本项目配备专业的法律顾问团队，至少需要保证有一名律师能够立刻响应</w:t>
      </w:r>
      <w:r>
        <w:rPr>
          <w:rFonts w:hint="eastAsia" w:ascii="Times New Roman" w:hAnsi="Times New Roman" w:cs="Times New Roman"/>
          <w:color w:val="auto"/>
          <w:sz w:val="24"/>
          <w:szCs w:val="24"/>
          <w:highlight w:val="none"/>
          <w:u w:val="none"/>
          <w:lang w:val="en-US" w:eastAsia="zh-CN"/>
        </w:rPr>
        <w:t>服务对象</w:t>
      </w:r>
      <w:r>
        <w:rPr>
          <w:rFonts w:hint="eastAsia" w:ascii="Times New Roman" w:hAnsi="Times New Roman" w:eastAsia="宋体" w:cs="Times New Roman"/>
          <w:color w:val="auto"/>
          <w:sz w:val="24"/>
          <w:szCs w:val="24"/>
          <w:highlight w:val="none"/>
          <w:u w:val="none"/>
          <w:lang w:val="en-US" w:eastAsia="zh-CN"/>
        </w:rPr>
        <w:t>的法律服务需求。本项目配备的法律顾问团队成员均应具有专职律师执业资格证，未受过任何刑事、行政处罚或律师协会的行业处分，且未因涉及违纪违法问题正在接受有关组织或机关调查、审查。中标人实际提供的团队人员与投标文件团队人员严重不符的，招标人有权解除法律顾问服务合同</w:t>
      </w:r>
      <w:r>
        <w:rPr>
          <w:rFonts w:hint="eastAsia" w:ascii="Times New Roman" w:hAnsi="Times New Roman" w:cs="Times New Roman"/>
          <w:color w:val="auto"/>
          <w:sz w:val="24"/>
          <w:szCs w:val="24"/>
          <w:highlight w:val="none"/>
          <w:u w:val="none"/>
          <w:lang w:val="en-US" w:eastAsia="zh-CN"/>
        </w:rPr>
        <w:t>。</w:t>
      </w:r>
    </w:p>
    <w:p w14:paraId="6A4B1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中标人及委托律师应恪守职业道德，勤勉、尽责地完成法律服务工作，并及时通报工作进程，维护招标人利益；中标人及委托律师对其获知的招标人秘密负有保密责任，非由法律规定或者招标人同意，不得向任何第三方披露。</w:t>
      </w:r>
    </w:p>
    <w:p w14:paraId="304CC450">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本项目由合肥滨湖时光</w:t>
      </w:r>
      <w:r>
        <w:rPr>
          <w:rFonts w:hint="eastAsia" w:ascii="Times New Roman" w:hAnsi="Times New Roman" w:cs="Times New Roman"/>
          <w:b/>
          <w:bCs/>
          <w:color w:val="auto"/>
          <w:sz w:val="24"/>
          <w:szCs w:val="24"/>
          <w:highlight w:val="none"/>
          <w:u w:val="none"/>
          <w:lang w:val="en-US" w:eastAsia="zh-CN"/>
        </w:rPr>
        <w:t>产业投资集团有限公司</w:t>
      </w:r>
      <w:r>
        <w:rPr>
          <w:rFonts w:hint="eastAsia" w:ascii="Times New Roman" w:hAnsi="Times New Roman" w:eastAsia="宋体" w:cs="Times New Roman"/>
          <w:b/>
          <w:bCs/>
          <w:color w:val="auto"/>
          <w:sz w:val="24"/>
          <w:szCs w:val="24"/>
          <w:highlight w:val="none"/>
          <w:u w:val="none"/>
          <w:lang w:val="en-US" w:eastAsia="zh-CN"/>
        </w:rPr>
        <w:t>进行招标。</w:t>
      </w:r>
      <w:r>
        <w:rPr>
          <w:rFonts w:hint="eastAsia" w:ascii="Times New Roman" w:hAnsi="Times New Roman" w:cs="Times New Roman"/>
          <w:b/>
          <w:bCs/>
          <w:color w:val="auto"/>
          <w:sz w:val="24"/>
          <w:szCs w:val="24"/>
          <w:highlight w:val="none"/>
          <w:u w:val="none"/>
          <w:lang w:val="en-US" w:eastAsia="zh-CN"/>
        </w:rPr>
        <w:t>中标后，</w:t>
      </w:r>
      <w:r>
        <w:rPr>
          <w:rFonts w:hint="eastAsia" w:ascii="Times New Roman" w:hAnsi="Times New Roman" w:eastAsia="宋体" w:cs="Times New Roman"/>
          <w:b/>
          <w:bCs/>
          <w:color w:val="auto"/>
          <w:sz w:val="24"/>
          <w:szCs w:val="24"/>
          <w:highlight w:val="none"/>
          <w:u w:val="none"/>
          <w:lang w:val="en-US" w:eastAsia="zh-CN"/>
        </w:rPr>
        <w:t>中标人除与招标人签订合同外，须同时与</w:t>
      </w:r>
      <w:r>
        <w:rPr>
          <w:rFonts w:hint="eastAsia" w:ascii="Times New Roman" w:hAnsi="Times New Roman" w:cs="Times New Roman"/>
          <w:b/>
          <w:bCs/>
          <w:color w:val="auto"/>
          <w:sz w:val="24"/>
          <w:szCs w:val="24"/>
          <w:highlight w:val="none"/>
          <w:u w:val="none"/>
          <w:lang w:val="en-US" w:eastAsia="zh-CN"/>
        </w:rPr>
        <w:t>合肥滨湖时光教育管理有限公司及其下属公司、合肥滨湖时光体育发展有限公司及其下属公司、合肥滨湖时光空间运营管理有限公司及其下属公司、合肥滨湖时光康养产业有限公司及其下属公司分别签订常年法律服务合同，签订时间由双方协商确定，费用由各家分别结算。各协议价格累计不得超过本项目中标价</w:t>
      </w:r>
      <w:r>
        <w:rPr>
          <w:rFonts w:hint="eastAsia" w:ascii="Times New Roman" w:hAnsi="Times New Roman" w:eastAsia="宋体" w:cs="Times New Roman"/>
          <w:b/>
          <w:bCs/>
          <w:color w:val="auto"/>
          <w:sz w:val="24"/>
          <w:szCs w:val="24"/>
          <w:highlight w:val="none"/>
          <w:u w:val="none"/>
          <w:lang w:val="en-US" w:eastAsia="zh-CN"/>
        </w:rPr>
        <w:t>。</w:t>
      </w:r>
    </w:p>
    <w:p w14:paraId="0A6AA5EF">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szCs w:val="28"/>
                <w:highlight w:val="none"/>
                <w:lang w:eastAsia="zh-CN"/>
              </w:rPr>
              <w:t>依法设立</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提供有效的律师事务所执业许可证扫描件（需完整地体现出律师事务所执业许可证的全部内容），许可证载明的名称须与该投标人名称一致</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C00000"/>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C00000"/>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C00000"/>
                <w:sz w:val="24"/>
                <w:highlight w:val="none"/>
                <w:lang w:eastAsia="zh-CN"/>
              </w:rPr>
            </w:pPr>
            <w:r>
              <w:rPr>
                <w:rFonts w:hint="eastAsia" w:ascii="Times New Roman" w:hAnsi="Times New Roman" w:cs="Times New Roman"/>
                <w:color w:val="auto"/>
                <w:sz w:val="24"/>
                <w:szCs w:val="18"/>
                <w:highlight w:val="none"/>
                <w:lang w:eastAsia="zh-CN"/>
              </w:rPr>
              <w:t>提供</w:t>
            </w:r>
            <w:r>
              <w:rPr>
                <w:rFonts w:hint="default" w:ascii="Times New Roman" w:hAnsi="Times New Roman" w:cs="Times New Roman"/>
                <w:color w:val="auto"/>
                <w:sz w:val="24"/>
                <w:szCs w:val="18"/>
                <w:highlight w:val="none"/>
              </w:rPr>
              <w:t>有效的律师事务所执业许可证扫描件（需完整地体现出律师事务所执业许可证的全部内容）</w:t>
            </w:r>
            <w:r>
              <w:rPr>
                <w:rFonts w:hint="eastAsia" w:ascii="Times New Roman" w:hAnsi="Times New Roman" w:cs="Times New Roman"/>
                <w:color w:val="auto"/>
                <w:sz w:val="24"/>
                <w:szCs w:val="18"/>
                <w:highlight w:val="none"/>
                <w:lang w:eastAsia="zh-CN"/>
              </w:rPr>
              <w:t>，许可证载明的名称须与该投标人名称一致</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310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1B65D91">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9B52DB3">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投标人报价</w:t>
            </w:r>
          </w:p>
        </w:tc>
        <w:tc>
          <w:tcPr>
            <w:tcW w:w="3128" w:type="dxa"/>
            <w:vAlign w:val="center"/>
          </w:tcPr>
          <w:p w14:paraId="36F0BE9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13D08F7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eastAsia" w:ascii="Times New Roman" w:hAnsi="Times New Roman" w:eastAsia="宋体" w:cs="Times New Roman"/>
          <w:color w:val="auto"/>
          <w:sz w:val="24"/>
          <w:highlight w:val="none"/>
          <w:lang w:eastAsia="zh-CN"/>
        </w:rPr>
      </w:pPr>
      <w:bookmarkStart w:id="30" w:name="_Toc66363490"/>
      <w:r>
        <w:rPr>
          <w:rFonts w:hint="default" w:ascii="Times New Roman" w:hAnsi="Times New Roman" w:cs="Times New Roman"/>
          <w:color w:val="auto"/>
          <w:sz w:val="24"/>
          <w:highlight w:val="none"/>
        </w:rPr>
        <w:t>2.3</w:t>
      </w:r>
      <w:r>
        <w:rPr>
          <w:rFonts w:hint="eastAsia" w:ascii="Times New Roman" w:hAnsi="Times New Roman" w:cs="Times New Roman"/>
          <w:color w:val="auto"/>
          <w:sz w:val="24"/>
          <w:highlight w:val="none"/>
          <w:lang w:eastAsia="zh-CN"/>
        </w:rPr>
        <w:t>综合评分法</w:t>
      </w:r>
    </w:p>
    <w:p w14:paraId="2EF46B0D">
      <w:pPr>
        <w:adjustRightInd w:val="0"/>
        <w:spacing w:line="360" w:lineRule="auto"/>
        <w:ind w:firstLine="480" w:firstLineChars="200"/>
        <w:jc w:val="lef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评标委员会对所有按规定提交并成功</w:t>
      </w:r>
      <w:r>
        <w:rPr>
          <w:rFonts w:hint="eastAsia"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投标文件依次进行初步评审、技术部分评审、报价部分评审，并按综合得分由高到低顺序推荐中标候选人。综合得分相等时，以投标报价低的优先；投标报价也相等的，由评标委员会根据投标文件投票，按少数服从多数的原则确定中标候选人顺序。</w:t>
      </w:r>
    </w:p>
    <w:p w14:paraId="78CF5F12">
      <w:pPr>
        <w:adjustRightInd w:val="0"/>
        <w:spacing w:line="360" w:lineRule="auto"/>
        <w:ind w:firstLine="480" w:firstLineChars="200"/>
        <w:jc w:val="left"/>
        <w:outlineLvl w:val="9"/>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eastAsia="zh-CN"/>
        </w:rPr>
        <w:t>分数构成：（</w:t>
      </w:r>
      <w:r>
        <w:rPr>
          <w:rFonts w:hint="eastAsia"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eastAsia="zh-CN"/>
        </w:rPr>
        <w:t>）技术部分：</w:t>
      </w:r>
      <w:r>
        <w:rPr>
          <w:rFonts w:hint="eastAsia" w:ascii="Times New Roman" w:hAnsi="Times New Roman" w:cs="Times New Roman"/>
          <w:color w:val="auto"/>
          <w:sz w:val="24"/>
          <w:highlight w:val="none"/>
          <w:lang w:val="en-US" w:eastAsia="zh-CN"/>
        </w:rPr>
        <w:t>70分；（2）报价部分：30分</w:t>
      </w:r>
    </w:p>
    <w:p w14:paraId="1D4047AF">
      <w:pPr>
        <w:numPr>
          <w:ilvl w:val="0"/>
          <w:numId w:val="2"/>
        </w:numPr>
        <w:spacing w:line="360" w:lineRule="auto"/>
        <w:outlineLvl w:val="2"/>
        <w:rPr>
          <w:rFonts w:hint="eastAsia" w:ascii="Times New Roman" w:hAnsi="Times New Roman" w:cs="Times New Roman"/>
          <w:b/>
          <w:color w:val="auto"/>
          <w:sz w:val="24"/>
          <w:highlight w:val="none"/>
          <w:lang w:eastAsia="zh-CN"/>
        </w:rPr>
      </w:pPr>
      <w:r>
        <w:rPr>
          <w:rFonts w:hint="eastAsia" w:ascii="Times New Roman" w:hAnsi="Times New Roman" w:cs="Times New Roman"/>
          <w:b/>
          <w:color w:val="auto"/>
          <w:sz w:val="24"/>
          <w:highlight w:val="none"/>
          <w:lang w:eastAsia="zh-CN"/>
        </w:rPr>
        <w:t>评审标准</w:t>
      </w:r>
    </w:p>
    <w:p w14:paraId="041FA7C6">
      <w:pPr>
        <w:numPr>
          <w:ilvl w:val="0"/>
          <w:numId w:val="0"/>
        </w:numPr>
        <w:spacing w:line="360" w:lineRule="auto"/>
        <w:outlineLvl w:val="2"/>
        <w:rPr>
          <w:rFonts w:hint="default" w:ascii="Times New Roman" w:hAnsi="Times New Roman" w:cs="Times New Roman"/>
          <w:b w:val="0"/>
          <w:bCs/>
          <w:color w:val="auto"/>
          <w:sz w:val="24"/>
          <w:highlight w:val="none"/>
          <w:lang w:val="en-US" w:eastAsia="zh-CN"/>
        </w:rPr>
      </w:pPr>
      <w:r>
        <w:rPr>
          <w:rFonts w:hint="eastAsia" w:ascii="Times New Roman" w:hAnsi="Times New Roman" w:cs="Times New Roman"/>
          <w:b w:val="0"/>
          <w:bCs/>
          <w:color w:val="auto"/>
          <w:sz w:val="24"/>
          <w:highlight w:val="none"/>
          <w:lang w:val="en-US" w:eastAsia="zh-CN"/>
        </w:rPr>
        <w:t>1.技术部分评审标准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419"/>
        <w:gridCol w:w="4990"/>
        <w:gridCol w:w="1255"/>
      </w:tblGrid>
      <w:tr w14:paraId="6DCB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6C4D4F37">
            <w:pPr>
              <w:pStyle w:val="29"/>
              <w:jc w:val="center"/>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cs="Times New Roman"/>
                <w:color w:val="auto"/>
                <w:sz w:val="24"/>
                <w:szCs w:val="24"/>
                <w:highlight w:val="none"/>
                <w:vertAlign w:val="baseline"/>
                <w:lang w:eastAsia="zh-CN"/>
              </w:rPr>
              <w:t>序号</w:t>
            </w:r>
          </w:p>
        </w:tc>
        <w:tc>
          <w:tcPr>
            <w:tcW w:w="1419" w:type="dxa"/>
          </w:tcPr>
          <w:p w14:paraId="44EA2F28">
            <w:pPr>
              <w:pStyle w:val="29"/>
              <w:jc w:val="center"/>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cs="Times New Roman"/>
                <w:color w:val="auto"/>
                <w:sz w:val="24"/>
                <w:szCs w:val="24"/>
                <w:highlight w:val="none"/>
                <w:vertAlign w:val="baseline"/>
                <w:lang w:eastAsia="zh-CN"/>
              </w:rPr>
              <w:t>指标</w:t>
            </w:r>
          </w:p>
        </w:tc>
        <w:tc>
          <w:tcPr>
            <w:tcW w:w="4990" w:type="dxa"/>
          </w:tcPr>
          <w:p w14:paraId="1EA923DA">
            <w:pPr>
              <w:pStyle w:val="29"/>
              <w:jc w:val="center"/>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cs="Times New Roman"/>
                <w:color w:val="auto"/>
                <w:sz w:val="24"/>
                <w:szCs w:val="24"/>
                <w:highlight w:val="none"/>
                <w:vertAlign w:val="baseline"/>
                <w:lang w:eastAsia="zh-CN"/>
              </w:rPr>
              <w:t>指标描述</w:t>
            </w:r>
          </w:p>
        </w:tc>
        <w:tc>
          <w:tcPr>
            <w:tcW w:w="1255" w:type="dxa"/>
          </w:tcPr>
          <w:p w14:paraId="1C6E279C">
            <w:pPr>
              <w:pStyle w:val="29"/>
              <w:jc w:val="center"/>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cs="Times New Roman"/>
                <w:color w:val="auto"/>
                <w:sz w:val="24"/>
                <w:szCs w:val="24"/>
                <w:highlight w:val="none"/>
                <w:vertAlign w:val="baseline"/>
                <w:lang w:eastAsia="zh-CN"/>
              </w:rPr>
              <w:t>分值范围</w:t>
            </w:r>
          </w:p>
        </w:tc>
      </w:tr>
      <w:tr w14:paraId="27F2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047E030D">
            <w:pPr>
              <w:pStyle w:val="29"/>
              <w:jc w:val="center"/>
              <w:rPr>
                <w:rFonts w:hint="eastAsia" w:ascii="Times New Roman" w:hAnsi="Times New Roman" w:cs="Times New Roman"/>
                <w:color w:val="auto"/>
                <w:sz w:val="24"/>
                <w:szCs w:val="24"/>
                <w:highlight w:val="none"/>
                <w:vertAlign w:val="baseline"/>
                <w:lang w:val="en-US" w:eastAsia="zh-CN"/>
              </w:rPr>
            </w:pPr>
          </w:p>
          <w:p w14:paraId="7E23E649">
            <w:pPr>
              <w:pStyle w:val="29"/>
              <w:jc w:val="center"/>
              <w:rPr>
                <w:rFonts w:hint="eastAsia" w:ascii="Times New Roman" w:hAnsi="Times New Roman" w:cs="Times New Roman"/>
                <w:color w:val="auto"/>
                <w:sz w:val="24"/>
                <w:szCs w:val="24"/>
                <w:highlight w:val="none"/>
                <w:vertAlign w:val="baseline"/>
                <w:lang w:val="en-US" w:eastAsia="zh-CN"/>
              </w:rPr>
            </w:pPr>
          </w:p>
          <w:p w14:paraId="1DB1F667">
            <w:pPr>
              <w:pStyle w:val="29"/>
              <w:jc w:val="center"/>
              <w:rPr>
                <w:rFonts w:hint="eastAsia" w:ascii="Times New Roman" w:hAnsi="Times New Roman" w:cs="Times New Roman"/>
                <w:color w:val="auto"/>
                <w:sz w:val="24"/>
                <w:szCs w:val="24"/>
                <w:highlight w:val="none"/>
                <w:vertAlign w:val="baseline"/>
                <w:lang w:val="en-US" w:eastAsia="zh-CN"/>
              </w:rPr>
            </w:pPr>
          </w:p>
          <w:p w14:paraId="466E03D8">
            <w:pPr>
              <w:pStyle w:val="29"/>
              <w:ind w:left="0" w:leftChars="0" w:firstLine="0" w:firstLineChars="0"/>
              <w:jc w:val="center"/>
              <w:rPr>
                <w:rFonts w:hint="eastAsia" w:ascii="Times New Roman" w:hAnsi="Times New Roman" w:cs="Times New Roman"/>
                <w:color w:val="auto"/>
                <w:sz w:val="24"/>
                <w:szCs w:val="24"/>
                <w:highlight w:val="none"/>
                <w:vertAlign w:val="baseline"/>
                <w:lang w:val="en-US" w:eastAsia="zh-CN"/>
              </w:rPr>
            </w:pPr>
          </w:p>
          <w:p w14:paraId="6B1AEF96">
            <w:pPr>
              <w:pStyle w:val="29"/>
              <w:jc w:val="center"/>
              <w:rPr>
                <w:rFonts w:hint="eastAsia" w:ascii="Times New Roman" w:hAnsi="Times New Roman" w:cs="Times New Roman"/>
                <w:color w:val="auto"/>
                <w:sz w:val="24"/>
                <w:szCs w:val="24"/>
                <w:highlight w:val="none"/>
                <w:vertAlign w:val="baseline"/>
                <w:lang w:val="en-US" w:eastAsia="zh-CN"/>
              </w:rPr>
            </w:pPr>
          </w:p>
          <w:p w14:paraId="125F9E1F">
            <w:pPr>
              <w:pStyle w:val="29"/>
              <w:jc w:val="center"/>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1</w:t>
            </w:r>
          </w:p>
        </w:tc>
        <w:tc>
          <w:tcPr>
            <w:tcW w:w="1419" w:type="dxa"/>
          </w:tcPr>
          <w:p w14:paraId="3888C695">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0A949A5D">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40A632CD">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6E75D1C6">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527F1BCF">
            <w:pPr>
              <w:keepNext w:val="0"/>
              <w:keepLines w:val="0"/>
              <w:widowControl/>
              <w:suppressLineNumbers w:val="0"/>
              <w:jc w:val="center"/>
              <w:rPr>
                <w:sz w:val="24"/>
                <w:szCs w:val="24"/>
                <w:highlight w:val="none"/>
              </w:rPr>
            </w:pPr>
            <w:r>
              <w:rPr>
                <w:rFonts w:ascii="宋体" w:hAnsi="宋体" w:eastAsia="宋体" w:cs="宋体"/>
                <w:color w:val="000000"/>
                <w:kern w:val="0"/>
                <w:sz w:val="24"/>
                <w:szCs w:val="24"/>
                <w:highlight w:val="none"/>
                <w:lang w:val="en-US" w:eastAsia="zh-CN" w:bidi="ar"/>
              </w:rPr>
              <w:t>投标人业绩</w:t>
            </w:r>
          </w:p>
          <w:p w14:paraId="77FA1D12">
            <w:pPr>
              <w:pStyle w:val="29"/>
              <w:jc w:val="center"/>
              <w:rPr>
                <w:rFonts w:hint="default" w:ascii="Times New Roman" w:hAnsi="Times New Roman" w:cs="Times New Roman"/>
                <w:color w:val="auto"/>
                <w:sz w:val="24"/>
                <w:szCs w:val="24"/>
                <w:highlight w:val="none"/>
                <w:vertAlign w:val="baseline"/>
              </w:rPr>
            </w:pPr>
          </w:p>
        </w:tc>
        <w:tc>
          <w:tcPr>
            <w:tcW w:w="4990" w:type="dxa"/>
          </w:tcPr>
          <w:p w14:paraId="59C86B97">
            <w:pPr>
              <w:keepNext w:val="0"/>
              <w:keepLines w:val="0"/>
              <w:widowControl/>
              <w:suppressLineNumbers w:val="0"/>
              <w:jc w:val="center"/>
              <w:rPr>
                <w:rFonts w:hint="eastAsia" w:ascii="宋体" w:hAnsi="宋体" w:cs="宋体"/>
                <w:color w:val="000000"/>
                <w:kern w:val="0"/>
                <w:sz w:val="24"/>
                <w:szCs w:val="24"/>
                <w:highlight w:val="none"/>
                <w:lang w:val="en-US" w:eastAsia="zh-CN" w:bidi="ar"/>
              </w:rPr>
            </w:pPr>
            <w:r>
              <w:rPr>
                <w:rFonts w:ascii="宋体" w:hAnsi="宋体" w:eastAsia="宋体" w:cs="宋体"/>
                <w:color w:val="000000"/>
                <w:kern w:val="0"/>
                <w:sz w:val="24"/>
                <w:szCs w:val="24"/>
                <w:highlight w:val="none"/>
                <w:lang w:val="en-US" w:eastAsia="zh-CN" w:bidi="ar"/>
              </w:rPr>
              <w:t>自</w:t>
            </w:r>
            <w:r>
              <w:rPr>
                <w:rFonts w:hint="default" w:ascii="Times New Roman" w:hAnsi="Times New Roman" w:eastAsia="宋体" w:cs="Times New Roman"/>
                <w:color w:val="auto"/>
                <w:kern w:val="2"/>
                <w:sz w:val="24"/>
                <w:szCs w:val="24"/>
                <w:highlight w:val="none"/>
                <w:vertAlign w:val="baseline"/>
                <w:lang w:val="en-US" w:eastAsia="zh-CN" w:bidi="ar-SA"/>
              </w:rPr>
              <w:t>202</w:t>
            </w:r>
            <w:r>
              <w:rPr>
                <w:rFonts w:hint="eastAsia" w:ascii="Times New Roman" w:hAnsi="Times New Roman" w:eastAsia="宋体" w:cs="Times New Roman"/>
                <w:color w:val="auto"/>
                <w:kern w:val="2"/>
                <w:sz w:val="24"/>
                <w:szCs w:val="24"/>
                <w:highlight w:val="none"/>
                <w:vertAlign w:val="baseline"/>
                <w:lang w:val="en-US" w:eastAsia="zh-CN" w:bidi="ar-SA"/>
              </w:rPr>
              <w:t>0</w:t>
            </w:r>
            <w:r>
              <w:rPr>
                <w:rFonts w:hint="default" w:ascii="Times New Roman" w:hAnsi="Times New Roman" w:eastAsia="宋体" w:cs="Times New Roman"/>
                <w:color w:val="auto"/>
                <w:kern w:val="2"/>
                <w:sz w:val="24"/>
                <w:szCs w:val="24"/>
                <w:highlight w:val="none"/>
                <w:vertAlign w:val="baseline"/>
                <w:lang w:val="en-US" w:eastAsia="zh-CN" w:bidi="ar-SA"/>
              </w:rPr>
              <w:t>年1月1日以</w:t>
            </w:r>
            <w:r>
              <w:rPr>
                <w:rFonts w:ascii="宋体" w:hAnsi="宋体" w:eastAsia="宋体" w:cs="宋体"/>
                <w:color w:val="000000"/>
                <w:kern w:val="0"/>
                <w:sz w:val="24"/>
                <w:szCs w:val="24"/>
                <w:highlight w:val="none"/>
                <w:lang w:val="en-US" w:eastAsia="zh-CN" w:bidi="ar"/>
              </w:rPr>
              <w:t>来（以合同签订日期为准），投标人具有</w:t>
            </w:r>
            <w:r>
              <w:rPr>
                <w:rFonts w:hint="eastAsia" w:ascii="宋体" w:hAnsi="宋体" w:cs="宋体"/>
                <w:color w:val="000000"/>
                <w:kern w:val="0"/>
                <w:sz w:val="24"/>
                <w:szCs w:val="24"/>
                <w:highlight w:val="none"/>
                <w:lang w:val="en-US" w:eastAsia="zh-CN" w:bidi="ar"/>
              </w:rPr>
              <w:t>政府机关或事业单位或国有</w:t>
            </w:r>
          </w:p>
          <w:p w14:paraId="41D47AD1">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企业</w:t>
            </w:r>
            <w:r>
              <w:rPr>
                <w:rFonts w:ascii="宋体" w:hAnsi="宋体" w:eastAsia="宋体" w:cs="宋体"/>
                <w:color w:val="000000"/>
                <w:kern w:val="0"/>
                <w:sz w:val="24"/>
                <w:szCs w:val="24"/>
                <w:highlight w:val="none"/>
                <w:lang w:val="en-US" w:eastAsia="zh-CN" w:bidi="ar"/>
              </w:rPr>
              <w:t>法律顾问服务</w:t>
            </w:r>
            <w:r>
              <w:rPr>
                <w:rFonts w:hint="eastAsia" w:ascii="宋体" w:hAnsi="宋体" w:cs="宋体"/>
                <w:color w:val="000000"/>
                <w:kern w:val="0"/>
                <w:sz w:val="24"/>
                <w:szCs w:val="24"/>
                <w:highlight w:val="none"/>
                <w:lang w:val="en-US" w:eastAsia="zh-CN" w:bidi="ar"/>
              </w:rPr>
              <w:t>业绩</w:t>
            </w:r>
            <w:r>
              <w:rPr>
                <w:rFonts w:ascii="宋体" w:hAnsi="宋体" w:eastAsia="宋体" w:cs="宋体"/>
                <w:color w:val="000000"/>
                <w:kern w:val="0"/>
                <w:sz w:val="24"/>
                <w:szCs w:val="24"/>
                <w:highlight w:val="none"/>
                <w:lang w:val="en-US" w:eastAsia="zh-CN" w:bidi="ar"/>
              </w:rPr>
              <w:t>的，每提供一个业绩得</w:t>
            </w:r>
          </w:p>
          <w:p w14:paraId="14F7500E">
            <w:pPr>
              <w:keepNext w:val="0"/>
              <w:keepLines w:val="0"/>
              <w:widowControl/>
              <w:suppressLineNumbers w:val="0"/>
              <w:jc w:val="both"/>
              <w:rPr>
                <w:rFonts w:hint="default" w:ascii="Times New Roman" w:hAnsi="Times New Roman" w:cs="Times New Roman"/>
                <w:sz w:val="24"/>
                <w:szCs w:val="24"/>
                <w:highlight w:val="none"/>
              </w:rPr>
            </w:pPr>
            <w:r>
              <w:rPr>
                <w:rFonts w:hint="default" w:ascii="Times New Roman" w:hAnsi="Times New Roman" w:eastAsia="宋体" w:cs="Times New Roman"/>
                <w:color w:val="000000"/>
                <w:kern w:val="0"/>
                <w:sz w:val="24"/>
                <w:szCs w:val="24"/>
                <w:highlight w:val="none"/>
                <w:lang w:val="en-US" w:eastAsia="zh-CN" w:bidi="ar"/>
              </w:rPr>
              <w:t>3分，</w:t>
            </w:r>
            <w:r>
              <w:rPr>
                <w:rFonts w:hint="default" w:ascii="Times New Roman" w:hAnsi="Times New Roman" w:cs="Times New Roman"/>
                <w:color w:val="000000"/>
                <w:kern w:val="0"/>
                <w:sz w:val="24"/>
                <w:szCs w:val="24"/>
                <w:highlight w:val="none"/>
                <w:lang w:val="en-US" w:eastAsia="zh-CN" w:bidi="ar"/>
              </w:rPr>
              <w:t>具有其他企业法律顾问服务业绩的，每提供一个得1分，</w:t>
            </w:r>
            <w:r>
              <w:rPr>
                <w:rFonts w:hint="default" w:ascii="Times New Roman" w:hAnsi="Times New Roman" w:eastAsia="宋体" w:cs="Times New Roman"/>
                <w:color w:val="000000"/>
                <w:kern w:val="0"/>
                <w:sz w:val="24"/>
                <w:szCs w:val="24"/>
                <w:highlight w:val="none"/>
                <w:lang w:val="en-US" w:eastAsia="zh-CN" w:bidi="ar"/>
              </w:rPr>
              <w:t>满分</w:t>
            </w:r>
            <w:r>
              <w:rPr>
                <w:rFonts w:hint="eastAsia" w:ascii="Times New Roman" w:hAnsi="Times New Roman" w:cs="Times New Roman"/>
                <w:color w:val="000000"/>
                <w:kern w:val="0"/>
                <w:sz w:val="24"/>
                <w:szCs w:val="24"/>
                <w:highlight w:val="none"/>
                <w:lang w:val="en-US" w:eastAsia="zh-CN" w:bidi="ar"/>
              </w:rPr>
              <w:t>9</w:t>
            </w:r>
            <w:bookmarkStart w:id="167" w:name="_GoBack"/>
            <w:bookmarkEnd w:id="167"/>
            <w:r>
              <w:rPr>
                <w:rFonts w:hint="default" w:ascii="Times New Roman" w:hAnsi="Times New Roman" w:eastAsia="宋体" w:cs="Times New Roman"/>
                <w:color w:val="000000"/>
                <w:kern w:val="0"/>
                <w:sz w:val="24"/>
                <w:szCs w:val="24"/>
                <w:highlight w:val="none"/>
                <w:lang w:val="en-US" w:eastAsia="zh-CN" w:bidi="ar"/>
              </w:rPr>
              <w:t>分。</w:t>
            </w:r>
          </w:p>
          <w:p w14:paraId="2F74F539">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注：</w:t>
            </w:r>
          </w:p>
          <w:p w14:paraId="468E3126">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1.业绩要求详见投标人须知前附表；</w:t>
            </w:r>
          </w:p>
          <w:p w14:paraId="176A94BE">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2.初审业绩满足本项要求的，可计入分数；</w:t>
            </w:r>
          </w:p>
          <w:p w14:paraId="22D8B051">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3.服务同一家单位多个年度签订的合同只计分一次；</w:t>
            </w:r>
          </w:p>
          <w:p w14:paraId="42E774D0">
            <w:pPr>
              <w:pStyle w:val="29"/>
              <w:numPr>
                <w:ilvl w:val="0"/>
                <w:numId w:val="0"/>
              </w:numPr>
              <w:jc w:val="left"/>
              <w:rPr>
                <w:rFonts w:hint="default" w:ascii="Times New Roman" w:hAnsi="Times New Roman" w:cs="Times New Roman"/>
                <w:color w:val="auto"/>
                <w:sz w:val="24"/>
                <w:szCs w:val="24"/>
                <w:highlight w:val="none"/>
                <w:vertAlign w:val="baseline"/>
              </w:rPr>
            </w:pPr>
            <w:r>
              <w:rPr>
                <w:rFonts w:hint="default" w:ascii="Times New Roman" w:hAnsi="Times New Roman" w:eastAsia="宋体" w:cs="Times New Roman"/>
                <w:b/>
                <w:bCs/>
                <w:color w:val="auto"/>
                <w:sz w:val="21"/>
                <w:szCs w:val="21"/>
                <w:highlight w:val="none"/>
                <w:vertAlign w:val="baseline"/>
                <w:lang w:val="en-US" w:eastAsia="zh-CN"/>
              </w:rPr>
              <w:t>4.未提供或提供不符合要求的对应业绩不得分。</w:t>
            </w:r>
          </w:p>
        </w:tc>
        <w:tc>
          <w:tcPr>
            <w:tcW w:w="1255" w:type="dxa"/>
          </w:tcPr>
          <w:p w14:paraId="6795644E">
            <w:pPr>
              <w:pStyle w:val="29"/>
              <w:jc w:val="center"/>
              <w:rPr>
                <w:rFonts w:hint="eastAsia" w:ascii="Times New Roman" w:hAnsi="Times New Roman" w:cs="Times New Roman"/>
                <w:color w:val="auto"/>
                <w:sz w:val="24"/>
                <w:szCs w:val="24"/>
                <w:highlight w:val="none"/>
                <w:vertAlign w:val="baseline"/>
                <w:lang w:val="en-US" w:eastAsia="zh-CN"/>
              </w:rPr>
            </w:pPr>
          </w:p>
          <w:p w14:paraId="58A3E595">
            <w:pPr>
              <w:pStyle w:val="29"/>
              <w:jc w:val="center"/>
              <w:rPr>
                <w:rFonts w:hint="eastAsia" w:ascii="Times New Roman" w:hAnsi="Times New Roman" w:cs="Times New Roman"/>
                <w:color w:val="auto"/>
                <w:sz w:val="24"/>
                <w:szCs w:val="24"/>
                <w:highlight w:val="none"/>
                <w:vertAlign w:val="baseline"/>
                <w:lang w:val="en-US" w:eastAsia="zh-CN"/>
              </w:rPr>
            </w:pPr>
          </w:p>
          <w:p w14:paraId="63A12413">
            <w:pPr>
              <w:pStyle w:val="29"/>
              <w:jc w:val="center"/>
              <w:rPr>
                <w:rFonts w:hint="eastAsia" w:ascii="Times New Roman" w:hAnsi="Times New Roman" w:cs="Times New Roman"/>
                <w:color w:val="auto"/>
                <w:sz w:val="24"/>
                <w:szCs w:val="24"/>
                <w:highlight w:val="none"/>
                <w:vertAlign w:val="baseline"/>
                <w:lang w:val="en-US" w:eastAsia="zh-CN"/>
              </w:rPr>
            </w:pPr>
          </w:p>
          <w:p w14:paraId="734D4C1E">
            <w:pPr>
              <w:pStyle w:val="29"/>
              <w:jc w:val="center"/>
              <w:rPr>
                <w:rFonts w:hint="eastAsia" w:ascii="Times New Roman" w:hAnsi="Times New Roman" w:cs="Times New Roman"/>
                <w:color w:val="auto"/>
                <w:sz w:val="24"/>
                <w:szCs w:val="24"/>
                <w:highlight w:val="none"/>
                <w:vertAlign w:val="baseline"/>
                <w:lang w:val="en-US" w:eastAsia="zh-CN"/>
              </w:rPr>
            </w:pPr>
          </w:p>
          <w:p w14:paraId="77655212">
            <w:pPr>
              <w:pStyle w:val="29"/>
              <w:jc w:val="center"/>
              <w:rPr>
                <w:rFonts w:hint="eastAsia" w:ascii="Times New Roman" w:hAnsi="Times New Roman" w:cs="Times New Roman"/>
                <w:color w:val="auto"/>
                <w:sz w:val="24"/>
                <w:szCs w:val="24"/>
                <w:highlight w:val="none"/>
                <w:vertAlign w:val="baseline"/>
                <w:lang w:val="en-US" w:eastAsia="zh-CN"/>
              </w:rPr>
            </w:pPr>
          </w:p>
          <w:p w14:paraId="37E7A403">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0~9</w:t>
            </w:r>
          </w:p>
        </w:tc>
      </w:tr>
      <w:tr w14:paraId="3C69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13F31D6C">
            <w:pPr>
              <w:pStyle w:val="29"/>
              <w:jc w:val="center"/>
              <w:rPr>
                <w:rFonts w:hint="eastAsia" w:ascii="Times New Roman" w:hAnsi="Times New Roman" w:cs="Times New Roman"/>
                <w:color w:val="auto"/>
                <w:sz w:val="24"/>
                <w:szCs w:val="24"/>
                <w:highlight w:val="none"/>
                <w:vertAlign w:val="baseline"/>
                <w:lang w:val="en-US" w:eastAsia="zh-CN"/>
              </w:rPr>
            </w:pPr>
          </w:p>
          <w:p w14:paraId="6EA9F296">
            <w:pPr>
              <w:pStyle w:val="29"/>
              <w:jc w:val="center"/>
              <w:rPr>
                <w:rFonts w:hint="eastAsia" w:ascii="Times New Roman" w:hAnsi="Times New Roman" w:cs="Times New Roman"/>
                <w:color w:val="auto"/>
                <w:sz w:val="24"/>
                <w:szCs w:val="24"/>
                <w:highlight w:val="none"/>
                <w:vertAlign w:val="baseline"/>
                <w:lang w:val="en-US" w:eastAsia="zh-CN"/>
              </w:rPr>
            </w:pPr>
          </w:p>
          <w:p w14:paraId="014E196B">
            <w:pPr>
              <w:pStyle w:val="29"/>
              <w:jc w:val="center"/>
              <w:rPr>
                <w:rFonts w:hint="eastAsia" w:ascii="Times New Roman" w:hAnsi="Times New Roman" w:cs="Times New Roman"/>
                <w:color w:val="auto"/>
                <w:sz w:val="24"/>
                <w:szCs w:val="24"/>
                <w:highlight w:val="none"/>
                <w:vertAlign w:val="baseline"/>
                <w:lang w:val="en-US" w:eastAsia="zh-CN"/>
              </w:rPr>
            </w:pPr>
          </w:p>
          <w:p w14:paraId="5028363C">
            <w:pPr>
              <w:pStyle w:val="29"/>
              <w:jc w:val="center"/>
              <w:rPr>
                <w:rFonts w:hint="eastAsia" w:ascii="Times New Roman" w:hAnsi="Times New Roman" w:cs="Times New Roman"/>
                <w:color w:val="auto"/>
                <w:sz w:val="24"/>
                <w:szCs w:val="24"/>
                <w:highlight w:val="none"/>
                <w:vertAlign w:val="baseline"/>
                <w:lang w:val="en-US" w:eastAsia="zh-CN"/>
              </w:rPr>
            </w:pPr>
          </w:p>
          <w:p w14:paraId="23C384AF">
            <w:pPr>
              <w:pStyle w:val="29"/>
              <w:jc w:val="center"/>
              <w:rPr>
                <w:rFonts w:hint="eastAsia" w:ascii="Times New Roman" w:hAnsi="Times New Roman" w:cs="Times New Roman"/>
                <w:color w:val="auto"/>
                <w:sz w:val="24"/>
                <w:szCs w:val="24"/>
                <w:highlight w:val="none"/>
                <w:vertAlign w:val="baseline"/>
                <w:lang w:val="en-US" w:eastAsia="zh-CN"/>
              </w:rPr>
            </w:pPr>
          </w:p>
          <w:p w14:paraId="003B1FA0">
            <w:pPr>
              <w:pStyle w:val="29"/>
              <w:jc w:val="center"/>
              <w:rPr>
                <w:rFonts w:hint="eastAsia" w:ascii="Times New Roman" w:hAnsi="Times New Roman" w:cs="Times New Roman"/>
                <w:color w:val="auto"/>
                <w:sz w:val="24"/>
                <w:szCs w:val="24"/>
                <w:highlight w:val="none"/>
                <w:vertAlign w:val="baseline"/>
                <w:lang w:val="en-US" w:eastAsia="zh-CN"/>
              </w:rPr>
            </w:pPr>
          </w:p>
          <w:p w14:paraId="77365244">
            <w:pPr>
              <w:pStyle w:val="29"/>
              <w:jc w:val="center"/>
              <w:rPr>
                <w:rFonts w:hint="eastAsia" w:ascii="Times New Roman" w:hAnsi="Times New Roman" w:cs="Times New Roman"/>
                <w:color w:val="auto"/>
                <w:sz w:val="24"/>
                <w:szCs w:val="24"/>
                <w:highlight w:val="none"/>
                <w:vertAlign w:val="baseline"/>
                <w:lang w:val="en-US" w:eastAsia="zh-CN"/>
              </w:rPr>
            </w:pPr>
          </w:p>
          <w:p w14:paraId="07EB86BB">
            <w:pPr>
              <w:pStyle w:val="29"/>
              <w:ind w:left="0" w:leftChars="0" w:firstLine="0" w:firstLineChars="0"/>
              <w:jc w:val="center"/>
              <w:rPr>
                <w:rFonts w:hint="eastAsia" w:ascii="Times New Roman" w:hAnsi="Times New Roman" w:cs="Times New Roman"/>
                <w:color w:val="auto"/>
                <w:sz w:val="24"/>
                <w:szCs w:val="24"/>
                <w:highlight w:val="none"/>
                <w:vertAlign w:val="baseline"/>
                <w:lang w:val="en-US" w:eastAsia="zh-CN"/>
              </w:rPr>
            </w:pPr>
          </w:p>
          <w:p w14:paraId="351B13ED">
            <w:pPr>
              <w:pStyle w:val="29"/>
              <w:ind w:left="0" w:leftChars="0" w:firstLine="0" w:firstLineChars="0"/>
              <w:jc w:val="center"/>
              <w:rPr>
                <w:rFonts w:hint="eastAsia" w:ascii="Times New Roman" w:hAnsi="Times New Roman" w:cs="Times New Roman"/>
                <w:color w:val="auto"/>
                <w:sz w:val="24"/>
                <w:szCs w:val="24"/>
                <w:highlight w:val="none"/>
                <w:vertAlign w:val="baseline"/>
                <w:lang w:val="en-US" w:eastAsia="zh-CN"/>
              </w:rPr>
            </w:pPr>
          </w:p>
          <w:p w14:paraId="0D24006C">
            <w:pPr>
              <w:pStyle w:val="29"/>
              <w:jc w:val="center"/>
              <w:rPr>
                <w:rFonts w:hint="eastAsia" w:ascii="Times New Roman" w:hAnsi="Times New Roman" w:cs="Times New Roman"/>
                <w:color w:val="auto"/>
                <w:sz w:val="24"/>
                <w:szCs w:val="24"/>
                <w:highlight w:val="none"/>
                <w:vertAlign w:val="baseline"/>
                <w:lang w:val="en-US" w:eastAsia="zh-CN"/>
              </w:rPr>
            </w:pPr>
          </w:p>
          <w:p w14:paraId="73D9CAC0">
            <w:pPr>
              <w:pStyle w:val="29"/>
              <w:jc w:val="center"/>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2</w:t>
            </w:r>
          </w:p>
        </w:tc>
        <w:tc>
          <w:tcPr>
            <w:tcW w:w="1419" w:type="dxa"/>
          </w:tcPr>
          <w:p w14:paraId="2E661046">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611AD9FB">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4509493B">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54EFEF1D">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7D2B112D">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193A280C">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6122EBAF">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24AE4F11">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0680C742">
            <w:pPr>
              <w:keepNext w:val="0"/>
              <w:keepLines w:val="0"/>
              <w:widowControl/>
              <w:suppressLineNumbers w:val="0"/>
              <w:jc w:val="center"/>
              <w:rPr>
                <w:highlight w:val="none"/>
              </w:rPr>
            </w:pPr>
            <w:r>
              <w:rPr>
                <w:rFonts w:ascii="宋体" w:hAnsi="宋体" w:eastAsia="宋体" w:cs="宋体"/>
                <w:color w:val="000000"/>
                <w:kern w:val="0"/>
                <w:sz w:val="24"/>
                <w:szCs w:val="24"/>
                <w:highlight w:val="none"/>
                <w:lang w:val="en-US" w:eastAsia="zh-CN" w:bidi="ar"/>
              </w:rPr>
              <w:t>人员业绩</w:t>
            </w:r>
          </w:p>
          <w:p w14:paraId="516C7E2E">
            <w:pPr>
              <w:pStyle w:val="29"/>
              <w:tabs>
                <w:tab w:val="left" w:pos="752"/>
              </w:tabs>
              <w:jc w:val="center"/>
              <w:rPr>
                <w:rFonts w:hint="eastAsia" w:ascii="Times New Roman" w:hAnsi="Times New Roman" w:eastAsia="宋体" w:cs="Times New Roman"/>
                <w:color w:val="auto"/>
                <w:sz w:val="24"/>
                <w:szCs w:val="24"/>
                <w:highlight w:val="none"/>
                <w:vertAlign w:val="baseline"/>
                <w:lang w:eastAsia="zh-CN"/>
              </w:rPr>
            </w:pPr>
          </w:p>
        </w:tc>
        <w:tc>
          <w:tcPr>
            <w:tcW w:w="4990" w:type="dxa"/>
          </w:tcPr>
          <w:p w14:paraId="794BBE74">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自202</w:t>
            </w:r>
            <w:r>
              <w:rPr>
                <w:rFonts w:hint="default" w:ascii="Times New Roman" w:hAnsi="Times New Roman" w:cs="Times New Roman"/>
                <w:color w:val="000000"/>
                <w:kern w:val="0"/>
                <w:sz w:val="24"/>
                <w:szCs w:val="24"/>
                <w:highlight w:val="none"/>
                <w:lang w:val="en-US" w:eastAsia="zh-CN" w:bidi="ar"/>
              </w:rPr>
              <w:t>0</w:t>
            </w:r>
            <w:r>
              <w:rPr>
                <w:rFonts w:hint="default" w:ascii="Times New Roman" w:hAnsi="Times New Roman" w:eastAsia="宋体" w:cs="Times New Roman"/>
                <w:color w:val="000000"/>
                <w:kern w:val="0"/>
                <w:sz w:val="24"/>
                <w:szCs w:val="24"/>
                <w:highlight w:val="none"/>
                <w:lang w:val="en-US" w:eastAsia="zh-CN" w:bidi="ar"/>
              </w:rPr>
              <w:t>年</w:t>
            </w:r>
            <w:r>
              <w:rPr>
                <w:rFonts w:hint="default" w:ascii="Times New Roman" w:hAnsi="Times New Roman" w:cs="Times New Roman"/>
                <w:color w:val="000000"/>
                <w:kern w:val="0"/>
                <w:sz w:val="24"/>
                <w:szCs w:val="24"/>
                <w:highlight w:val="none"/>
                <w:lang w:val="en-US" w:eastAsia="zh-CN" w:bidi="ar"/>
              </w:rPr>
              <w:t>1</w:t>
            </w:r>
            <w:r>
              <w:rPr>
                <w:rFonts w:hint="default" w:ascii="Times New Roman" w:hAnsi="Times New Roman" w:eastAsia="宋体" w:cs="Times New Roman"/>
                <w:color w:val="000000"/>
                <w:kern w:val="0"/>
                <w:sz w:val="24"/>
                <w:szCs w:val="24"/>
                <w:highlight w:val="none"/>
                <w:lang w:val="en-US" w:eastAsia="zh-CN" w:bidi="ar"/>
              </w:rPr>
              <w:t>月</w:t>
            </w:r>
            <w:r>
              <w:rPr>
                <w:rFonts w:hint="default" w:ascii="Times New Roman" w:hAnsi="Times New Roman" w:cs="Times New Roman"/>
                <w:color w:val="000000"/>
                <w:kern w:val="0"/>
                <w:sz w:val="24"/>
                <w:szCs w:val="24"/>
                <w:highlight w:val="none"/>
                <w:lang w:val="en-US" w:eastAsia="zh-CN" w:bidi="ar"/>
              </w:rPr>
              <w:t>1</w:t>
            </w:r>
            <w:r>
              <w:rPr>
                <w:rFonts w:hint="default" w:ascii="Times New Roman" w:hAnsi="Times New Roman" w:eastAsia="宋体" w:cs="Times New Roman"/>
                <w:color w:val="000000"/>
                <w:kern w:val="0"/>
                <w:sz w:val="24"/>
                <w:szCs w:val="24"/>
                <w:highlight w:val="none"/>
                <w:lang w:val="en-US" w:eastAsia="zh-CN" w:bidi="ar"/>
              </w:rPr>
              <w:t xml:space="preserve">日以来（以合同签订日期为准），投标人拟为本项目配备的服务团队成员： </w:t>
            </w:r>
          </w:p>
          <w:p w14:paraId="515CD118">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1.具有公司相关法律</w:t>
            </w:r>
            <w:r>
              <w:rPr>
                <w:rFonts w:hint="default" w:ascii="Times New Roman" w:hAnsi="Times New Roman" w:cs="Times New Roman"/>
                <w:color w:val="000000"/>
                <w:kern w:val="0"/>
                <w:sz w:val="24"/>
                <w:szCs w:val="24"/>
                <w:highlight w:val="none"/>
                <w:lang w:val="en-US" w:eastAsia="zh-CN" w:bidi="ar"/>
              </w:rPr>
              <w:t>纠纷</w:t>
            </w:r>
            <w:r>
              <w:rPr>
                <w:rFonts w:hint="default" w:ascii="Times New Roman" w:hAnsi="Times New Roman" w:eastAsia="宋体" w:cs="Times New Roman"/>
                <w:color w:val="000000"/>
                <w:kern w:val="0"/>
                <w:sz w:val="24"/>
                <w:szCs w:val="24"/>
                <w:highlight w:val="none"/>
                <w:lang w:val="en-US" w:eastAsia="zh-CN" w:bidi="ar"/>
              </w:rPr>
              <w:t>案件代理业绩的，每提供一个业绩得</w:t>
            </w:r>
            <w:r>
              <w:rPr>
                <w:rFonts w:hint="default" w:ascii="Times New Roman" w:hAnsi="Times New Roman"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分，本小项满分</w:t>
            </w:r>
            <w:r>
              <w:rPr>
                <w:rFonts w:hint="default" w:ascii="Times New Roman" w:hAnsi="Times New Roman" w:cs="Times New Roman"/>
                <w:color w:val="000000"/>
                <w:kern w:val="0"/>
                <w:sz w:val="24"/>
                <w:szCs w:val="24"/>
                <w:highlight w:val="none"/>
                <w:lang w:val="en-US" w:eastAsia="zh-CN" w:bidi="ar"/>
              </w:rPr>
              <w:t>6</w:t>
            </w:r>
            <w:r>
              <w:rPr>
                <w:rFonts w:hint="default" w:ascii="Times New Roman" w:hAnsi="Times New Roman" w:eastAsia="宋体" w:cs="Times New Roman"/>
                <w:color w:val="000000"/>
                <w:kern w:val="0"/>
                <w:sz w:val="24"/>
                <w:szCs w:val="24"/>
                <w:highlight w:val="none"/>
                <w:lang w:val="en-US" w:eastAsia="zh-CN" w:bidi="ar"/>
              </w:rPr>
              <w:t xml:space="preserve">分； </w:t>
            </w:r>
          </w:p>
          <w:p w14:paraId="3405E5F2">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2.具有工程类型案件代理业绩的，每提供一个业绩得</w:t>
            </w:r>
            <w:r>
              <w:rPr>
                <w:rFonts w:hint="default" w:ascii="Times New Roman" w:hAnsi="Times New Roman"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分，本小项满分</w:t>
            </w:r>
            <w:r>
              <w:rPr>
                <w:rFonts w:hint="default" w:ascii="Times New Roman" w:hAnsi="Times New Roman" w:cs="Times New Roman"/>
                <w:color w:val="000000"/>
                <w:kern w:val="0"/>
                <w:sz w:val="24"/>
                <w:szCs w:val="24"/>
                <w:highlight w:val="none"/>
                <w:lang w:val="en-US" w:eastAsia="zh-CN" w:bidi="ar"/>
              </w:rPr>
              <w:t>6</w:t>
            </w:r>
            <w:r>
              <w:rPr>
                <w:rFonts w:hint="default" w:ascii="Times New Roman" w:hAnsi="Times New Roman" w:eastAsia="宋体" w:cs="Times New Roman"/>
                <w:color w:val="000000"/>
                <w:kern w:val="0"/>
                <w:sz w:val="24"/>
                <w:szCs w:val="24"/>
                <w:highlight w:val="none"/>
                <w:lang w:val="en-US" w:eastAsia="zh-CN" w:bidi="ar"/>
              </w:rPr>
              <w:t xml:space="preserve">分； </w:t>
            </w:r>
          </w:p>
          <w:p w14:paraId="694894B1">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3.具有劳动仲裁或劳动诉讼代理业绩的，每提供一个业绩得</w:t>
            </w:r>
            <w:r>
              <w:rPr>
                <w:rFonts w:hint="default" w:ascii="Times New Roman" w:hAnsi="Times New Roman"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分，本小项满分</w:t>
            </w:r>
            <w:r>
              <w:rPr>
                <w:rFonts w:hint="default" w:ascii="Times New Roman" w:hAnsi="Times New Roman" w:cs="Times New Roman"/>
                <w:color w:val="000000"/>
                <w:kern w:val="0"/>
                <w:sz w:val="24"/>
                <w:szCs w:val="24"/>
                <w:highlight w:val="none"/>
                <w:lang w:val="en-US" w:eastAsia="zh-CN" w:bidi="ar"/>
              </w:rPr>
              <w:t>6</w:t>
            </w:r>
            <w:r>
              <w:rPr>
                <w:rFonts w:hint="default" w:ascii="Times New Roman" w:hAnsi="Times New Roman" w:eastAsia="宋体" w:cs="Times New Roman"/>
                <w:color w:val="000000"/>
                <w:kern w:val="0"/>
                <w:sz w:val="24"/>
                <w:szCs w:val="24"/>
                <w:highlight w:val="none"/>
                <w:lang w:val="en-US" w:eastAsia="zh-CN" w:bidi="ar"/>
              </w:rPr>
              <w:t xml:space="preserve">分。 </w:t>
            </w:r>
          </w:p>
          <w:p w14:paraId="53D1434F">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 xml:space="preserve">注： </w:t>
            </w:r>
          </w:p>
          <w:p w14:paraId="5B2BB153">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 xml:space="preserve">1.初审业绩或投标人业绩满足本项要求的，可计入分数； </w:t>
            </w:r>
          </w:p>
          <w:p w14:paraId="491AC76C">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 xml:space="preserve">2.同一业绩同时符合上述第 1 项和第 2 项的，不重复计分；同一案件的一审、二审和再审仅按一个业绩计算； </w:t>
            </w:r>
          </w:p>
          <w:p w14:paraId="3236FC9F">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 xml:space="preserve">3.投标文件中提供投标人为上述人员缴纳自2024年 12 月（含）以来任意连续三个月的社保证明材料，社保证明材料要求详见投标人须知前附表。 </w:t>
            </w:r>
          </w:p>
          <w:p w14:paraId="4B29EAFC">
            <w:pPr>
              <w:pStyle w:val="29"/>
              <w:numPr>
                <w:ilvl w:val="0"/>
                <w:numId w:val="0"/>
              </w:numPr>
              <w:jc w:val="left"/>
              <w:rPr>
                <w:rFonts w:hint="default" w:ascii="Times New Roman" w:hAnsi="Times New Roman" w:cs="Times New Roman"/>
                <w:b/>
                <w:bCs/>
                <w:color w:val="auto"/>
                <w:sz w:val="24"/>
                <w:szCs w:val="24"/>
                <w:highlight w:val="none"/>
                <w:vertAlign w:val="baseline"/>
              </w:rPr>
            </w:pPr>
            <w:r>
              <w:rPr>
                <w:rFonts w:hint="default" w:ascii="Times New Roman" w:hAnsi="Times New Roman" w:eastAsia="宋体" w:cs="Times New Roman"/>
                <w:b/>
                <w:bCs/>
                <w:color w:val="auto"/>
                <w:sz w:val="21"/>
                <w:szCs w:val="21"/>
                <w:highlight w:val="none"/>
                <w:vertAlign w:val="baseline"/>
                <w:lang w:val="en-US" w:eastAsia="zh-CN"/>
              </w:rPr>
              <w:t>4.未提供或提供不符合要求的对应业绩不得分。</w:t>
            </w:r>
          </w:p>
        </w:tc>
        <w:tc>
          <w:tcPr>
            <w:tcW w:w="1255" w:type="dxa"/>
          </w:tcPr>
          <w:p w14:paraId="4DF8BD4C">
            <w:pPr>
              <w:pStyle w:val="29"/>
              <w:jc w:val="center"/>
              <w:rPr>
                <w:rFonts w:hint="eastAsia" w:ascii="Times New Roman" w:hAnsi="Times New Roman" w:cs="Times New Roman"/>
                <w:color w:val="auto"/>
                <w:sz w:val="24"/>
                <w:szCs w:val="24"/>
                <w:highlight w:val="none"/>
                <w:vertAlign w:val="baseline"/>
                <w:lang w:val="en-US" w:eastAsia="zh-CN"/>
              </w:rPr>
            </w:pPr>
          </w:p>
          <w:p w14:paraId="79A54098">
            <w:pPr>
              <w:pStyle w:val="29"/>
              <w:jc w:val="center"/>
              <w:rPr>
                <w:rFonts w:hint="eastAsia" w:ascii="Times New Roman" w:hAnsi="Times New Roman" w:cs="Times New Roman"/>
                <w:color w:val="auto"/>
                <w:sz w:val="24"/>
                <w:szCs w:val="24"/>
                <w:highlight w:val="none"/>
                <w:vertAlign w:val="baseline"/>
                <w:lang w:val="en-US" w:eastAsia="zh-CN"/>
              </w:rPr>
            </w:pPr>
          </w:p>
          <w:p w14:paraId="5E968681">
            <w:pPr>
              <w:pStyle w:val="29"/>
              <w:jc w:val="center"/>
              <w:rPr>
                <w:rFonts w:hint="eastAsia" w:ascii="Times New Roman" w:hAnsi="Times New Roman" w:cs="Times New Roman"/>
                <w:color w:val="auto"/>
                <w:sz w:val="24"/>
                <w:szCs w:val="24"/>
                <w:highlight w:val="none"/>
                <w:vertAlign w:val="baseline"/>
                <w:lang w:val="en-US" w:eastAsia="zh-CN"/>
              </w:rPr>
            </w:pPr>
          </w:p>
          <w:p w14:paraId="61B3E412">
            <w:pPr>
              <w:pStyle w:val="29"/>
              <w:jc w:val="center"/>
              <w:rPr>
                <w:rFonts w:hint="eastAsia" w:ascii="Times New Roman" w:hAnsi="Times New Roman" w:cs="Times New Roman"/>
                <w:color w:val="auto"/>
                <w:sz w:val="24"/>
                <w:szCs w:val="24"/>
                <w:highlight w:val="none"/>
                <w:vertAlign w:val="baseline"/>
                <w:lang w:val="en-US" w:eastAsia="zh-CN"/>
              </w:rPr>
            </w:pPr>
          </w:p>
          <w:p w14:paraId="66AE0577">
            <w:pPr>
              <w:pStyle w:val="29"/>
              <w:jc w:val="center"/>
              <w:rPr>
                <w:rFonts w:hint="eastAsia" w:ascii="Times New Roman" w:hAnsi="Times New Roman" w:cs="Times New Roman"/>
                <w:color w:val="auto"/>
                <w:sz w:val="24"/>
                <w:szCs w:val="24"/>
                <w:highlight w:val="none"/>
                <w:vertAlign w:val="baseline"/>
                <w:lang w:val="en-US" w:eastAsia="zh-CN"/>
              </w:rPr>
            </w:pPr>
          </w:p>
          <w:p w14:paraId="73D1FDE0">
            <w:pPr>
              <w:pStyle w:val="29"/>
              <w:jc w:val="center"/>
              <w:rPr>
                <w:rFonts w:hint="eastAsia" w:ascii="Times New Roman" w:hAnsi="Times New Roman" w:cs="Times New Roman"/>
                <w:color w:val="auto"/>
                <w:sz w:val="24"/>
                <w:szCs w:val="24"/>
                <w:highlight w:val="none"/>
                <w:vertAlign w:val="baseline"/>
                <w:lang w:val="en-US" w:eastAsia="zh-CN"/>
              </w:rPr>
            </w:pPr>
          </w:p>
          <w:p w14:paraId="358A3140">
            <w:pPr>
              <w:pStyle w:val="29"/>
              <w:jc w:val="center"/>
              <w:rPr>
                <w:rFonts w:hint="eastAsia" w:ascii="Times New Roman" w:hAnsi="Times New Roman" w:cs="Times New Roman"/>
                <w:color w:val="auto"/>
                <w:sz w:val="24"/>
                <w:szCs w:val="24"/>
                <w:highlight w:val="none"/>
                <w:vertAlign w:val="baseline"/>
                <w:lang w:val="en-US" w:eastAsia="zh-CN"/>
              </w:rPr>
            </w:pPr>
          </w:p>
          <w:p w14:paraId="1DC64D36">
            <w:pPr>
              <w:pStyle w:val="29"/>
              <w:jc w:val="center"/>
              <w:rPr>
                <w:rFonts w:hint="eastAsia" w:ascii="Times New Roman" w:hAnsi="Times New Roman" w:cs="Times New Roman"/>
                <w:color w:val="auto"/>
                <w:sz w:val="24"/>
                <w:szCs w:val="24"/>
                <w:highlight w:val="none"/>
                <w:vertAlign w:val="baseline"/>
                <w:lang w:val="en-US" w:eastAsia="zh-CN"/>
              </w:rPr>
            </w:pPr>
          </w:p>
          <w:p w14:paraId="30F42271">
            <w:pPr>
              <w:pStyle w:val="29"/>
              <w:jc w:val="center"/>
              <w:rPr>
                <w:rFonts w:hint="eastAsia" w:ascii="Times New Roman" w:hAnsi="Times New Roman" w:cs="Times New Roman"/>
                <w:color w:val="auto"/>
                <w:sz w:val="24"/>
                <w:szCs w:val="24"/>
                <w:highlight w:val="none"/>
                <w:vertAlign w:val="baseline"/>
                <w:lang w:val="en-US" w:eastAsia="zh-CN"/>
              </w:rPr>
            </w:pPr>
          </w:p>
          <w:p w14:paraId="736B280D">
            <w:pPr>
              <w:pStyle w:val="29"/>
              <w:jc w:val="center"/>
              <w:rPr>
                <w:rFonts w:hint="eastAsia" w:ascii="Times New Roman" w:hAnsi="Times New Roman" w:cs="Times New Roman"/>
                <w:color w:val="auto"/>
                <w:sz w:val="24"/>
                <w:szCs w:val="24"/>
                <w:highlight w:val="none"/>
                <w:vertAlign w:val="baseline"/>
                <w:lang w:val="en-US" w:eastAsia="zh-CN"/>
              </w:rPr>
            </w:pPr>
          </w:p>
          <w:p w14:paraId="7B056375">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0~18</w:t>
            </w:r>
          </w:p>
        </w:tc>
      </w:tr>
      <w:tr w14:paraId="7952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30AF98A4">
            <w:pPr>
              <w:pStyle w:val="29"/>
              <w:jc w:val="center"/>
              <w:rPr>
                <w:rFonts w:hint="eastAsia" w:ascii="Times New Roman" w:hAnsi="Times New Roman" w:cs="Times New Roman"/>
                <w:color w:val="auto"/>
                <w:sz w:val="24"/>
                <w:szCs w:val="24"/>
                <w:highlight w:val="none"/>
                <w:vertAlign w:val="baseline"/>
                <w:lang w:val="en-US" w:eastAsia="zh-CN"/>
              </w:rPr>
            </w:pPr>
          </w:p>
          <w:p w14:paraId="54D04C2B">
            <w:pPr>
              <w:pStyle w:val="29"/>
              <w:jc w:val="center"/>
              <w:rPr>
                <w:rFonts w:hint="eastAsia" w:ascii="Times New Roman" w:hAnsi="Times New Roman" w:cs="Times New Roman"/>
                <w:color w:val="auto"/>
                <w:sz w:val="24"/>
                <w:szCs w:val="24"/>
                <w:highlight w:val="none"/>
                <w:vertAlign w:val="baseline"/>
                <w:lang w:val="en-US" w:eastAsia="zh-CN"/>
              </w:rPr>
            </w:pPr>
          </w:p>
          <w:p w14:paraId="59EA6EAC">
            <w:pPr>
              <w:pStyle w:val="29"/>
              <w:jc w:val="center"/>
              <w:rPr>
                <w:rFonts w:hint="eastAsia" w:ascii="Times New Roman" w:hAnsi="Times New Roman" w:cs="Times New Roman"/>
                <w:color w:val="auto"/>
                <w:sz w:val="24"/>
                <w:szCs w:val="24"/>
                <w:highlight w:val="none"/>
                <w:vertAlign w:val="baseline"/>
                <w:lang w:val="en-US" w:eastAsia="zh-CN"/>
              </w:rPr>
            </w:pPr>
          </w:p>
          <w:p w14:paraId="6B3F29F9">
            <w:pPr>
              <w:pStyle w:val="29"/>
              <w:jc w:val="center"/>
              <w:rPr>
                <w:rFonts w:hint="eastAsia" w:ascii="Times New Roman" w:hAnsi="Times New Roman" w:cs="Times New Roman"/>
                <w:color w:val="auto"/>
                <w:sz w:val="24"/>
                <w:szCs w:val="24"/>
                <w:highlight w:val="none"/>
                <w:vertAlign w:val="baseline"/>
                <w:lang w:val="en-US" w:eastAsia="zh-CN"/>
              </w:rPr>
            </w:pPr>
          </w:p>
          <w:p w14:paraId="58AE6CC5">
            <w:pPr>
              <w:pStyle w:val="29"/>
              <w:jc w:val="center"/>
              <w:rPr>
                <w:rFonts w:hint="eastAsia" w:ascii="Times New Roman" w:hAnsi="Times New Roman" w:cs="Times New Roman"/>
                <w:color w:val="auto"/>
                <w:sz w:val="24"/>
                <w:szCs w:val="24"/>
                <w:highlight w:val="none"/>
                <w:vertAlign w:val="baseline"/>
                <w:lang w:val="en-US" w:eastAsia="zh-CN"/>
              </w:rPr>
            </w:pPr>
          </w:p>
          <w:p w14:paraId="50676A44">
            <w:pPr>
              <w:pStyle w:val="29"/>
              <w:jc w:val="center"/>
              <w:rPr>
                <w:rFonts w:hint="eastAsia" w:ascii="Times New Roman" w:hAnsi="Times New Roman" w:cs="Times New Roman"/>
                <w:color w:val="auto"/>
                <w:sz w:val="24"/>
                <w:szCs w:val="24"/>
                <w:highlight w:val="none"/>
                <w:vertAlign w:val="baseline"/>
                <w:lang w:val="en-US" w:eastAsia="zh-CN"/>
              </w:rPr>
            </w:pPr>
          </w:p>
          <w:p w14:paraId="534ECEE3">
            <w:pPr>
              <w:pStyle w:val="29"/>
              <w:jc w:val="center"/>
              <w:rPr>
                <w:rFonts w:hint="eastAsia" w:ascii="Times New Roman" w:hAnsi="Times New Roman" w:cs="Times New Roman"/>
                <w:color w:val="auto"/>
                <w:sz w:val="24"/>
                <w:szCs w:val="24"/>
                <w:highlight w:val="none"/>
                <w:vertAlign w:val="baseline"/>
                <w:lang w:val="en-US" w:eastAsia="zh-CN"/>
              </w:rPr>
            </w:pPr>
          </w:p>
          <w:p w14:paraId="599810D6">
            <w:pPr>
              <w:pStyle w:val="29"/>
              <w:jc w:val="center"/>
              <w:rPr>
                <w:rFonts w:hint="eastAsia" w:ascii="Times New Roman" w:hAnsi="Times New Roman" w:cs="Times New Roman"/>
                <w:color w:val="auto"/>
                <w:sz w:val="24"/>
                <w:szCs w:val="24"/>
                <w:highlight w:val="none"/>
                <w:vertAlign w:val="baseline"/>
                <w:lang w:val="en-US" w:eastAsia="zh-CN"/>
              </w:rPr>
            </w:pPr>
          </w:p>
          <w:p w14:paraId="0681E63E">
            <w:pPr>
              <w:pStyle w:val="29"/>
              <w:jc w:val="center"/>
              <w:rPr>
                <w:rFonts w:hint="eastAsia" w:ascii="Times New Roman" w:hAnsi="Times New Roman" w:cs="Times New Roman"/>
                <w:color w:val="auto"/>
                <w:sz w:val="24"/>
                <w:szCs w:val="24"/>
                <w:highlight w:val="none"/>
                <w:vertAlign w:val="baseline"/>
                <w:lang w:val="en-US" w:eastAsia="zh-CN"/>
              </w:rPr>
            </w:pPr>
          </w:p>
          <w:p w14:paraId="594E8609">
            <w:pPr>
              <w:pStyle w:val="29"/>
              <w:jc w:val="center"/>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3</w:t>
            </w:r>
          </w:p>
        </w:tc>
        <w:tc>
          <w:tcPr>
            <w:tcW w:w="1419" w:type="dxa"/>
          </w:tcPr>
          <w:p w14:paraId="24F57DA6">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43200F67">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4C2CCDD3">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147DDA26">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7C79DD8C">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660DCB88">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4F167063">
            <w:pPr>
              <w:keepNext w:val="0"/>
              <w:keepLines w:val="0"/>
              <w:widowControl/>
              <w:suppressLineNumbers w:val="0"/>
              <w:jc w:val="center"/>
              <w:rPr>
                <w:rFonts w:ascii="宋体" w:hAnsi="宋体" w:eastAsia="宋体" w:cs="宋体"/>
                <w:color w:val="000000"/>
                <w:kern w:val="0"/>
                <w:sz w:val="24"/>
                <w:szCs w:val="24"/>
                <w:highlight w:val="none"/>
                <w:lang w:val="en-US" w:eastAsia="zh-CN" w:bidi="ar"/>
              </w:rPr>
            </w:pPr>
          </w:p>
          <w:p w14:paraId="4904A6D4">
            <w:pPr>
              <w:keepNext w:val="0"/>
              <w:keepLines w:val="0"/>
              <w:widowControl/>
              <w:suppressLineNumbers w:val="0"/>
              <w:jc w:val="center"/>
              <w:rPr>
                <w:highlight w:val="none"/>
              </w:rPr>
            </w:pPr>
            <w:r>
              <w:rPr>
                <w:rFonts w:ascii="宋体" w:hAnsi="宋体" w:eastAsia="宋体" w:cs="宋体"/>
                <w:color w:val="000000"/>
                <w:kern w:val="0"/>
                <w:sz w:val="24"/>
                <w:szCs w:val="24"/>
                <w:highlight w:val="none"/>
                <w:lang w:val="en-US" w:eastAsia="zh-CN" w:bidi="ar"/>
              </w:rPr>
              <w:t>人员</w:t>
            </w:r>
            <w:r>
              <w:rPr>
                <w:rFonts w:hint="eastAsia" w:ascii="宋体" w:hAnsi="宋体" w:cs="宋体"/>
                <w:color w:val="000000"/>
                <w:kern w:val="0"/>
                <w:sz w:val="24"/>
                <w:szCs w:val="24"/>
                <w:highlight w:val="none"/>
                <w:lang w:val="en-US" w:eastAsia="zh-CN" w:bidi="ar"/>
              </w:rPr>
              <w:t>资质</w:t>
            </w:r>
          </w:p>
          <w:p w14:paraId="1B8D7AC5">
            <w:pPr>
              <w:pStyle w:val="29"/>
              <w:jc w:val="center"/>
              <w:rPr>
                <w:rFonts w:hint="default" w:ascii="Times New Roman" w:hAnsi="Times New Roman" w:cs="Times New Roman"/>
                <w:color w:val="auto"/>
                <w:sz w:val="24"/>
                <w:szCs w:val="24"/>
                <w:highlight w:val="none"/>
                <w:vertAlign w:val="baseline"/>
              </w:rPr>
            </w:pPr>
          </w:p>
        </w:tc>
        <w:tc>
          <w:tcPr>
            <w:tcW w:w="4990" w:type="dxa"/>
          </w:tcPr>
          <w:p w14:paraId="20F7104E">
            <w:pPr>
              <w:pStyle w:val="29"/>
              <w:jc w:val="left"/>
              <w:rPr>
                <w:rFonts w:hint="eastAsia" w:ascii="Times New Roman" w:hAnsi="Times New Roman"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rPr>
              <w:t>投标人拟为本项目配备服务团队成员的</w:t>
            </w:r>
            <w:r>
              <w:rPr>
                <w:rFonts w:hint="eastAsia" w:ascii="Times New Roman" w:hAnsi="Times New Roman" w:cs="Times New Roman"/>
                <w:color w:val="auto"/>
                <w:sz w:val="24"/>
                <w:szCs w:val="24"/>
                <w:highlight w:val="none"/>
                <w:vertAlign w:val="baseline"/>
                <w:lang w:eastAsia="zh-CN"/>
              </w:rPr>
              <w:t>律师</w:t>
            </w:r>
          </w:p>
          <w:p w14:paraId="3B6F570C">
            <w:pPr>
              <w:pStyle w:val="29"/>
              <w:ind w:left="0" w:leftChars="0" w:firstLine="0" w:firstLineChars="0"/>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执业年限（以团队成员持有的律师执业证发证日期开始计算，截至开标时间）：</w:t>
            </w:r>
          </w:p>
          <w:p w14:paraId="06FADB0D">
            <w:pPr>
              <w:pStyle w:val="29"/>
              <w:jc w:val="left"/>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rPr>
              <w:t>（1）</w:t>
            </w:r>
            <w:r>
              <w:rPr>
                <w:rFonts w:hint="eastAsia" w:ascii="Times New Roman" w:hAnsi="Times New Roman" w:cs="Times New Roman"/>
                <w:color w:val="auto"/>
                <w:sz w:val="24"/>
                <w:szCs w:val="24"/>
                <w:highlight w:val="none"/>
                <w:vertAlign w:val="baseline"/>
                <w:lang w:val="en-US" w:eastAsia="zh-CN"/>
              </w:rPr>
              <w:t>1年</w:t>
            </w:r>
            <w:r>
              <w:rPr>
                <w:rFonts w:hint="eastAsia" w:ascii="Times New Roman" w:hAnsi="Times New Roman" w:cs="Times New Roman"/>
                <w:b/>
                <w:bCs/>
                <w:color w:val="auto"/>
                <w:sz w:val="21"/>
                <w:szCs w:val="21"/>
                <w:highlight w:val="none"/>
                <w:vertAlign w:val="baseline"/>
                <w:lang w:val="en-US" w:eastAsia="zh-CN"/>
              </w:rPr>
              <w:t>＜</w:t>
            </w:r>
            <w:r>
              <w:rPr>
                <w:rFonts w:hint="default" w:ascii="Times New Roman" w:hAnsi="Times New Roman" w:cs="Times New Roman"/>
                <w:color w:val="auto"/>
                <w:sz w:val="24"/>
                <w:szCs w:val="24"/>
                <w:highlight w:val="none"/>
                <w:vertAlign w:val="baseline"/>
              </w:rPr>
              <w:t>F</w:t>
            </w:r>
            <w:r>
              <w:rPr>
                <w:rFonts w:hint="eastAsia" w:ascii="Times New Roman" w:hAnsi="Times New Roman" w:cs="Times New Roman"/>
                <w:color w:val="auto"/>
                <w:sz w:val="24"/>
                <w:szCs w:val="24"/>
                <w:highlight w:val="none"/>
                <w:vertAlign w:val="baseline"/>
                <w:lang w:eastAsia="zh-CN"/>
              </w:rPr>
              <w:t>≤</w:t>
            </w:r>
            <w:r>
              <w:rPr>
                <w:rFonts w:hint="eastAsia" w:ascii="Times New Roman" w:hAnsi="Times New Roman" w:cs="Times New Roman"/>
                <w:color w:val="auto"/>
                <w:sz w:val="24"/>
                <w:szCs w:val="24"/>
                <w:highlight w:val="none"/>
                <w:vertAlign w:val="baseline"/>
                <w:lang w:val="en-US" w:eastAsia="zh-CN"/>
              </w:rPr>
              <w:t>3年的，每提供1人得1分；</w:t>
            </w:r>
          </w:p>
          <w:p w14:paraId="2E66780F">
            <w:pPr>
              <w:pStyle w:val="29"/>
              <w:jc w:val="left"/>
              <w:rPr>
                <w:rFonts w:hint="default" w:ascii="Times New Roman" w:hAnsi="Times New Roman" w:cs="Times New Roman"/>
                <w:color w:val="auto"/>
                <w:sz w:val="24"/>
                <w:szCs w:val="24"/>
                <w:highlight w:val="none"/>
                <w:vertAlign w:val="baseline"/>
              </w:rPr>
            </w:pPr>
            <w:r>
              <w:rPr>
                <w:rFonts w:hint="eastAsia" w:ascii="Times New Roman" w:hAnsi="Times New Roman" w:cs="Times New Roman"/>
                <w:color w:val="auto"/>
                <w:sz w:val="24"/>
                <w:szCs w:val="24"/>
                <w:highlight w:val="none"/>
                <w:vertAlign w:val="baseline"/>
                <w:lang w:val="en-US" w:eastAsia="zh-CN"/>
              </w:rPr>
              <w:t>（2）3</w:t>
            </w:r>
            <w:r>
              <w:rPr>
                <w:rFonts w:hint="default" w:ascii="Times New Roman" w:hAnsi="Times New Roman" w:cs="Times New Roman"/>
                <w:color w:val="auto"/>
                <w:sz w:val="24"/>
                <w:szCs w:val="24"/>
                <w:highlight w:val="none"/>
                <w:vertAlign w:val="baseline"/>
              </w:rPr>
              <w:t>年</w:t>
            </w:r>
            <w:r>
              <w:rPr>
                <w:rFonts w:hint="eastAsia" w:ascii="Times New Roman" w:hAnsi="Times New Roman" w:cs="Times New Roman"/>
                <w:color w:val="auto"/>
                <w:sz w:val="24"/>
                <w:szCs w:val="24"/>
                <w:highlight w:val="none"/>
                <w:vertAlign w:val="baseline"/>
                <w:lang w:eastAsia="zh-CN"/>
              </w:rPr>
              <w:t>＜</w:t>
            </w:r>
            <w:r>
              <w:rPr>
                <w:rFonts w:hint="default" w:ascii="Times New Roman" w:hAnsi="Times New Roman" w:cs="Times New Roman"/>
                <w:color w:val="auto"/>
                <w:sz w:val="24"/>
                <w:szCs w:val="24"/>
                <w:highlight w:val="none"/>
                <w:vertAlign w:val="baseline"/>
              </w:rPr>
              <w:t>F</w:t>
            </w:r>
            <w:r>
              <w:rPr>
                <w:rFonts w:hint="eastAsia" w:ascii="Times New Roman" w:hAnsi="Times New Roman" w:cs="Times New Roman"/>
                <w:color w:val="auto"/>
                <w:sz w:val="24"/>
                <w:szCs w:val="24"/>
                <w:highlight w:val="none"/>
                <w:vertAlign w:val="baseline"/>
                <w:lang w:eastAsia="zh-CN"/>
              </w:rPr>
              <w:t>≤</w:t>
            </w:r>
            <w:r>
              <w:rPr>
                <w:rFonts w:hint="eastAsia" w:ascii="Times New Roman" w:hAnsi="Times New Roman" w:cs="Times New Roman"/>
                <w:color w:val="auto"/>
                <w:sz w:val="24"/>
                <w:szCs w:val="24"/>
                <w:highlight w:val="none"/>
                <w:vertAlign w:val="baseline"/>
                <w:lang w:val="en-US" w:eastAsia="zh-CN"/>
              </w:rPr>
              <w:t>5</w:t>
            </w:r>
            <w:r>
              <w:rPr>
                <w:rFonts w:hint="default" w:ascii="Times New Roman" w:hAnsi="Times New Roman" w:cs="Times New Roman"/>
                <w:color w:val="auto"/>
                <w:sz w:val="24"/>
                <w:szCs w:val="24"/>
                <w:highlight w:val="none"/>
                <w:vertAlign w:val="baseline"/>
              </w:rPr>
              <w:t>年的，每提供1人得</w:t>
            </w:r>
            <w:r>
              <w:rPr>
                <w:rFonts w:hint="eastAsia" w:ascii="Times New Roman" w:hAnsi="Times New Roman" w:cs="Times New Roman"/>
                <w:color w:val="auto"/>
                <w:sz w:val="24"/>
                <w:szCs w:val="24"/>
                <w:highlight w:val="none"/>
                <w:vertAlign w:val="baseline"/>
                <w:lang w:val="en-US" w:eastAsia="zh-CN"/>
              </w:rPr>
              <w:t>2</w:t>
            </w:r>
            <w:r>
              <w:rPr>
                <w:rFonts w:hint="default" w:ascii="Times New Roman" w:hAnsi="Times New Roman" w:cs="Times New Roman"/>
                <w:color w:val="auto"/>
                <w:sz w:val="24"/>
                <w:szCs w:val="24"/>
                <w:highlight w:val="none"/>
                <w:vertAlign w:val="baseline"/>
              </w:rPr>
              <w:t>分；</w:t>
            </w:r>
          </w:p>
          <w:p w14:paraId="01B008FA">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（2）F</w:t>
            </w:r>
            <w:r>
              <w:rPr>
                <w:rFonts w:hint="eastAsia" w:ascii="Times New Roman" w:hAnsi="Times New Roman" w:cs="Times New Roman"/>
                <w:color w:val="auto"/>
                <w:sz w:val="24"/>
                <w:szCs w:val="24"/>
                <w:highlight w:val="none"/>
                <w:vertAlign w:val="baseline"/>
                <w:lang w:eastAsia="zh-CN"/>
              </w:rPr>
              <w:t>＞</w:t>
            </w:r>
            <w:r>
              <w:rPr>
                <w:rFonts w:hint="eastAsia" w:ascii="Times New Roman" w:hAnsi="Times New Roman" w:cs="Times New Roman"/>
                <w:color w:val="auto"/>
                <w:sz w:val="24"/>
                <w:szCs w:val="24"/>
                <w:highlight w:val="none"/>
                <w:vertAlign w:val="baseline"/>
                <w:lang w:val="en-US" w:eastAsia="zh-CN"/>
              </w:rPr>
              <w:t>5</w:t>
            </w:r>
            <w:r>
              <w:rPr>
                <w:rFonts w:hint="default" w:ascii="Times New Roman" w:hAnsi="Times New Roman" w:cs="Times New Roman"/>
                <w:color w:val="auto"/>
                <w:sz w:val="24"/>
                <w:szCs w:val="24"/>
                <w:highlight w:val="none"/>
                <w:vertAlign w:val="baseline"/>
              </w:rPr>
              <w:t xml:space="preserve"> 年的，每提供1人得3分。</w:t>
            </w:r>
          </w:p>
          <w:p w14:paraId="014D9F60">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注：</w:t>
            </w:r>
          </w:p>
          <w:p w14:paraId="7A8CB125">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1.F为律师执业年限；</w:t>
            </w:r>
          </w:p>
          <w:p w14:paraId="2740568D">
            <w:pPr>
              <w:keepNext w:val="0"/>
              <w:keepLines w:val="0"/>
              <w:widowControl/>
              <w:suppressLineNumbers w:val="0"/>
              <w:jc w:val="left"/>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2.本项最多计取</w:t>
            </w:r>
            <w:r>
              <w:rPr>
                <w:rFonts w:hint="eastAsia" w:ascii="Times New Roman" w:hAnsi="Times New Roman" w:cs="Times New Roman"/>
                <w:b/>
                <w:bCs/>
                <w:color w:val="auto"/>
                <w:sz w:val="21"/>
                <w:szCs w:val="21"/>
                <w:highlight w:val="none"/>
                <w:vertAlign w:val="baseline"/>
                <w:lang w:val="en-US" w:eastAsia="zh-CN"/>
              </w:rPr>
              <w:t>5</w:t>
            </w:r>
            <w:r>
              <w:rPr>
                <w:rFonts w:hint="default" w:ascii="Times New Roman" w:hAnsi="Times New Roman" w:eastAsia="宋体" w:cs="Times New Roman"/>
                <w:b/>
                <w:bCs/>
                <w:color w:val="auto"/>
                <w:sz w:val="21"/>
                <w:szCs w:val="21"/>
                <w:highlight w:val="none"/>
                <w:vertAlign w:val="baseline"/>
                <w:lang w:val="en-US" w:eastAsia="zh-CN"/>
              </w:rPr>
              <w:t>个人员的律师执业年限得分，满分为 1</w:t>
            </w:r>
            <w:r>
              <w:rPr>
                <w:rFonts w:hint="eastAsia" w:ascii="Times New Roman" w:hAnsi="Times New Roman" w:cs="Times New Roman"/>
                <w:b/>
                <w:bCs/>
                <w:color w:val="auto"/>
                <w:sz w:val="21"/>
                <w:szCs w:val="21"/>
                <w:highlight w:val="none"/>
                <w:vertAlign w:val="baseline"/>
                <w:lang w:val="en-US" w:eastAsia="zh-CN"/>
              </w:rPr>
              <w:t>2</w:t>
            </w:r>
            <w:r>
              <w:rPr>
                <w:rFonts w:hint="default" w:ascii="Times New Roman" w:hAnsi="Times New Roman" w:eastAsia="宋体" w:cs="Times New Roman"/>
                <w:b/>
                <w:bCs/>
                <w:color w:val="auto"/>
                <w:sz w:val="21"/>
                <w:szCs w:val="21"/>
                <w:highlight w:val="none"/>
                <w:vertAlign w:val="baseline"/>
                <w:lang w:val="en-US" w:eastAsia="zh-CN"/>
              </w:rPr>
              <w:t>分。投标文件中同时提供人员名单</w:t>
            </w:r>
            <w:r>
              <w:rPr>
                <w:rFonts w:hint="eastAsia" w:ascii="Times New Roman" w:hAnsi="Times New Roman" w:eastAsia="宋体" w:cs="Times New Roman"/>
                <w:b/>
                <w:bCs/>
                <w:color w:val="auto"/>
                <w:sz w:val="22"/>
                <w:szCs w:val="22"/>
                <w:highlight w:val="none"/>
                <w:vertAlign w:val="baseline"/>
                <w:lang w:val="en-US" w:eastAsia="zh-CN"/>
              </w:rPr>
              <w:t>（格式自拟）</w:t>
            </w:r>
            <w:r>
              <w:rPr>
                <w:rFonts w:hint="default" w:ascii="Times New Roman" w:hAnsi="Times New Roman" w:eastAsia="宋体" w:cs="Times New Roman"/>
                <w:b/>
                <w:bCs/>
                <w:color w:val="auto"/>
                <w:sz w:val="21"/>
                <w:szCs w:val="21"/>
                <w:highlight w:val="none"/>
                <w:vertAlign w:val="baseline"/>
                <w:lang w:val="en-US" w:eastAsia="zh-CN"/>
              </w:rPr>
              <w:t>、律师执业资格证扫描件及全国律师执业诚信信息公示平台网址查询记录；</w:t>
            </w:r>
          </w:p>
          <w:p w14:paraId="69069584">
            <w:pPr>
              <w:pStyle w:val="29"/>
              <w:numPr>
                <w:ilvl w:val="0"/>
                <w:numId w:val="0"/>
              </w:numPr>
              <w:jc w:val="left"/>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投标文件中提供投标人为上述人员缴纳自 2024年12月（含）以来任意连续三个月的社保证明材料</w:t>
            </w:r>
            <w:r>
              <w:rPr>
                <w:rFonts w:hint="eastAsia" w:ascii="Times New Roman" w:hAnsi="Times New Roman" w:eastAsia="宋体" w:cs="Times New Roman"/>
                <w:b/>
                <w:bCs/>
                <w:color w:val="auto"/>
                <w:sz w:val="21"/>
                <w:szCs w:val="21"/>
                <w:highlight w:val="none"/>
                <w:vertAlign w:val="baseline"/>
                <w:lang w:val="en-US" w:eastAsia="zh-CN"/>
              </w:rPr>
              <w:t>；</w:t>
            </w:r>
          </w:p>
          <w:p w14:paraId="77C34700">
            <w:pPr>
              <w:pStyle w:val="29"/>
              <w:numPr>
                <w:ilvl w:val="0"/>
                <w:numId w:val="0"/>
              </w:numPr>
              <w:jc w:val="left"/>
              <w:rPr>
                <w:rFonts w:hint="default" w:ascii="Times New Roman" w:hAnsi="Times New Roman" w:cs="Times New Roman"/>
                <w:color w:val="auto"/>
                <w:sz w:val="24"/>
                <w:szCs w:val="24"/>
                <w:highlight w:val="none"/>
                <w:vertAlign w:val="baseline"/>
              </w:rPr>
            </w:pPr>
            <w:r>
              <w:rPr>
                <w:rFonts w:hint="default" w:ascii="Times New Roman" w:hAnsi="Times New Roman" w:eastAsia="宋体" w:cs="Times New Roman"/>
                <w:b/>
                <w:bCs/>
                <w:color w:val="auto"/>
                <w:sz w:val="21"/>
                <w:szCs w:val="21"/>
                <w:highlight w:val="none"/>
                <w:vertAlign w:val="baseline"/>
                <w:lang w:val="en-US" w:eastAsia="zh-CN"/>
              </w:rPr>
              <w:t>4.未提供或提供不符合要求的不得分。</w:t>
            </w:r>
          </w:p>
        </w:tc>
        <w:tc>
          <w:tcPr>
            <w:tcW w:w="1255" w:type="dxa"/>
          </w:tcPr>
          <w:p w14:paraId="4B456E3C">
            <w:pPr>
              <w:pStyle w:val="29"/>
              <w:jc w:val="center"/>
              <w:rPr>
                <w:rFonts w:hint="eastAsia" w:ascii="Times New Roman" w:hAnsi="Times New Roman" w:cs="Times New Roman"/>
                <w:color w:val="auto"/>
                <w:sz w:val="24"/>
                <w:szCs w:val="24"/>
                <w:highlight w:val="none"/>
                <w:vertAlign w:val="baseline"/>
                <w:lang w:val="en-US" w:eastAsia="zh-CN"/>
              </w:rPr>
            </w:pPr>
          </w:p>
          <w:p w14:paraId="3B203BD9">
            <w:pPr>
              <w:pStyle w:val="29"/>
              <w:jc w:val="center"/>
              <w:rPr>
                <w:rFonts w:hint="eastAsia" w:ascii="Times New Roman" w:hAnsi="Times New Roman" w:cs="Times New Roman"/>
                <w:color w:val="auto"/>
                <w:sz w:val="24"/>
                <w:szCs w:val="24"/>
                <w:highlight w:val="none"/>
                <w:vertAlign w:val="baseline"/>
                <w:lang w:val="en-US" w:eastAsia="zh-CN"/>
              </w:rPr>
            </w:pPr>
          </w:p>
          <w:p w14:paraId="7B64A6C0">
            <w:pPr>
              <w:pStyle w:val="29"/>
              <w:jc w:val="center"/>
              <w:rPr>
                <w:rFonts w:hint="eastAsia" w:ascii="Times New Roman" w:hAnsi="Times New Roman" w:cs="Times New Roman"/>
                <w:color w:val="auto"/>
                <w:sz w:val="24"/>
                <w:szCs w:val="24"/>
                <w:highlight w:val="none"/>
                <w:vertAlign w:val="baseline"/>
                <w:lang w:val="en-US" w:eastAsia="zh-CN"/>
              </w:rPr>
            </w:pPr>
          </w:p>
          <w:p w14:paraId="17219788">
            <w:pPr>
              <w:pStyle w:val="29"/>
              <w:jc w:val="center"/>
              <w:rPr>
                <w:rFonts w:hint="eastAsia" w:ascii="Times New Roman" w:hAnsi="Times New Roman" w:cs="Times New Roman"/>
                <w:color w:val="auto"/>
                <w:sz w:val="24"/>
                <w:szCs w:val="24"/>
                <w:highlight w:val="none"/>
                <w:vertAlign w:val="baseline"/>
                <w:lang w:val="en-US" w:eastAsia="zh-CN"/>
              </w:rPr>
            </w:pPr>
          </w:p>
          <w:p w14:paraId="6E2E8517">
            <w:pPr>
              <w:pStyle w:val="29"/>
              <w:jc w:val="center"/>
              <w:rPr>
                <w:rFonts w:hint="eastAsia" w:ascii="Times New Roman" w:hAnsi="Times New Roman" w:cs="Times New Roman"/>
                <w:color w:val="auto"/>
                <w:sz w:val="24"/>
                <w:szCs w:val="24"/>
                <w:highlight w:val="none"/>
                <w:vertAlign w:val="baseline"/>
                <w:lang w:val="en-US" w:eastAsia="zh-CN"/>
              </w:rPr>
            </w:pPr>
          </w:p>
          <w:p w14:paraId="01F8C77D">
            <w:pPr>
              <w:pStyle w:val="29"/>
              <w:jc w:val="center"/>
              <w:rPr>
                <w:rFonts w:hint="eastAsia" w:ascii="Times New Roman" w:hAnsi="Times New Roman" w:cs="Times New Roman"/>
                <w:color w:val="auto"/>
                <w:sz w:val="24"/>
                <w:szCs w:val="24"/>
                <w:highlight w:val="none"/>
                <w:vertAlign w:val="baseline"/>
                <w:lang w:val="en-US" w:eastAsia="zh-CN"/>
              </w:rPr>
            </w:pPr>
          </w:p>
          <w:p w14:paraId="0526721C">
            <w:pPr>
              <w:pStyle w:val="29"/>
              <w:jc w:val="center"/>
              <w:rPr>
                <w:rFonts w:hint="eastAsia" w:ascii="Times New Roman" w:hAnsi="Times New Roman" w:cs="Times New Roman"/>
                <w:color w:val="auto"/>
                <w:sz w:val="24"/>
                <w:szCs w:val="24"/>
                <w:highlight w:val="none"/>
                <w:vertAlign w:val="baseline"/>
                <w:lang w:val="en-US" w:eastAsia="zh-CN"/>
              </w:rPr>
            </w:pPr>
          </w:p>
          <w:p w14:paraId="71E05D0C">
            <w:pPr>
              <w:pStyle w:val="29"/>
              <w:jc w:val="center"/>
              <w:rPr>
                <w:rFonts w:hint="eastAsia" w:ascii="Times New Roman" w:hAnsi="Times New Roman" w:cs="Times New Roman"/>
                <w:color w:val="auto"/>
                <w:sz w:val="24"/>
                <w:szCs w:val="24"/>
                <w:highlight w:val="none"/>
                <w:vertAlign w:val="baseline"/>
                <w:lang w:val="en-US" w:eastAsia="zh-CN"/>
              </w:rPr>
            </w:pPr>
          </w:p>
          <w:p w14:paraId="2C5AF5C6">
            <w:pPr>
              <w:pStyle w:val="29"/>
              <w:jc w:val="center"/>
              <w:rPr>
                <w:rFonts w:hint="eastAsia" w:ascii="Times New Roman" w:hAnsi="Times New Roman" w:cs="Times New Roman"/>
                <w:color w:val="auto"/>
                <w:sz w:val="24"/>
                <w:szCs w:val="24"/>
                <w:highlight w:val="none"/>
                <w:vertAlign w:val="baseline"/>
                <w:lang w:val="en-US" w:eastAsia="zh-CN"/>
              </w:rPr>
            </w:pPr>
          </w:p>
          <w:p w14:paraId="21181582">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0~12</w:t>
            </w:r>
          </w:p>
        </w:tc>
      </w:tr>
      <w:tr w14:paraId="168E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637003B6">
            <w:pPr>
              <w:pStyle w:val="29"/>
              <w:jc w:val="center"/>
              <w:rPr>
                <w:rFonts w:hint="eastAsia" w:ascii="Times New Roman" w:hAnsi="Times New Roman" w:cs="Times New Roman"/>
                <w:color w:val="auto"/>
                <w:sz w:val="24"/>
                <w:szCs w:val="24"/>
                <w:highlight w:val="none"/>
                <w:vertAlign w:val="baseline"/>
                <w:lang w:val="en-US" w:eastAsia="zh-CN"/>
              </w:rPr>
            </w:pPr>
          </w:p>
          <w:p w14:paraId="5A47447B">
            <w:pPr>
              <w:pStyle w:val="29"/>
              <w:jc w:val="center"/>
              <w:rPr>
                <w:rFonts w:hint="eastAsia" w:ascii="Times New Roman" w:hAnsi="Times New Roman" w:cs="Times New Roman"/>
                <w:color w:val="auto"/>
                <w:sz w:val="24"/>
                <w:szCs w:val="24"/>
                <w:highlight w:val="none"/>
                <w:vertAlign w:val="baseline"/>
                <w:lang w:val="en-US" w:eastAsia="zh-CN"/>
              </w:rPr>
            </w:pPr>
          </w:p>
          <w:p w14:paraId="47559F57">
            <w:pPr>
              <w:pStyle w:val="29"/>
              <w:jc w:val="center"/>
              <w:rPr>
                <w:rFonts w:hint="eastAsia" w:ascii="Times New Roman" w:hAnsi="Times New Roman" w:cs="Times New Roman"/>
                <w:color w:val="auto"/>
                <w:sz w:val="24"/>
                <w:szCs w:val="24"/>
                <w:highlight w:val="none"/>
                <w:vertAlign w:val="baseline"/>
                <w:lang w:val="en-US" w:eastAsia="zh-CN"/>
              </w:rPr>
            </w:pPr>
          </w:p>
          <w:p w14:paraId="299C1068">
            <w:pPr>
              <w:pStyle w:val="29"/>
              <w:jc w:val="center"/>
              <w:rPr>
                <w:rFonts w:hint="eastAsia" w:ascii="Times New Roman" w:hAnsi="Times New Roman" w:cs="Times New Roman"/>
                <w:color w:val="auto"/>
                <w:sz w:val="24"/>
                <w:szCs w:val="24"/>
                <w:highlight w:val="none"/>
                <w:vertAlign w:val="baseline"/>
                <w:lang w:val="en-US" w:eastAsia="zh-CN"/>
              </w:rPr>
            </w:pPr>
          </w:p>
          <w:p w14:paraId="6F04630D">
            <w:pPr>
              <w:pStyle w:val="29"/>
              <w:jc w:val="center"/>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4</w:t>
            </w:r>
          </w:p>
        </w:tc>
        <w:tc>
          <w:tcPr>
            <w:tcW w:w="1419" w:type="dxa"/>
          </w:tcPr>
          <w:p w14:paraId="0BF4AE2E">
            <w:pPr>
              <w:pStyle w:val="29"/>
              <w:jc w:val="center"/>
              <w:rPr>
                <w:rFonts w:hint="default" w:ascii="Times New Roman" w:hAnsi="Times New Roman" w:cs="Times New Roman"/>
                <w:color w:val="auto"/>
                <w:sz w:val="24"/>
                <w:szCs w:val="24"/>
                <w:highlight w:val="none"/>
                <w:vertAlign w:val="baseline"/>
              </w:rPr>
            </w:pPr>
          </w:p>
          <w:p w14:paraId="3ACB12B5">
            <w:pPr>
              <w:pStyle w:val="29"/>
              <w:jc w:val="center"/>
              <w:rPr>
                <w:rFonts w:hint="default" w:ascii="Times New Roman" w:hAnsi="Times New Roman" w:cs="Times New Roman"/>
                <w:color w:val="auto"/>
                <w:sz w:val="24"/>
                <w:szCs w:val="24"/>
                <w:highlight w:val="none"/>
                <w:vertAlign w:val="baseline"/>
              </w:rPr>
            </w:pPr>
          </w:p>
          <w:p w14:paraId="1B1F1C3D">
            <w:pPr>
              <w:pStyle w:val="29"/>
              <w:jc w:val="center"/>
              <w:rPr>
                <w:rFonts w:hint="default" w:ascii="Times New Roman" w:hAnsi="Times New Roman" w:cs="Times New Roman"/>
                <w:color w:val="auto"/>
                <w:sz w:val="24"/>
                <w:szCs w:val="24"/>
                <w:highlight w:val="none"/>
                <w:vertAlign w:val="baseline"/>
              </w:rPr>
            </w:pPr>
          </w:p>
          <w:p w14:paraId="22826BBD">
            <w:pPr>
              <w:pStyle w:val="29"/>
              <w:jc w:val="center"/>
              <w:rPr>
                <w:rFonts w:hint="default" w:ascii="Times New Roman" w:hAnsi="Times New Roman" w:cs="Times New Roman"/>
                <w:color w:val="auto"/>
                <w:sz w:val="24"/>
                <w:szCs w:val="24"/>
                <w:highlight w:val="none"/>
                <w:vertAlign w:val="baseline"/>
              </w:rPr>
            </w:pPr>
          </w:p>
          <w:p w14:paraId="08CAF830">
            <w:pPr>
              <w:pStyle w:val="29"/>
              <w:jc w:val="center"/>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投标人实力</w:t>
            </w:r>
          </w:p>
          <w:p w14:paraId="16DBE340">
            <w:pPr>
              <w:pStyle w:val="29"/>
              <w:jc w:val="center"/>
              <w:rPr>
                <w:rFonts w:hint="default" w:ascii="Times New Roman" w:hAnsi="Times New Roman" w:cs="Times New Roman"/>
                <w:color w:val="auto"/>
                <w:sz w:val="24"/>
                <w:szCs w:val="24"/>
                <w:highlight w:val="none"/>
                <w:vertAlign w:val="baseline"/>
              </w:rPr>
            </w:pPr>
          </w:p>
        </w:tc>
        <w:tc>
          <w:tcPr>
            <w:tcW w:w="4990" w:type="dxa"/>
          </w:tcPr>
          <w:p w14:paraId="33643938">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根据投标人提供的证明其综合实力的材料包</w:t>
            </w:r>
          </w:p>
          <w:p w14:paraId="6E02433D">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括但不限于公司简介、服务对象、类似项目服</w:t>
            </w:r>
          </w:p>
          <w:p w14:paraId="2A0DCBA1">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务经验、入选法律服务定点单位情况、与本项</w:t>
            </w:r>
          </w:p>
          <w:p w14:paraId="1BDD8B93">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目的匹配程度等进行综合评分</w:t>
            </w:r>
            <w:r>
              <w:rPr>
                <w:rFonts w:hint="eastAsia" w:ascii="Times New Roman" w:hAnsi="Times New Roman" w:cs="Times New Roman"/>
                <w:color w:val="auto"/>
                <w:sz w:val="24"/>
                <w:szCs w:val="24"/>
                <w:highlight w:val="none"/>
                <w:vertAlign w:val="baseline"/>
                <w:lang w:eastAsia="zh-CN"/>
              </w:rPr>
              <w:t>：</w:t>
            </w:r>
            <w:r>
              <w:rPr>
                <w:rFonts w:hint="default" w:ascii="Times New Roman" w:hAnsi="Times New Roman" w:cs="Times New Roman"/>
                <w:color w:val="auto"/>
                <w:sz w:val="24"/>
                <w:szCs w:val="24"/>
                <w:highlight w:val="none"/>
                <w:vertAlign w:val="baseline"/>
              </w:rPr>
              <w:t>优</w:t>
            </w:r>
            <w:r>
              <w:rPr>
                <w:rFonts w:hint="eastAsia" w:ascii="Times New Roman" w:hAnsi="Times New Roman" w:cs="Times New Roman"/>
                <w:color w:val="auto"/>
                <w:sz w:val="24"/>
                <w:szCs w:val="24"/>
                <w:highlight w:val="none"/>
                <w:vertAlign w:val="baseline"/>
                <w:lang w:eastAsia="zh-CN"/>
              </w:rPr>
              <w:t>秀</w:t>
            </w:r>
            <w:r>
              <w:rPr>
                <w:rFonts w:hint="default" w:ascii="Times New Roman" w:hAnsi="Times New Roman" w:cs="Times New Roman"/>
                <w:color w:val="auto"/>
                <w:sz w:val="24"/>
                <w:szCs w:val="24"/>
                <w:highlight w:val="none"/>
                <w:vertAlign w:val="baseline"/>
              </w:rPr>
              <w:t>的得</w:t>
            </w:r>
            <w:r>
              <w:rPr>
                <w:rFonts w:hint="eastAsia" w:ascii="Times New Roman" w:hAnsi="Times New Roman" w:cs="Times New Roman"/>
                <w:color w:val="auto"/>
                <w:sz w:val="24"/>
                <w:szCs w:val="24"/>
                <w:highlight w:val="none"/>
                <w:vertAlign w:val="baseline"/>
                <w:lang w:val="en-US" w:eastAsia="zh-CN"/>
              </w:rPr>
              <w:t>8</w:t>
            </w:r>
            <w:r>
              <w:rPr>
                <w:rFonts w:hint="default" w:ascii="Times New Roman" w:hAnsi="Times New Roman" w:cs="Times New Roman"/>
                <w:color w:val="auto"/>
                <w:sz w:val="24"/>
                <w:szCs w:val="24"/>
                <w:highlight w:val="none"/>
                <w:vertAlign w:val="baseline"/>
              </w:rPr>
              <w:t>＜</w:t>
            </w:r>
          </w:p>
          <w:p w14:paraId="27F0015C">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F≤</w:t>
            </w:r>
            <w:r>
              <w:rPr>
                <w:rFonts w:hint="eastAsia" w:ascii="Times New Roman" w:hAnsi="Times New Roman" w:cs="Times New Roman"/>
                <w:color w:val="auto"/>
                <w:sz w:val="24"/>
                <w:szCs w:val="24"/>
                <w:highlight w:val="none"/>
                <w:vertAlign w:val="baseline"/>
                <w:lang w:val="en-US" w:eastAsia="zh-CN"/>
              </w:rPr>
              <w:t>12</w:t>
            </w:r>
            <w:r>
              <w:rPr>
                <w:rFonts w:hint="default" w:ascii="Times New Roman" w:hAnsi="Times New Roman" w:cs="Times New Roman"/>
                <w:color w:val="auto"/>
                <w:sz w:val="24"/>
                <w:szCs w:val="24"/>
                <w:highlight w:val="none"/>
                <w:vertAlign w:val="baseline"/>
              </w:rPr>
              <w:t>分；良好的得</w:t>
            </w:r>
            <w:r>
              <w:rPr>
                <w:rFonts w:hint="eastAsia" w:ascii="Times New Roman" w:hAnsi="Times New Roman" w:cs="Times New Roman"/>
                <w:color w:val="auto"/>
                <w:sz w:val="24"/>
                <w:szCs w:val="24"/>
                <w:highlight w:val="none"/>
                <w:vertAlign w:val="baseline"/>
                <w:lang w:val="en-US" w:eastAsia="zh-CN"/>
              </w:rPr>
              <w:t>4</w:t>
            </w:r>
            <w:r>
              <w:rPr>
                <w:rFonts w:hint="default" w:ascii="Times New Roman" w:hAnsi="Times New Roman" w:cs="Times New Roman"/>
                <w:color w:val="auto"/>
                <w:sz w:val="24"/>
                <w:szCs w:val="24"/>
                <w:highlight w:val="none"/>
                <w:vertAlign w:val="baseline"/>
              </w:rPr>
              <w:t>＜F≤</w:t>
            </w:r>
            <w:r>
              <w:rPr>
                <w:rFonts w:hint="eastAsia" w:ascii="Times New Roman" w:hAnsi="Times New Roman" w:cs="Times New Roman"/>
                <w:color w:val="auto"/>
                <w:sz w:val="24"/>
                <w:szCs w:val="24"/>
                <w:highlight w:val="none"/>
                <w:vertAlign w:val="baseline"/>
                <w:lang w:val="en-US" w:eastAsia="zh-CN"/>
              </w:rPr>
              <w:t>8</w:t>
            </w:r>
            <w:r>
              <w:rPr>
                <w:rFonts w:hint="default" w:ascii="Times New Roman" w:hAnsi="Times New Roman" w:cs="Times New Roman"/>
                <w:color w:val="auto"/>
                <w:sz w:val="24"/>
                <w:szCs w:val="24"/>
                <w:highlight w:val="none"/>
                <w:vertAlign w:val="baseline"/>
              </w:rPr>
              <w:t>分；一般的得0＜</w:t>
            </w:r>
          </w:p>
          <w:p w14:paraId="39C1B614">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F≤</w:t>
            </w:r>
            <w:r>
              <w:rPr>
                <w:rFonts w:hint="eastAsia" w:ascii="Times New Roman" w:hAnsi="Times New Roman" w:cs="Times New Roman"/>
                <w:color w:val="auto"/>
                <w:sz w:val="24"/>
                <w:szCs w:val="24"/>
                <w:highlight w:val="none"/>
                <w:vertAlign w:val="baseline"/>
                <w:lang w:val="en-US" w:eastAsia="zh-CN"/>
              </w:rPr>
              <w:t>4</w:t>
            </w:r>
            <w:r>
              <w:rPr>
                <w:rFonts w:hint="default" w:ascii="Times New Roman" w:hAnsi="Times New Roman" w:cs="Times New Roman"/>
                <w:color w:val="auto"/>
                <w:sz w:val="24"/>
                <w:szCs w:val="24"/>
                <w:highlight w:val="none"/>
                <w:vertAlign w:val="baseline"/>
              </w:rPr>
              <w:t>分，其他或未提供相关内容的不得分。</w:t>
            </w:r>
          </w:p>
          <w:p w14:paraId="0B7B945B">
            <w:pPr>
              <w:pStyle w:val="29"/>
              <w:jc w:val="left"/>
              <w:rPr>
                <w:rFonts w:hint="default" w:ascii="Times New Roman" w:hAnsi="Times New Roman" w:cs="Times New Roman"/>
                <w:color w:val="auto"/>
                <w:sz w:val="24"/>
                <w:szCs w:val="24"/>
                <w:highlight w:val="none"/>
                <w:vertAlign w:val="baseline"/>
              </w:rPr>
            </w:pPr>
            <w:r>
              <w:rPr>
                <w:rFonts w:hint="default" w:ascii="Times New Roman" w:hAnsi="Times New Roman" w:eastAsia="宋体" w:cs="Times New Roman"/>
                <w:b/>
                <w:bCs/>
                <w:color w:val="auto"/>
                <w:sz w:val="21"/>
                <w:szCs w:val="21"/>
                <w:highlight w:val="none"/>
                <w:vertAlign w:val="baseline"/>
              </w:rPr>
              <w:t>注：F 为投标人实力得分。</w:t>
            </w:r>
          </w:p>
        </w:tc>
        <w:tc>
          <w:tcPr>
            <w:tcW w:w="1255" w:type="dxa"/>
          </w:tcPr>
          <w:p w14:paraId="640C6558">
            <w:pPr>
              <w:pStyle w:val="29"/>
              <w:jc w:val="center"/>
              <w:rPr>
                <w:rFonts w:hint="eastAsia" w:ascii="Times New Roman" w:hAnsi="Times New Roman" w:cs="Times New Roman"/>
                <w:color w:val="auto"/>
                <w:sz w:val="24"/>
                <w:szCs w:val="24"/>
                <w:highlight w:val="none"/>
                <w:vertAlign w:val="baseline"/>
                <w:lang w:val="en-US" w:eastAsia="zh-CN"/>
              </w:rPr>
            </w:pPr>
          </w:p>
          <w:p w14:paraId="747B9BDE">
            <w:pPr>
              <w:pStyle w:val="29"/>
              <w:jc w:val="center"/>
              <w:rPr>
                <w:rFonts w:hint="eastAsia" w:ascii="Times New Roman" w:hAnsi="Times New Roman" w:cs="Times New Roman"/>
                <w:color w:val="auto"/>
                <w:sz w:val="24"/>
                <w:szCs w:val="24"/>
                <w:highlight w:val="none"/>
                <w:vertAlign w:val="baseline"/>
                <w:lang w:val="en-US" w:eastAsia="zh-CN"/>
              </w:rPr>
            </w:pPr>
          </w:p>
          <w:p w14:paraId="3C47D947">
            <w:pPr>
              <w:pStyle w:val="29"/>
              <w:jc w:val="center"/>
              <w:rPr>
                <w:rFonts w:hint="eastAsia" w:ascii="Times New Roman" w:hAnsi="Times New Roman" w:cs="Times New Roman"/>
                <w:color w:val="auto"/>
                <w:sz w:val="24"/>
                <w:szCs w:val="24"/>
                <w:highlight w:val="none"/>
                <w:vertAlign w:val="baseline"/>
                <w:lang w:val="en-US" w:eastAsia="zh-CN"/>
              </w:rPr>
            </w:pPr>
          </w:p>
          <w:p w14:paraId="2773C485">
            <w:pPr>
              <w:pStyle w:val="29"/>
              <w:jc w:val="center"/>
              <w:rPr>
                <w:rFonts w:hint="eastAsia" w:ascii="Times New Roman" w:hAnsi="Times New Roman" w:cs="Times New Roman"/>
                <w:color w:val="auto"/>
                <w:sz w:val="24"/>
                <w:szCs w:val="24"/>
                <w:highlight w:val="none"/>
                <w:vertAlign w:val="baseline"/>
                <w:lang w:val="en-US" w:eastAsia="zh-CN"/>
              </w:rPr>
            </w:pPr>
          </w:p>
          <w:p w14:paraId="6C287F21">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0~12</w:t>
            </w:r>
          </w:p>
        </w:tc>
      </w:tr>
      <w:tr w14:paraId="6A2E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59425492">
            <w:pPr>
              <w:pStyle w:val="29"/>
              <w:ind w:left="0" w:leftChars="0" w:firstLine="0" w:firstLineChars="0"/>
              <w:jc w:val="both"/>
              <w:rPr>
                <w:rFonts w:hint="eastAsia" w:ascii="Times New Roman" w:hAnsi="Times New Roman" w:cs="Times New Roman"/>
                <w:color w:val="auto"/>
                <w:sz w:val="24"/>
                <w:szCs w:val="24"/>
                <w:highlight w:val="none"/>
                <w:vertAlign w:val="baseline"/>
                <w:lang w:val="en-US" w:eastAsia="zh-CN"/>
              </w:rPr>
            </w:pPr>
          </w:p>
          <w:p w14:paraId="3BC74BE5">
            <w:pPr>
              <w:pStyle w:val="29"/>
              <w:jc w:val="center"/>
              <w:rPr>
                <w:rFonts w:hint="eastAsia" w:ascii="Times New Roman" w:hAnsi="Times New Roman" w:cs="Times New Roman"/>
                <w:color w:val="auto"/>
                <w:sz w:val="24"/>
                <w:szCs w:val="24"/>
                <w:highlight w:val="none"/>
                <w:vertAlign w:val="baseline"/>
                <w:lang w:val="en-US" w:eastAsia="zh-CN"/>
              </w:rPr>
            </w:pPr>
          </w:p>
          <w:p w14:paraId="006E2A86">
            <w:pPr>
              <w:pStyle w:val="29"/>
              <w:jc w:val="center"/>
              <w:rPr>
                <w:rFonts w:hint="eastAsia" w:ascii="Times New Roman" w:hAnsi="Times New Roman" w:cs="Times New Roman"/>
                <w:color w:val="auto"/>
                <w:sz w:val="24"/>
                <w:szCs w:val="24"/>
                <w:highlight w:val="none"/>
                <w:vertAlign w:val="baseline"/>
                <w:lang w:val="en-US" w:eastAsia="zh-CN"/>
              </w:rPr>
            </w:pPr>
          </w:p>
          <w:p w14:paraId="6EE99158">
            <w:pPr>
              <w:pStyle w:val="29"/>
              <w:jc w:val="center"/>
              <w:rPr>
                <w:rFonts w:hint="default"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5</w:t>
            </w:r>
          </w:p>
        </w:tc>
        <w:tc>
          <w:tcPr>
            <w:tcW w:w="1419" w:type="dxa"/>
          </w:tcPr>
          <w:p w14:paraId="32D8CFFD">
            <w:pPr>
              <w:pStyle w:val="29"/>
              <w:jc w:val="center"/>
              <w:rPr>
                <w:rFonts w:hint="default" w:ascii="Times New Roman" w:hAnsi="Times New Roman" w:eastAsia="宋体" w:cs="Times New Roman"/>
                <w:color w:val="auto"/>
                <w:sz w:val="24"/>
                <w:szCs w:val="24"/>
                <w:highlight w:val="none"/>
                <w:vertAlign w:val="baseline"/>
                <w:lang w:val="en-US" w:eastAsia="zh-CN"/>
              </w:rPr>
            </w:pPr>
          </w:p>
          <w:p w14:paraId="15C37252">
            <w:pPr>
              <w:pStyle w:val="29"/>
              <w:jc w:val="center"/>
              <w:rPr>
                <w:rFonts w:hint="default" w:ascii="Times New Roman" w:hAnsi="Times New Roman" w:eastAsia="宋体" w:cs="Times New Roman"/>
                <w:color w:val="auto"/>
                <w:sz w:val="24"/>
                <w:szCs w:val="24"/>
                <w:highlight w:val="none"/>
                <w:vertAlign w:val="baseline"/>
                <w:lang w:val="en-US" w:eastAsia="zh-CN"/>
              </w:rPr>
            </w:pPr>
          </w:p>
          <w:p w14:paraId="31BC67BF">
            <w:pPr>
              <w:pStyle w:val="29"/>
              <w:jc w:val="center"/>
              <w:rPr>
                <w:rFonts w:hint="default" w:ascii="Times New Roman" w:hAnsi="Times New Roman" w:eastAsia="宋体" w:cs="Times New Roman"/>
                <w:color w:val="auto"/>
                <w:sz w:val="24"/>
                <w:szCs w:val="24"/>
                <w:highlight w:val="none"/>
                <w:vertAlign w:val="baseline"/>
                <w:lang w:val="en-US" w:eastAsia="zh-CN"/>
              </w:rPr>
            </w:pPr>
          </w:p>
          <w:p w14:paraId="5FE15FFC">
            <w:pPr>
              <w:pStyle w:val="29"/>
              <w:jc w:val="center"/>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val="en-US" w:eastAsia="zh-CN"/>
              </w:rPr>
              <w:t xml:space="preserve">人员服务 </w:t>
            </w:r>
          </w:p>
          <w:p w14:paraId="593487B9">
            <w:pPr>
              <w:pStyle w:val="29"/>
              <w:jc w:val="center"/>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val="en-US" w:eastAsia="zh-CN"/>
              </w:rPr>
              <w:t>方案</w:t>
            </w:r>
          </w:p>
          <w:p w14:paraId="26B3C552">
            <w:pPr>
              <w:pStyle w:val="29"/>
              <w:jc w:val="center"/>
              <w:rPr>
                <w:rFonts w:hint="default" w:ascii="Times New Roman" w:hAnsi="Times New Roman" w:cs="Times New Roman"/>
                <w:color w:val="auto"/>
                <w:sz w:val="24"/>
                <w:szCs w:val="24"/>
                <w:highlight w:val="none"/>
                <w:vertAlign w:val="baseline"/>
              </w:rPr>
            </w:pPr>
          </w:p>
        </w:tc>
        <w:tc>
          <w:tcPr>
            <w:tcW w:w="4990" w:type="dxa"/>
          </w:tcPr>
          <w:p w14:paraId="3AB910E6">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根据投标人提供的人员服务方案，包括但不限</w:t>
            </w:r>
          </w:p>
          <w:p w14:paraId="623333A4">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于人员配备清单、人员分工安排、责任划分、</w:t>
            </w:r>
          </w:p>
          <w:p w14:paraId="5613C945">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人员专业水平、人员管理制度等进行综合评</w:t>
            </w:r>
          </w:p>
          <w:p w14:paraId="1F19E3AC">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分。优秀的得</w:t>
            </w:r>
            <w:r>
              <w:rPr>
                <w:rFonts w:hint="eastAsia" w:ascii="Times New Roman" w:hAnsi="Times New Roman" w:cs="Times New Roman"/>
                <w:color w:val="auto"/>
                <w:sz w:val="24"/>
                <w:szCs w:val="24"/>
                <w:highlight w:val="none"/>
                <w:vertAlign w:val="baseline"/>
                <w:lang w:val="en-US" w:eastAsia="zh-CN"/>
              </w:rPr>
              <w:t>6</w:t>
            </w:r>
            <w:r>
              <w:rPr>
                <w:rFonts w:hint="default" w:ascii="Times New Roman" w:hAnsi="Times New Roman" w:eastAsia="宋体" w:cs="Times New Roman"/>
                <w:color w:val="auto"/>
                <w:sz w:val="24"/>
                <w:szCs w:val="24"/>
                <w:highlight w:val="none"/>
                <w:vertAlign w:val="baseline"/>
                <w:lang w:val="en-US" w:eastAsia="zh-CN"/>
              </w:rPr>
              <w:t>＜F≤</w:t>
            </w:r>
            <w:r>
              <w:rPr>
                <w:rFonts w:hint="eastAsia" w:ascii="Times New Roman" w:hAnsi="Times New Roman" w:cs="Times New Roman"/>
                <w:color w:val="auto"/>
                <w:sz w:val="24"/>
                <w:szCs w:val="24"/>
                <w:highlight w:val="none"/>
                <w:vertAlign w:val="baseline"/>
                <w:lang w:val="en-US" w:eastAsia="zh-CN"/>
              </w:rPr>
              <w:t>9</w:t>
            </w:r>
            <w:r>
              <w:rPr>
                <w:rFonts w:hint="default" w:ascii="Times New Roman" w:hAnsi="Times New Roman" w:eastAsia="宋体" w:cs="Times New Roman"/>
                <w:color w:val="auto"/>
                <w:sz w:val="24"/>
                <w:szCs w:val="24"/>
                <w:highlight w:val="none"/>
                <w:vertAlign w:val="baseline"/>
                <w:lang w:val="en-US" w:eastAsia="zh-CN"/>
              </w:rPr>
              <w:t xml:space="preserve"> 分；良好的得 3＜F≤</w:t>
            </w:r>
            <w:r>
              <w:rPr>
                <w:rFonts w:hint="eastAsia" w:ascii="Times New Roman" w:hAnsi="Times New Roman" w:cs="Times New Roman"/>
                <w:color w:val="auto"/>
                <w:sz w:val="24"/>
                <w:szCs w:val="24"/>
                <w:highlight w:val="none"/>
                <w:vertAlign w:val="baseline"/>
                <w:lang w:val="en-US" w:eastAsia="zh-CN"/>
              </w:rPr>
              <w:t>6</w:t>
            </w:r>
          </w:p>
          <w:p w14:paraId="50E554D7">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分；一般的得0＜F ≤3 分，其他或未提供相关</w:t>
            </w:r>
          </w:p>
          <w:p w14:paraId="481DDFE0">
            <w:pPr>
              <w:pStyle w:val="29"/>
              <w:jc w:val="both"/>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val="en-US" w:eastAsia="zh-CN"/>
              </w:rPr>
              <w:t xml:space="preserve">内容的不得分。 </w:t>
            </w:r>
          </w:p>
          <w:p w14:paraId="17F82C5C">
            <w:pPr>
              <w:keepNext w:val="0"/>
              <w:keepLines w:val="0"/>
              <w:widowControl/>
              <w:suppressLineNumbers w:val="0"/>
              <w:jc w:val="left"/>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kern w:val="2"/>
                <w:sz w:val="21"/>
                <w:szCs w:val="21"/>
                <w:highlight w:val="none"/>
                <w:vertAlign w:val="baseline"/>
                <w:lang w:val="en-US" w:eastAsia="zh-CN" w:bidi="ar-SA"/>
              </w:rPr>
              <w:t>注：F 为人员服务方案得分。</w:t>
            </w:r>
          </w:p>
        </w:tc>
        <w:tc>
          <w:tcPr>
            <w:tcW w:w="1255" w:type="dxa"/>
          </w:tcPr>
          <w:p w14:paraId="09598C14">
            <w:pPr>
              <w:pStyle w:val="29"/>
              <w:jc w:val="center"/>
              <w:rPr>
                <w:rFonts w:hint="eastAsia" w:ascii="Times New Roman" w:hAnsi="Times New Roman" w:cs="Times New Roman"/>
                <w:color w:val="auto"/>
                <w:sz w:val="24"/>
                <w:szCs w:val="24"/>
                <w:highlight w:val="none"/>
                <w:vertAlign w:val="baseline"/>
                <w:lang w:val="en-US" w:eastAsia="zh-CN"/>
              </w:rPr>
            </w:pPr>
          </w:p>
          <w:p w14:paraId="58E1D6DC">
            <w:pPr>
              <w:pStyle w:val="29"/>
              <w:jc w:val="center"/>
              <w:rPr>
                <w:rFonts w:hint="eastAsia" w:ascii="Times New Roman" w:hAnsi="Times New Roman" w:cs="Times New Roman"/>
                <w:color w:val="auto"/>
                <w:sz w:val="24"/>
                <w:szCs w:val="24"/>
                <w:highlight w:val="none"/>
                <w:vertAlign w:val="baseline"/>
                <w:lang w:val="en-US" w:eastAsia="zh-CN"/>
              </w:rPr>
            </w:pPr>
          </w:p>
          <w:p w14:paraId="20F4D681">
            <w:pPr>
              <w:pStyle w:val="29"/>
              <w:jc w:val="center"/>
              <w:rPr>
                <w:rFonts w:hint="eastAsia" w:ascii="Times New Roman" w:hAnsi="Times New Roman" w:cs="Times New Roman"/>
                <w:color w:val="auto"/>
                <w:sz w:val="24"/>
                <w:szCs w:val="24"/>
                <w:highlight w:val="none"/>
                <w:vertAlign w:val="baseline"/>
                <w:lang w:val="en-US" w:eastAsia="zh-CN"/>
              </w:rPr>
            </w:pPr>
          </w:p>
          <w:p w14:paraId="7E0119D3">
            <w:pPr>
              <w:pStyle w:val="29"/>
              <w:jc w:val="center"/>
              <w:rPr>
                <w:rFonts w:hint="eastAsia" w:ascii="Times New Roman" w:hAnsi="Times New Roman" w:cs="Times New Roman"/>
                <w:color w:val="auto"/>
                <w:sz w:val="24"/>
                <w:szCs w:val="24"/>
                <w:highlight w:val="none"/>
                <w:vertAlign w:val="baseline"/>
                <w:lang w:val="en-US" w:eastAsia="zh-CN"/>
              </w:rPr>
            </w:pPr>
          </w:p>
          <w:p w14:paraId="5315D9BB">
            <w:pPr>
              <w:pStyle w:val="29"/>
              <w:jc w:val="center"/>
              <w:rPr>
                <w:rFonts w:hint="default"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0~9</w:t>
            </w:r>
          </w:p>
        </w:tc>
      </w:tr>
      <w:tr w14:paraId="692A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6D5834D6">
            <w:pPr>
              <w:pStyle w:val="29"/>
              <w:jc w:val="center"/>
              <w:rPr>
                <w:rFonts w:hint="eastAsia" w:ascii="Times New Roman" w:hAnsi="Times New Roman" w:cs="Times New Roman"/>
                <w:color w:val="auto"/>
                <w:sz w:val="24"/>
                <w:szCs w:val="24"/>
                <w:highlight w:val="none"/>
                <w:vertAlign w:val="baseline"/>
                <w:lang w:val="en-US" w:eastAsia="zh-CN"/>
              </w:rPr>
            </w:pPr>
          </w:p>
          <w:p w14:paraId="191AD089">
            <w:pPr>
              <w:pStyle w:val="29"/>
              <w:ind w:left="0" w:leftChars="0" w:firstLine="0" w:firstLineChars="0"/>
              <w:jc w:val="both"/>
              <w:rPr>
                <w:rFonts w:hint="eastAsia" w:ascii="Times New Roman" w:hAnsi="Times New Roman" w:cs="Times New Roman"/>
                <w:color w:val="auto"/>
                <w:sz w:val="24"/>
                <w:szCs w:val="24"/>
                <w:highlight w:val="none"/>
                <w:vertAlign w:val="baseline"/>
                <w:lang w:val="en-US" w:eastAsia="zh-CN"/>
              </w:rPr>
            </w:pPr>
          </w:p>
          <w:p w14:paraId="1B4622BC">
            <w:pPr>
              <w:pStyle w:val="29"/>
              <w:jc w:val="center"/>
              <w:rPr>
                <w:rFonts w:hint="eastAsia" w:ascii="Times New Roman" w:hAnsi="Times New Roman" w:cs="Times New Roman"/>
                <w:color w:val="auto"/>
                <w:sz w:val="24"/>
                <w:szCs w:val="24"/>
                <w:highlight w:val="none"/>
                <w:vertAlign w:val="baseline"/>
                <w:lang w:val="en-US" w:eastAsia="zh-CN"/>
              </w:rPr>
            </w:pPr>
          </w:p>
          <w:p w14:paraId="3B9F24D1">
            <w:pPr>
              <w:pStyle w:val="29"/>
              <w:jc w:val="center"/>
              <w:rPr>
                <w:rFonts w:hint="eastAsia" w:ascii="Times New Roman" w:hAnsi="Times New Roman" w:cs="Times New Roman"/>
                <w:color w:val="auto"/>
                <w:sz w:val="24"/>
                <w:szCs w:val="24"/>
                <w:highlight w:val="none"/>
                <w:vertAlign w:val="baseline"/>
                <w:lang w:val="en-US" w:eastAsia="zh-CN"/>
              </w:rPr>
            </w:pPr>
          </w:p>
          <w:p w14:paraId="39270018">
            <w:pPr>
              <w:pStyle w:val="29"/>
              <w:jc w:val="center"/>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6</w:t>
            </w:r>
          </w:p>
        </w:tc>
        <w:tc>
          <w:tcPr>
            <w:tcW w:w="1419" w:type="dxa"/>
          </w:tcPr>
          <w:p w14:paraId="7B2EC9B8">
            <w:pPr>
              <w:pStyle w:val="29"/>
              <w:jc w:val="center"/>
              <w:rPr>
                <w:rFonts w:hint="default" w:ascii="Times New Roman" w:hAnsi="Times New Roman" w:cs="Times New Roman"/>
                <w:color w:val="auto"/>
                <w:sz w:val="24"/>
                <w:szCs w:val="24"/>
                <w:highlight w:val="none"/>
                <w:vertAlign w:val="baseline"/>
              </w:rPr>
            </w:pPr>
          </w:p>
          <w:p w14:paraId="20682765">
            <w:pPr>
              <w:pStyle w:val="29"/>
              <w:ind w:left="0" w:leftChars="0" w:firstLine="0" w:firstLineChars="0"/>
              <w:jc w:val="both"/>
              <w:rPr>
                <w:rFonts w:hint="default" w:ascii="Times New Roman" w:hAnsi="Times New Roman" w:cs="Times New Roman"/>
                <w:color w:val="auto"/>
                <w:sz w:val="24"/>
                <w:szCs w:val="24"/>
                <w:highlight w:val="none"/>
                <w:vertAlign w:val="baseline"/>
              </w:rPr>
            </w:pPr>
          </w:p>
          <w:p w14:paraId="3D418B63">
            <w:pPr>
              <w:pStyle w:val="29"/>
              <w:jc w:val="center"/>
              <w:rPr>
                <w:rFonts w:hint="default" w:ascii="Times New Roman" w:hAnsi="Times New Roman" w:cs="Times New Roman"/>
                <w:color w:val="auto"/>
                <w:sz w:val="24"/>
                <w:szCs w:val="24"/>
                <w:highlight w:val="none"/>
                <w:vertAlign w:val="baseline"/>
              </w:rPr>
            </w:pPr>
          </w:p>
          <w:p w14:paraId="4D8216A3">
            <w:pPr>
              <w:pStyle w:val="29"/>
              <w:jc w:val="center"/>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常年法律</w:t>
            </w:r>
          </w:p>
          <w:p w14:paraId="312A0E9E">
            <w:pPr>
              <w:pStyle w:val="29"/>
              <w:jc w:val="center"/>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顾问服务</w:t>
            </w:r>
          </w:p>
          <w:p w14:paraId="2507CDF0">
            <w:pPr>
              <w:pStyle w:val="29"/>
              <w:jc w:val="center"/>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方案</w:t>
            </w:r>
          </w:p>
        </w:tc>
        <w:tc>
          <w:tcPr>
            <w:tcW w:w="4990" w:type="dxa"/>
          </w:tcPr>
          <w:p w14:paraId="07C065DE">
            <w:pPr>
              <w:pStyle w:val="29"/>
              <w:jc w:val="center"/>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根据投标人针对本项目的业务特点和服务内</w:t>
            </w:r>
          </w:p>
          <w:p w14:paraId="567758C6">
            <w:pPr>
              <w:pStyle w:val="29"/>
              <w:jc w:val="center"/>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容要求提供的法律顾问服务方案,包括但不限</w:t>
            </w:r>
          </w:p>
          <w:p w14:paraId="221C296C">
            <w:pPr>
              <w:pStyle w:val="29"/>
              <w:ind w:left="0" w:leftChars="0" w:firstLine="0" w:firstLineChars="0"/>
              <w:jc w:val="both"/>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于针对性制定相关流程、工作时间和流程安排、质量保证措施、风险把控措施等进行综合评分</w:t>
            </w:r>
            <w:r>
              <w:rPr>
                <w:rFonts w:hint="eastAsia" w:ascii="Times New Roman" w:hAnsi="Times New Roman" w:cs="Times New Roman"/>
                <w:color w:val="auto"/>
                <w:sz w:val="24"/>
                <w:szCs w:val="24"/>
                <w:highlight w:val="none"/>
                <w:vertAlign w:val="baseline"/>
                <w:lang w:eastAsia="zh-CN"/>
              </w:rPr>
              <w:t>：</w:t>
            </w:r>
            <w:r>
              <w:rPr>
                <w:rFonts w:hint="default" w:ascii="Times New Roman" w:hAnsi="Times New Roman" w:cs="Times New Roman"/>
                <w:color w:val="auto"/>
                <w:sz w:val="24"/>
                <w:szCs w:val="24"/>
                <w:highlight w:val="none"/>
                <w:vertAlign w:val="baseline"/>
              </w:rPr>
              <w:t xml:space="preserve">由评标委员会酌情给分。优秀的得 </w:t>
            </w:r>
            <w:r>
              <w:rPr>
                <w:rFonts w:hint="eastAsia" w:ascii="Times New Roman" w:hAnsi="Times New Roman" w:cs="Times New Roman"/>
                <w:color w:val="auto"/>
                <w:sz w:val="24"/>
                <w:szCs w:val="24"/>
                <w:highlight w:val="none"/>
                <w:vertAlign w:val="baseline"/>
                <w:lang w:val="en-US" w:eastAsia="zh-CN"/>
              </w:rPr>
              <w:t>7</w:t>
            </w:r>
            <w:r>
              <w:rPr>
                <w:rFonts w:hint="default" w:ascii="Times New Roman" w:hAnsi="Times New Roman" w:cs="Times New Roman"/>
                <w:color w:val="auto"/>
                <w:sz w:val="24"/>
                <w:szCs w:val="24"/>
                <w:highlight w:val="none"/>
                <w:vertAlign w:val="baseline"/>
              </w:rPr>
              <w:t>&lt;F≤</w:t>
            </w:r>
            <w:r>
              <w:rPr>
                <w:rFonts w:hint="eastAsia" w:ascii="Times New Roman" w:hAnsi="Times New Roman" w:cs="Times New Roman"/>
                <w:color w:val="auto"/>
                <w:sz w:val="24"/>
                <w:szCs w:val="24"/>
                <w:highlight w:val="none"/>
                <w:vertAlign w:val="baseline"/>
                <w:lang w:val="en-US" w:eastAsia="zh-CN"/>
              </w:rPr>
              <w:t>10</w:t>
            </w:r>
            <w:r>
              <w:rPr>
                <w:rFonts w:hint="default" w:ascii="Times New Roman" w:hAnsi="Times New Roman" w:cs="Times New Roman"/>
                <w:color w:val="auto"/>
                <w:sz w:val="24"/>
                <w:szCs w:val="24"/>
                <w:highlight w:val="none"/>
                <w:vertAlign w:val="baseline"/>
              </w:rPr>
              <w:t>分;良好的得</w:t>
            </w:r>
            <w:r>
              <w:rPr>
                <w:rFonts w:hint="eastAsia" w:ascii="Times New Roman" w:hAnsi="Times New Roman" w:cs="Times New Roman"/>
                <w:color w:val="auto"/>
                <w:sz w:val="24"/>
                <w:szCs w:val="24"/>
                <w:highlight w:val="none"/>
                <w:vertAlign w:val="baseline"/>
                <w:lang w:val="en-US" w:eastAsia="zh-CN"/>
              </w:rPr>
              <w:t>3</w:t>
            </w:r>
            <w:r>
              <w:rPr>
                <w:rFonts w:hint="default" w:ascii="Times New Roman" w:hAnsi="Times New Roman" w:cs="Times New Roman"/>
                <w:color w:val="auto"/>
                <w:sz w:val="24"/>
                <w:szCs w:val="24"/>
                <w:highlight w:val="none"/>
                <w:vertAlign w:val="baseline"/>
              </w:rPr>
              <w:t>&lt;F≤</w:t>
            </w:r>
            <w:r>
              <w:rPr>
                <w:rFonts w:hint="eastAsia" w:ascii="Times New Roman" w:hAnsi="Times New Roman" w:cs="Times New Roman"/>
                <w:color w:val="auto"/>
                <w:sz w:val="24"/>
                <w:szCs w:val="24"/>
                <w:highlight w:val="none"/>
                <w:vertAlign w:val="baseline"/>
                <w:lang w:val="en-US" w:eastAsia="zh-CN"/>
              </w:rPr>
              <w:t>7</w:t>
            </w:r>
            <w:r>
              <w:rPr>
                <w:rFonts w:hint="default" w:ascii="Times New Roman" w:hAnsi="Times New Roman" w:cs="Times New Roman"/>
                <w:color w:val="auto"/>
                <w:sz w:val="24"/>
                <w:szCs w:val="24"/>
                <w:highlight w:val="none"/>
                <w:vertAlign w:val="baseline"/>
              </w:rPr>
              <w:t>分</w:t>
            </w:r>
            <w:r>
              <w:rPr>
                <w:rFonts w:hint="eastAsia" w:ascii="Times New Roman" w:hAnsi="Times New Roman" w:cs="Times New Roman"/>
                <w:color w:val="auto"/>
                <w:sz w:val="24"/>
                <w:szCs w:val="24"/>
                <w:highlight w:val="none"/>
                <w:vertAlign w:val="baseline"/>
                <w:lang w:eastAsia="zh-CN"/>
              </w:rPr>
              <w:t>；</w:t>
            </w:r>
            <w:r>
              <w:rPr>
                <w:rFonts w:hint="default" w:ascii="Times New Roman" w:hAnsi="Times New Roman" w:cs="Times New Roman"/>
                <w:color w:val="auto"/>
                <w:sz w:val="24"/>
                <w:szCs w:val="24"/>
                <w:highlight w:val="none"/>
                <w:vertAlign w:val="baseline"/>
              </w:rPr>
              <w:t>一般的得 0&lt;F≤</w:t>
            </w:r>
            <w:r>
              <w:rPr>
                <w:rFonts w:hint="eastAsia" w:ascii="Times New Roman" w:hAnsi="Times New Roman" w:cs="Times New Roman"/>
                <w:color w:val="auto"/>
                <w:sz w:val="24"/>
                <w:szCs w:val="24"/>
                <w:highlight w:val="none"/>
                <w:vertAlign w:val="baseline"/>
                <w:lang w:val="en-US" w:eastAsia="zh-CN"/>
              </w:rPr>
              <w:t>3</w:t>
            </w:r>
            <w:r>
              <w:rPr>
                <w:rFonts w:hint="default" w:ascii="Times New Roman" w:hAnsi="Times New Roman" w:cs="Times New Roman"/>
                <w:color w:val="auto"/>
                <w:sz w:val="24"/>
                <w:szCs w:val="24"/>
                <w:highlight w:val="none"/>
                <w:vertAlign w:val="baseline"/>
              </w:rPr>
              <w:t>分</w:t>
            </w:r>
            <w:r>
              <w:rPr>
                <w:rFonts w:hint="eastAsia" w:ascii="Times New Roman" w:hAnsi="Times New Roman" w:cs="Times New Roman"/>
                <w:color w:val="auto"/>
                <w:sz w:val="24"/>
                <w:szCs w:val="24"/>
                <w:highlight w:val="none"/>
                <w:vertAlign w:val="baseline"/>
                <w:lang w:eastAsia="zh-CN"/>
              </w:rPr>
              <w:t>，</w:t>
            </w:r>
            <w:r>
              <w:rPr>
                <w:rFonts w:hint="default" w:ascii="Times New Roman" w:hAnsi="Times New Roman" w:cs="Times New Roman"/>
                <w:color w:val="auto"/>
                <w:sz w:val="24"/>
                <w:szCs w:val="24"/>
                <w:highlight w:val="none"/>
                <w:vertAlign w:val="baseline"/>
              </w:rPr>
              <w:t>其他或未提供相关内容的不得分。</w:t>
            </w:r>
          </w:p>
          <w:p w14:paraId="16E950A1">
            <w:pPr>
              <w:pStyle w:val="29"/>
              <w:jc w:val="both"/>
              <w:rPr>
                <w:rFonts w:hint="default" w:ascii="Times New Roman" w:hAnsi="Times New Roman" w:cs="Times New Roman"/>
                <w:color w:val="auto"/>
                <w:sz w:val="24"/>
                <w:szCs w:val="24"/>
                <w:highlight w:val="none"/>
                <w:vertAlign w:val="baseline"/>
              </w:rPr>
            </w:pPr>
            <w:r>
              <w:rPr>
                <w:rFonts w:hint="default" w:ascii="Times New Roman" w:hAnsi="Times New Roman" w:cs="Times New Roman"/>
                <w:b/>
                <w:bCs/>
                <w:color w:val="auto"/>
                <w:sz w:val="21"/>
                <w:szCs w:val="21"/>
                <w:highlight w:val="none"/>
                <w:vertAlign w:val="baseline"/>
              </w:rPr>
              <w:t>注</w:t>
            </w:r>
            <w:r>
              <w:rPr>
                <w:rFonts w:hint="eastAsia" w:ascii="Times New Roman" w:hAnsi="Times New Roman" w:cs="Times New Roman"/>
                <w:b/>
                <w:bCs/>
                <w:color w:val="auto"/>
                <w:sz w:val="21"/>
                <w:szCs w:val="21"/>
                <w:highlight w:val="none"/>
                <w:vertAlign w:val="baseline"/>
                <w:lang w:eastAsia="zh-CN"/>
              </w:rPr>
              <w:t>：</w:t>
            </w:r>
            <w:r>
              <w:rPr>
                <w:rFonts w:hint="default" w:ascii="Times New Roman" w:hAnsi="Times New Roman" w:cs="Times New Roman"/>
                <w:b/>
                <w:bCs/>
                <w:color w:val="auto"/>
                <w:sz w:val="21"/>
                <w:szCs w:val="21"/>
                <w:highlight w:val="none"/>
                <w:vertAlign w:val="baseline"/>
              </w:rPr>
              <w:t>F 为常年法律顾问服务方案得分。</w:t>
            </w:r>
          </w:p>
        </w:tc>
        <w:tc>
          <w:tcPr>
            <w:tcW w:w="1255" w:type="dxa"/>
          </w:tcPr>
          <w:p w14:paraId="66DF1FCC">
            <w:pPr>
              <w:pStyle w:val="29"/>
              <w:ind w:left="0" w:leftChars="0" w:firstLine="0" w:firstLineChars="0"/>
              <w:jc w:val="both"/>
              <w:rPr>
                <w:rFonts w:hint="eastAsia" w:ascii="Times New Roman" w:hAnsi="Times New Roman" w:cs="Times New Roman"/>
                <w:color w:val="auto"/>
                <w:sz w:val="24"/>
                <w:szCs w:val="24"/>
                <w:highlight w:val="none"/>
                <w:vertAlign w:val="baseline"/>
                <w:lang w:val="en-US" w:eastAsia="zh-CN"/>
              </w:rPr>
            </w:pPr>
          </w:p>
          <w:p w14:paraId="615EE79B">
            <w:pPr>
              <w:pStyle w:val="29"/>
              <w:jc w:val="center"/>
              <w:rPr>
                <w:rFonts w:hint="eastAsia" w:ascii="Times New Roman" w:hAnsi="Times New Roman" w:cs="Times New Roman"/>
                <w:color w:val="auto"/>
                <w:sz w:val="24"/>
                <w:szCs w:val="24"/>
                <w:highlight w:val="none"/>
                <w:vertAlign w:val="baseline"/>
                <w:lang w:val="en-US" w:eastAsia="zh-CN"/>
              </w:rPr>
            </w:pPr>
          </w:p>
          <w:p w14:paraId="5EC17F41">
            <w:pPr>
              <w:pStyle w:val="29"/>
              <w:jc w:val="center"/>
              <w:rPr>
                <w:rFonts w:hint="eastAsia" w:ascii="Times New Roman" w:hAnsi="Times New Roman" w:cs="Times New Roman"/>
                <w:color w:val="auto"/>
                <w:sz w:val="24"/>
                <w:szCs w:val="24"/>
                <w:highlight w:val="none"/>
                <w:vertAlign w:val="baseline"/>
                <w:lang w:val="en-US" w:eastAsia="zh-CN"/>
              </w:rPr>
            </w:pPr>
          </w:p>
          <w:p w14:paraId="52821B06">
            <w:pPr>
              <w:pStyle w:val="29"/>
              <w:jc w:val="center"/>
              <w:rPr>
                <w:rFonts w:hint="eastAsia" w:ascii="Times New Roman" w:hAnsi="Times New Roman" w:cs="Times New Roman"/>
                <w:color w:val="auto"/>
                <w:sz w:val="24"/>
                <w:szCs w:val="24"/>
                <w:highlight w:val="none"/>
                <w:vertAlign w:val="baseline"/>
                <w:lang w:val="en-US" w:eastAsia="zh-CN"/>
              </w:rPr>
            </w:pPr>
          </w:p>
          <w:p w14:paraId="00AEFE1E">
            <w:pPr>
              <w:pStyle w:val="29"/>
              <w:jc w:val="center"/>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0~10</w:t>
            </w:r>
          </w:p>
        </w:tc>
      </w:tr>
    </w:tbl>
    <w:p w14:paraId="7371E96B">
      <w:pPr>
        <w:pStyle w:val="29"/>
        <w:ind w:left="420" w:hanging="420"/>
        <w:rPr>
          <w:rFonts w:hint="default" w:ascii="Times New Roman" w:hAnsi="Times New Roman" w:cs="Times New Roman"/>
          <w:color w:val="auto"/>
          <w:highlight w:val="none"/>
        </w:rPr>
      </w:pPr>
    </w:p>
    <w:p w14:paraId="216BA99C">
      <w:pPr>
        <w:numPr>
          <w:ilvl w:val="0"/>
          <w:numId w:val="0"/>
        </w:numPr>
        <w:spacing w:line="360" w:lineRule="auto"/>
        <w:outlineLvl w:val="2"/>
        <w:rPr>
          <w:rFonts w:hint="default" w:ascii="Times New Roman" w:hAnsi="Times New Roman" w:cs="Times New Roman"/>
          <w:color w:val="auto"/>
          <w:highlight w:val="none"/>
          <w:lang w:val="en-US" w:eastAsia="zh-CN"/>
        </w:rPr>
      </w:pPr>
      <w:r>
        <w:rPr>
          <w:rFonts w:hint="eastAsia" w:ascii="Times New Roman" w:hAnsi="Times New Roman" w:eastAsia="宋体" w:cs="Times New Roman"/>
          <w:b w:val="0"/>
          <w:bCs/>
          <w:color w:val="auto"/>
          <w:sz w:val="24"/>
          <w:highlight w:val="none"/>
          <w:lang w:val="en-US" w:eastAsia="zh-CN"/>
        </w:rPr>
        <w:t>2.报价部分评审标准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416"/>
        <w:gridCol w:w="1254"/>
      </w:tblGrid>
      <w:tr w14:paraId="00CA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46C1601">
            <w:pPr>
              <w:pStyle w:val="29"/>
              <w:ind w:left="479" w:leftChars="114" w:hanging="240" w:hangingChars="100"/>
              <w:jc w:val="left"/>
              <w:rPr>
                <w:rFonts w:hint="eastAsia" w:ascii="Times New Roman" w:hAnsi="Times New Roman" w:eastAsia="宋体" w:cs="Times New Roman"/>
                <w:color w:val="auto"/>
                <w:sz w:val="24"/>
                <w:szCs w:val="24"/>
                <w:highlight w:val="none"/>
                <w:vertAlign w:val="baseline"/>
                <w:lang w:eastAsia="zh-CN"/>
              </w:rPr>
            </w:pPr>
          </w:p>
          <w:p w14:paraId="32747F0B">
            <w:pPr>
              <w:pStyle w:val="29"/>
              <w:jc w:val="left"/>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eastAsia="宋体" w:cs="Times New Roman"/>
                <w:color w:val="auto"/>
                <w:sz w:val="24"/>
                <w:szCs w:val="24"/>
                <w:highlight w:val="none"/>
                <w:vertAlign w:val="baseline"/>
                <w:lang w:eastAsia="zh-CN"/>
              </w:rPr>
              <w:t>常年</w:t>
            </w:r>
          </w:p>
          <w:p w14:paraId="3C0536F7">
            <w:pPr>
              <w:pStyle w:val="29"/>
              <w:jc w:val="left"/>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eastAsia="宋体" w:cs="Times New Roman"/>
                <w:color w:val="auto"/>
                <w:sz w:val="24"/>
                <w:szCs w:val="24"/>
                <w:highlight w:val="none"/>
                <w:vertAlign w:val="baseline"/>
                <w:lang w:eastAsia="zh-CN"/>
              </w:rPr>
              <w:t>法律</w:t>
            </w:r>
          </w:p>
          <w:p w14:paraId="150A5A88">
            <w:pPr>
              <w:pStyle w:val="29"/>
              <w:jc w:val="left"/>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eastAsia="宋体" w:cs="Times New Roman"/>
                <w:color w:val="auto"/>
                <w:sz w:val="24"/>
                <w:szCs w:val="24"/>
                <w:highlight w:val="none"/>
                <w:vertAlign w:val="baseline"/>
                <w:lang w:eastAsia="zh-CN"/>
              </w:rPr>
              <w:t>顾问</w:t>
            </w:r>
          </w:p>
          <w:p w14:paraId="0E60A50F">
            <w:pPr>
              <w:pStyle w:val="29"/>
              <w:jc w:val="left"/>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eastAsia="宋体" w:cs="Times New Roman"/>
                <w:color w:val="auto"/>
                <w:sz w:val="24"/>
                <w:szCs w:val="24"/>
                <w:highlight w:val="none"/>
                <w:vertAlign w:val="baseline"/>
                <w:lang w:eastAsia="zh-CN"/>
              </w:rPr>
              <w:t>服务</w:t>
            </w:r>
          </w:p>
          <w:p w14:paraId="57E0C9A5">
            <w:pPr>
              <w:pStyle w:val="29"/>
              <w:jc w:val="left"/>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eastAsia="宋体" w:cs="Times New Roman"/>
                <w:color w:val="auto"/>
                <w:sz w:val="24"/>
                <w:szCs w:val="24"/>
                <w:highlight w:val="none"/>
                <w:vertAlign w:val="baseline"/>
                <w:lang w:eastAsia="zh-CN"/>
              </w:rPr>
              <w:t>报价</w:t>
            </w:r>
          </w:p>
          <w:p w14:paraId="23E1DCAA">
            <w:pPr>
              <w:pStyle w:val="29"/>
              <w:jc w:val="left"/>
              <w:rPr>
                <w:rFonts w:hint="eastAsia" w:ascii="Times New Roman" w:hAnsi="Times New Roman" w:eastAsia="宋体" w:cs="Times New Roman"/>
                <w:color w:val="auto"/>
                <w:sz w:val="24"/>
                <w:szCs w:val="24"/>
                <w:highlight w:val="none"/>
                <w:vertAlign w:val="baseline"/>
                <w:lang w:eastAsia="zh-CN"/>
              </w:rPr>
            </w:pPr>
            <w:r>
              <w:rPr>
                <w:rFonts w:hint="eastAsia" w:ascii="Times New Roman" w:hAnsi="Times New Roman" w:eastAsia="宋体" w:cs="Times New Roman"/>
                <w:color w:val="auto"/>
                <w:sz w:val="24"/>
                <w:szCs w:val="24"/>
                <w:highlight w:val="none"/>
                <w:vertAlign w:val="baseline"/>
                <w:lang w:eastAsia="zh-CN"/>
              </w:rPr>
              <w:t>得分</w:t>
            </w:r>
          </w:p>
          <w:p w14:paraId="44C9D3C1">
            <w:pPr>
              <w:pStyle w:val="29"/>
              <w:jc w:val="left"/>
              <w:rPr>
                <w:rFonts w:hint="eastAsia" w:ascii="Times New Roman" w:hAnsi="Times New Roman" w:eastAsia="宋体" w:cs="Times New Roman"/>
                <w:color w:val="auto"/>
                <w:sz w:val="24"/>
                <w:szCs w:val="24"/>
                <w:highlight w:val="none"/>
                <w:vertAlign w:val="baseline"/>
                <w:lang w:eastAsia="zh-CN"/>
              </w:rPr>
            </w:pPr>
          </w:p>
        </w:tc>
        <w:tc>
          <w:tcPr>
            <w:tcW w:w="6416" w:type="dxa"/>
          </w:tcPr>
          <w:p w14:paraId="7C4C9A6C">
            <w:pPr>
              <w:pStyle w:val="29"/>
              <w:jc w:val="left"/>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1.确定评标价</w:t>
            </w:r>
            <w:r>
              <w:rPr>
                <w:rFonts w:hint="eastAsia" w:ascii="Times New Roman" w:hAnsi="Times New Roman" w:eastAsia="宋体"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rPr>
              <w:t>评标价=最终投标报价</w:t>
            </w:r>
          </w:p>
          <w:p w14:paraId="5A04D000">
            <w:pPr>
              <w:pStyle w:val="29"/>
              <w:jc w:val="left"/>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2.确定评标基准价</w:t>
            </w:r>
          </w:p>
          <w:p w14:paraId="4722DFCD">
            <w:pPr>
              <w:pStyle w:val="29"/>
              <w:jc w:val="left"/>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以通过初步评审的投标文件的最低评标价作为评标基准价</w:t>
            </w:r>
          </w:p>
          <w:p w14:paraId="5BD790AB">
            <w:pPr>
              <w:pStyle w:val="29"/>
              <w:jc w:val="left"/>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3.评标价得分计算</w:t>
            </w:r>
          </w:p>
          <w:p w14:paraId="1F99336B">
            <w:pPr>
              <w:pStyle w:val="29"/>
              <w:jc w:val="left"/>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评标价得分按照下列公式计算</w:t>
            </w:r>
            <w:r>
              <w:rPr>
                <w:rFonts w:hint="eastAsia" w:ascii="Times New Roman" w:hAnsi="Times New Roman" w:eastAsia="宋体"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rPr>
              <w:t>评标价得分=(评标基准价/</w:t>
            </w:r>
          </w:p>
          <w:p w14:paraId="169F6275">
            <w:pPr>
              <w:pStyle w:val="29"/>
              <w:jc w:val="left"/>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评标价)*</w:t>
            </w:r>
            <w:r>
              <w:rPr>
                <w:rFonts w:hint="eastAsia" w:ascii="Times New Roman" w:hAnsi="Times New Roman" w:cs="Times New Roman"/>
                <w:color w:val="auto"/>
                <w:sz w:val="24"/>
                <w:szCs w:val="24"/>
                <w:highlight w:val="none"/>
                <w:vertAlign w:val="baseline"/>
                <w:lang w:val="en-US" w:eastAsia="zh-CN"/>
              </w:rPr>
              <w:t>3</w:t>
            </w:r>
            <w:r>
              <w:rPr>
                <w:rFonts w:hint="default" w:ascii="Times New Roman" w:hAnsi="Times New Roman" w:eastAsia="宋体" w:cs="Times New Roman"/>
                <w:color w:val="auto"/>
                <w:sz w:val="24"/>
                <w:szCs w:val="24"/>
                <w:highlight w:val="none"/>
                <w:vertAlign w:val="baseline"/>
              </w:rPr>
              <w:t>0。</w:t>
            </w:r>
          </w:p>
          <w:p w14:paraId="6D31B846">
            <w:pPr>
              <w:pStyle w:val="29"/>
              <w:jc w:val="left"/>
              <w:rPr>
                <w:rFonts w:hint="default" w:ascii="Times New Roman" w:hAnsi="Times New Roman" w:cs="Times New Roman"/>
                <w:color w:val="auto"/>
                <w:highlight w:val="none"/>
                <w:vertAlign w:val="baseline"/>
              </w:rPr>
            </w:pPr>
            <w:r>
              <w:rPr>
                <w:rFonts w:hint="eastAsia" w:ascii="Times New Roman" w:hAnsi="Times New Roman" w:eastAsia="宋体" w:cs="Times New Roman"/>
                <w:b/>
                <w:bCs/>
                <w:color w:val="auto"/>
                <w:sz w:val="21"/>
                <w:szCs w:val="21"/>
                <w:highlight w:val="none"/>
                <w:vertAlign w:val="baseline"/>
                <w:lang w:eastAsia="zh-CN"/>
              </w:rPr>
              <w:t>注：</w:t>
            </w:r>
            <w:r>
              <w:rPr>
                <w:rFonts w:hint="default" w:ascii="Times New Roman" w:hAnsi="Times New Roman" w:eastAsia="宋体" w:cs="Times New Roman"/>
                <w:b/>
                <w:bCs/>
                <w:color w:val="auto"/>
                <w:sz w:val="21"/>
                <w:szCs w:val="21"/>
                <w:highlight w:val="none"/>
                <w:vertAlign w:val="baseline"/>
              </w:rPr>
              <w:t>分值计算保留小数点后两位，小数点后第三位“四舍五入”。</w:t>
            </w:r>
          </w:p>
        </w:tc>
        <w:tc>
          <w:tcPr>
            <w:tcW w:w="1254" w:type="dxa"/>
          </w:tcPr>
          <w:p w14:paraId="4B6299A7">
            <w:pPr>
              <w:pStyle w:val="39"/>
              <w:rPr>
                <w:rFonts w:hint="eastAsia" w:ascii="Times New Roman" w:hAnsi="Times New Roman" w:eastAsia="宋体" w:cs="Times New Roman"/>
                <w:color w:val="auto"/>
                <w:kern w:val="2"/>
                <w:sz w:val="24"/>
                <w:szCs w:val="24"/>
                <w:highlight w:val="none"/>
                <w:vertAlign w:val="baseline"/>
                <w:lang w:val="en-US" w:eastAsia="zh-CN" w:bidi="ar-SA"/>
              </w:rPr>
            </w:pPr>
          </w:p>
          <w:p w14:paraId="39A31FBB">
            <w:pPr>
              <w:pStyle w:val="39"/>
              <w:ind w:left="0" w:leftChars="0" w:firstLine="0" w:firstLineChars="0"/>
              <w:rPr>
                <w:rFonts w:hint="eastAsia" w:ascii="Times New Roman" w:hAnsi="Times New Roman" w:eastAsia="宋体" w:cs="Times New Roman"/>
                <w:color w:val="auto"/>
                <w:kern w:val="2"/>
                <w:sz w:val="24"/>
                <w:szCs w:val="24"/>
                <w:highlight w:val="none"/>
                <w:vertAlign w:val="baseline"/>
                <w:lang w:val="en-US" w:eastAsia="zh-CN" w:bidi="ar-SA"/>
              </w:rPr>
            </w:pPr>
          </w:p>
          <w:p w14:paraId="226122ED">
            <w:pPr>
              <w:pStyle w:val="39"/>
              <w:ind w:left="0" w:leftChars="0" w:firstLine="0" w:firstLineChars="0"/>
              <w:rPr>
                <w:rFonts w:hint="eastAsia" w:ascii="Times New Roman" w:hAnsi="Times New Roman" w:eastAsia="宋体" w:cs="Times New Roman"/>
                <w:color w:val="auto"/>
                <w:kern w:val="2"/>
                <w:sz w:val="24"/>
                <w:szCs w:val="24"/>
                <w:highlight w:val="none"/>
                <w:vertAlign w:val="baseline"/>
                <w:lang w:val="en-US" w:eastAsia="zh-CN" w:bidi="ar-SA"/>
              </w:rPr>
            </w:pPr>
          </w:p>
          <w:p w14:paraId="22B0FA3F">
            <w:pPr>
              <w:pStyle w:val="39"/>
              <w:ind w:left="0" w:leftChars="0" w:firstLine="240" w:firstLineChars="100"/>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kern w:val="2"/>
                <w:sz w:val="24"/>
                <w:szCs w:val="24"/>
                <w:highlight w:val="none"/>
                <w:vertAlign w:val="baseline"/>
                <w:lang w:val="en-US" w:eastAsia="zh-CN" w:bidi="ar-SA"/>
              </w:rPr>
              <w:t>0~</w:t>
            </w:r>
            <w:r>
              <w:rPr>
                <w:rFonts w:hint="eastAsia" w:ascii="Times New Roman" w:hAnsi="Times New Roman" w:cs="Times New Roman"/>
                <w:color w:val="auto"/>
                <w:kern w:val="2"/>
                <w:sz w:val="24"/>
                <w:szCs w:val="24"/>
                <w:highlight w:val="none"/>
                <w:vertAlign w:val="baseline"/>
                <w:lang w:val="en-US" w:eastAsia="zh-CN" w:bidi="ar-SA"/>
              </w:rPr>
              <w:t>3</w:t>
            </w:r>
            <w:r>
              <w:rPr>
                <w:rFonts w:hint="eastAsia" w:ascii="Times New Roman" w:hAnsi="Times New Roman" w:eastAsia="宋体" w:cs="Times New Roman"/>
                <w:color w:val="auto"/>
                <w:kern w:val="2"/>
                <w:sz w:val="24"/>
                <w:szCs w:val="24"/>
                <w:highlight w:val="none"/>
                <w:vertAlign w:val="baseline"/>
                <w:lang w:val="en-US" w:eastAsia="zh-CN" w:bidi="ar-SA"/>
              </w:rPr>
              <w:t>0</w:t>
            </w:r>
          </w:p>
        </w:tc>
      </w:tr>
    </w:tbl>
    <w:p w14:paraId="646680F7">
      <w:pPr>
        <w:pStyle w:val="39"/>
        <w:ind w:left="0" w:leftChars="0" w:firstLine="0" w:firstLineChars="0"/>
        <w:rPr>
          <w:rFonts w:hint="default" w:ascii="Times New Roman" w:hAnsi="Times New Roman" w:cs="Times New Roman"/>
          <w:color w:val="auto"/>
          <w:highlight w:val="none"/>
        </w:rPr>
      </w:pPr>
    </w:p>
    <w:p w14:paraId="4EB02A8C">
      <w:pPr>
        <w:pStyle w:val="39"/>
        <w:rPr>
          <w:rFonts w:hint="default" w:ascii="Times New Roman" w:hAnsi="Times New Roman" w:cs="Times New Roman"/>
          <w:color w:val="auto"/>
          <w:highlight w:val="none"/>
        </w:rPr>
      </w:pPr>
    </w:p>
    <w:p w14:paraId="2013ADA6">
      <w:pPr>
        <w:pStyle w:val="39"/>
        <w:rPr>
          <w:rFonts w:hint="default" w:ascii="Times New Roman" w:hAnsi="Times New Roman" w:cs="Times New Roman"/>
          <w:color w:val="auto"/>
          <w:highlight w:val="none"/>
        </w:rPr>
      </w:pPr>
    </w:p>
    <w:p w14:paraId="7138F676">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0D6817B">
      <w:pPr>
        <w:spacing w:before="120" w:line="480" w:lineRule="auto"/>
        <w:ind w:left="960"/>
        <w:rPr>
          <w:rFonts w:hint="eastAsia"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2025年度集团本部及子公司法律顾问服务采购</w:t>
      </w:r>
      <w:r>
        <w:rPr>
          <w:rFonts w:hint="eastAsia" w:ascii="Times New Roman" w:hAnsi="Times New Roman" w:cs="Times New Roman"/>
          <w:color w:val="auto"/>
          <w:sz w:val="24"/>
          <w:highlight w:val="none"/>
          <w:u w:val="single"/>
          <w:lang w:val="en-US" w:eastAsia="zh-CN"/>
        </w:rPr>
        <w:t xml:space="preserve"> </w:t>
      </w:r>
    </w:p>
    <w:p w14:paraId="25326B42">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BHSG-ZTB-2025-39                 </w:t>
      </w:r>
    </w:p>
    <w:p w14:paraId="09200574">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甲方（招标人）：</w:t>
      </w:r>
      <w:r>
        <w:rPr>
          <w:rFonts w:hint="eastAsia" w:ascii="Times New Roman" w:hAnsi="Times New Roman" w:cs="Times New Roman"/>
          <w:color w:val="auto"/>
          <w:sz w:val="24"/>
          <w:highlight w:val="none"/>
          <w:u w:val="single"/>
          <w:lang w:val="en-US" w:eastAsia="zh-CN"/>
        </w:rPr>
        <w:t xml:space="preserve">                              </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1DE49B6">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0B92E6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甲方因业务需要，聘请</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律师事务所(以下简称乙方)担任常年法律顾问。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3029"/>
      <w:bookmarkStart w:id="32" w:name="_Toc24059"/>
      <w:bookmarkStart w:id="33" w:name="_Toc2232"/>
      <w:r>
        <w:rPr>
          <w:rFonts w:hint="eastAsia" w:ascii="Times New Roman" w:hAnsi="Times New Roman" w:cs="Times New Roman"/>
          <w:b/>
          <w:bCs/>
          <w:color w:val="auto"/>
          <w:sz w:val="24"/>
          <w:highlight w:val="none"/>
          <w:lang w:val="zh-CN"/>
        </w:rPr>
        <w:t>一、</w:t>
      </w:r>
      <w:r>
        <w:rPr>
          <w:rFonts w:hint="default" w:ascii="Times New Roman" w:hAnsi="Times New Roman" w:cs="Times New Roman"/>
          <w:b/>
          <w:bCs/>
          <w:color w:val="auto"/>
          <w:sz w:val="24"/>
          <w:highlight w:val="none"/>
          <w:lang w:val="zh-CN"/>
        </w:rPr>
        <w:t>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eastAsia" w:ascii="Times New Roman" w:hAnsi="Times New Roman" w:cs="Times New Roman"/>
          <w:color w:val="auto"/>
          <w:sz w:val="24"/>
          <w:highlight w:val="none"/>
          <w:lang w:val="zh-CN"/>
        </w:rPr>
        <w:t>（一）</w:t>
      </w:r>
      <w:r>
        <w:rPr>
          <w:rFonts w:hint="default" w:ascii="Times New Roman" w:hAnsi="Times New Roman" w:cs="Times New Roman"/>
          <w:color w:val="auto"/>
          <w:sz w:val="24"/>
          <w:highlight w:val="none"/>
          <w:lang w:val="zh-CN"/>
        </w:rPr>
        <w:t>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eastAsia" w:ascii="Times New Roman" w:hAnsi="Times New Roman" w:cs="Times New Roman"/>
          <w:color w:val="auto"/>
          <w:sz w:val="24"/>
          <w:highlight w:val="none"/>
          <w:lang w:val="zh-CN"/>
        </w:rPr>
        <w:t>（二）</w:t>
      </w:r>
      <w:r>
        <w:rPr>
          <w:rFonts w:hint="default" w:ascii="Times New Roman" w:hAnsi="Times New Roman" w:cs="Times New Roman"/>
          <w:color w:val="auto"/>
          <w:sz w:val="24"/>
          <w:highlight w:val="none"/>
          <w:lang w:val="zh-CN"/>
        </w:rPr>
        <w:t>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eastAsia" w:ascii="Times New Roman" w:hAnsi="Times New Roman" w:cs="Times New Roman"/>
          <w:color w:val="auto"/>
          <w:sz w:val="24"/>
          <w:highlight w:val="none"/>
          <w:lang w:val="zh-CN"/>
        </w:rPr>
        <w:t>（三）</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eastAsia" w:ascii="Times New Roman" w:hAnsi="Times New Roman" w:cs="Times New Roman"/>
          <w:color w:val="auto"/>
          <w:sz w:val="24"/>
          <w:highlight w:val="none"/>
          <w:lang w:val="zh-CN"/>
        </w:rPr>
        <w:t>（四）</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eastAsia" w:ascii="Times New Roman" w:hAnsi="Times New Roman" w:cs="Times New Roman"/>
          <w:color w:val="auto"/>
          <w:sz w:val="24"/>
          <w:highlight w:val="none"/>
          <w:lang w:val="zh-CN"/>
        </w:rPr>
        <w:t>（五）</w:t>
      </w:r>
      <w:r>
        <w:rPr>
          <w:rFonts w:hint="default" w:ascii="Times New Roman" w:hAnsi="Times New Roman" w:cs="Times New Roman"/>
          <w:color w:val="auto"/>
          <w:sz w:val="24"/>
          <w:highlight w:val="none"/>
          <w:lang w:val="zh-CN"/>
        </w:rPr>
        <w:t>其他相关采购文件。</w:t>
      </w:r>
    </w:p>
    <w:p w14:paraId="484DF12F">
      <w:pPr>
        <w:spacing w:line="360" w:lineRule="auto"/>
        <w:ind w:firstLine="437"/>
        <w:outlineLvl w:val="3"/>
        <w:rPr>
          <w:rFonts w:hint="eastAsia" w:ascii="Times New Roman" w:hAnsi="Times New Roman" w:eastAsia="宋体" w:cs="Times New Roman"/>
          <w:b/>
          <w:bCs/>
          <w:color w:val="auto"/>
          <w:sz w:val="24"/>
          <w:highlight w:val="none"/>
          <w:lang w:val="en-US" w:eastAsia="zh-CN"/>
        </w:rPr>
      </w:pPr>
      <w:bookmarkStart w:id="34" w:name="_Toc27126"/>
      <w:bookmarkStart w:id="35" w:name="_Toc21295"/>
      <w:bookmarkStart w:id="36" w:name="_Toc24300"/>
      <w:r>
        <w:rPr>
          <w:rFonts w:hint="eastAsia" w:ascii="Times New Roman" w:hAnsi="Times New Roman" w:cs="Times New Roman"/>
          <w:b/>
          <w:bCs/>
          <w:color w:val="auto"/>
          <w:sz w:val="24"/>
          <w:highlight w:val="none"/>
          <w:lang w:val="zh-CN"/>
        </w:rPr>
        <w:t>二、</w:t>
      </w:r>
      <w:r>
        <w:rPr>
          <w:rFonts w:hint="default" w:ascii="Times New Roman" w:hAnsi="Times New Roman" w:cs="Times New Roman"/>
          <w:b/>
          <w:bCs/>
          <w:color w:val="auto"/>
          <w:sz w:val="24"/>
          <w:highlight w:val="none"/>
          <w:lang w:val="zh-CN"/>
        </w:rPr>
        <w:t xml:space="preserve"> </w:t>
      </w:r>
      <w:bookmarkEnd w:id="34"/>
      <w:bookmarkEnd w:id="35"/>
      <w:bookmarkEnd w:id="36"/>
      <w:r>
        <w:rPr>
          <w:rFonts w:hint="eastAsia" w:ascii="Times New Roman" w:hAnsi="Times New Roman" w:cs="Times New Roman"/>
          <w:b/>
          <w:bCs/>
          <w:color w:val="auto"/>
          <w:sz w:val="24"/>
          <w:highlight w:val="none"/>
          <w:lang w:val="en-US" w:eastAsia="zh-CN"/>
        </w:rPr>
        <w:t>服务内容</w:t>
      </w:r>
    </w:p>
    <w:p w14:paraId="1E9051F5">
      <w:pPr>
        <w:spacing w:line="360" w:lineRule="auto"/>
        <w:ind w:firstLine="435"/>
        <w:rPr>
          <w:rFonts w:hint="default" w:ascii="Times New Roman" w:hAnsi="Times New Roman" w:cs="Times New Roman"/>
          <w:color w:val="auto"/>
          <w:sz w:val="24"/>
          <w:highlight w:val="none"/>
        </w:rPr>
      </w:pPr>
      <w:bookmarkStart w:id="37" w:name="_Toc21631"/>
      <w:bookmarkStart w:id="38" w:name="_Toc23292"/>
      <w:bookmarkStart w:id="39" w:name="_Toc21551"/>
      <w:r>
        <w:rPr>
          <w:rFonts w:hint="eastAsia" w:ascii="Times New Roman" w:hAnsi="Times New Roman" w:cs="Times New Roman"/>
          <w:color w:val="auto"/>
          <w:sz w:val="24"/>
          <w:highlight w:val="none"/>
          <w:lang w:eastAsia="zh-CN"/>
        </w:rPr>
        <w:t>（一）</w:t>
      </w:r>
      <w:r>
        <w:rPr>
          <w:rFonts w:hint="default" w:ascii="Times New Roman" w:hAnsi="Times New Roman" w:cs="Times New Roman"/>
          <w:color w:val="auto"/>
          <w:sz w:val="24"/>
          <w:highlight w:val="none"/>
        </w:rPr>
        <w:t>乙方接受甲方的聘请，指派</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律师担任甲方的常年法律顾问。</w:t>
      </w:r>
    </w:p>
    <w:p w14:paraId="34441B0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（二）</w:t>
      </w:r>
      <w:r>
        <w:rPr>
          <w:rFonts w:hint="default" w:ascii="Times New Roman" w:hAnsi="Times New Roman" w:cs="Times New Roman"/>
          <w:color w:val="auto"/>
          <w:sz w:val="24"/>
          <w:highlight w:val="none"/>
        </w:rPr>
        <w:t>服务对象：</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若甲方在乙方提供服务期间出现设立分公司、新增对外投资主体、子公司等对外投资产生的新增主体，该新增主体亦在乙方服务范围内。</w:t>
      </w:r>
    </w:p>
    <w:p w14:paraId="7AD1534E">
      <w:pPr>
        <w:spacing w:line="360" w:lineRule="auto"/>
        <w:ind w:firstLine="435"/>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（三）服务项目：</w:t>
      </w:r>
    </w:p>
    <w:p w14:paraId="6E0D75B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1.协助</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起草或审核公司日常经营中涉及的各类合同、协议等法律文件</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并出具书面法律意见；</w:t>
      </w:r>
    </w:p>
    <w:p w14:paraId="5A856DB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2.按照</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要求，为</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起草、审查重要法律文件和规章制度等；</w:t>
      </w:r>
    </w:p>
    <w:p w14:paraId="5190EF9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3.按照</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要求，协助</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参与重要商业谈判，为</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重大经营决策提供书面法律论证和书面法律意见；</w:t>
      </w:r>
    </w:p>
    <w:p w14:paraId="194A473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4.依据</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委托，向第三方发送律师函或发表律师声明；</w:t>
      </w:r>
    </w:p>
    <w:p w14:paraId="66739EF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5.提供与经营、管理活动有关的法律咨询，解答相关法律问题；</w:t>
      </w:r>
    </w:p>
    <w:p w14:paraId="195805D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6.协助</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对职工进行</w:t>
      </w:r>
      <w:r>
        <w:rPr>
          <w:rFonts w:hint="eastAsia" w:ascii="Times New Roman" w:hAnsi="Times New Roman" w:eastAsia="宋体" w:cs="Times New Roman"/>
          <w:color w:val="auto"/>
          <w:sz w:val="24"/>
          <w:szCs w:val="24"/>
          <w:highlight w:val="none"/>
          <w:u w:val="none"/>
          <w:lang w:val="en-US" w:eastAsia="zh-CN"/>
        </w:rPr>
        <w:t>针对性</w:t>
      </w:r>
      <w:r>
        <w:rPr>
          <w:rFonts w:hint="default" w:ascii="Times New Roman" w:hAnsi="Times New Roman" w:eastAsia="宋体" w:cs="Times New Roman"/>
          <w:color w:val="auto"/>
          <w:sz w:val="24"/>
          <w:szCs w:val="24"/>
          <w:highlight w:val="none"/>
          <w:u w:val="none"/>
          <w:lang w:val="en-US" w:eastAsia="zh-CN"/>
        </w:rPr>
        <w:t>法律培训（1-3次/年度，根据实际需求确定）；</w:t>
      </w:r>
    </w:p>
    <w:p w14:paraId="58B882A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7.协助</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处理劳动人事法律纠纷（不含仲裁和诉讼）；</w:t>
      </w:r>
    </w:p>
    <w:p w14:paraId="004F964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8.就</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与第三方的矛盾纠纷进行协调、调解，出席相关会议；</w:t>
      </w:r>
    </w:p>
    <w:p w14:paraId="74864AC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9.就</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在日常经营中可能出现的各类纠纷等事项，进行法律论证，提出解决方案，对已经面临的纠纷与第三方进行交涉，出具律师函，维护</w:t>
      </w:r>
      <w:r>
        <w:rPr>
          <w:rFonts w:hint="eastAsia" w:ascii="Times New Roman" w:hAnsi="Times New Roman" w:cs="Times New Roman"/>
          <w:color w:val="auto"/>
          <w:sz w:val="24"/>
          <w:szCs w:val="24"/>
          <w:highlight w:val="none"/>
          <w:u w:val="none"/>
          <w:lang w:val="en-US" w:eastAsia="zh-CN"/>
        </w:rPr>
        <w:t>甲方的</w:t>
      </w:r>
      <w:r>
        <w:rPr>
          <w:rFonts w:hint="default" w:ascii="Times New Roman" w:hAnsi="Times New Roman" w:eastAsia="宋体" w:cs="Times New Roman"/>
          <w:color w:val="auto"/>
          <w:sz w:val="24"/>
          <w:szCs w:val="24"/>
          <w:highlight w:val="none"/>
          <w:u w:val="none"/>
          <w:lang w:val="en-US" w:eastAsia="zh-CN"/>
        </w:rPr>
        <w:t>合法权益;</w:t>
      </w:r>
    </w:p>
    <w:p w14:paraId="231E461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10.</w:t>
      </w:r>
      <w:r>
        <w:rPr>
          <w:rFonts w:hint="eastAsia" w:ascii="Times New Roman" w:hAnsi="Times New Roman" w:eastAsia="宋体" w:cs="Times New Roman"/>
          <w:color w:val="auto"/>
          <w:sz w:val="24"/>
          <w:szCs w:val="24"/>
          <w:highlight w:val="none"/>
          <w:u w:val="none"/>
          <w:lang w:val="en-US" w:eastAsia="zh-CN"/>
        </w:rPr>
        <w:t>按照招标文件要求，每周固定一天时间在指定地点坐班（一天</w:t>
      </w:r>
      <w:r>
        <w:rPr>
          <w:rFonts w:hint="eastAsia" w:ascii="Times New Roman" w:hAnsi="Times New Roman" w:cs="Times New Roman"/>
          <w:color w:val="auto"/>
          <w:sz w:val="24"/>
          <w:szCs w:val="24"/>
          <w:highlight w:val="none"/>
          <w:u w:val="none"/>
          <w:lang w:val="en-US" w:eastAsia="zh-CN"/>
        </w:rPr>
        <w:t>工作</w:t>
      </w:r>
      <w:r>
        <w:rPr>
          <w:rFonts w:hint="eastAsia" w:ascii="Times New Roman" w:hAnsi="Times New Roman" w:eastAsia="宋体" w:cs="Times New Roman"/>
          <w:color w:val="auto"/>
          <w:sz w:val="24"/>
          <w:szCs w:val="24"/>
          <w:highlight w:val="none"/>
          <w:u w:val="none"/>
          <w:lang w:val="en-US" w:eastAsia="zh-CN"/>
        </w:rPr>
        <w:t>时间不低于6小时）</w:t>
      </w:r>
      <w:r>
        <w:rPr>
          <w:rFonts w:hint="default" w:ascii="Times New Roman" w:hAnsi="Times New Roman" w:eastAsia="宋体" w:cs="Times New Roman"/>
          <w:color w:val="auto"/>
          <w:sz w:val="24"/>
          <w:szCs w:val="24"/>
          <w:highlight w:val="none"/>
          <w:u w:val="none"/>
          <w:lang w:val="en-US" w:eastAsia="zh-CN"/>
        </w:rPr>
        <w:t>；</w:t>
      </w:r>
    </w:p>
    <w:p w14:paraId="37BA9C8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11.在招标人知悉其可能或已经面临诉讼、仲裁、行政处罚或其他法律程序时，及时提供应对前的法律咨询与评估服务，包括初步风险分析、策略建议等。</w:t>
      </w:r>
    </w:p>
    <w:p w14:paraId="7204692C">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12.</w:t>
      </w:r>
      <w:r>
        <w:rPr>
          <w:rFonts w:hint="default" w:ascii="Times New Roman" w:hAnsi="Times New Roman" w:eastAsia="宋体" w:cs="Times New Roman"/>
          <w:color w:val="auto"/>
          <w:sz w:val="24"/>
          <w:szCs w:val="24"/>
          <w:highlight w:val="none"/>
          <w:u w:val="none"/>
          <w:lang w:val="en-US" w:eastAsia="zh-CN"/>
        </w:rPr>
        <w:t>中标人对</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业务应当单独建档，并保存完整的工作记录（包括法律意见书台账、</w:t>
      </w:r>
      <w:r>
        <w:rPr>
          <w:rFonts w:hint="eastAsia" w:ascii="Times New Roman" w:hAnsi="Times New Roman" w:eastAsia="宋体" w:cs="Times New Roman"/>
          <w:color w:val="auto"/>
          <w:sz w:val="24"/>
          <w:szCs w:val="24"/>
          <w:highlight w:val="none"/>
          <w:u w:val="none"/>
          <w:lang w:val="en-US" w:eastAsia="zh-CN"/>
        </w:rPr>
        <w:t>重大商业谈判</w:t>
      </w:r>
      <w:r>
        <w:rPr>
          <w:rFonts w:hint="default" w:ascii="Times New Roman" w:hAnsi="Times New Roman" w:eastAsia="宋体" w:cs="Times New Roman"/>
          <w:color w:val="auto"/>
          <w:sz w:val="24"/>
          <w:szCs w:val="24"/>
          <w:highlight w:val="none"/>
          <w:u w:val="none"/>
          <w:lang w:val="en-US" w:eastAsia="zh-CN"/>
        </w:rPr>
        <w:t>法律</w:t>
      </w:r>
      <w:r>
        <w:rPr>
          <w:rFonts w:hint="eastAsia" w:ascii="Times New Roman" w:hAnsi="Times New Roman" w:eastAsia="宋体" w:cs="Times New Roman"/>
          <w:color w:val="auto"/>
          <w:sz w:val="24"/>
          <w:szCs w:val="24"/>
          <w:highlight w:val="none"/>
          <w:u w:val="none"/>
          <w:lang w:val="en-US" w:eastAsia="zh-CN"/>
        </w:rPr>
        <w:t>谈判意见等</w:t>
      </w:r>
      <w:r>
        <w:rPr>
          <w:rFonts w:hint="default" w:ascii="Times New Roman" w:hAnsi="Times New Roman" w:eastAsia="宋体" w:cs="Times New Roman"/>
          <w:color w:val="auto"/>
          <w:sz w:val="24"/>
          <w:szCs w:val="24"/>
          <w:highlight w:val="none"/>
          <w:u w:val="none"/>
          <w:lang w:val="en-US" w:eastAsia="zh-CN"/>
        </w:rPr>
        <w:t>）；</w:t>
      </w:r>
    </w:p>
    <w:p w14:paraId="372134CC">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w:t>
      </w:r>
      <w:r>
        <w:rPr>
          <w:rFonts w:hint="eastAsia" w:ascii="Times New Roman" w:hAnsi="Times New Roman" w:cs="Times New Roman"/>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lang w:val="en-US" w:eastAsia="zh-CN"/>
        </w:rPr>
        <w:t>.对涉及</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的原始证据、法律文件等应当妥善保管，保证其安全与完整；</w:t>
      </w:r>
    </w:p>
    <w:p w14:paraId="0D0A04B3">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szCs w:val="24"/>
          <w:highlight w:val="none"/>
          <w:u w:val="none"/>
          <w:lang w:val="en-US" w:eastAsia="zh-CN"/>
        </w:rPr>
        <w:t>1</w:t>
      </w:r>
      <w:r>
        <w:rPr>
          <w:rFonts w:hint="eastAsia" w:ascii="Times New Roman" w:hAnsi="Times New Roman"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val="en-US" w:eastAsia="zh-CN"/>
        </w:rPr>
        <w:t>.完成</w:t>
      </w:r>
      <w:r>
        <w:rPr>
          <w:rFonts w:hint="eastAsia" w:ascii="Times New Roman" w:hAnsi="Times New Roman" w:eastAsia="宋体" w:cs="Times New Roman"/>
          <w:color w:val="auto"/>
          <w:sz w:val="24"/>
          <w:szCs w:val="24"/>
          <w:highlight w:val="none"/>
          <w:u w:val="none"/>
          <w:lang w:val="en-US" w:eastAsia="zh-CN"/>
        </w:rPr>
        <w:t>甲方</w:t>
      </w:r>
      <w:r>
        <w:rPr>
          <w:rFonts w:hint="default" w:ascii="Times New Roman" w:hAnsi="Times New Roman" w:eastAsia="宋体" w:cs="Times New Roman"/>
          <w:color w:val="auto"/>
          <w:sz w:val="24"/>
          <w:szCs w:val="24"/>
          <w:highlight w:val="none"/>
          <w:u w:val="none"/>
          <w:lang w:val="en-US" w:eastAsia="zh-CN"/>
        </w:rPr>
        <w:t>交办的其他法律事务。</w:t>
      </w:r>
    </w:p>
    <w:p w14:paraId="23E1A971">
      <w:pPr>
        <w:spacing w:line="360" w:lineRule="auto"/>
        <w:ind w:firstLine="437"/>
        <w:outlineLvl w:val="3"/>
        <w:rPr>
          <w:rFonts w:hint="default" w:ascii="Times New Roman" w:hAnsi="Times New Roman" w:cs="Times New Roman"/>
          <w:b/>
          <w:bCs/>
          <w:color w:val="auto"/>
          <w:sz w:val="24"/>
          <w:highlight w:val="none"/>
          <w:lang w:val="zh-CN"/>
        </w:rPr>
      </w:pPr>
      <w:r>
        <w:rPr>
          <w:rFonts w:hint="eastAsia" w:ascii="Times New Roman" w:hAnsi="Times New Roman" w:cs="Times New Roman"/>
          <w:b/>
          <w:bCs/>
          <w:color w:val="auto"/>
          <w:sz w:val="24"/>
          <w:highlight w:val="none"/>
          <w:lang w:val="zh-CN"/>
        </w:rPr>
        <w:t>三、</w:t>
      </w:r>
      <w:r>
        <w:rPr>
          <w:rFonts w:hint="default" w:ascii="Times New Roman" w:hAnsi="Times New Roman" w:cs="Times New Roman"/>
          <w:b/>
          <w:bCs/>
          <w:color w:val="auto"/>
          <w:sz w:val="24"/>
          <w:highlight w:val="none"/>
          <w:lang w:val="zh-CN"/>
        </w:rPr>
        <w:t>价款</w:t>
      </w:r>
      <w:bookmarkEnd w:id="37"/>
      <w:bookmarkEnd w:id="38"/>
      <w:bookmarkEnd w:id="39"/>
    </w:p>
    <w:p w14:paraId="6F1A723A">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eastAsia" w:ascii="Times New Roman" w:hAnsi="Times New Roman" w:cs="Times New Roman"/>
          <w:color w:val="auto"/>
          <w:sz w:val="24"/>
          <w:highlight w:val="none"/>
          <w:lang w:eastAsia="zh-CN"/>
        </w:rPr>
        <w:t>含税价格，</w:t>
      </w:r>
      <w:r>
        <w:rPr>
          <w:rFonts w:hint="default" w:ascii="Times New Roman" w:hAnsi="Times New Roman" w:cs="Times New Roman"/>
          <w:color w:val="auto"/>
          <w:sz w:val="24"/>
          <w:highlight w:val="none"/>
        </w:rPr>
        <w:t>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0340"/>
      <w:bookmarkStart w:id="41" w:name="_Toc22618"/>
      <w:bookmarkStart w:id="42" w:name="_Toc1814"/>
      <w:r>
        <w:rPr>
          <w:rFonts w:hint="eastAsia" w:ascii="Times New Roman" w:hAnsi="Times New Roman" w:cs="Times New Roman"/>
          <w:b/>
          <w:bCs/>
          <w:color w:val="auto"/>
          <w:sz w:val="24"/>
          <w:highlight w:val="none"/>
          <w:lang w:val="zh-CN"/>
        </w:rPr>
        <w:t>四、</w:t>
      </w:r>
      <w:r>
        <w:rPr>
          <w:rFonts w:hint="default" w:ascii="Times New Roman" w:hAnsi="Times New Roman" w:cs="Times New Roman"/>
          <w:b/>
          <w:bCs/>
          <w:color w:val="auto"/>
          <w:sz w:val="24"/>
          <w:highlight w:val="none"/>
          <w:lang w:val="zh-CN"/>
        </w:rPr>
        <w:t>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（一）</w:t>
      </w:r>
      <w:r>
        <w:rPr>
          <w:rFonts w:hint="default" w:ascii="Times New Roman" w:hAnsi="Times New Roman" w:cs="Times New Roman"/>
          <w:color w:val="auto"/>
          <w:sz w:val="24"/>
          <w:highlight w:val="none"/>
        </w:rPr>
        <w:t>付款方式：</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eastAsia="zh-CN"/>
        </w:rPr>
        <w:t>合同服务期满后一个月内付清。付款前，乙方应开具足额的增值税专用发票给甲方，否则甲方有权拒绝付款</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（二）</w:t>
      </w:r>
      <w:r>
        <w:rPr>
          <w:rFonts w:hint="default" w:ascii="Times New Roman" w:hAnsi="Times New Roman" w:cs="Times New Roman"/>
          <w:color w:val="auto"/>
          <w:sz w:val="24"/>
          <w:highlight w:val="none"/>
        </w:rPr>
        <w:t>发票类型：</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增值税专用发票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（三）</w:t>
      </w:r>
      <w:r>
        <w:rPr>
          <w:rFonts w:hint="default" w:ascii="Times New Roman" w:hAnsi="Times New Roman" w:cs="Times New Roman"/>
          <w:color w:val="auto"/>
          <w:sz w:val="24"/>
          <w:highlight w:val="none"/>
        </w:rPr>
        <w:t>发票开具方式：</w:t>
      </w:r>
      <w:r>
        <w:rPr>
          <w:rFonts w:hint="eastAsia" w:ascii="Times New Roman" w:hAnsi="Times New Roman" w:cs="Times New Roman"/>
          <w:color w:val="auto"/>
          <w:sz w:val="24"/>
          <w:highlight w:val="none"/>
          <w:u w:val="single"/>
          <w:lang w:val="en-US" w:eastAsia="zh-CN"/>
        </w:rPr>
        <w:t xml:space="preserve">   电子发票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19304"/>
      <w:bookmarkStart w:id="44" w:name="_Toc2846"/>
      <w:bookmarkStart w:id="45" w:name="_Toc32071"/>
      <w:r>
        <w:rPr>
          <w:rFonts w:hint="eastAsia" w:ascii="Times New Roman" w:hAnsi="Times New Roman" w:cs="Times New Roman"/>
          <w:b/>
          <w:bCs/>
          <w:color w:val="auto"/>
          <w:sz w:val="24"/>
          <w:highlight w:val="none"/>
          <w:lang w:val="zh-CN"/>
        </w:rPr>
        <w:t>五、</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eastAsia" w:ascii="Times New Roman" w:hAnsi="Times New Roman" w:cs="Times New Roman"/>
          <w:color w:val="auto"/>
          <w:sz w:val="24"/>
          <w:highlight w:val="none"/>
          <w:lang w:eastAsia="zh-CN"/>
        </w:rPr>
        <w:t>（一）</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w:t>
      </w:r>
      <w:r>
        <w:rPr>
          <w:rFonts w:hint="default" w:ascii="Times New Roman" w:hAnsi="Times New Roman" w:cs="Times New Roman"/>
          <w:color w:val="auto"/>
          <w:sz w:val="24"/>
          <w:highlight w:val="none"/>
          <w:u w:val="single"/>
        </w:rPr>
        <w:t xml:space="preserve"> 自合同签订之日起一年。若履约情况良好且年度预算允许的前提下，到期后经双方协商一致，可续签一年</w:t>
      </w:r>
      <w:r>
        <w:rPr>
          <w:rFonts w:hint="eastAsia" w:ascii="Times New Roman" w:hAnsi="Times New Roman" w:cs="Times New Roman"/>
          <w:color w:val="auto"/>
          <w:sz w:val="24"/>
          <w:highlight w:val="none"/>
          <w:u w:val="single"/>
          <w:lang w:eastAsia="zh-CN"/>
        </w:rPr>
        <w:t>且合同金额不变</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（二）</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地点：</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CE1B482">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（三）</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方式：</w:t>
      </w:r>
      <w:bookmarkStart w:id="46" w:name="_Toc19554"/>
      <w:bookmarkStart w:id="47" w:name="_Toc21423"/>
      <w:bookmarkStart w:id="48" w:name="_Toc27250"/>
    </w:p>
    <w:p w14:paraId="0E15714A">
      <w:pPr>
        <w:spacing w:line="360" w:lineRule="auto"/>
        <w:ind w:firstLine="435"/>
        <w:rPr>
          <w:rFonts w:hint="default" w:ascii="Times New Roman" w:hAnsi="Times New Roman" w:eastAsia="宋体" w:cs="Times New Roman"/>
          <w:color w:val="auto"/>
          <w:sz w:val="24"/>
          <w:highlight w:val="none"/>
          <w:lang w:val="zh-CN" w:eastAsia="zh-CN"/>
        </w:rPr>
      </w:pPr>
      <w:r>
        <w:rPr>
          <w:rFonts w:hint="eastAsia"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val="zh-CN" w:eastAsia="zh-CN"/>
        </w:rPr>
        <w:t>乙方通过现场、微信、电话、</w:t>
      </w:r>
      <w:r>
        <w:rPr>
          <w:rFonts w:hint="eastAsia" w:ascii="Times New Roman" w:hAnsi="Times New Roman" w:cs="Times New Roman"/>
          <w:color w:val="auto"/>
          <w:sz w:val="24"/>
          <w:highlight w:val="none"/>
          <w:lang w:val="en-US" w:eastAsia="zh-CN"/>
        </w:rPr>
        <w:t>OA办公系统、</w:t>
      </w:r>
      <w:r>
        <w:rPr>
          <w:rFonts w:hint="default" w:ascii="Times New Roman" w:hAnsi="Times New Roman" w:eastAsia="宋体" w:cs="Times New Roman"/>
          <w:color w:val="auto"/>
          <w:sz w:val="24"/>
          <w:highlight w:val="none"/>
          <w:lang w:val="zh-CN" w:eastAsia="zh-CN"/>
        </w:rPr>
        <w:t>传真、邮箱、视频会议或电话会议等方式提供法律服务，并根据甲方实际工作的需要，参加甲方有关需由律师参加的工作会议；对于甲方在经营管理过程中遇到的需要律师关注和处理的法律问题，指定律师进行跟踪、反馈。</w:t>
      </w:r>
    </w:p>
    <w:p w14:paraId="45723F1E">
      <w:pPr>
        <w:spacing w:line="360" w:lineRule="auto"/>
        <w:ind w:firstLine="435"/>
        <w:rPr>
          <w:rFonts w:hint="default" w:ascii="Times New Roman" w:hAnsi="Times New Roman" w:eastAsia="宋体" w:cs="Times New Roman"/>
          <w:color w:val="auto"/>
          <w:sz w:val="24"/>
          <w:highlight w:val="none"/>
          <w:lang w:val="zh-CN" w:eastAsia="zh-CN"/>
        </w:rPr>
      </w:pPr>
      <w:r>
        <w:rPr>
          <w:rFonts w:hint="eastAsia" w:ascii="Times New Roman" w:hAnsi="Times New Roman"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zh-CN" w:eastAsia="zh-CN"/>
        </w:rPr>
        <w:t>甲方需要乙方提供具体法律服务，应提前一天以电话、微信等方式通知顾问律师，以给予其必要的准备时间。甲方遇紧急法律事务需即刻处理的，或因顾问律师开庭、出差等客观原因不能按前项约定方式履行职责的，乙方应另行安排其他专业能力强的律师为甲方提供法律服务。</w:t>
      </w:r>
    </w:p>
    <w:p w14:paraId="7EB29917">
      <w:pPr>
        <w:spacing w:line="360" w:lineRule="auto"/>
        <w:ind w:firstLine="435"/>
        <w:rPr>
          <w:rFonts w:hint="default" w:ascii="Times New Roman" w:hAnsi="Times New Roman" w:eastAsia="宋体" w:cs="Times New Roman"/>
          <w:color w:val="auto"/>
          <w:sz w:val="24"/>
          <w:highlight w:val="none"/>
          <w:lang w:val="zh-CN" w:eastAsia="zh-CN"/>
        </w:rPr>
      </w:pPr>
      <w:r>
        <w:rPr>
          <w:rFonts w:hint="eastAsia" w:ascii="Times New Roman" w:hAnsi="Times New Roman"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zh-CN" w:eastAsia="zh-CN"/>
        </w:rPr>
        <w:t>甲方将文件资料发送给乙方审查的，一般情况下需在自文件发出后的2个工作日内给予回复；紧急文件，乙方需在</w:t>
      </w:r>
      <w:r>
        <w:rPr>
          <w:rFonts w:hint="eastAsia" w:ascii="Times New Roman" w:hAnsi="Times New Roman" w:cs="Times New Roman"/>
          <w:color w:val="auto"/>
          <w:sz w:val="24"/>
          <w:highlight w:val="none"/>
          <w:lang w:val="en-US" w:eastAsia="zh-CN"/>
        </w:rPr>
        <w:t>12</w:t>
      </w:r>
      <w:r>
        <w:rPr>
          <w:rFonts w:hint="default" w:ascii="Times New Roman" w:hAnsi="Times New Roman" w:eastAsia="宋体" w:cs="Times New Roman"/>
          <w:color w:val="auto"/>
          <w:sz w:val="24"/>
          <w:highlight w:val="none"/>
          <w:lang w:val="zh-CN" w:eastAsia="zh-CN"/>
        </w:rPr>
        <w:t>小时以内予以及时回复。</w:t>
      </w:r>
    </w:p>
    <w:p w14:paraId="7F3EEE44">
      <w:pPr>
        <w:spacing w:line="360" w:lineRule="auto"/>
        <w:ind w:firstLine="435"/>
        <w:rPr>
          <w:rFonts w:hint="default" w:ascii="Times New Roman" w:hAnsi="Times New Roman" w:eastAsia="宋体" w:cs="Times New Roman"/>
          <w:color w:val="auto"/>
          <w:sz w:val="24"/>
          <w:highlight w:val="none"/>
          <w:lang w:val="zh-CN" w:eastAsia="zh-CN"/>
        </w:rPr>
      </w:pPr>
      <w:r>
        <w:rPr>
          <w:rFonts w:hint="eastAsia" w:ascii="Times New Roman" w:hAnsi="Times New Roman"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zh-CN" w:eastAsia="zh-CN"/>
        </w:rPr>
        <w:t>乙方及其委派的顾问律师应恪守职业道德，勤勉、尽责地完成法律服务工作，并及时通报工作进程，尽最大努力维护甲方利益；乙方及其委派的顾问律师对其获知的甲方秘密负有保密责任，非由法律规定或者甲方同意，不得向任何第三方披露。</w:t>
      </w:r>
    </w:p>
    <w:p w14:paraId="2D1EB39D">
      <w:pPr>
        <w:spacing w:line="360" w:lineRule="auto"/>
        <w:ind w:firstLine="437"/>
        <w:outlineLvl w:val="3"/>
        <w:rPr>
          <w:rFonts w:hint="default" w:ascii="Times New Roman" w:hAnsi="Times New Roman" w:eastAsia="宋体" w:cs="Times New Roman"/>
          <w:b/>
          <w:bCs/>
          <w:color w:val="auto"/>
          <w:sz w:val="24"/>
          <w:highlight w:val="none"/>
          <w:lang w:val="zh-CN" w:eastAsia="zh-CN"/>
        </w:rPr>
      </w:pPr>
      <w:r>
        <w:rPr>
          <w:rFonts w:hint="default" w:ascii="Times New Roman" w:hAnsi="Times New Roman" w:eastAsia="宋体" w:cs="Times New Roman"/>
          <w:b/>
          <w:bCs/>
          <w:color w:val="auto"/>
          <w:sz w:val="24"/>
          <w:highlight w:val="none"/>
          <w:lang w:val="zh-CN" w:eastAsia="zh-CN"/>
        </w:rPr>
        <w:t>六、人员要求</w:t>
      </w:r>
    </w:p>
    <w:p w14:paraId="55A92338">
      <w:pPr>
        <w:spacing w:line="360" w:lineRule="auto"/>
        <w:ind w:firstLine="437"/>
        <w:outlineLvl w:val="3"/>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zh-CN" w:eastAsia="zh-CN"/>
        </w:rPr>
        <w:t>1.法律顾问团队</w:t>
      </w:r>
      <w:r>
        <w:rPr>
          <w:rFonts w:hint="eastAsia" w:ascii="Times New Roman" w:hAnsi="Times New Roman" w:cs="Times New Roman"/>
          <w:b w:val="0"/>
          <w:bCs w:val="0"/>
          <w:color w:val="auto"/>
          <w:sz w:val="24"/>
          <w:highlight w:val="none"/>
          <w:lang w:val="zh-CN" w:eastAsia="zh-CN"/>
        </w:rPr>
        <w:t>，尤其是顾问律师</w:t>
      </w:r>
      <w:r>
        <w:rPr>
          <w:rFonts w:hint="default" w:ascii="Times New Roman" w:hAnsi="Times New Roman" w:eastAsia="宋体" w:cs="Times New Roman"/>
          <w:b w:val="0"/>
          <w:bCs w:val="0"/>
          <w:color w:val="auto"/>
          <w:sz w:val="24"/>
          <w:highlight w:val="none"/>
          <w:lang w:val="zh-CN" w:eastAsia="zh-CN"/>
        </w:rPr>
        <w:t>应当熟悉建设工程施工、招投标、投融资、财税、股权并购（增资扩股）、资产运营（含房屋租赁、物业管理等）、</w:t>
      </w:r>
      <w:r>
        <w:rPr>
          <w:rFonts w:hint="eastAsia" w:ascii="Times New Roman" w:hAnsi="Times New Roman" w:eastAsia="宋体" w:cs="Times New Roman"/>
          <w:b w:val="0"/>
          <w:bCs w:val="0"/>
          <w:color w:val="auto"/>
          <w:sz w:val="24"/>
          <w:highlight w:val="none"/>
          <w:lang w:val="zh-CN" w:eastAsia="zh-CN"/>
        </w:rPr>
        <w:t>公共事业</w:t>
      </w:r>
      <w:r>
        <w:rPr>
          <w:rFonts w:hint="eastAsia" w:ascii="Times New Roman" w:hAnsi="Times New Roman" w:cs="Times New Roman"/>
          <w:b w:val="0"/>
          <w:bCs w:val="0"/>
          <w:color w:val="auto"/>
          <w:sz w:val="24"/>
          <w:highlight w:val="none"/>
          <w:lang w:val="zh-CN" w:eastAsia="zh-CN"/>
        </w:rPr>
        <w:t>、商务合作</w:t>
      </w:r>
      <w:r>
        <w:rPr>
          <w:rFonts w:hint="default" w:ascii="Times New Roman" w:hAnsi="Times New Roman" w:eastAsia="宋体" w:cs="Times New Roman"/>
          <w:b w:val="0"/>
          <w:bCs w:val="0"/>
          <w:color w:val="auto"/>
          <w:sz w:val="24"/>
          <w:highlight w:val="none"/>
          <w:lang w:val="zh-CN" w:eastAsia="zh-CN"/>
        </w:rPr>
        <w:t>等领域，以及民法典</w:t>
      </w:r>
      <w:r>
        <w:rPr>
          <w:rFonts w:hint="eastAsia" w:ascii="Times New Roman" w:hAnsi="Times New Roman" w:eastAsia="宋体" w:cs="Times New Roman"/>
          <w:b w:val="0"/>
          <w:bCs w:val="0"/>
          <w:color w:val="auto"/>
          <w:sz w:val="24"/>
          <w:highlight w:val="none"/>
          <w:lang w:val="zh-CN" w:eastAsia="zh-CN"/>
        </w:rPr>
        <w:t>、</w:t>
      </w:r>
      <w:r>
        <w:rPr>
          <w:rFonts w:hint="default" w:ascii="Times New Roman" w:hAnsi="Times New Roman" w:eastAsia="宋体" w:cs="Times New Roman"/>
          <w:b w:val="0"/>
          <w:bCs w:val="0"/>
          <w:color w:val="auto"/>
          <w:sz w:val="24"/>
          <w:highlight w:val="none"/>
          <w:lang w:val="zh-CN" w:eastAsia="zh-CN"/>
        </w:rPr>
        <w:t>公司法等</w:t>
      </w:r>
      <w:r>
        <w:rPr>
          <w:rFonts w:hint="eastAsia" w:ascii="Times New Roman" w:hAnsi="Times New Roman" w:cs="Times New Roman"/>
          <w:b w:val="0"/>
          <w:bCs w:val="0"/>
          <w:color w:val="auto"/>
          <w:sz w:val="24"/>
          <w:highlight w:val="none"/>
          <w:lang w:val="zh-CN" w:eastAsia="zh-CN"/>
        </w:rPr>
        <w:t>民商</w:t>
      </w:r>
      <w:r>
        <w:rPr>
          <w:rFonts w:hint="default" w:ascii="Times New Roman" w:hAnsi="Times New Roman" w:eastAsia="宋体" w:cs="Times New Roman"/>
          <w:b w:val="0"/>
          <w:bCs w:val="0"/>
          <w:color w:val="auto"/>
          <w:sz w:val="24"/>
          <w:highlight w:val="none"/>
          <w:lang w:val="zh-CN" w:eastAsia="zh-CN"/>
        </w:rPr>
        <w:t>领域法律法规和政策规定。</w:t>
      </w:r>
      <w:r>
        <w:rPr>
          <w:rFonts w:hint="eastAsia" w:ascii="Times New Roman" w:hAnsi="Times New Roman" w:cs="Times New Roman"/>
          <w:b w:val="0"/>
          <w:bCs w:val="0"/>
          <w:color w:val="auto"/>
          <w:sz w:val="24"/>
          <w:highlight w:val="none"/>
          <w:lang w:val="zh-CN" w:eastAsia="zh-CN"/>
        </w:rPr>
        <w:t>直接为甲方进行服务的顾问律师应当满足上述要求，且必须具有</w:t>
      </w:r>
      <w:r>
        <w:rPr>
          <w:rFonts w:hint="eastAsia" w:ascii="Times New Roman" w:hAnsi="Times New Roman" w:cs="Times New Roman"/>
          <w:b w:val="0"/>
          <w:bCs w:val="0"/>
          <w:color w:val="auto"/>
          <w:sz w:val="24"/>
          <w:highlight w:val="none"/>
          <w:lang w:val="en-US" w:eastAsia="zh-CN"/>
        </w:rPr>
        <w:t>3年及以上法律工作经验。</w:t>
      </w:r>
    </w:p>
    <w:p w14:paraId="6901CFA2">
      <w:pPr>
        <w:spacing w:line="360" w:lineRule="auto"/>
        <w:ind w:firstLine="437"/>
        <w:outlineLvl w:val="3"/>
        <w:rPr>
          <w:rFonts w:hint="default" w:ascii="Times New Roman" w:hAnsi="Times New Roman" w:eastAsia="宋体" w:cs="Times New Roman"/>
          <w:b w:val="0"/>
          <w:bCs w:val="0"/>
          <w:color w:val="auto"/>
          <w:sz w:val="24"/>
          <w:highlight w:val="none"/>
          <w:lang w:val="zh-CN" w:eastAsia="zh-CN"/>
        </w:rPr>
      </w:pPr>
      <w:r>
        <w:rPr>
          <w:rFonts w:hint="default" w:ascii="Times New Roman" w:hAnsi="Times New Roman" w:eastAsia="宋体" w:cs="Times New Roman"/>
          <w:b w:val="0"/>
          <w:bCs w:val="0"/>
          <w:color w:val="auto"/>
          <w:sz w:val="24"/>
          <w:highlight w:val="none"/>
          <w:lang w:val="zh-CN" w:eastAsia="zh-CN"/>
        </w:rPr>
        <w:t>2.</w:t>
      </w:r>
      <w:r>
        <w:rPr>
          <w:rFonts w:hint="eastAsia" w:ascii="Times New Roman" w:hAnsi="Times New Roman" w:eastAsia="宋体" w:cs="Times New Roman"/>
          <w:b w:val="0"/>
          <w:bCs w:val="0"/>
          <w:color w:val="auto"/>
          <w:sz w:val="24"/>
          <w:highlight w:val="none"/>
          <w:lang w:val="zh-CN" w:eastAsia="zh-CN"/>
        </w:rPr>
        <w:t>乙方</w:t>
      </w:r>
      <w:r>
        <w:rPr>
          <w:rFonts w:hint="default" w:ascii="Times New Roman" w:hAnsi="Times New Roman" w:eastAsia="宋体" w:cs="Times New Roman"/>
          <w:b w:val="0"/>
          <w:bCs w:val="0"/>
          <w:color w:val="auto"/>
          <w:sz w:val="24"/>
          <w:highlight w:val="none"/>
          <w:lang w:val="zh-CN" w:eastAsia="zh-CN"/>
        </w:rPr>
        <w:t>安排</w:t>
      </w:r>
      <w:r>
        <w:rPr>
          <w:rFonts w:hint="eastAsia"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lang w:val="zh-CN" w:eastAsia="zh-CN"/>
        </w:rPr>
        <w:t>名律师提供</w:t>
      </w:r>
      <w:r>
        <w:rPr>
          <w:rFonts w:hint="eastAsia" w:ascii="Times New Roman" w:hAnsi="Times New Roman" w:eastAsia="宋体" w:cs="Times New Roman"/>
          <w:b w:val="0"/>
          <w:bCs w:val="0"/>
          <w:color w:val="auto"/>
          <w:sz w:val="24"/>
          <w:highlight w:val="none"/>
          <w:lang w:val="zh-CN" w:eastAsia="zh-CN"/>
        </w:rPr>
        <w:t>每周固定时间坐班</w:t>
      </w:r>
      <w:r>
        <w:rPr>
          <w:rFonts w:hint="default" w:ascii="Times New Roman" w:hAnsi="Times New Roman" w:eastAsia="宋体" w:cs="Times New Roman"/>
          <w:b w:val="0"/>
          <w:bCs w:val="0"/>
          <w:color w:val="auto"/>
          <w:sz w:val="24"/>
          <w:highlight w:val="none"/>
          <w:lang w:val="zh-CN" w:eastAsia="zh-CN"/>
        </w:rPr>
        <w:t>服务</w:t>
      </w:r>
      <w:r>
        <w:rPr>
          <w:rFonts w:hint="eastAsia" w:ascii="Times New Roman" w:hAnsi="Times New Roman" w:cs="Times New Roman"/>
          <w:b w:val="0"/>
          <w:bCs w:val="0"/>
          <w:color w:val="auto"/>
          <w:sz w:val="24"/>
          <w:highlight w:val="none"/>
          <w:lang w:val="zh-CN" w:eastAsia="zh-CN"/>
        </w:rPr>
        <w:t>。坐班律师人选应当确定，未经甲方同意不得随意更换，</w:t>
      </w:r>
      <w:r>
        <w:rPr>
          <w:rFonts w:hint="eastAsia" w:ascii="Times New Roman" w:hAnsi="Times New Roman" w:eastAsia="宋体" w:cs="Times New Roman"/>
          <w:b w:val="0"/>
          <w:bCs w:val="0"/>
          <w:color w:val="auto"/>
          <w:sz w:val="24"/>
          <w:highlight w:val="none"/>
          <w:lang w:val="zh-CN" w:eastAsia="zh-CN"/>
        </w:rPr>
        <w:t>坐班</w:t>
      </w:r>
      <w:r>
        <w:rPr>
          <w:rFonts w:hint="default" w:ascii="Times New Roman" w:hAnsi="Times New Roman" w:eastAsia="宋体" w:cs="Times New Roman"/>
          <w:b w:val="0"/>
          <w:bCs w:val="0"/>
          <w:color w:val="auto"/>
          <w:sz w:val="24"/>
          <w:highlight w:val="none"/>
          <w:lang w:val="zh-CN" w:eastAsia="zh-CN"/>
        </w:rPr>
        <w:t>律师</w:t>
      </w:r>
      <w:r>
        <w:rPr>
          <w:rFonts w:hint="eastAsia" w:ascii="Times New Roman" w:hAnsi="Times New Roman" w:eastAsia="宋体" w:cs="Times New Roman"/>
          <w:b w:val="0"/>
          <w:bCs w:val="0"/>
          <w:color w:val="auto"/>
          <w:sz w:val="24"/>
          <w:highlight w:val="none"/>
          <w:lang w:val="zh-CN" w:eastAsia="zh-CN"/>
        </w:rPr>
        <w:t>必须</w:t>
      </w:r>
      <w:r>
        <w:rPr>
          <w:rFonts w:hint="default" w:ascii="Times New Roman" w:hAnsi="Times New Roman" w:eastAsia="宋体" w:cs="Times New Roman"/>
          <w:b w:val="0"/>
          <w:bCs w:val="0"/>
          <w:color w:val="auto"/>
          <w:sz w:val="24"/>
          <w:highlight w:val="none"/>
          <w:lang w:val="zh-CN" w:eastAsia="zh-CN"/>
        </w:rPr>
        <w:t>具有</w:t>
      </w:r>
      <w:r>
        <w:rPr>
          <w:rFonts w:hint="eastAsia" w:ascii="Times New Roman" w:hAnsi="Times New Roman" w:eastAsia="宋体" w:cs="Times New Roman"/>
          <w:b w:val="0"/>
          <w:bCs w:val="0"/>
          <w:color w:val="auto"/>
          <w:sz w:val="24"/>
          <w:highlight w:val="none"/>
          <w:lang w:val="en-US" w:eastAsia="zh-CN"/>
        </w:rPr>
        <w:t>3</w:t>
      </w:r>
      <w:r>
        <w:rPr>
          <w:rFonts w:hint="default" w:ascii="Times New Roman" w:hAnsi="Times New Roman" w:eastAsia="宋体" w:cs="Times New Roman"/>
          <w:b w:val="0"/>
          <w:bCs w:val="0"/>
          <w:color w:val="auto"/>
          <w:sz w:val="24"/>
          <w:highlight w:val="none"/>
          <w:lang w:val="zh-CN" w:eastAsia="zh-CN"/>
        </w:rPr>
        <w:t>年及</w:t>
      </w:r>
      <w:r>
        <w:rPr>
          <w:rFonts w:hint="eastAsia" w:ascii="Times New Roman" w:hAnsi="Times New Roman" w:eastAsia="宋体" w:cs="Times New Roman"/>
          <w:b w:val="0"/>
          <w:bCs w:val="0"/>
          <w:color w:val="auto"/>
          <w:sz w:val="24"/>
          <w:highlight w:val="none"/>
          <w:lang w:val="zh-CN" w:eastAsia="zh-CN"/>
        </w:rPr>
        <w:t>以上</w:t>
      </w:r>
      <w:r>
        <w:rPr>
          <w:rFonts w:hint="default" w:ascii="Times New Roman" w:hAnsi="Times New Roman" w:eastAsia="宋体" w:cs="Times New Roman"/>
          <w:b w:val="0"/>
          <w:bCs w:val="0"/>
          <w:color w:val="auto"/>
          <w:sz w:val="24"/>
          <w:highlight w:val="none"/>
          <w:lang w:val="zh-CN" w:eastAsia="zh-CN"/>
        </w:rPr>
        <w:t>法律工作经验。</w:t>
      </w:r>
    </w:p>
    <w:p w14:paraId="4E74C454">
      <w:pPr>
        <w:spacing w:line="360" w:lineRule="auto"/>
        <w:ind w:firstLine="437"/>
        <w:outlineLvl w:val="3"/>
        <w:rPr>
          <w:rFonts w:hint="eastAsia" w:ascii="Times New Roman" w:hAnsi="Times New Roman" w:eastAsia="宋体" w:cs="Times New Roman"/>
          <w:b w:val="0"/>
          <w:bCs w:val="0"/>
          <w:color w:val="auto"/>
          <w:sz w:val="24"/>
          <w:highlight w:val="none"/>
          <w:lang w:val="zh-CN" w:eastAsia="zh-CN"/>
        </w:rPr>
      </w:pPr>
      <w:r>
        <w:rPr>
          <w:rFonts w:hint="eastAsia" w:ascii="Times New Roman" w:hAnsi="Times New Roman" w:eastAsia="宋体" w:cs="Times New Roman"/>
          <w:b w:val="0"/>
          <w:bCs w:val="0"/>
          <w:color w:val="auto"/>
          <w:sz w:val="24"/>
          <w:highlight w:val="none"/>
          <w:lang w:val="en-US" w:eastAsia="zh-CN"/>
        </w:rPr>
        <w:t>3.</w:t>
      </w:r>
      <w:r>
        <w:rPr>
          <w:rFonts w:hint="eastAsia" w:ascii="Times New Roman" w:hAnsi="Times New Roman" w:eastAsia="宋体" w:cs="Times New Roman"/>
          <w:b w:val="0"/>
          <w:bCs w:val="0"/>
          <w:color w:val="auto"/>
          <w:sz w:val="24"/>
          <w:highlight w:val="none"/>
          <w:lang w:val="zh-CN" w:eastAsia="zh-CN"/>
        </w:rPr>
        <w:t>合同签订后，</w:t>
      </w:r>
      <w:r>
        <w:rPr>
          <w:rFonts w:hint="eastAsia" w:ascii="Times New Roman" w:hAnsi="Times New Roman" w:eastAsia="宋体" w:cs="Times New Roman"/>
          <w:b w:val="0"/>
          <w:bCs w:val="0"/>
          <w:color w:val="auto"/>
          <w:sz w:val="24"/>
          <w:highlight w:val="none"/>
          <w:lang w:val="en-US" w:eastAsia="zh-CN"/>
        </w:rPr>
        <w:t>乙方需提供所有拟安排参与本项目服务的律师简历</w:t>
      </w:r>
      <w:r>
        <w:rPr>
          <w:rFonts w:hint="eastAsia" w:ascii="Times New Roman" w:hAnsi="Times New Roman" w:eastAsia="宋体" w:cs="Times New Roman"/>
          <w:b w:val="0"/>
          <w:bCs w:val="0"/>
          <w:color w:val="auto"/>
          <w:sz w:val="24"/>
          <w:highlight w:val="none"/>
          <w:lang w:val="zh-CN" w:eastAsia="zh-CN"/>
        </w:rPr>
        <w:t>。乙方实际提供的团队人员与投标文件团队人员严重不符的，甲方有权解除法律顾问服务合同。服务律师确定后，未经甲方同意不得随意更换。</w:t>
      </w:r>
    </w:p>
    <w:p w14:paraId="54970254">
      <w:pPr>
        <w:spacing w:line="360" w:lineRule="auto"/>
        <w:ind w:firstLine="437"/>
        <w:outlineLvl w:val="3"/>
        <w:rPr>
          <w:rFonts w:hint="default" w:ascii="Times New Roman" w:hAnsi="Times New Roman" w:eastAsia="宋体" w:cs="Times New Roman"/>
          <w:b/>
          <w:bCs/>
          <w:color w:val="auto"/>
          <w:sz w:val="24"/>
          <w:highlight w:val="none"/>
          <w:lang w:val="zh-CN" w:eastAsia="zh-CN"/>
        </w:rPr>
      </w:pPr>
      <w:r>
        <w:rPr>
          <w:rFonts w:hint="eastAsia" w:ascii="Times New Roman" w:hAnsi="Times New Roman" w:eastAsia="宋体" w:cs="Times New Roman"/>
          <w:b/>
          <w:bCs/>
          <w:color w:val="auto"/>
          <w:sz w:val="24"/>
          <w:highlight w:val="none"/>
          <w:lang w:val="zh-CN" w:eastAsia="zh-CN"/>
        </w:rPr>
        <w:t>七、</w:t>
      </w:r>
      <w:r>
        <w:rPr>
          <w:rFonts w:hint="default" w:ascii="Times New Roman" w:hAnsi="Times New Roman" w:eastAsia="宋体" w:cs="Times New Roman"/>
          <w:b/>
          <w:bCs/>
          <w:color w:val="auto"/>
          <w:sz w:val="24"/>
          <w:highlight w:val="none"/>
          <w:lang w:val="zh-CN" w:eastAsia="zh-CN"/>
        </w:rPr>
        <w:t>法律顾问的变更</w:t>
      </w:r>
    </w:p>
    <w:p w14:paraId="42D4253C">
      <w:pPr>
        <w:spacing w:line="360" w:lineRule="auto"/>
        <w:ind w:firstLine="435"/>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如顾问律师调离乙方或者因其他原因无法承办委托事项时，乙方可以与甲方协商另行指派其他律师办理委托事项。</w:t>
      </w:r>
    </w:p>
    <w:p w14:paraId="1B443D8B">
      <w:pPr>
        <w:spacing w:line="360" w:lineRule="auto"/>
        <w:ind w:firstLine="437"/>
        <w:outlineLvl w:val="3"/>
        <w:rPr>
          <w:rFonts w:hint="default" w:ascii="Times New Roman" w:hAnsi="Times New Roman" w:cs="Times New Roman"/>
          <w:b/>
          <w:bCs/>
          <w:color w:val="auto"/>
          <w:sz w:val="24"/>
          <w:highlight w:val="none"/>
          <w:lang w:val="zh-CN"/>
        </w:rPr>
      </w:pPr>
      <w:r>
        <w:rPr>
          <w:rFonts w:hint="eastAsia" w:ascii="Times New Roman" w:hAnsi="Times New Roman" w:cs="Times New Roman"/>
          <w:b/>
          <w:bCs/>
          <w:color w:val="auto"/>
          <w:sz w:val="24"/>
          <w:highlight w:val="none"/>
          <w:lang w:val="zh-CN"/>
        </w:rPr>
        <w:t>八、</w:t>
      </w:r>
      <w:r>
        <w:rPr>
          <w:rFonts w:hint="default" w:ascii="Times New Roman" w:hAnsi="Times New Roman" w:cs="Times New Roman"/>
          <w:b/>
          <w:bCs/>
          <w:color w:val="auto"/>
          <w:sz w:val="24"/>
          <w:highlight w:val="none"/>
          <w:lang w:val="zh-CN"/>
        </w:rPr>
        <w:t xml:space="preserve"> 违约责任</w:t>
      </w:r>
      <w:bookmarkEnd w:id="46"/>
      <w:bookmarkEnd w:id="47"/>
      <w:bookmarkEnd w:id="48"/>
    </w:p>
    <w:p w14:paraId="37A0CB5B">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（一）乙方违约责任</w:t>
      </w:r>
    </w:p>
    <w:p w14:paraId="335DA275">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1.除不可抗力外，</w:t>
      </w:r>
      <w:r>
        <w:rPr>
          <w:rFonts w:hint="eastAsia" w:ascii="Times New Roman" w:hAnsi="Times New Roman" w:cs="Times New Roman"/>
          <w:color w:val="auto"/>
          <w:sz w:val="24"/>
          <w:highlight w:val="none"/>
          <w:lang w:eastAsia="zh-CN"/>
        </w:rPr>
        <w:t>乙方未按本合同及招标文件约定提供服务的（包括但不限于坐班缺勤或早退、文件回复超期、未建档保存记录等不响应甲方招标需求的情况），甲方有权按照</w:t>
      </w:r>
      <w:r>
        <w:rPr>
          <w:rFonts w:hint="eastAsia" w:ascii="Times New Roman" w:hAnsi="Times New Roman" w:cs="Times New Roman"/>
          <w:color w:val="auto"/>
          <w:sz w:val="24"/>
          <w:highlight w:val="none"/>
          <w:lang w:val="en-US" w:eastAsia="zh-CN"/>
        </w:rPr>
        <w:t>200/次的</w:t>
      </w:r>
      <w:r>
        <w:rPr>
          <w:rFonts w:hint="eastAsia" w:ascii="Times New Roman" w:hAnsi="Times New Roman" w:cs="Times New Roman"/>
          <w:color w:val="auto"/>
          <w:sz w:val="24"/>
          <w:highlight w:val="none"/>
          <w:lang w:eastAsia="zh-CN"/>
        </w:rPr>
        <w:t>标准扣减服务费。乙方单月未按照合同约定履行服务三次及以上的，甲方有权单方解除合同。由此造成甲方损失的，乙方承担全部损失赔偿责任。</w:t>
      </w:r>
    </w:p>
    <w:p w14:paraId="27DEC545">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未经甲方同意更换顾问律师或坐班律师的，按￥</w:t>
      </w: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,000/人次支付违约金且需按甲方要求更换律师，</w:t>
      </w:r>
      <w:r>
        <w:rPr>
          <w:rFonts w:ascii="宋体" w:hAnsi="宋体" w:eastAsia="宋体" w:cs="宋体"/>
          <w:color w:val="000000"/>
          <w:kern w:val="0"/>
          <w:sz w:val="24"/>
          <w:szCs w:val="24"/>
          <w:highlight w:val="none"/>
          <w:lang w:val="en-US" w:eastAsia="zh-CN" w:bidi="ar"/>
        </w:rPr>
        <w:t>合同期内乙方擅自更换委派律师两次及以上</w:t>
      </w:r>
      <w:r>
        <w:rPr>
          <w:rFonts w:hint="eastAsia" w:ascii="宋体" w:hAnsi="宋体" w:eastAsia="宋体" w:cs="宋体"/>
          <w:color w:val="000000"/>
          <w:kern w:val="0"/>
          <w:sz w:val="24"/>
          <w:szCs w:val="24"/>
          <w:highlight w:val="none"/>
          <w:lang w:val="en-US" w:eastAsia="zh-CN" w:bidi="ar"/>
        </w:rPr>
        <w:t>的</w:t>
      </w:r>
      <w:r>
        <w:rPr>
          <w:rFonts w:ascii="宋体" w:hAnsi="宋体" w:eastAsia="宋体" w:cs="宋体"/>
          <w:color w:val="000000"/>
          <w:kern w:val="0"/>
          <w:sz w:val="24"/>
          <w:szCs w:val="24"/>
          <w:highlight w:val="none"/>
          <w:lang w:val="en-US" w:eastAsia="zh-CN" w:bidi="ar"/>
        </w:rPr>
        <w:t>，甲方有权解除合同</w:t>
      </w:r>
      <w:r>
        <w:rPr>
          <w:rFonts w:hint="eastAsia" w:ascii="Times New Roman" w:hAnsi="Times New Roman" w:cs="Times New Roman"/>
          <w:color w:val="auto"/>
          <w:sz w:val="24"/>
          <w:highlight w:val="none"/>
          <w:lang w:eastAsia="zh-CN"/>
        </w:rPr>
        <w:t>；实际服务团队与投标文件承诺严重不符的（如执业年限不符、经验不符等），甲方有权立即解除合同并要求乙方支付合同总价</w:t>
      </w: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0%的违约金。由此造成甲方损失的，乙方承担全部损失赔偿责任。</w:t>
      </w:r>
    </w:p>
    <w:p w14:paraId="548A3D98">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3.</w:t>
      </w:r>
      <w:r>
        <w:rPr>
          <w:rFonts w:hint="eastAsia" w:ascii="Times New Roman" w:hAnsi="Times New Roman" w:cs="Times New Roman"/>
          <w:color w:val="auto"/>
          <w:sz w:val="24"/>
          <w:highlight w:val="none"/>
          <w:lang w:eastAsia="zh-CN"/>
        </w:rPr>
        <w:t>乙方泄露甲方商业秘密或文件资料的，甲方有权立即解除合同并要求乙方支付合同总价</w:t>
      </w: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0%的违约金。由此造成甲方损失的，乙方承担全部损失赔偿责任。</w:t>
      </w:r>
    </w:p>
    <w:p w14:paraId="34F05803">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eastAsia="zh-CN"/>
        </w:rPr>
        <w:t>乙方委派律师违法执业或者因过错给甲方造成损失的，由乙方承担赔偿责任。</w:t>
      </w:r>
    </w:p>
    <w:p w14:paraId="044B86C7">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（二）甲方违约责任</w:t>
      </w:r>
    </w:p>
    <w:p w14:paraId="763F94AF">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甲方未按约定支付服务费的，每逾期一日按应付金额0.5</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eastAsia="zh-CN"/>
        </w:rPr>
        <w:t>支付违约金。</w:t>
      </w:r>
    </w:p>
    <w:p w14:paraId="0271D4E2">
      <w:pPr>
        <w:spacing w:line="360" w:lineRule="auto"/>
        <w:ind w:firstLine="435"/>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（三）其他约定</w:t>
      </w:r>
    </w:p>
    <w:p w14:paraId="3FF65B59">
      <w:pPr>
        <w:spacing w:line="360" w:lineRule="auto"/>
        <w:ind w:firstLine="435"/>
        <w:rPr>
          <w:highlight w:val="none"/>
        </w:rPr>
      </w:pPr>
      <w:r>
        <w:rPr>
          <w:rFonts w:hint="eastAsia" w:ascii="宋体" w:hAnsi="宋体" w:eastAsia="宋体" w:cs="宋体"/>
          <w:color w:val="000000"/>
          <w:kern w:val="0"/>
          <w:sz w:val="24"/>
          <w:szCs w:val="24"/>
          <w:highlight w:val="none"/>
          <w:lang w:val="en-US" w:eastAsia="zh-CN" w:bidi="ar"/>
        </w:rPr>
        <w:t>1.除不可抗力外，任何一方</w:t>
      </w:r>
      <w:r>
        <w:rPr>
          <w:rFonts w:ascii="宋体" w:hAnsi="宋体" w:eastAsia="宋体" w:cs="宋体"/>
          <w:color w:val="000000"/>
          <w:kern w:val="0"/>
          <w:sz w:val="24"/>
          <w:szCs w:val="24"/>
          <w:highlight w:val="none"/>
          <w:lang w:val="en-US" w:eastAsia="zh-CN" w:bidi="ar"/>
        </w:rPr>
        <w:t>无正当理由单方面终止合同的，</w:t>
      </w:r>
      <w:r>
        <w:rPr>
          <w:rFonts w:hint="eastAsia" w:ascii="宋体" w:hAnsi="宋体" w:eastAsia="宋体" w:cs="宋体"/>
          <w:color w:val="000000"/>
          <w:kern w:val="0"/>
          <w:sz w:val="24"/>
          <w:szCs w:val="24"/>
          <w:highlight w:val="none"/>
          <w:lang w:val="en-US" w:eastAsia="zh-CN" w:bidi="ar"/>
        </w:rPr>
        <w:t>守约方可要求违约方支付合</w:t>
      </w:r>
      <w:r>
        <w:rPr>
          <w:rFonts w:hint="eastAsia" w:ascii="Times New Roman" w:hAnsi="Times New Roman" w:eastAsia="宋体" w:cs="Times New Roman"/>
          <w:color w:val="auto"/>
          <w:sz w:val="24"/>
          <w:highlight w:val="none"/>
          <w:lang w:val="en-US" w:eastAsia="zh-CN"/>
        </w:rPr>
        <w:t>同总价20%的违</w:t>
      </w:r>
      <w:r>
        <w:rPr>
          <w:rFonts w:hint="eastAsia" w:ascii="宋体" w:hAnsi="宋体" w:eastAsia="宋体" w:cs="宋体"/>
          <w:color w:val="000000"/>
          <w:kern w:val="0"/>
          <w:sz w:val="24"/>
          <w:szCs w:val="24"/>
          <w:highlight w:val="none"/>
          <w:lang w:val="en-US" w:eastAsia="zh-CN" w:bidi="ar"/>
        </w:rPr>
        <w:t>约金，</w:t>
      </w:r>
      <w:r>
        <w:rPr>
          <w:rFonts w:ascii="宋体" w:hAnsi="宋体" w:eastAsia="宋体" w:cs="宋体"/>
          <w:color w:val="000000"/>
          <w:kern w:val="0"/>
          <w:sz w:val="24"/>
          <w:szCs w:val="24"/>
          <w:highlight w:val="none"/>
          <w:lang w:val="en-US" w:eastAsia="zh-CN" w:bidi="ar"/>
        </w:rPr>
        <w:t>由此造成</w:t>
      </w:r>
      <w:r>
        <w:rPr>
          <w:rFonts w:hint="eastAsia" w:ascii="宋体" w:hAnsi="宋体" w:eastAsia="宋体" w:cs="宋体"/>
          <w:color w:val="000000"/>
          <w:kern w:val="0"/>
          <w:sz w:val="24"/>
          <w:szCs w:val="24"/>
          <w:highlight w:val="none"/>
          <w:lang w:val="en-US" w:eastAsia="zh-CN" w:bidi="ar"/>
        </w:rPr>
        <w:t>守约方</w:t>
      </w:r>
      <w:r>
        <w:rPr>
          <w:rFonts w:ascii="宋体" w:hAnsi="宋体" w:eastAsia="宋体" w:cs="宋体"/>
          <w:color w:val="000000"/>
          <w:kern w:val="0"/>
          <w:sz w:val="24"/>
          <w:szCs w:val="24"/>
          <w:highlight w:val="none"/>
          <w:lang w:val="en-US" w:eastAsia="zh-CN" w:bidi="ar"/>
        </w:rPr>
        <w:t>损失的，</w:t>
      </w:r>
      <w:r>
        <w:rPr>
          <w:rFonts w:hint="eastAsia" w:ascii="宋体" w:hAnsi="宋体" w:eastAsia="宋体" w:cs="宋体"/>
          <w:color w:val="000000"/>
          <w:kern w:val="0"/>
          <w:sz w:val="24"/>
          <w:szCs w:val="24"/>
          <w:highlight w:val="none"/>
          <w:lang w:val="en-US" w:eastAsia="zh-CN" w:bidi="ar"/>
        </w:rPr>
        <w:t>违约方</w:t>
      </w:r>
      <w:r>
        <w:rPr>
          <w:rFonts w:ascii="宋体" w:hAnsi="宋体" w:eastAsia="宋体" w:cs="宋体"/>
          <w:color w:val="000000"/>
          <w:kern w:val="0"/>
          <w:sz w:val="24"/>
          <w:szCs w:val="24"/>
          <w:highlight w:val="none"/>
          <w:lang w:val="en-US" w:eastAsia="zh-CN" w:bidi="ar"/>
        </w:rPr>
        <w:t>承担全部损失赔偿责任。</w:t>
      </w:r>
    </w:p>
    <w:p w14:paraId="332CDB1C">
      <w:pPr>
        <w:keepNext w:val="0"/>
        <w:keepLines w:val="0"/>
        <w:widowControl/>
        <w:suppressLineNumbers w:val="0"/>
        <w:spacing w:line="360" w:lineRule="auto"/>
        <w:ind w:firstLine="435"/>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如果出现招标投标监督管理部门在处理投诉事项期间，书面通知甲方暂停招标活动的情形，或者询问或异议事项可能影响中标结果的，导致甲方中止履行合同的情形，均不视为甲方违约。中止超过</w:t>
      </w:r>
      <w:r>
        <w:rPr>
          <w:rFonts w:hint="eastAsia" w:ascii="Times New Roman" w:hAnsi="Times New Roman" w:cs="Times New Roman"/>
          <w:color w:val="auto"/>
          <w:sz w:val="24"/>
          <w:highlight w:val="none"/>
          <w:lang w:val="en-US" w:eastAsia="zh-CN"/>
        </w:rPr>
        <w:t>30</w:t>
      </w:r>
      <w:r>
        <w:rPr>
          <w:rFonts w:hint="default" w:ascii="Times New Roman" w:hAnsi="Times New Roman" w:cs="Times New Roman"/>
          <w:color w:val="auto"/>
          <w:sz w:val="24"/>
          <w:highlight w:val="none"/>
        </w:rPr>
        <w:t>日的，双方可协商终止合同，甲方按实际服务</w:t>
      </w:r>
      <w:r>
        <w:rPr>
          <w:rFonts w:hint="eastAsia" w:ascii="Times New Roman" w:hAnsi="Times New Roman" w:cs="Times New Roman"/>
          <w:color w:val="auto"/>
          <w:sz w:val="24"/>
          <w:highlight w:val="none"/>
          <w:lang w:eastAsia="zh-CN"/>
        </w:rPr>
        <w:t>时间</w:t>
      </w:r>
      <w:r>
        <w:rPr>
          <w:rFonts w:hint="default" w:ascii="Times New Roman" w:hAnsi="Times New Roman" w:cs="Times New Roman"/>
          <w:color w:val="auto"/>
          <w:sz w:val="24"/>
          <w:highlight w:val="none"/>
        </w:rPr>
        <w:t>支付费用</w:t>
      </w:r>
      <w:r>
        <w:rPr>
          <w:rFonts w:hint="eastAsia" w:ascii="Times New Roman" w:hAnsi="Times New Roman" w:cs="Times New Roman"/>
          <w:color w:val="auto"/>
          <w:sz w:val="24"/>
          <w:highlight w:val="none"/>
          <w:lang w:eastAsia="zh-CN"/>
        </w:rPr>
        <w:t>。</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6021"/>
      <w:bookmarkStart w:id="50" w:name="_Toc28375"/>
      <w:bookmarkStart w:id="51" w:name="_Toc15583"/>
      <w:r>
        <w:rPr>
          <w:rFonts w:hint="eastAsia" w:ascii="Times New Roman" w:hAnsi="Times New Roman" w:cs="Times New Roman"/>
          <w:b/>
          <w:bCs/>
          <w:color w:val="auto"/>
          <w:sz w:val="24"/>
          <w:highlight w:val="none"/>
          <w:lang w:val="zh-CN"/>
        </w:rPr>
        <w:t>九、</w:t>
      </w:r>
      <w:r>
        <w:rPr>
          <w:rFonts w:hint="default" w:ascii="Times New Roman" w:hAnsi="Times New Roman" w:cs="Times New Roman"/>
          <w:b/>
          <w:bCs/>
          <w:color w:val="auto"/>
          <w:sz w:val="24"/>
          <w:highlight w:val="none"/>
          <w:lang w:val="zh-CN"/>
        </w:rPr>
        <w:t>合同争议的解决</w:t>
      </w:r>
      <w:bookmarkEnd w:id="49"/>
      <w:bookmarkEnd w:id="50"/>
      <w:bookmarkEnd w:id="51"/>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本合同履行过程中发生的任何争议，双方当事人均可通过和解或者调解解决；不愿和解、调解或者和解、调解不成的，可以选择向</w:t>
      </w:r>
      <w:r>
        <w:rPr>
          <w:rFonts w:hint="eastAsia" w:ascii="Times New Roman" w:hAnsi="Times New Roman" w:cs="Times New Roman"/>
          <w:color w:val="auto"/>
          <w:sz w:val="24"/>
          <w:highlight w:val="none"/>
          <w:u w:val="single"/>
          <w:lang w:eastAsia="zh-CN"/>
        </w:rPr>
        <w:t>甲方所在地有管辖权的</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7245"/>
      <w:bookmarkStart w:id="53" w:name="_Toc11173"/>
      <w:bookmarkStart w:id="54" w:name="_Toc15322"/>
      <w:r>
        <w:rPr>
          <w:rFonts w:hint="eastAsia" w:ascii="Times New Roman" w:hAnsi="Times New Roman" w:cs="Times New Roman"/>
          <w:b/>
          <w:bCs/>
          <w:color w:val="auto"/>
          <w:sz w:val="24"/>
          <w:highlight w:val="none"/>
          <w:lang w:val="zh-CN"/>
        </w:rPr>
        <w:t>十、</w:t>
      </w:r>
      <w:r>
        <w:rPr>
          <w:rFonts w:hint="default" w:ascii="Times New Roman" w:hAnsi="Times New Roman" w:cs="Times New Roman"/>
          <w:b/>
          <w:bCs/>
          <w:color w:val="auto"/>
          <w:sz w:val="24"/>
          <w:highlight w:val="none"/>
          <w:lang w:val="zh-CN"/>
        </w:rPr>
        <w:t>合同生效</w:t>
      </w:r>
      <w:bookmarkEnd w:id="52"/>
      <w:bookmarkEnd w:id="53"/>
      <w:bookmarkEnd w:id="54"/>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本合同自双方当事人盖章时生效，一式</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份，甲方执</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份，乙方执</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份，具有同等法律效力。</w:t>
      </w:r>
    </w:p>
    <w:p w14:paraId="1B572E09">
      <w:pPr>
        <w:spacing w:line="360" w:lineRule="auto"/>
        <w:ind w:firstLine="437"/>
        <w:outlineLvl w:val="3"/>
        <w:rPr>
          <w:rFonts w:hint="eastAsia" w:ascii="Times New Roman" w:hAnsi="Times New Roman" w:eastAsia="宋体" w:cs="Times New Roman"/>
          <w:b/>
          <w:bCs/>
          <w:color w:val="auto"/>
          <w:sz w:val="24"/>
          <w:highlight w:val="none"/>
          <w:lang w:val="zh-CN" w:eastAsia="zh-CN"/>
        </w:rPr>
      </w:pPr>
      <w:r>
        <w:rPr>
          <w:rFonts w:hint="eastAsia" w:ascii="Times New Roman" w:hAnsi="Times New Roman" w:eastAsia="宋体" w:cs="Times New Roman"/>
          <w:b/>
          <w:bCs/>
          <w:color w:val="auto"/>
          <w:sz w:val="24"/>
          <w:highlight w:val="none"/>
          <w:lang w:val="zh-CN" w:eastAsia="zh-CN"/>
        </w:rPr>
        <w:t>十一、其他</w:t>
      </w:r>
    </w:p>
    <w:p w14:paraId="4AA2DF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项目除与合肥滨湖时光产业投资集团有限公司签订合同外，须同时与合肥滨湖时光教育管理有限公司及其下属公司、合肥滨湖时光体育发展有限公司及其下属公司、合肥滨湖时光空间运营管理有限公司及其下属公司、合肥滨湖时光康养产业有限公司及其下属公司分别签订常年法律服务合同，费用分开结算，签订时间由双方协商确定。各合同价格需与中标分项价格一致。</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5"/>
    <w:p w14:paraId="54920F33">
      <w:pPr>
        <w:spacing w:line="360" w:lineRule="auto"/>
        <w:jc w:val="center"/>
        <w:outlineLvl w:val="2"/>
        <w:rPr>
          <w:rFonts w:hint="eastAsia" w:ascii="宋体" w:hAnsi="宋体" w:eastAsia="宋体" w:cs="宋体"/>
          <w:b/>
          <w:sz w:val="24"/>
          <w:highlight w:val="none"/>
        </w:rPr>
      </w:pPr>
      <w:r>
        <w:rPr>
          <w:rFonts w:hint="eastAsia" w:ascii="宋体" w:hAnsi="宋体" w:eastAsia="宋体" w:cs="宋体"/>
          <w:b/>
          <w:sz w:val="24"/>
          <w:highlight w:val="none"/>
        </w:rPr>
        <w:t>第二部分 合同一般条款</w:t>
      </w:r>
    </w:p>
    <w:p w14:paraId="789D09C4">
      <w:pPr>
        <w:spacing w:line="360" w:lineRule="auto"/>
        <w:ind w:firstLine="437"/>
        <w:outlineLvl w:val="3"/>
        <w:rPr>
          <w:rFonts w:hint="eastAsia" w:ascii="宋体" w:hAnsi="宋体" w:eastAsia="宋体" w:cs="宋体"/>
          <w:b/>
          <w:bCs/>
          <w:sz w:val="24"/>
          <w:highlight w:val="none"/>
          <w:lang w:val="zh-CN"/>
        </w:rPr>
      </w:pPr>
      <w:bookmarkStart w:id="56" w:name="_Toc19614"/>
      <w:bookmarkStart w:id="57" w:name="_Ref467379205"/>
      <w:bookmarkStart w:id="58" w:name="_Ref467378463"/>
      <w:bookmarkStart w:id="59" w:name="_Toc279701240"/>
      <w:bookmarkStart w:id="60" w:name="_Ref467379225"/>
      <w:bookmarkStart w:id="61" w:name="_Ref467379214"/>
      <w:bookmarkStart w:id="62" w:name="_Ref467379195"/>
      <w:bookmarkStart w:id="63" w:name="_Ref467378499"/>
      <w:bookmarkStart w:id="64" w:name="_Ref467378404"/>
      <w:bookmarkStart w:id="65" w:name="_Toc16917"/>
      <w:bookmarkStart w:id="66" w:name="_Ref467379109"/>
      <w:bookmarkStart w:id="67" w:name="_Toc259093669"/>
      <w:bookmarkStart w:id="68" w:name="_Toc487900349"/>
      <w:bookmarkStart w:id="69" w:name="_Toc28763"/>
      <w:bookmarkStart w:id="70" w:name="_Ref467379094"/>
      <w:bookmarkStart w:id="71" w:name="_Ref467379101"/>
      <w:r>
        <w:rPr>
          <w:rFonts w:hint="eastAsia" w:ascii="宋体" w:hAnsi="宋体" w:eastAsia="宋体" w:cs="宋体"/>
          <w:b/>
          <w:bCs/>
          <w:sz w:val="24"/>
          <w:highlight w:val="none"/>
          <w:lang w:val="zh-CN"/>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086B70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3FC2673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2.1.1“合同”系指招标人和中标人签订的载明双方当事人所达成的协议，并包括所有的附件、附录和构成合同的其他文件。</w:t>
      </w:r>
    </w:p>
    <w:p w14:paraId="0656B7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2.1.2“合同价”系指根据合同约定，中标人在完全履行合同义务后，招标人应支付给中标人的价格。</w:t>
      </w:r>
    </w:p>
    <w:p w14:paraId="7BF3570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2.1.3“服务”系指中标人根据合同约定应向招标人履行的除货物和工程以外的其他招标对象，包括招标人自身需要的服务和向社会公众提供的公共服务。</w:t>
      </w:r>
    </w:p>
    <w:p w14:paraId="1CAE412B">
      <w:pPr>
        <w:spacing w:line="360" w:lineRule="auto"/>
        <w:ind w:firstLine="435"/>
        <w:rPr>
          <w:rFonts w:hint="eastAsia" w:ascii="宋体" w:hAnsi="宋体" w:eastAsia="宋体" w:cs="宋体"/>
          <w:sz w:val="24"/>
          <w:highlight w:val="none"/>
        </w:rPr>
      </w:pPr>
      <w:bookmarkStart w:id="72" w:name="_Ref467378840"/>
      <w:r>
        <w:rPr>
          <w:rFonts w:hint="eastAsia" w:ascii="宋体" w:hAnsi="宋体" w:eastAsia="宋体" w:cs="宋体"/>
          <w:sz w:val="24"/>
          <w:highlight w:val="none"/>
        </w:rPr>
        <w:t>2.1.4“甲方”系指与中标人签署合同的招标人</w:t>
      </w:r>
      <w:bookmarkEnd w:id="72"/>
      <w:r>
        <w:rPr>
          <w:rFonts w:hint="eastAsia" w:ascii="宋体" w:hAnsi="宋体" w:eastAsia="宋体" w:cs="宋体"/>
          <w:sz w:val="24"/>
          <w:highlight w:val="none"/>
        </w:rPr>
        <w:t>；招标人委托招标代理机构代表其与乙方签订合同的，招标人的授权委托书作为合同附件。</w:t>
      </w:r>
    </w:p>
    <w:p w14:paraId="4FE3B5BE">
      <w:pPr>
        <w:spacing w:line="360" w:lineRule="auto"/>
        <w:ind w:firstLine="435"/>
        <w:rPr>
          <w:rFonts w:hint="eastAsia" w:ascii="宋体" w:hAnsi="宋体" w:eastAsia="宋体" w:cs="宋体"/>
          <w:sz w:val="24"/>
          <w:highlight w:val="none"/>
        </w:rPr>
      </w:pPr>
      <w:bookmarkStart w:id="73" w:name="_Ref467379400"/>
      <w:r>
        <w:rPr>
          <w:rFonts w:hint="eastAsia" w:ascii="宋体" w:hAnsi="宋体" w:eastAsia="宋体" w:cs="宋体"/>
          <w:sz w:val="24"/>
          <w:highlight w:val="none"/>
        </w:rPr>
        <w:t>2.1.5“乙方”系指根据合同约定提供服务的中标人</w:t>
      </w:r>
      <w:bookmarkEnd w:id="73"/>
      <w:r>
        <w:rPr>
          <w:rFonts w:hint="eastAsia" w:ascii="宋体" w:hAnsi="宋体" w:eastAsia="宋体" w:cs="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D089881">
      <w:pPr>
        <w:spacing w:line="360" w:lineRule="auto"/>
        <w:ind w:firstLine="435"/>
        <w:rPr>
          <w:rFonts w:hint="eastAsia" w:ascii="宋体" w:hAnsi="宋体" w:eastAsia="宋体" w:cs="宋体"/>
          <w:sz w:val="24"/>
          <w:highlight w:val="none"/>
        </w:rPr>
      </w:pPr>
      <w:bookmarkStart w:id="74" w:name="_Ref467379436"/>
      <w:r>
        <w:rPr>
          <w:rFonts w:hint="eastAsia" w:ascii="宋体" w:hAnsi="宋体" w:eastAsia="宋体" w:cs="宋体"/>
          <w:sz w:val="24"/>
          <w:highlight w:val="none"/>
        </w:rPr>
        <w:t>2.1.6“现场”系指合同约定提供服务的地点。</w:t>
      </w:r>
      <w:bookmarkEnd w:id="74"/>
    </w:p>
    <w:p w14:paraId="6F6DFCE4">
      <w:pPr>
        <w:spacing w:line="360" w:lineRule="auto"/>
        <w:ind w:firstLine="437"/>
        <w:outlineLvl w:val="3"/>
        <w:rPr>
          <w:rFonts w:hint="eastAsia" w:ascii="宋体" w:hAnsi="宋体" w:eastAsia="宋体" w:cs="宋体"/>
          <w:b/>
          <w:bCs/>
          <w:sz w:val="24"/>
          <w:highlight w:val="none"/>
          <w:lang w:val="zh-CN"/>
        </w:rPr>
      </w:pPr>
      <w:bookmarkStart w:id="75" w:name="_Toc487900350"/>
      <w:bookmarkStart w:id="76" w:name="_Toc27635"/>
      <w:bookmarkStart w:id="77" w:name="_Toc279701241"/>
      <w:bookmarkStart w:id="78" w:name="_Toc259093670"/>
      <w:bookmarkStart w:id="79" w:name="_Toc32504"/>
      <w:r>
        <w:rPr>
          <w:rFonts w:hint="eastAsia" w:ascii="宋体" w:hAnsi="宋体" w:eastAsia="宋体" w:cs="宋体"/>
          <w:b/>
          <w:bCs/>
          <w:sz w:val="24"/>
          <w:highlight w:val="none"/>
          <w:lang w:val="zh-CN"/>
        </w:rPr>
        <w:t>2.2 技术规范</w:t>
      </w:r>
      <w:bookmarkEnd w:id="75"/>
      <w:bookmarkEnd w:id="76"/>
      <w:bookmarkEnd w:id="77"/>
      <w:bookmarkEnd w:id="78"/>
      <w:bookmarkEnd w:id="79"/>
    </w:p>
    <w:p w14:paraId="2E813DF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094703">
      <w:pPr>
        <w:spacing w:line="360" w:lineRule="auto"/>
        <w:ind w:firstLine="437"/>
        <w:outlineLvl w:val="3"/>
        <w:rPr>
          <w:rFonts w:hint="eastAsia" w:ascii="宋体" w:hAnsi="宋体" w:eastAsia="宋体" w:cs="宋体"/>
          <w:b/>
          <w:bCs/>
          <w:sz w:val="24"/>
          <w:highlight w:val="none"/>
          <w:lang w:val="zh-CN"/>
        </w:rPr>
      </w:pPr>
      <w:bookmarkStart w:id="80" w:name="_Toc259093671"/>
      <w:bookmarkStart w:id="81" w:name="_Toc279701242"/>
      <w:bookmarkStart w:id="82" w:name="_Toc9829"/>
      <w:bookmarkStart w:id="83" w:name="_Toc487900351"/>
      <w:bookmarkStart w:id="84" w:name="_Toc27853"/>
      <w:bookmarkStart w:id="85" w:name="_Toc31634"/>
      <w:r>
        <w:rPr>
          <w:rFonts w:hint="eastAsia" w:ascii="宋体" w:hAnsi="宋体" w:eastAsia="宋体" w:cs="宋体"/>
          <w:b/>
          <w:bCs/>
          <w:sz w:val="24"/>
          <w:highlight w:val="none"/>
          <w:lang w:val="zh-CN"/>
        </w:rPr>
        <w:t>2.3 知识产权</w:t>
      </w:r>
      <w:bookmarkEnd w:id="80"/>
      <w:bookmarkEnd w:id="81"/>
      <w:bookmarkEnd w:id="82"/>
      <w:bookmarkEnd w:id="83"/>
      <w:bookmarkEnd w:id="84"/>
      <w:bookmarkEnd w:id="85"/>
    </w:p>
    <w:p w14:paraId="36B5AA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84A4A9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2.3.2具有知识产权的计算机软件等货物的知识产权归属，详见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3779CFCE">
      <w:pPr>
        <w:spacing w:line="360" w:lineRule="auto"/>
        <w:ind w:firstLine="437"/>
        <w:outlineLvl w:val="3"/>
        <w:rPr>
          <w:rFonts w:hint="eastAsia" w:ascii="宋体" w:hAnsi="宋体" w:eastAsia="宋体" w:cs="宋体"/>
          <w:b/>
          <w:bCs/>
          <w:sz w:val="24"/>
          <w:highlight w:val="none"/>
          <w:lang w:val="zh-CN"/>
        </w:rPr>
      </w:pPr>
      <w:bookmarkStart w:id="86" w:name="_Toc487900354"/>
      <w:bookmarkStart w:id="87" w:name="_Ref467378591"/>
      <w:bookmarkStart w:id="88" w:name="_Ref467379527"/>
      <w:bookmarkStart w:id="89" w:name="_Ref467378541"/>
      <w:bookmarkStart w:id="90" w:name="_Toc279701245"/>
      <w:bookmarkStart w:id="91" w:name="_Ref467379536"/>
      <w:bookmarkStart w:id="92" w:name="_Toc259093674"/>
      <w:bookmarkStart w:id="93" w:name="_Ref467379542"/>
      <w:bookmarkStart w:id="94" w:name="_Toc19074"/>
      <w:bookmarkStart w:id="95" w:name="_Toc30272"/>
      <w:bookmarkStart w:id="96" w:name="_Toc26182"/>
      <w:r>
        <w:rPr>
          <w:rFonts w:hint="eastAsia" w:ascii="宋体" w:hAnsi="宋体" w:eastAsia="宋体" w:cs="宋体"/>
          <w:b/>
          <w:bCs/>
          <w:sz w:val="24"/>
          <w:highlight w:val="none"/>
          <w:lang w:val="zh-CN"/>
        </w:rPr>
        <w:t>2.</w:t>
      </w:r>
      <w:bookmarkEnd w:id="86"/>
      <w:bookmarkEnd w:id="87"/>
      <w:bookmarkEnd w:id="88"/>
      <w:bookmarkEnd w:id="89"/>
      <w:bookmarkEnd w:id="90"/>
      <w:bookmarkEnd w:id="91"/>
      <w:bookmarkEnd w:id="92"/>
      <w:bookmarkEnd w:id="93"/>
      <w:r>
        <w:rPr>
          <w:rFonts w:hint="eastAsia" w:ascii="宋体" w:hAnsi="宋体" w:eastAsia="宋体" w:cs="宋体"/>
          <w:b/>
          <w:bCs/>
          <w:sz w:val="24"/>
          <w:highlight w:val="none"/>
          <w:lang w:val="zh-CN"/>
        </w:rPr>
        <w:t>4 履约检查和问题反馈</w:t>
      </w:r>
      <w:bookmarkEnd w:id="94"/>
      <w:bookmarkEnd w:id="95"/>
      <w:bookmarkEnd w:id="96"/>
    </w:p>
    <w:p w14:paraId="3C3ADEF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D04D7B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bookmarkStart w:id="97" w:name="_Toc186431855"/>
      <w:r>
        <w:rPr>
          <w:rFonts w:hint="eastAsia" w:ascii="宋体" w:hAnsi="宋体" w:eastAsia="宋体" w:cs="宋体"/>
          <w:sz w:val="24"/>
          <w:highlight w:val="none"/>
        </w:rPr>
        <w:t>。</w:t>
      </w:r>
    </w:p>
    <w:bookmarkEnd w:id="97"/>
    <w:p w14:paraId="487D5D4B">
      <w:pPr>
        <w:spacing w:line="360" w:lineRule="auto"/>
        <w:ind w:firstLine="437"/>
        <w:outlineLvl w:val="3"/>
        <w:rPr>
          <w:rFonts w:hint="eastAsia" w:ascii="宋体" w:hAnsi="宋体" w:eastAsia="宋体" w:cs="宋体"/>
          <w:b/>
          <w:bCs/>
          <w:sz w:val="24"/>
          <w:highlight w:val="none"/>
          <w:lang w:val="zh-CN"/>
        </w:rPr>
      </w:pPr>
      <w:bookmarkStart w:id="98" w:name="_Toc19219"/>
      <w:bookmarkStart w:id="99" w:name="_Toc7836"/>
      <w:bookmarkStart w:id="100" w:name="_Toc28451"/>
      <w:r>
        <w:rPr>
          <w:rFonts w:hint="eastAsia" w:ascii="宋体" w:hAnsi="宋体" w:eastAsia="宋体" w:cs="宋体"/>
          <w:b/>
          <w:bCs/>
          <w:sz w:val="24"/>
          <w:highlight w:val="none"/>
          <w:lang w:val="zh-CN"/>
        </w:rPr>
        <w:t>2.5 结算方式和付款条件</w:t>
      </w:r>
      <w:bookmarkEnd w:id="98"/>
      <w:bookmarkEnd w:id="99"/>
      <w:bookmarkEnd w:id="100"/>
    </w:p>
    <w:p w14:paraId="3FE76C3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4B7A750D">
      <w:pPr>
        <w:spacing w:line="360" w:lineRule="auto"/>
        <w:ind w:firstLine="437"/>
        <w:outlineLvl w:val="3"/>
        <w:rPr>
          <w:rFonts w:hint="eastAsia" w:ascii="宋体" w:hAnsi="宋体" w:eastAsia="宋体" w:cs="宋体"/>
          <w:b/>
          <w:bCs/>
          <w:sz w:val="24"/>
          <w:highlight w:val="none"/>
          <w:lang w:val="zh-CN"/>
        </w:rPr>
      </w:pPr>
      <w:bookmarkStart w:id="101" w:name="_Toc259093677"/>
      <w:bookmarkStart w:id="102" w:name="_Toc487900358"/>
      <w:bookmarkStart w:id="103" w:name="_Ref467379863"/>
      <w:bookmarkStart w:id="104" w:name="_Toc279701248"/>
      <w:bookmarkStart w:id="105" w:name="_Ref467379923"/>
      <w:bookmarkStart w:id="106" w:name="_Ref467379852"/>
      <w:bookmarkStart w:id="107" w:name="_Toc774"/>
      <w:bookmarkStart w:id="108" w:name="_Toc3225"/>
      <w:r>
        <w:rPr>
          <w:rFonts w:hint="eastAsia" w:ascii="宋体" w:hAnsi="宋体" w:eastAsia="宋体" w:cs="宋体"/>
          <w:b/>
          <w:bCs/>
          <w:sz w:val="24"/>
          <w:highlight w:val="none"/>
          <w:lang w:val="zh-CN"/>
        </w:rPr>
        <w:t>2.6 技术资料</w:t>
      </w:r>
      <w:bookmarkEnd w:id="101"/>
      <w:bookmarkEnd w:id="102"/>
      <w:bookmarkEnd w:id="103"/>
      <w:bookmarkEnd w:id="104"/>
      <w:bookmarkEnd w:id="105"/>
      <w:bookmarkEnd w:id="106"/>
      <w:r>
        <w:rPr>
          <w:rFonts w:hint="eastAsia" w:ascii="宋体" w:hAnsi="宋体" w:eastAsia="宋体" w:cs="宋体"/>
          <w:b/>
          <w:bCs/>
          <w:sz w:val="24"/>
          <w:highlight w:val="none"/>
          <w:lang w:val="zh-CN"/>
        </w:rPr>
        <w:t>和保密义务</w:t>
      </w:r>
      <w:bookmarkEnd w:id="107"/>
      <w:bookmarkEnd w:id="108"/>
    </w:p>
    <w:p w14:paraId="4B1D695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2.6.1乙方有权依据合同约定和项目需要，向甲方了解有关情况，调阅有关资料等，甲方应予积极配合；</w:t>
      </w:r>
    </w:p>
    <w:p w14:paraId="0FEEF5F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2.6.2乙方有义务妥善保管和保护由甲方提供的前款信息和资料等；</w:t>
      </w:r>
    </w:p>
    <w:p w14:paraId="7C4BDA1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35D4319">
      <w:pPr>
        <w:spacing w:line="360" w:lineRule="auto"/>
        <w:ind w:firstLine="437"/>
        <w:outlineLvl w:val="3"/>
        <w:rPr>
          <w:rFonts w:hint="eastAsia" w:ascii="宋体" w:hAnsi="宋体" w:eastAsia="宋体" w:cs="宋体"/>
          <w:b/>
          <w:bCs/>
          <w:sz w:val="24"/>
          <w:highlight w:val="none"/>
          <w:lang w:val="zh-CN"/>
        </w:rPr>
      </w:pPr>
      <w:bookmarkStart w:id="109" w:name="_Toc7860"/>
      <w:r>
        <w:rPr>
          <w:rFonts w:hint="eastAsia" w:ascii="宋体" w:hAnsi="宋体" w:eastAsia="宋体" w:cs="宋体"/>
          <w:b/>
          <w:bCs/>
          <w:sz w:val="24"/>
          <w:highlight w:val="none"/>
          <w:lang w:val="zh-CN"/>
        </w:rPr>
        <w:t>2.7 质量保证</w:t>
      </w:r>
      <w:bookmarkEnd w:id="109"/>
    </w:p>
    <w:p w14:paraId="42D7EC6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2.7.1乙方应建立和完善履行合同的内部质量保证体系，并提供相关内部规章制度给甲方，以便甲方进行监督检查；</w:t>
      </w:r>
    </w:p>
    <w:p w14:paraId="3946674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2.7.2乙方应保证履行合同的人员数量和素质、软件和硬件设备的配置、场地、环境和设施等满足全面履行合同的要求，并应接受甲方的监督检查。</w:t>
      </w:r>
    </w:p>
    <w:p w14:paraId="7DF8C1ED">
      <w:pPr>
        <w:spacing w:line="360" w:lineRule="auto"/>
        <w:ind w:firstLine="437"/>
        <w:outlineLvl w:val="3"/>
        <w:rPr>
          <w:rFonts w:hint="eastAsia" w:ascii="宋体" w:hAnsi="宋体" w:eastAsia="宋体" w:cs="宋体"/>
          <w:b/>
          <w:sz w:val="24"/>
          <w:highlight w:val="none"/>
        </w:rPr>
      </w:pPr>
      <w:bookmarkStart w:id="110" w:name="_Toc22267"/>
      <w:r>
        <w:rPr>
          <w:rFonts w:hint="eastAsia" w:ascii="宋体" w:hAnsi="宋体" w:eastAsia="宋体" w:cs="宋体"/>
          <w:b/>
          <w:sz w:val="24"/>
          <w:highlight w:val="none"/>
        </w:rPr>
        <w:t>2.8 延迟履行</w:t>
      </w:r>
      <w:bookmarkEnd w:id="110"/>
    </w:p>
    <w:p w14:paraId="3410E9E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691ECB1">
      <w:pPr>
        <w:spacing w:line="360" w:lineRule="auto"/>
        <w:ind w:firstLine="437"/>
        <w:outlineLvl w:val="3"/>
        <w:rPr>
          <w:rFonts w:hint="eastAsia" w:ascii="宋体" w:hAnsi="宋体" w:eastAsia="宋体" w:cs="宋体"/>
          <w:b/>
          <w:bCs/>
          <w:sz w:val="24"/>
          <w:highlight w:val="none"/>
          <w:lang w:val="zh-CN"/>
        </w:rPr>
      </w:pPr>
      <w:bookmarkStart w:id="111" w:name="_Toc7502"/>
      <w:r>
        <w:rPr>
          <w:rFonts w:hint="eastAsia" w:ascii="宋体" w:hAnsi="宋体" w:eastAsia="宋体" w:cs="宋体"/>
          <w:b/>
          <w:bCs/>
          <w:sz w:val="24"/>
          <w:highlight w:val="none"/>
          <w:lang w:val="zh-CN"/>
        </w:rPr>
        <w:t>2.9 合同变更</w:t>
      </w:r>
      <w:bookmarkEnd w:id="111"/>
    </w:p>
    <w:p w14:paraId="4BA8474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2.9.1双方当事人协商一致，可以签订书面补充合同的形式变更合同，但不得违背采购文件确定的事项；</w:t>
      </w:r>
    </w:p>
    <w:p w14:paraId="6A9C212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2.9.2合同继续履行将损害国家利益和社会公共利益的，双方当事人应当以书面形式变更合同。有过错的一方应当承担赔偿责任，双方当事人都有过错的，各自承担相应的责任。</w:t>
      </w:r>
      <w:bookmarkStart w:id="112" w:name="_Toc279701259"/>
      <w:bookmarkStart w:id="113" w:name="_Toc487900369"/>
      <w:bookmarkStart w:id="114" w:name="_Toc259093688"/>
    </w:p>
    <w:p w14:paraId="2CDE6E88">
      <w:pPr>
        <w:spacing w:line="360" w:lineRule="auto"/>
        <w:ind w:firstLine="437"/>
        <w:outlineLvl w:val="3"/>
        <w:rPr>
          <w:rFonts w:hint="eastAsia" w:ascii="宋体" w:hAnsi="宋体" w:eastAsia="宋体" w:cs="宋体"/>
          <w:b/>
          <w:bCs/>
          <w:sz w:val="24"/>
          <w:highlight w:val="none"/>
          <w:lang w:val="zh-CN"/>
        </w:rPr>
      </w:pPr>
      <w:bookmarkStart w:id="115" w:name="_Toc10366"/>
      <w:bookmarkStart w:id="116" w:name="_Toc15237"/>
      <w:bookmarkStart w:id="117" w:name="_Toc22955"/>
      <w:r>
        <w:rPr>
          <w:rFonts w:hint="eastAsia" w:ascii="宋体" w:hAnsi="宋体" w:eastAsia="宋体" w:cs="宋体"/>
          <w:b/>
          <w:bCs/>
          <w:sz w:val="24"/>
          <w:highlight w:val="none"/>
          <w:lang w:val="zh-CN"/>
        </w:rPr>
        <w:t>2.10 合同转让</w:t>
      </w:r>
      <w:bookmarkEnd w:id="112"/>
      <w:bookmarkEnd w:id="113"/>
      <w:bookmarkEnd w:id="114"/>
      <w:r>
        <w:rPr>
          <w:rFonts w:hint="eastAsia" w:ascii="宋体" w:hAnsi="宋体" w:eastAsia="宋体" w:cs="宋体"/>
          <w:b/>
          <w:bCs/>
          <w:sz w:val="24"/>
          <w:highlight w:val="none"/>
          <w:lang w:val="zh-CN"/>
        </w:rPr>
        <w:t>和分包</w:t>
      </w:r>
      <w:bookmarkEnd w:id="115"/>
      <w:bookmarkEnd w:id="116"/>
      <w:bookmarkEnd w:id="117"/>
    </w:p>
    <w:p w14:paraId="34304AC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6AA1120A">
      <w:pPr>
        <w:spacing w:line="360" w:lineRule="auto"/>
        <w:ind w:firstLine="437"/>
        <w:outlineLvl w:val="3"/>
        <w:rPr>
          <w:rFonts w:hint="eastAsia" w:ascii="宋体" w:hAnsi="宋体" w:eastAsia="宋体" w:cs="宋体"/>
          <w:b/>
          <w:bCs/>
          <w:sz w:val="24"/>
          <w:highlight w:val="none"/>
          <w:lang w:val="zh-CN"/>
        </w:rPr>
      </w:pPr>
      <w:bookmarkStart w:id="118" w:name="_Toc14066"/>
      <w:bookmarkStart w:id="119" w:name="_Toc13566"/>
      <w:bookmarkStart w:id="120" w:name="_Toc16508"/>
      <w:r>
        <w:rPr>
          <w:rFonts w:hint="eastAsia" w:ascii="宋体" w:hAnsi="宋体" w:eastAsia="宋体" w:cs="宋体"/>
          <w:b/>
          <w:bCs/>
          <w:sz w:val="24"/>
          <w:highlight w:val="none"/>
          <w:lang w:val="zh-CN"/>
        </w:rPr>
        <w:t>2.11 不可抗力</w:t>
      </w:r>
      <w:bookmarkEnd w:id="118"/>
      <w:bookmarkEnd w:id="119"/>
      <w:bookmarkEnd w:id="120"/>
    </w:p>
    <w:p w14:paraId="233359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2.11.1如果任何一方遭遇法律规定的不可抗力，致使合同履行受阻时，履行合同的期限应予延长，延长的期限应相当于不可抗力所影响的时间；</w:t>
      </w:r>
    </w:p>
    <w:p w14:paraId="0598CF2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2.11.2因不可抗力致使不能实现合同目的的，当事人可以</w:t>
      </w:r>
      <w:r>
        <w:rPr>
          <w:rFonts w:hint="eastAsia" w:ascii="宋体" w:hAnsi="宋体" w:eastAsia="宋体" w:cs="宋体"/>
          <w:sz w:val="24"/>
          <w:highlight w:val="none"/>
          <w:lang w:eastAsia="zh-CN"/>
        </w:rPr>
        <w:t>报监管部门处理</w:t>
      </w:r>
      <w:r>
        <w:rPr>
          <w:rFonts w:hint="eastAsia" w:ascii="宋体" w:hAnsi="宋体" w:eastAsia="宋体" w:cs="宋体"/>
          <w:sz w:val="24"/>
          <w:highlight w:val="none"/>
        </w:rPr>
        <w:t>；</w:t>
      </w:r>
    </w:p>
    <w:p w14:paraId="3CE36C2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2.11.3因不可抗力致使合同有变更必要的，双方当事人应在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约定时间内以书面形式变更合同；</w:t>
      </w:r>
    </w:p>
    <w:p w14:paraId="5CCA84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2.11.4受不可抗力影响的一方在不可抗力发生后，应在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约定时间内以书面形式通知对方当事人，并在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约定时间内，将有关部门出具的证明文件送达对方当事人。</w:t>
      </w:r>
    </w:p>
    <w:p w14:paraId="0846B1DC">
      <w:pPr>
        <w:spacing w:line="360" w:lineRule="auto"/>
        <w:ind w:firstLine="437"/>
        <w:outlineLvl w:val="3"/>
        <w:rPr>
          <w:rFonts w:hint="eastAsia" w:ascii="宋体" w:hAnsi="宋体" w:eastAsia="宋体" w:cs="宋体"/>
          <w:b/>
          <w:bCs/>
          <w:sz w:val="24"/>
          <w:highlight w:val="none"/>
          <w:lang w:val="zh-CN"/>
        </w:rPr>
      </w:pPr>
      <w:bookmarkStart w:id="121" w:name="_Toc6969"/>
      <w:bookmarkStart w:id="122" w:name="_Toc689"/>
      <w:bookmarkStart w:id="123" w:name="_Toc30676"/>
      <w:bookmarkStart w:id="124" w:name="_Toc279701255"/>
      <w:bookmarkStart w:id="125" w:name="_Toc259093684"/>
      <w:bookmarkStart w:id="126" w:name="_Toc487900365"/>
      <w:r>
        <w:rPr>
          <w:rFonts w:hint="eastAsia" w:ascii="宋体" w:hAnsi="宋体" w:eastAsia="宋体" w:cs="宋体"/>
          <w:b/>
          <w:bCs/>
          <w:sz w:val="24"/>
          <w:highlight w:val="none"/>
          <w:lang w:val="zh-CN"/>
        </w:rPr>
        <w:t>2.12 税费</w:t>
      </w:r>
      <w:bookmarkEnd w:id="121"/>
      <w:bookmarkEnd w:id="122"/>
      <w:bookmarkEnd w:id="123"/>
      <w:bookmarkEnd w:id="124"/>
      <w:bookmarkEnd w:id="125"/>
      <w:bookmarkEnd w:id="126"/>
    </w:p>
    <w:p w14:paraId="6D0877E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18CADBE8">
      <w:pPr>
        <w:spacing w:line="360" w:lineRule="auto"/>
        <w:ind w:firstLine="437"/>
        <w:outlineLvl w:val="3"/>
        <w:rPr>
          <w:rFonts w:hint="eastAsia" w:ascii="宋体" w:hAnsi="宋体" w:eastAsia="宋体" w:cs="宋体"/>
          <w:b/>
          <w:bCs/>
          <w:sz w:val="24"/>
          <w:highlight w:val="none"/>
          <w:lang w:val="zh-CN"/>
        </w:rPr>
      </w:pPr>
      <w:bookmarkStart w:id="127" w:name="_Toc16959"/>
      <w:bookmarkStart w:id="128" w:name="_Toc8298"/>
      <w:bookmarkStart w:id="129" w:name="_Toc487900368"/>
      <w:bookmarkStart w:id="130" w:name="_Toc259093687"/>
      <w:bookmarkStart w:id="131" w:name="_Toc7102"/>
      <w:bookmarkStart w:id="132" w:name="_Toc279701258"/>
      <w:r>
        <w:rPr>
          <w:rFonts w:hint="eastAsia" w:ascii="宋体" w:hAnsi="宋体" w:eastAsia="宋体" w:cs="宋体"/>
          <w:b/>
          <w:bCs/>
          <w:sz w:val="24"/>
          <w:highlight w:val="none"/>
          <w:lang w:val="zh-CN"/>
        </w:rPr>
        <w:t>2.13 乙方破产</w:t>
      </w:r>
      <w:bookmarkEnd w:id="127"/>
      <w:bookmarkEnd w:id="128"/>
      <w:bookmarkEnd w:id="129"/>
      <w:bookmarkEnd w:id="130"/>
      <w:bookmarkEnd w:id="131"/>
      <w:bookmarkEnd w:id="132"/>
    </w:p>
    <w:p w14:paraId="06ECB5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47625D">
      <w:pPr>
        <w:spacing w:line="360" w:lineRule="auto"/>
        <w:ind w:firstLine="437"/>
        <w:outlineLvl w:val="3"/>
        <w:rPr>
          <w:rFonts w:hint="eastAsia" w:ascii="宋体" w:hAnsi="宋体" w:eastAsia="宋体" w:cs="宋体"/>
          <w:b/>
          <w:sz w:val="24"/>
          <w:highlight w:val="none"/>
        </w:rPr>
      </w:pPr>
      <w:bookmarkStart w:id="133" w:name="_Toc6134"/>
      <w:bookmarkStart w:id="134" w:name="_Toc15387"/>
      <w:bookmarkStart w:id="135" w:name="_Toc29333"/>
      <w:r>
        <w:rPr>
          <w:rFonts w:hint="eastAsia" w:ascii="宋体" w:hAnsi="宋体" w:eastAsia="宋体" w:cs="宋体"/>
          <w:b/>
          <w:bCs/>
          <w:sz w:val="24"/>
          <w:highlight w:val="none"/>
          <w:lang w:val="zh-CN"/>
        </w:rPr>
        <w:t>2.14 合同中止、终止</w:t>
      </w:r>
      <w:bookmarkEnd w:id="133"/>
      <w:bookmarkEnd w:id="134"/>
      <w:bookmarkEnd w:id="135"/>
    </w:p>
    <w:p w14:paraId="49A5FBF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2.14.1双方当事人不得擅自中止或者终止合同；</w:t>
      </w:r>
    </w:p>
    <w:p w14:paraId="39816DF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38C4B8B5">
      <w:pPr>
        <w:spacing w:line="360" w:lineRule="auto"/>
        <w:ind w:firstLine="437"/>
        <w:outlineLvl w:val="3"/>
        <w:rPr>
          <w:rFonts w:hint="eastAsia" w:ascii="宋体" w:hAnsi="宋体" w:eastAsia="宋体" w:cs="宋体"/>
          <w:b/>
          <w:bCs/>
          <w:sz w:val="24"/>
          <w:highlight w:val="none"/>
          <w:lang w:val="zh-CN"/>
        </w:rPr>
      </w:pPr>
      <w:bookmarkStart w:id="136" w:name="_Toc14563"/>
      <w:bookmarkStart w:id="137" w:name="_Toc6596"/>
      <w:bookmarkStart w:id="138" w:name="_Toc1125"/>
      <w:r>
        <w:rPr>
          <w:rFonts w:hint="eastAsia" w:ascii="宋体" w:hAnsi="宋体" w:eastAsia="宋体" w:cs="宋体"/>
          <w:b/>
          <w:bCs/>
          <w:sz w:val="24"/>
          <w:highlight w:val="none"/>
          <w:lang w:val="zh-CN"/>
        </w:rPr>
        <w:t>2.15 检验和验收</w:t>
      </w:r>
      <w:bookmarkEnd w:id="136"/>
      <w:bookmarkEnd w:id="137"/>
      <w:bookmarkEnd w:id="138"/>
    </w:p>
    <w:p w14:paraId="36D5AA0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2.15.1乙方按照</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的约定，定期提交服务报告，甲方按照</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的约定进行定期验收；</w:t>
      </w:r>
    </w:p>
    <w:p w14:paraId="25E60FA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99213F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2.15.3检验和验收标准、程序等具体内容以及前述验收书的效力详见</w:t>
      </w:r>
      <w:r>
        <w:rPr>
          <w:rFonts w:hint="eastAsia" w:ascii="宋体" w:hAnsi="宋体" w:eastAsia="宋体" w:cs="宋体"/>
          <w:b/>
          <w:i/>
          <w:sz w:val="24"/>
          <w:highlight w:val="none"/>
          <w:u w:val="single"/>
        </w:rPr>
        <w:t>合同专用条款</w:t>
      </w:r>
      <w:r>
        <w:rPr>
          <w:rFonts w:hint="eastAsia" w:ascii="宋体" w:hAnsi="宋体" w:eastAsia="宋体" w:cs="宋体"/>
          <w:i/>
          <w:sz w:val="24"/>
          <w:highlight w:val="none"/>
        </w:rPr>
        <w:t>。</w:t>
      </w:r>
    </w:p>
    <w:p w14:paraId="2EC73061">
      <w:pPr>
        <w:spacing w:line="360" w:lineRule="auto"/>
        <w:ind w:firstLine="437"/>
        <w:outlineLvl w:val="3"/>
        <w:rPr>
          <w:rFonts w:hint="eastAsia" w:ascii="宋体" w:hAnsi="宋体" w:eastAsia="宋体" w:cs="宋体"/>
          <w:b/>
          <w:bCs/>
          <w:sz w:val="24"/>
          <w:highlight w:val="none"/>
        </w:rPr>
      </w:pPr>
      <w:bookmarkStart w:id="139" w:name="_Toc12773"/>
      <w:bookmarkStart w:id="140" w:name="_Toc259093692"/>
      <w:bookmarkStart w:id="141" w:name="_Toc18567"/>
      <w:bookmarkStart w:id="142" w:name="_Toc487900373"/>
      <w:bookmarkStart w:id="143" w:name="_Toc10330"/>
      <w:bookmarkStart w:id="144" w:name="_Toc279701263"/>
      <w:r>
        <w:rPr>
          <w:rFonts w:hint="eastAsia" w:ascii="宋体" w:hAnsi="宋体" w:eastAsia="宋体" w:cs="宋体"/>
          <w:b/>
          <w:bCs/>
          <w:sz w:val="24"/>
          <w:highlight w:val="none"/>
        </w:rPr>
        <w:t xml:space="preserve">2.16 </w:t>
      </w:r>
      <w:r>
        <w:rPr>
          <w:rFonts w:hint="eastAsia" w:ascii="宋体" w:hAnsi="宋体" w:eastAsia="宋体" w:cs="宋体"/>
          <w:b/>
          <w:bCs/>
          <w:sz w:val="24"/>
          <w:highlight w:val="none"/>
          <w:lang w:val="zh-CN"/>
        </w:rPr>
        <w:t>合同使用的文字和适用的法律</w:t>
      </w:r>
      <w:bookmarkEnd w:id="139"/>
      <w:bookmarkEnd w:id="140"/>
      <w:bookmarkEnd w:id="141"/>
      <w:bookmarkEnd w:id="142"/>
      <w:bookmarkEnd w:id="143"/>
      <w:bookmarkEnd w:id="144"/>
    </w:p>
    <w:p w14:paraId="1089FB7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14:paraId="723013C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14:paraId="38C40A6B">
      <w:pPr>
        <w:spacing w:line="360" w:lineRule="auto"/>
        <w:ind w:firstLine="437"/>
        <w:outlineLvl w:val="3"/>
        <w:rPr>
          <w:rFonts w:hint="eastAsia" w:ascii="宋体" w:hAnsi="宋体" w:eastAsia="宋体" w:cs="宋体"/>
          <w:b/>
          <w:sz w:val="24"/>
          <w:highlight w:val="none"/>
        </w:rPr>
      </w:pPr>
      <w:bookmarkStart w:id="145" w:name="_Toc3148"/>
      <w:bookmarkStart w:id="146" w:name="_Toc12004"/>
      <w:bookmarkStart w:id="147" w:name="_Toc259093693"/>
      <w:bookmarkStart w:id="148" w:name="_Toc279701264"/>
      <w:bookmarkStart w:id="149" w:name="_Toc16673"/>
      <w:bookmarkStart w:id="150" w:name="_Toc487900374"/>
      <w:r>
        <w:rPr>
          <w:rFonts w:hint="eastAsia" w:ascii="宋体" w:hAnsi="宋体" w:eastAsia="宋体" w:cs="宋体"/>
          <w:b/>
          <w:bCs/>
          <w:sz w:val="24"/>
          <w:highlight w:val="none"/>
          <w:lang w:val="zh-CN"/>
        </w:rPr>
        <w:t>2.17 履约保证金</w:t>
      </w:r>
      <w:bookmarkEnd w:id="145"/>
      <w:bookmarkEnd w:id="146"/>
      <w:bookmarkEnd w:id="147"/>
      <w:bookmarkEnd w:id="148"/>
      <w:bookmarkEnd w:id="149"/>
    </w:p>
    <w:p w14:paraId="73A2B02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2.17.1磋商文件要求乙方提交履约保证金的，乙方应按</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约定的方式，以支票、汇票、本票或者金融机构、担保机构出具的保函等非现金形式，提交不超过合同价10%的履约保证金；</w:t>
      </w:r>
    </w:p>
    <w:p w14:paraId="5388D50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2.17.2履约保证金在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约定期间内不予退还或者应完全有效，前述约定期间届满之日起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个工作日内，甲方应将履约保证金退还乙方；</w:t>
      </w:r>
    </w:p>
    <w:p w14:paraId="670BE7A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0"/>
    <w:p w14:paraId="7EFEB1CA">
      <w:pPr>
        <w:spacing w:line="360" w:lineRule="auto"/>
        <w:ind w:firstLine="437"/>
        <w:outlineLvl w:val="3"/>
        <w:rPr>
          <w:rFonts w:hint="eastAsia" w:ascii="宋体" w:hAnsi="宋体" w:eastAsia="宋体" w:cs="宋体"/>
          <w:b/>
          <w:sz w:val="24"/>
          <w:highlight w:val="none"/>
        </w:rPr>
      </w:pPr>
      <w:bookmarkStart w:id="151" w:name="_Toc14001"/>
      <w:bookmarkStart w:id="152" w:name="_Toc6885"/>
      <w:r>
        <w:rPr>
          <w:rFonts w:hint="eastAsia" w:ascii="宋体" w:hAnsi="宋体" w:eastAsia="宋体" w:cs="宋体"/>
          <w:b/>
          <w:bCs/>
          <w:sz w:val="24"/>
          <w:highlight w:val="none"/>
          <w:lang w:val="zh-CN"/>
        </w:rPr>
        <w:t>2.18 合同份数</w:t>
      </w:r>
      <w:bookmarkEnd w:id="151"/>
      <w:bookmarkEnd w:id="152"/>
    </w:p>
    <w:p w14:paraId="3AE8B200">
      <w:pPr>
        <w:spacing w:line="360" w:lineRule="auto"/>
        <w:ind w:firstLine="435"/>
        <w:rPr>
          <w:rFonts w:hint="default" w:ascii="Times New Roman" w:hAnsi="Times New Roman" w:cs="Times New Roman"/>
          <w:color w:val="auto"/>
          <w:sz w:val="24"/>
          <w:highlight w:val="none"/>
        </w:rPr>
      </w:pPr>
      <w:r>
        <w:rPr>
          <w:rFonts w:hint="eastAsia" w:ascii="宋体" w:hAnsi="宋体" w:eastAsia="宋体" w:cs="宋体"/>
          <w:sz w:val="24"/>
          <w:highlight w:val="none"/>
        </w:rPr>
        <w:t>合同份数按</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规定，每份均具有同等法律效力。</w:t>
      </w:r>
    </w:p>
    <w:p w14:paraId="61251DCD">
      <w:pPr>
        <w:pStyle w:val="39"/>
        <w:ind w:left="0" w:leftChars="0" w:firstLine="0" w:firstLineChars="0"/>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53" w:name="_Toc247514198"/>
      <w:bookmarkStart w:id="154" w:name="_Toc184635123"/>
      <w:bookmarkStart w:id="155" w:name="_Toc26646056"/>
      <w:bookmarkStart w:id="156" w:name="_Toc300835200"/>
      <w:bookmarkStart w:id="157" w:name="_Toc247527799"/>
    </w:p>
    <w:bookmarkEnd w:id="153"/>
    <w:bookmarkEnd w:id="154"/>
    <w:bookmarkEnd w:id="155"/>
    <w:bookmarkEnd w:id="156"/>
    <w:bookmarkEnd w:id="157"/>
    <w:p w14:paraId="25680F2B">
      <w:pPr>
        <w:spacing w:line="360" w:lineRule="auto"/>
        <w:jc w:val="center"/>
        <w:outlineLvl w:val="2"/>
        <w:rPr>
          <w:rFonts w:hint="default" w:ascii="Times New Roman" w:hAnsi="Times New Roman" w:cs="Times New Roman"/>
          <w:b/>
          <w:color w:val="auto"/>
          <w:sz w:val="24"/>
          <w:highlight w:val="none"/>
        </w:rPr>
      </w:pPr>
      <w:bookmarkStart w:id="158" w:name="_Toc331685784"/>
      <w:r>
        <w:rPr>
          <w:rFonts w:hint="default" w:ascii="Times New Roman" w:hAnsi="Times New Roman" w:cs="Times New Roman"/>
          <w:b/>
          <w:color w:val="auto"/>
          <w:sz w:val="24"/>
          <w:highlight w:val="none"/>
        </w:rPr>
        <w:t>第三部分 合同专用条款</w:t>
      </w:r>
      <w:bookmarkEnd w:id="158"/>
    </w:p>
    <w:p w14:paraId="41F03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ACF2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0C7A212">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186FED7A">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5238D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B1FD8CD">
            <w:pPr>
              <w:spacing w:line="560" w:lineRule="exact"/>
              <w:rPr>
                <w:rFonts w:hint="default" w:ascii="Times New Roman" w:hAnsi="Times New Roman" w:cs="Times New Roman"/>
                <w:color w:val="auto"/>
                <w:sz w:val="24"/>
                <w:highlight w:val="none"/>
              </w:rPr>
            </w:pPr>
          </w:p>
        </w:tc>
        <w:tc>
          <w:tcPr>
            <w:tcW w:w="7568" w:type="dxa"/>
            <w:vAlign w:val="center"/>
          </w:tcPr>
          <w:p w14:paraId="47051829">
            <w:pPr>
              <w:spacing w:line="560" w:lineRule="exact"/>
              <w:rPr>
                <w:rFonts w:hint="default" w:ascii="Times New Roman" w:hAnsi="Times New Roman" w:cs="Times New Roman"/>
                <w:color w:val="auto"/>
                <w:sz w:val="24"/>
                <w:highlight w:val="none"/>
              </w:rPr>
            </w:pPr>
          </w:p>
        </w:tc>
      </w:tr>
      <w:tr w14:paraId="6DFE7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B770D55">
            <w:pPr>
              <w:spacing w:line="560" w:lineRule="exact"/>
              <w:rPr>
                <w:rFonts w:hint="default" w:ascii="Times New Roman" w:hAnsi="Times New Roman" w:cs="Times New Roman"/>
                <w:color w:val="auto"/>
                <w:sz w:val="24"/>
                <w:highlight w:val="none"/>
              </w:rPr>
            </w:pPr>
          </w:p>
        </w:tc>
        <w:tc>
          <w:tcPr>
            <w:tcW w:w="7568" w:type="dxa"/>
            <w:vAlign w:val="center"/>
          </w:tcPr>
          <w:p w14:paraId="10BA1C1C">
            <w:pPr>
              <w:spacing w:line="560" w:lineRule="exact"/>
              <w:rPr>
                <w:rFonts w:hint="default" w:ascii="Times New Roman" w:hAnsi="Times New Roman" w:cs="Times New Roman"/>
                <w:color w:val="auto"/>
                <w:sz w:val="24"/>
                <w:highlight w:val="none"/>
              </w:rPr>
            </w:pPr>
          </w:p>
        </w:tc>
      </w:tr>
      <w:tr w14:paraId="11689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7933992">
            <w:pPr>
              <w:spacing w:line="560" w:lineRule="exact"/>
              <w:rPr>
                <w:rFonts w:hint="default" w:ascii="Times New Roman" w:hAnsi="Times New Roman" w:cs="Times New Roman"/>
                <w:color w:val="auto"/>
                <w:sz w:val="24"/>
                <w:highlight w:val="none"/>
              </w:rPr>
            </w:pPr>
          </w:p>
        </w:tc>
        <w:tc>
          <w:tcPr>
            <w:tcW w:w="7568" w:type="dxa"/>
            <w:vAlign w:val="center"/>
          </w:tcPr>
          <w:p w14:paraId="619DB7AA">
            <w:pPr>
              <w:spacing w:line="560" w:lineRule="exact"/>
              <w:rPr>
                <w:rFonts w:hint="default" w:ascii="Times New Roman" w:hAnsi="Times New Roman" w:cs="Times New Roman"/>
                <w:color w:val="auto"/>
                <w:sz w:val="24"/>
                <w:highlight w:val="none"/>
              </w:rPr>
            </w:pPr>
          </w:p>
        </w:tc>
      </w:tr>
      <w:tr w14:paraId="42797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2B19174">
            <w:pPr>
              <w:spacing w:line="560" w:lineRule="exact"/>
              <w:rPr>
                <w:rFonts w:hint="default" w:ascii="Times New Roman" w:hAnsi="Times New Roman" w:cs="Times New Roman"/>
                <w:color w:val="auto"/>
                <w:sz w:val="24"/>
                <w:highlight w:val="none"/>
              </w:rPr>
            </w:pPr>
          </w:p>
        </w:tc>
        <w:tc>
          <w:tcPr>
            <w:tcW w:w="7568" w:type="dxa"/>
            <w:vAlign w:val="center"/>
          </w:tcPr>
          <w:p w14:paraId="0DE85818">
            <w:pPr>
              <w:spacing w:line="560" w:lineRule="exact"/>
              <w:rPr>
                <w:rFonts w:hint="default" w:ascii="Times New Roman" w:hAnsi="Times New Roman" w:cs="Times New Roman"/>
                <w:color w:val="auto"/>
                <w:sz w:val="24"/>
                <w:highlight w:val="none"/>
              </w:rPr>
            </w:pPr>
          </w:p>
        </w:tc>
      </w:tr>
      <w:tr w14:paraId="5BE7B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E79ED33">
            <w:pPr>
              <w:spacing w:line="560" w:lineRule="exact"/>
              <w:rPr>
                <w:rFonts w:hint="default" w:ascii="Times New Roman" w:hAnsi="Times New Roman" w:cs="Times New Roman"/>
                <w:color w:val="auto"/>
                <w:sz w:val="24"/>
                <w:highlight w:val="none"/>
              </w:rPr>
            </w:pPr>
          </w:p>
        </w:tc>
        <w:tc>
          <w:tcPr>
            <w:tcW w:w="7568" w:type="dxa"/>
            <w:vAlign w:val="center"/>
          </w:tcPr>
          <w:p w14:paraId="699DE699">
            <w:pPr>
              <w:spacing w:line="560" w:lineRule="exact"/>
              <w:rPr>
                <w:rFonts w:hint="default" w:ascii="Times New Roman" w:hAnsi="Times New Roman" w:cs="Times New Roman"/>
                <w:color w:val="auto"/>
                <w:sz w:val="24"/>
                <w:highlight w:val="none"/>
                <w:u w:val="single"/>
              </w:rPr>
            </w:pPr>
          </w:p>
        </w:tc>
      </w:tr>
      <w:tr w14:paraId="69804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9B2D0A0">
            <w:pPr>
              <w:spacing w:line="560" w:lineRule="exact"/>
              <w:rPr>
                <w:rFonts w:hint="default" w:ascii="Times New Roman" w:hAnsi="Times New Roman" w:cs="Times New Roman"/>
                <w:color w:val="auto"/>
                <w:sz w:val="24"/>
                <w:highlight w:val="none"/>
              </w:rPr>
            </w:pPr>
          </w:p>
        </w:tc>
        <w:tc>
          <w:tcPr>
            <w:tcW w:w="7568" w:type="dxa"/>
            <w:vAlign w:val="center"/>
          </w:tcPr>
          <w:p w14:paraId="058E41E6">
            <w:pPr>
              <w:spacing w:line="560" w:lineRule="exact"/>
              <w:rPr>
                <w:rFonts w:hint="default" w:ascii="Times New Roman" w:hAnsi="Times New Roman" w:cs="Times New Roman"/>
                <w:color w:val="auto"/>
                <w:sz w:val="24"/>
                <w:highlight w:val="none"/>
              </w:rPr>
            </w:pPr>
          </w:p>
        </w:tc>
      </w:tr>
      <w:tr w14:paraId="189F6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7040D18">
            <w:pPr>
              <w:spacing w:line="560" w:lineRule="exact"/>
              <w:rPr>
                <w:rFonts w:hint="default" w:ascii="Times New Roman" w:hAnsi="Times New Roman" w:cs="Times New Roman"/>
                <w:color w:val="auto"/>
                <w:sz w:val="24"/>
                <w:highlight w:val="none"/>
              </w:rPr>
            </w:pPr>
          </w:p>
        </w:tc>
        <w:tc>
          <w:tcPr>
            <w:tcW w:w="7568" w:type="dxa"/>
            <w:vAlign w:val="center"/>
          </w:tcPr>
          <w:p w14:paraId="59F93217">
            <w:pPr>
              <w:spacing w:line="560" w:lineRule="exact"/>
              <w:rPr>
                <w:rFonts w:hint="default" w:ascii="Times New Roman" w:hAnsi="Times New Roman" w:cs="Times New Roman"/>
                <w:color w:val="auto"/>
                <w:sz w:val="24"/>
                <w:highlight w:val="none"/>
                <w:u w:val="single"/>
              </w:rPr>
            </w:pPr>
          </w:p>
        </w:tc>
      </w:tr>
      <w:tr w14:paraId="47EA4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0494A5C">
            <w:pPr>
              <w:spacing w:line="560" w:lineRule="exact"/>
              <w:rPr>
                <w:rFonts w:hint="default" w:ascii="Times New Roman" w:hAnsi="Times New Roman" w:cs="Times New Roman"/>
                <w:color w:val="auto"/>
                <w:sz w:val="24"/>
                <w:highlight w:val="none"/>
              </w:rPr>
            </w:pPr>
          </w:p>
        </w:tc>
        <w:tc>
          <w:tcPr>
            <w:tcW w:w="7568" w:type="dxa"/>
            <w:vAlign w:val="center"/>
          </w:tcPr>
          <w:p w14:paraId="1811C3A7">
            <w:pPr>
              <w:spacing w:line="560" w:lineRule="exact"/>
              <w:rPr>
                <w:rFonts w:hint="default" w:ascii="Times New Roman" w:hAnsi="Times New Roman" w:cs="Times New Roman"/>
                <w:color w:val="auto"/>
                <w:sz w:val="24"/>
                <w:highlight w:val="none"/>
              </w:rPr>
            </w:pPr>
          </w:p>
        </w:tc>
      </w:tr>
      <w:tr w14:paraId="2382F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ED079B0">
            <w:pPr>
              <w:spacing w:line="560" w:lineRule="exact"/>
              <w:rPr>
                <w:rFonts w:hint="default" w:ascii="Times New Roman" w:hAnsi="Times New Roman" w:cs="Times New Roman"/>
                <w:color w:val="auto"/>
                <w:sz w:val="24"/>
                <w:highlight w:val="none"/>
              </w:rPr>
            </w:pPr>
          </w:p>
        </w:tc>
        <w:tc>
          <w:tcPr>
            <w:tcW w:w="7568" w:type="dxa"/>
            <w:vAlign w:val="center"/>
          </w:tcPr>
          <w:p w14:paraId="27E6B003">
            <w:pPr>
              <w:spacing w:line="560" w:lineRule="exact"/>
              <w:rPr>
                <w:rFonts w:hint="default" w:ascii="Times New Roman" w:hAnsi="Times New Roman" w:cs="Times New Roman"/>
                <w:color w:val="auto"/>
                <w:sz w:val="24"/>
                <w:highlight w:val="none"/>
              </w:rPr>
            </w:pPr>
          </w:p>
        </w:tc>
      </w:tr>
      <w:tr w14:paraId="1B7E4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3486C4C">
            <w:pPr>
              <w:spacing w:line="560" w:lineRule="exact"/>
              <w:rPr>
                <w:rFonts w:hint="default" w:ascii="Times New Roman" w:hAnsi="Times New Roman" w:cs="Times New Roman"/>
                <w:color w:val="auto"/>
                <w:sz w:val="24"/>
                <w:highlight w:val="none"/>
              </w:rPr>
            </w:pPr>
          </w:p>
        </w:tc>
        <w:tc>
          <w:tcPr>
            <w:tcW w:w="7568" w:type="dxa"/>
            <w:vAlign w:val="center"/>
          </w:tcPr>
          <w:p w14:paraId="7FA2F293">
            <w:pPr>
              <w:spacing w:line="560" w:lineRule="exact"/>
              <w:rPr>
                <w:rFonts w:hint="default" w:ascii="Times New Roman" w:hAnsi="Times New Roman" w:cs="Times New Roman"/>
                <w:color w:val="auto"/>
                <w:sz w:val="24"/>
                <w:highlight w:val="none"/>
              </w:rPr>
            </w:pPr>
          </w:p>
        </w:tc>
      </w:tr>
      <w:tr w14:paraId="087FA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323178D">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8400C53">
            <w:pPr>
              <w:spacing w:line="560" w:lineRule="exact"/>
              <w:rPr>
                <w:rFonts w:hint="default" w:ascii="Times New Roman" w:hAnsi="Times New Roman" w:cs="Times New Roman"/>
                <w:color w:val="auto"/>
                <w:sz w:val="24"/>
                <w:highlight w:val="none"/>
              </w:rPr>
            </w:pPr>
          </w:p>
        </w:tc>
      </w:tr>
      <w:tr w14:paraId="6AC54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3732A03">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508317D">
            <w:pPr>
              <w:spacing w:line="560" w:lineRule="exact"/>
              <w:rPr>
                <w:rFonts w:hint="default" w:ascii="Times New Roman" w:hAnsi="Times New Roman" w:cs="Times New Roman"/>
                <w:color w:val="auto"/>
                <w:sz w:val="24"/>
                <w:highlight w:val="none"/>
              </w:rPr>
            </w:pPr>
          </w:p>
        </w:tc>
      </w:tr>
    </w:tbl>
    <w:p w14:paraId="500D5C81">
      <w:pPr>
        <w:widowControl/>
        <w:jc w:val="left"/>
        <w:rPr>
          <w:rFonts w:hint="default" w:ascii="Times New Roman" w:hAnsi="Times New Roman" w:cs="Times New Roman"/>
          <w:color w:val="auto"/>
          <w:sz w:val="24"/>
          <w:highlight w:val="none"/>
        </w:rPr>
      </w:pPr>
    </w:p>
    <w:p w14:paraId="70EC1AA9">
      <w:pPr>
        <w:spacing w:line="360" w:lineRule="auto"/>
        <w:ind w:firstLine="435"/>
        <w:rPr>
          <w:rFonts w:hint="default" w:ascii="Times New Roman" w:hAnsi="Times New Roman" w:cs="Times New Roman"/>
          <w:color w:val="auto"/>
          <w:sz w:val="24"/>
          <w:highlight w:val="none"/>
        </w:rPr>
      </w:pPr>
    </w:p>
    <w:p w14:paraId="42ABA074">
      <w:pPr>
        <w:widowControl/>
        <w:tabs>
          <w:tab w:val="left" w:pos="993"/>
        </w:tabs>
        <w:adjustRightInd w:val="0"/>
        <w:snapToGrid w:val="0"/>
        <w:spacing w:line="360" w:lineRule="auto"/>
        <w:outlineLvl w:val="9"/>
        <w:rPr>
          <w:rFonts w:hint="default" w:ascii="Times New Roman" w:hAnsi="Times New Roman" w:cs="Times New Roman"/>
          <w:color w:val="auto"/>
          <w:highlight w:val="none"/>
        </w:rPr>
      </w:pPr>
    </w:p>
    <w:p w14:paraId="4D83BCE5">
      <w:pPr>
        <w:pStyle w:val="39"/>
        <w:rPr>
          <w:rFonts w:hint="default" w:ascii="Times New Roman" w:hAnsi="Times New Roman" w:cs="Times New Roman"/>
          <w:color w:val="auto"/>
          <w:highlight w:val="none"/>
        </w:rPr>
      </w:pPr>
    </w:p>
    <w:p w14:paraId="6E3FF1BD">
      <w:pPr>
        <w:pStyle w:val="38"/>
        <w:ind w:right="-21" w:firstLine="630"/>
        <w:rPr>
          <w:rFonts w:hint="default" w:ascii="Times New Roman" w:hAnsi="Times New Roman" w:cs="Times New Roman"/>
          <w:color w:val="auto"/>
          <w:highlight w:val="none"/>
        </w:rPr>
      </w:pPr>
    </w:p>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color w:val="auto"/>
          <w:kern w:val="0"/>
          <w:szCs w:val="21"/>
          <w:highlight w:val="none"/>
          <w:u w:val="single"/>
          <w:lang w:val="en-US" w:eastAsia="zh-CN" w:bidi="ar"/>
        </w:rPr>
        <w:t xml:space="preserve">           </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AE906DD">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9"/>
      <w:bookmarkStart w:id="159" w:name="_Toc10441"/>
      <w:bookmarkStart w:id="160" w:name="_Toc29760"/>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59"/>
      <w:bookmarkEnd w:id="160"/>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39"/>
        <w:ind w:left="0" w:leftChars="0" w:firstLine="0" w:firstLineChars="0"/>
        <w:jc w:val="center"/>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cs="Times New Roman"/>
          <w:b/>
          <w:color w:val="auto"/>
          <w:spacing w:val="20"/>
          <w:kern w:val="0"/>
          <w:sz w:val="30"/>
          <w:szCs w:val="30"/>
          <w:highlight w:val="none"/>
          <w:u w:val="single"/>
          <w:lang w:val="en-US" w:eastAsia="zh-CN"/>
        </w:rPr>
        <w:t>2025年度集团本部及子公司法律顾问服务采购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z w:val="32"/>
          <w:highlight w:val="none"/>
          <w:u w:val="single"/>
        </w:rPr>
        <w:t>BHSG-ZTB-2025-</w:t>
      </w:r>
      <w:r>
        <w:rPr>
          <w:rFonts w:hint="eastAsia" w:ascii="Times New Roman" w:hAnsi="Times New Roman" w:cs="Times New Roman"/>
          <w:b/>
          <w:color w:val="auto"/>
          <w:sz w:val="32"/>
          <w:highlight w:val="none"/>
          <w:u w:val="single"/>
          <w:lang w:val="en-US" w:eastAsia="zh-CN"/>
        </w:rPr>
        <w:t>39</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61" w:name="_Toc461053086"/>
      <w:bookmarkStart w:id="162" w:name="_Toc520983587"/>
      <w:bookmarkStart w:id="163" w:name="_Toc461056631"/>
      <w:r>
        <w:rPr>
          <w:rFonts w:hint="default" w:ascii="Times New Roman" w:hAnsi="Times New Roman" w:eastAsia="宋体" w:cs="Times New Roman"/>
          <w:color w:val="auto"/>
          <w:szCs w:val="28"/>
          <w:highlight w:val="none"/>
        </w:rPr>
        <w:t>投标文件资料清单</w:t>
      </w:r>
    </w:p>
    <w:p w14:paraId="74173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64" w:name="_Toc507694547"/>
      <w:bookmarkStart w:id="165" w:name="_Toc477794142"/>
      <w:r>
        <w:rPr>
          <w:rFonts w:hint="default" w:ascii="Times New Roman" w:hAnsi="Times New Roman" w:eastAsia="宋体" w:cs="Times New Roman"/>
          <w:b/>
          <w:color w:val="auto"/>
          <w:sz w:val="24"/>
          <w:highlight w:val="none"/>
        </w:rPr>
        <w:t>投标文件格式</w:t>
      </w:r>
      <w:bookmarkEnd w:id="164"/>
      <w:bookmarkEnd w:id="165"/>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071433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FB90AD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1F65CE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44198F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7FAF69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5FE685DB">
            <w:pPr>
              <w:spacing w:line="360" w:lineRule="auto"/>
              <w:jc w:val="center"/>
              <w:outlineLvl w:val="2"/>
              <w:rPr>
                <w:rFonts w:hint="default" w:ascii="Times New Roman" w:hAnsi="Times New Roman" w:eastAsia="宋体" w:cs="Times New Roman"/>
                <w:b/>
                <w:color w:val="C00000"/>
                <w:sz w:val="24"/>
                <w:highlight w:val="none"/>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DD4161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17562A1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7D134BF1">
            <w:pPr>
              <w:spacing w:line="360" w:lineRule="auto"/>
              <w:jc w:val="center"/>
              <w:outlineLvl w:val="2"/>
              <w:rPr>
                <w:rFonts w:hint="default" w:ascii="Times New Roman" w:hAnsi="Times New Roman" w:eastAsia="宋体" w:cs="Times New Roman"/>
                <w:b/>
                <w:color w:val="C00000"/>
                <w:sz w:val="24"/>
                <w:highlight w:val="none"/>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7AD7912">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4CA3543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31FB8BB3">
            <w:pPr>
              <w:spacing w:line="360" w:lineRule="auto"/>
              <w:jc w:val="center"/>
              <w:outlineLvl w:val="2"/>
              <w:rPr>
                <w:rFonts w:hint="default" w:ascii="Times New Roman" w:hAnsi="Times New Roman" w:eastAsia="宋体" w:cs="Times New Roman"/>
                <w:b/>
                <w:color w:val="C00000"/>
                <w:sz w:val="24"/>
                <w:highlight w:val="none"/>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FD5C10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C70021D">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51736162">
            <w:pPr>
              <w:spacing w:line="360" w:lineRule="auto"/>
              <w:jc w:val="center"/>
              <w:outlineLvl w:val="2"/>
              <w:rPr>
                <w:rFonts w:hint="default" w:ascii="Times New Roman" w:hAnsi="Times New Roman" w:eastAsia="宋体" w:cs="Times New Roman"/>
                <w:b/>
                <w:color w:val="C00000"/>
                <w:sz w:val="24"/>
                <w:highlight w:val="none"/>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F0C9EC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6FDDFF7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1E0C8092">
            <w:pPr>
              <w:spacing w:line="360" w:lineRule="auto"/>
              <w:jc w:val="center"/>
              <w:outlineLvl w:val="2"/>
              <w:rPr>
                <w:rFonts w:hint="default" w:ascii="Times New Roman" w:hAnsi="Times New Roman" w:eastAsia="宋体" w:cs="Times New Roman"/>
                <w:b/>
                <w:color w:val="C00000"/>
                <w:sz w:val="24"/>
                <w:highlight w:val="none"/>
              </w:rPr>
            </w:pPr>
          </w:p>
        </w:tc>
      </w:tr>
      <w:tr w14:paraId="1CAD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CC3A6E1">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226248D7">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投标人报价</w:t>
            </w:r>
          </w:p>
        </w:tc>
        <w:tc>
          <w:tcPr>
            <w:tcW w:w="1779" w:type="dxa"/>
            <w:noWrap w:val="0"/>
            <w:vAlign w:val="center"/>
          </w:tcPr>
          <w:p w14:paraId="1638FF50">
            <w:pPr>
              <w:spacing w:line="360" w:lineRule="auto"/>
              <w:jc w:val="center"/>
              <w:outlineLvl w:val="2"/>
              <w:rPr>
                <w:rFonts w:hint="default" w:ascii="Times New Roman" w:hAnsi="Times New Roman" w:eastAsia="宋体" w:cs="Times New Roman"/>
                <w:b/>
                <w:color w:val="C00000"/>
                <w:sz w:val="24"/>
                <w:highlight w:val="none"/>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F80246A">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76911E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其他相关证明材料</w:t>
            </w:r>
          </w:p>
        </w:tc>
        <w:tc>
          <w:tcPr>
            <w:tcW w:w="1779" w:type="dxa"/>
            <w:noWrap w:val="0"/>
            <w:vAlign w:val="center"/>
          </w:tcPr>
          <w:p w14:paraId="016FEF30">
            <w:pPr>
              <w:spacing w:line="360" w:lineRule="auto"/>
              <w:jc w:val="center"/>
              <w:outlineLvl w:val="2"/>
              <w:rPr>
                <w:rFonts w:hint="default" w:ascii="Times New Roman" w:hAnsi="Times New Roman" w:eastAsia="宋体" w:cs="Times New Roman"/>
                <w:b/>
                <w:color w:val="auto"/>
                <w:sz w:val="24"/>
                <w:highlight w:val="none"/>
              </w:rPr>
            </w:pPr>
          </w:p>
        </w:tc>
      </w:tr>
    </w:tbl>
    <w:p w14:paraId="5AD1085F">
      <w:pPr>
        <w:spacing w:line="360" w:lineRule="auto"/>
        <w:jc w:val="center"/>
        <w:outlineLvl w:val="2"/>
        <w:rPr>
          <w:rFonts w:hint="default" w:ascii="Times New Roman" w:hAnsi="Times New Roman" w:cs="Times New Roman"/>
          <w:b/>
          <w:color w:val="auto"/>
          <w:sz w:val="24"/>
          <w:highlight w:val="none"/>
        </w:rPr>
      </w:pPr>
    </w:p>
    <w:p w14:paraId="0AC9B251">
      <w:pPr>
        <w:spacing w:line="360" w:lineRule="auto"/>
        <w:jc w:val="center"/>
        <w:outlineLvl w:val="2"/>
        <w:rPr>
          <w:rFonts w:hint="default" w:ascii="Times New Roman" w:hAnsi="Times New Roman" w:cs="Times New Roman"/>
          <w:b/>
          <w:color w:val="auto"/>
          <w:sz w:val="24"/>
          <w:highlight w:val="none"/>
        </w:rPr>
      </w:pPr>
    </w:p>
    <w:p w14:paraId="0985BD2B">
      <w:pPr>
        <w:spacing w:line="360" w:lineRule="auto"/>
        <w:jc w:val="center"/>
        <w:outlineLvl w:val="2"/>
        <w:rPr>
          <w:rFonts w:hint="default" w:ascii="Times New Roman" w:hAnsi="Times New Roman" w:cs="Times New Roman"/>
          <w:b/>
          <w:color w:val="auto"/>
          <w:sz w:val="24"/>
          <w:highlight w:val="none"/>
        </w:rPr>
      </w:pPr>
    </w:p>
    <w:p w14:paraId="0764CA07">
      <w:pPr>
        <w:spacing w:line="360" w:lineRule="auto"/>
        <w:jc w:val="center"/>
        <w:outlineLvl w:val="2"/>
        <w:rPr>
          <w:rFonts w:hint="default" w:ascii="Times New Roman" w:hAnsi="Times New Roman" w:cs="Times New Roman"/>
          <w:b/>
          <w:color w:val="auto"/>
          <w:sz w:val="24"/>
          <w:highlight w:val="none"/>
        </w:rPr>
      </w:pPr>
    </w:p>
    <w:p w14:paraId="46E1BFD3">
      <w:pPr>
        <w:spacing w:line="360" w:lineRule="auto"/>
        <w:jc w:val="center"/>
        <w:outlineLvl w:val="2"/>
        <w:rPr>
          <w:rFonts w:hint="default" w:ascii="Times New Roman" w:hAnsi="Times New Roman" w:cs="Times New Roman"/>
          <w:b/>
          <w:color w:val="auto"/>
          <w:sz w:val="24"/>
          <w:highlight w:val="none"/>
        </w:rPr>
      </w:pPr>
    </w:p>
    <w:p w14:paraId="203641E4">
      <w:pPr>
        <w:spacing w:line="360" w:lineRule="auto"/>
        <w:jc w:val="center"/>
        <w:outlineLvl w:val="2"/>
        <w:rPr>
          <w:rFonts w:hint="default" w:ascii="Times New Roman" w:hAnsi="Times New Roman" w:cs="Times New Roman"/>
          <w:b/>
          <w:color w:val="auto"/>
          <w:sz w:val="24"/>
          <w:highlight w:val="none"/>
        </w:rPr>
      </w:pPr>
    </w:p>
    <w:p w14:paraId="7B4B3964">
      <w:pPr>
        <w:spacing w:line="360" w:lineRule="auto"/>
        <w:jc w:val="center"/>
        <w:outlineLvl w:val="2"/>
        <w:rPr>
          <w:rFonts w:hint="default" w:ascii="Times New Roman" w:hAnsi="Times New Roman" w:cs="Times New Roman"/>
          <w:b/>
          <w:color w:val="auto"/>
          <w:sz w:val="24"/>
          <w:highlight w:val="none"/>
        </w:rPr>
      </w:pPr>
    </w:p>
    <w:p w14:paraId="40BE0D5A">
      <w:pPr>
        <w:spacing w:line="360" w:lineRule="auto"/>
        <w:jc w:val="center"/>
        <w:outlineLvl w:val="2"/>
        <w:rPr>
          <w:rFonts w:hint="default" w:ascii="Times New Roman" w:hAnsi="Times New Roman" w:cs="Times New Roman"/>
          <w:b/>
          <w:color w:val="auto"/>
          <w:sz w:val="24"/>
          <w:highlight w:val="none"/>
        </w:rPr>
      </w:pPr>
    </w:p>
    <w:p w14:paraId="5E90C275">
      <w:pPr>
        <w:spacing w:line="360" w:lineRule="auto"/>
        <w:jc w:val="center"/>
        <w:outlineLvl w:val="2"/>
        <w:rPr>
          <w:rFonts w:hint="default" w:ascii="Times New Roman" w:hAnsi="Times New Roman" w:cs="Times New Roman"/>
          <w:b/>
          <w:color w:val="auto"/>
          <w:sz w:val="24"/>
          <w:highlight w:val="none"/>
        </w:rPr>
      </w:pPr>
    </w:p>
    <w:bookmarkEnd w:id="161"/>
    <w:bookmarkEnd w:id="162"/>
    <w:bookmarkEnd w:id="163"/>
    <w:p w14:paraId="5D6F0CF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744197B">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F6593D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57630F6E">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2A43910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53" w:type="dxa"/>
            <w:tcBorders>
              <w:top w:val="single" w:color="auto" w:sz="4" w:space="0"/>
              <w:bottom w:val="single" w:color="auto" w:sz="4" w:space="0"/>
              <w:right w:val="single" w:color="auto" w:sz="4" w:space="0"/>
            </w:tcBorders>
            <w:noWrap w:val="0"/>
            <w:vAlign w:val="center"/>
          </w:tcPr>
          <w:p w14:paraId="5B3FB038">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2025年度集团本部及子公司法律顾问服务采购</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1C94F95E">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53" w:type="dxa"/>
            <w:tcBorders>
              <w:top w:val="single" w:color="auto" w:sz="4" w:space="0"/>
              <w:bottom w:val="single" w:color="auto" w:sz="4" w:space="0"/>
              <w:right w:val="single" w:color="auto" w:sz="4" w:space="0"/>
            </w:tcBorders>
            <w:noWrap w:val="0"/>
            <w:vAlign w:val="center"/>
          </w:tcPr>
          <w:p w14:paraId="1E94293B">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BHSG-ZTB-2025-</w:t>
            </w:r>
            <w:r>
              <w:rPr>
                <w:rFonts w:hint="eastAsia" w:ascii="Times New Roman" w:hAnsi="Times New Roman" w:cs="Times New Roman"/>
                <w:color w:val="auto"/>
                <w:sz w:val="24"/>
                <w:highlight w:val="none"/>
                <w:lang w:val="en-US" w:eastAsia="zh-CN"/>
              </w:rPr>
              <w:t>39</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7D2D3B18">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53" w:type="dxa"/>
            <w:tcBorders>
              <w:top w:val="nil"/>
            </w:tcBorders>
            <w:noWrap w:val="0"/>
            <w:vAlign w:val="center"/>
          </w:tcPr>
          <w:p w14:paraId="56115876">
            <w:pPr>
              <w:spacing w:line="360" w:lineRule="auto"/>
              <w:rPr>
                <w:rFonts w:hint="default" w:ascii="Times New Roman" w:hAnsi="Times New Roman" w:eastAsia="宋体" w:cs="Times New Roman"/>
                <w:color w:val="auto"/>
                <w:sz w:val="24"/>
                <w:highlight w:val="none"/>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04C64D9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53" w:type="dxa"/>
            <w:tcBorders>
              <w:top w:val="nil"/>
            </w:tcBorders>
            <w:noWrap w:val="0"/>
            <w:vAlign w:val="center"/>
          </w:tcPr>
          <w:p w14:paraId="5E3B91CF">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noWrap w:val="0"/>
            <w:vAlign w:val="center"/>
          </w:tcPr>
          <w:p w14:paraId="1EA8F4D5">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22E984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53" w:type="dxa"/>
            <w:tcBorders>
              <w:top w:val="nil"/>
            </w:tcBorders>
            <w:noWrap w:val="0"/>
            <w:vAlign w:val="center"/>
          </w:tcPr>
          <w:p w14:paraId="2C7E389E">
            <w:pPr>
              <w:spacing w:line="360" w:lineRule="auto"/>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（含税）</w:t>
            </w:r>
          </w:p>
          <w:p w14:paraId="0769363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0303A4B">
            <w:pPr>
              <w:spacing w:line="360" w:lineRule="auto"/>
              <w:rPr>
                <w:rFonts w:hint="default" w:ascii="Times New Roman" w:hAnsi="Times New Roman" w:eastAsia="宋体" w:cs="Times New Roman"/>
                <w:color w:val="auto"/>
                <w:sz w:val="24"/>
                <w:highlight w:val="none"/>
              </w:rPr>
            </w:pPr>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noWrap w:val="0"/>
            <w:vAlign w:val="center"/>
          </w:tcPr>
          <w:p w14:paraId="0637FFBF">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53" w:type="dxa"/>
            <w:tcBorders>
              <w:top w:val="nil"/>
            </w:tcBorders>
            <w:noWrap w:val="0"/>
            <w:vAlign w:val="center"/>
          </w:tcPr>
          <w:p w14:paraId="6061A18D">
            <w:pPr>
              <w:spacing w:line="360" w:lineRule="auto"/>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响应</w:t>
            </w:r>
            <w:r>
              <w:rPr>
                <w:rFonts w:hint="eastAsia" w:ascii="Times New Roman" w:hAnsi="Times New Roman" w:cs="Times New Roman"/>
                <w:color w:val="auto"/>
                <w:sz w:val="24"/>
                <w:highlight w:val="none"/>
                <w:lang w:eastAsia="zh-CN"/>
              </w:rPr>
              <w:t>招标文件全部要求</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noWrap w:val="0"/>
            <w:vAlign w:val="center"/>
          </w:tcPr>
          <w:p w14:paraId="6F4F55E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53" w:type="dxa"/>
            <w:tcBorders>
              <w:top w:val="nil"/>
            </w:tcBorders>
            <w:noWrap w:val="0"/>
            <w:vAlign w:val="center"/>
          </w:tcPr>
          <w:p w14:paraId="335E89F2">
            <w:pPr>
              <w:spacing w:line="360" w:lineRule="auto"/>
              <w:rPr>
                <w:rFonts w:hint="default" w:ascii="Times New Roman" w:hAnsi="Times New Roman" w:eastAsia="宋体" w:cs="Times New Roman"/>
                <w:color w:val="auto"/>
                <w:sz w:val="24"/>
                <w:highlight w:val="none"/>
              </w:rPr>
            </w:pPr>
          </w:p>
        </w:tc>
      </w:tr>
    </w:tbl>
    <w:p w14:paraId="5259972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2B19615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7E4075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03CB804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7001E29A">
      <w:pPr>
        <w:spacing w:line="360" w:lineRule="auto"/>
        <w:jc w:val="center"/>
        <w:outlineLvl w:val="2"/>
        <w:rPr>
          <w:rFonts w:hint="default" w:ascii="Times New Roman" w:hAnsi="Times New Roman" w:cs="Times New Roman"/>
          <w:b/>
          <w:color w:val="auto"/>
          <w:sz w:val="28"/>
          <w:szCs w:val="28"/>
          <w:highlight w:val="none"/>
        </w:rPr>
      </w:pPr>
      <w:bookmarkStart w:id="166" w:name="_Toc520983591"/>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w:t>
      </w:r>
      <w:r>
        <w:rPr>
          <w:rFonts w:hint="eastAsia" w:ascii="Times New Roman" w:hAnsi="Times New Roman" w:cs="Times New Roman"/>
          <w:color w:val="auto"/>
          <w:sz w:val="24"/>
          <w:szCs w:val="24"/>
          <w:highlight w:val="none"/>
          <w:u w:val="single"/>
          <w:lang w:eastAsia="zh-CN"/>
        </w:rPr>
        <w:t>产业投资集团有限公司</w:t>
      </w:r>
    </w:p>
    <w:p w14:paraId="34851B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7C7C47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33735BD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27A444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3B854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7773087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669D07E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7B60D4B5">
      <w:pPr>
        <w:spacing w:line="360" w:lineRule="auto"/>
        <w:ind w:firstLine="435"/>
        <w:rPr>
          <w:rFonts w:hint="default" w:ascii="Times New Roman" w:hAnsi="Times New Roman" w:cs="Times New Roman"/>
          <w:color w:val="auto"/>
          <w:sz w:val="24"/>
          <w:szCs w:val="24"/>
          <w:highlight w:val="none"/>
        </w:rPr>
      </w:pPr>
    </w:p>
    <w:p w14:paraId="07C839CC">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4C49D6DE">
      <w:pPr>
        <w:spacing w:line="360" w:lineRule="auto"/>
        <w:ind w:firstLine="435"/>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44255F79">
      <w:pPr>
        <w:widowControl/>
        <w:jc w:val="center"/>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w:t>
      </w:r>
      <w:r>
        <w:rPr>
          <w:rFonts w:hint="eastAsia" w:ascii="Times New Roman" w:hAnsi="Times New Roman" w:cs="Times New Roman"/>
          <w:b/>
          <w:color w:val="auto"/>
          <w:sz w:val="28"/>
          <w:szCs w:val="28"/>
          <w:highlight w:val="none"/>
          <w:lang w:eastAsia="zh-CN"/>
        </w:rPr>
        <w:t>投标人信用承诺</w:t>
      </w:r>
    </w:p>
    <w:p w14:paraId="7502F9C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本单位郑重声明，我单位无以下不良信用记录情形：</w:t>
      </w:r>
    </w:p>
    <w:p w14:paraId="344155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741C375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74ABAD7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3A5B3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2409787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5B8A6C9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B7496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9D7C28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A44255E">
      <w:pPr>
        <w:spacing w:line="440" w:lineRule="exact"/>
        <w:ind w:firstLine="435"/>
        <w:rPr>
          <w:rFonts w:hint="default" w:ascii="Times New Roman" w:hAnsi="Times New Roman" w:cs="Times New Roman"/>
          <w:color w:val="auto"/>
          <w:sz w:val="24"/>
          <w:szCs w:val="24"/>
          <w:highlight w:val="none"/>
        </w:rPr>
      </w:pPr>
    </w:p>
    <w:p w14:paraId="3A2785F2">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84103BD">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767546A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r>
        <w:rPr>
          <w:rFonts w:hint="default" w:ascii="Times New Roman" w:hAnsi="Times New Roman" w:cs="Times New Roman"/>
          <w:color w:val="auto"/>
          <w:sz w:val="24"/>
          <w:szCs w:val="24"/>
          <w:highlight w:val="none"/>
        </w:rPr>
        <w:br w:type="page"/>
      </w:r>
    </w:p>
    <w:bookmarkEnd w:id="166"/>
    <w:p w14:paraId="34EEC3E6">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五、</w:t>
      </w:r>
      <w:r>
        <w:rPr>
          <w:rFonts w:hint="eastAsia" w:ascii="Times New Roman" w:hAnsi="Times New Roman" w:cs="Times New Roman"/>
          <w:b/>
          <w:color w:val="auto"/>
          <w:sz w:val="28"/>
          <w:szCs w:val="28"/>
          <w:highlight w:val="none"/>
          <w:lang w:val="en-US" w:eastAsia="zh-CN"/>
        </w:rPr>
        <w:t>商务响应情况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58"/>
        <w:gridCol w:w="3161"/>
        <w:gridCol w:w="1660"/>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558"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3161"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660"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15D02BF2">
            <w:pPr>
              <w:numPr>
                <w:ilvl w:val="0"/>
                <w:numId w:val="0"/>
              </w:numPr>
              <w:spacing w:line="360" w:lineRule="auto"/>
              <w:jc w:val="center"/>
              <w:outlineLvl w:val="2"/>
              <w:rPr>
                <w:rFonts w:hint="eastAsia" w:ascii="Times New Roman" w:hAnsi="Times New Roman" w:cs="Times New Roman"/>
                <w:b w:val="0"/>
                <w:bCs/>
                <w:color w:val="auto"/>
                <w:sz w:val="24"/>
                <w:szCs w:val="24"/>
                <w:highlight w:val="none"/>
                <w:vertAlign w:val="baseline"/>
                <w:lang w:val="en-US" w:eastAsia="zh-CN"/>
              </w:rPr>
            </w:pPr>
          </w:p>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558" w:type="dxa"/>
          </w:tcPr>
          <w:p w14:paraId="4234DF9A">
            <w:pPr>
              <w:numPr>
                <w:ilvl w:val="0"/>
                <w:numId w:val="0"/>
              </w:numPr>
              <w:spacing w:line="360" w:lineRule="auto"/>
              <w:jc w:val="center"/>
              <w:outlineLvl w:val="2"/>
              <w:rPr>
                <w:rFonts w:hint="eastAsia" w:ascii="Times New Roman" w:hAnsi="Times New Roman" w:cs="Times New Roman"/>
                <w:b w:val="0"/>
                <w:bCs/>
                <w:color w:val="auto"/>
                <w:sz w:val="24"/>
                <w:szCs w:val="24"/>
                <w:highlight w:val="none"/>
                <w:vertAlign w:val="baseline"/>
                <w:lang w:val="en-US" w:eastAsia="zh-CN"/>
              </w:rPr>
            </w:pPr>
          </w:p>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3161" w:type="dxa"/>
          </w:tcPr>
          <w:p w14:paraId="110F45EB">
            <w:pPr>
              <w:numPr>
                <w:ilvl w:val="0"/>
                <w:numId w:val="0"/>
              </w:numPr>
              <w:spacing w:line="360" w:lineRule="auto"/>
              <w:jc w:val="center"/>
              <w:outlineLvl w:val="2"/>
              <w:rPr>
                <w:rFonts w:hint="eastAsia" w:ascii="Times New Roman" w:hAnsi="Times New Roman" w:eastAsia="宋体" w:cs="Times New Roman"/>
                <w:b w:val="0"/>
                <w:bCs/>
                <w:color w:val="auto"/>
                <w:sz w:val="24"/>
                <w:szCs w:val="24"/>
                <w:highlight w:val="none"/>
                <w:vertAlign w:val="baseline"/>
                <w:lang w:val="en-US" w:eastAsia="zh-CN"/>
              </w:rPr>
            </w:pPr>
            <w:r>
              <w:rPr>
                <w:rFonts w:hint="default" w:ascii="Times New Roman" w:hAnsi="Times New Roman" w:cs="Times New Roman"/>
                <w:bCs/>
                <w:color w:val="auto"/>
                <w:sz w:val="24"/>
                <w:szCs w:val="24"/>
                <w:highlight w:val="none"/>
              </w:rPr>
              <w:t>合同服务期满后一个月内付清。 付款前，中标人应开具足额的增值税专用发票</w:t>
            </w:r>
            <w:r>
              <w:rPr>
                <w:rFonts w:hint="eastAsia" w:ascii="Times New Roman" w:hAnsi="Times New Roman" w:cs="Times New Roman"/>
                <w:bCs/>
                <w:color w:val="auto"/>
                <w:sz w:val="24"/>
                <w:szCs w:val="24"/>
                <w:highlight w:val="none"/>
                <w:lang w:eastAsia="zh-CN"/>
              </w:rPr>
              <w:t>。</w:t>
            </w:r>
          </w:p>
        </w:tc>
        <w:tc>
          <w:tcPr>
            <w:tcW w:w="1660"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558"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3161" w:type="dxa"/>
          </w:tcPr>
          <w:p w14:paraId="7EE0D4CC">
            <w:pPr>
              <w:numPr>
                <w:ilvl w:val="0"/>
                <w:numId w:val="0"/>
              </w:numPr>
              <w:spacing w:line="360" w:lineRule="auto"/>
              <w:jc w:val="center"/>
              <w:outlineLvl w:val="2"/>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合肥市包河区，</w:t>
            </w:r>
          </w:p>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Cs/>
                <w:color w:val="auto"/>
                <w:sz w:val="24"/>
                <w:szCs w:val="24"/>
                <w:highlight w:val="none"/>
              </w:rPr>
              <w:t>招标人指定地点。</w:t>
            </w:r>
          </w:p>
        </w:tc>
        <w:tc>
          <w:tcPr>
            <w:tcW w:w="1660"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558"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3161"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Cs/>
                <w:color w:val="auto"/>
                <w:sz w:val="24"/>
                <w:szCs w:val="24"/>
                <w:highlight w:val="none"/>
              </w:rPr>
              <w:t>自合同签订之日起一年。</w:t>
            </w:r>
          </w:p>
        </w:tc>
        <w:tc>
          <w:tcPr>
            <w:tcW w:w="1660"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47379C88">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24C6FE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302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DE47A7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4E9E41B">
      <w:pPr>
        <w:spacing w:line="360" w:lineRule="auto"/>
        <w:jc w:val="center"/>
        <w:outlineLvl w:val="2"/>
        <w:rPr>
          <w:rFonts w:hint="eastAsia" w:ascii="Times New Roman" w:hAnsi="Times New Roman" w:cs="Times New Roman"/>
          <w:b/>
          <w:color w:val="auto"/>
          <w:sz w:val="28"/>
          <w:szCs w:val="28"/>
          <w:highlight w:val="none"/>
          <w:lang w:val="en-US" w:eastAsia="zh-CN"/>
        </w:rPr>
      </w:pPr>
    </w:p>
    <w:p w14:paraId="44E7BC84">
      <w:pPr>
        <w:spacing w:line="360" w:lineRule="auto"/>
        <w:jc w:val="center"/>
        <w:outlineLvl w:val="2"/>
        <w:rPr>
          <w:rFonts w:hint="eastAsia" w:ascii="Times New Roman" w:hAnsi="Times New Roman" w:cs="Times New Roman"/>
          <w:b/>
          <w:color w:val="auto"/>
          <w:sz w:val="28"/>
          <w:szCs w:val="28"/>
          <w:highlight w:val="none"/>
          <w:lang w:val="en-US" w:eastAsia="zh-CN"/>
        </w:rPr>
      </w:pPr>
    </w:p>
    <w:p w14:paraId="4A587D57">
      <w:pPr>
        <w:spacing w:line="360" w:lineRule="auto"/>
        <w:jc w:val="center"/>
        <w:outlineLvl w:val="2"/>
        <w:rPr>
          <w:rFonts w:hint="eastAsia" w:ascii="Times New Roman" w:hAnsi="Times New Roman" w:cs="Times New Roman"/>
          <w:b/>
          <w:color w:val="auto"/>
          <w:sz w:val="28"/>
          <w:szCs w:val="28"/>
          <w:highlight w:val="none"/>
          <w:lang w:val="en-US" w:eastAsia="zh-CN"/>
        </w:rPr>
      </w:pPr>
    </w:p>
    <w:p w14:paraId="405D2B58">
      <w:pPr>
        <w:spacing w:line="360" w:lineRule="auto"/>
        <w:jc w:val="center"/>
        <w:outlineLvl w:val="2"/>
        <w:rPr>
          <w:rFonts w:hint="eastAsia" w:ascii="Times New Roman" w:hAnsi="Times New Roman" w:cs="Times New Roman"/>
          <w:b/>
          <w:color w:val="auto"/>
          <w:sz w:val="28"/>
          <w:szCs w:val="28"/>
          <w:highlight w:val="none"/>
          <w:lang w:val="en-US" w:eastAsia="zh-CN"/>
        </w:rPr>
      </w:pPr>
    </w:p>
    <w:p w14:paraId="03ADE764">
      <w:pPr>
        <w:spacing w:line="360" w:lineRule="auto"/>
        <w:jc w:val="center"/>
        <w:outlineLvl w:val="2"/>
        <w:rPr>
          <w:rFonts w:hint="eastAsia" w:ascii="Times New Roman" w:hAnsi="Times New Roman" w:cs="Times New Roman"/>
          <w:b/>
          <w:color w:val="auto"/>
          <w:sz w:val="28"/>
          <w:szCs w:val="28"/>
          <w:highlight w:val="none"/>
          <w:lang w:val="en-US" w:eastAsia="zh-CN"/>
        </w:rPr>
      </w:pPr>
    </w:p>
    <w:p w14:paraId="3A11B5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5D1C2D6A">
      <w:pPr>
        <w:spacing w:line="360" w:lineRule="auto"/>
        <w:jc w:val="center"/>
        <w:outlineLvl w:val="2"/>
        <w:rPr>
          <w:rFonts w:hint="eastAsia" w:ascii="Times New Roman" w:hAnsi="Times New Roman" w:cs="Times New Roman"/>
          <w:b/>
          <w:color w:val="auto"/>
          <w:sz w:val="28"/>
          <w:szCs w:val="28"/>
          <w:highlight w:val="none"/>
          <w:lang w:val="en-US" w:eastAsia="zh-CN"/>
        </w:rPr>
      </w:pPr>
    </w:p>
    <w:p w14:paraId="6ACB137D">
      <w:pPr>
        <w:spacing w:line="360" w:lineRule="auto"/>
        <w:jc w:val="center"/>
        <w:outlineLvl w:val="2"/>
        <w:rPr>
          <w:rFonts w:hint="eastAsia" w:ascii="Times New Roman" w:hAnsi="Times New Roman" w:cs="Times New Roman"/>
          <w:b/>
          <w:color w:val="auto"/>
          <w:sz w:val="28"/>
          <w:szCs w:val="28"/>
          <w:highlight w:val="none"/>
          <w:lang w:val="en-US" w:eastAsia="zh-CN"/>
        </w:rPr>
      </w:pPr>
    </w:p>
    <w:p w14:paraId="79810EB4">
      <w:pPr>
        <w:spacing w:line="360" w:lineRule="auto"/>
        <w:jc w:val="center"/>
        <w:outlineLvl w:val="2"/>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六、投标人报价</w:t>
      </w:r>
    </w:p>
    <w:p w14:paraId="0E54DF8E">
      <w:pPr>
        <w:tabs>
          <w:tab w:val="left" w:pos="4620"/>
        </w:tabs>
        <w:spacing w:line="360" w:lineRule="auto"/>
        <w:ind w:firstLine="480" w:firstLineChars="200"/>
        <w:jc w:val="left"/>
        <w:outlineLvl w:val="9"/>
        <w:rPr>
          <w:rFonts w:hint="eastAsia" w:ascii="Times New Roman" w:hAnsi="Times New Roman" w:eastAsia="宋体" w:cs="Times New Roman"/>
          <w:b w:val="0"/>
          <w:color w:val="auto"/>
          <w:sz w:val="24"/>
          <w:szCs w:val="20"/>
          <w:highlight w:val="none"/>
          <w:lang w:val="en-US" w:eastAsia="zh-CN"/>
        </w:rPr>
      </w:pPr>
      <w:r>
        <w:rPr>
          <w:rFonts w:hint="eastAsia" w:ascii="Times New Roman" w:hAnsi="Times New Roman" w:eastAsia="宋体" w:cs="Times New Roman"/>
          <w:b w:val="0"/>
          <w:color w:val="auto"/>
          <w:sz w:val="24"/>
          <w:szCs w:val="20"/>
          <w:highlight w:val="none"/>
          <w:lang w:val="en-US" w:eastAsia="zh-CN"/>
        </w:rPr>
        <w:t>以下报价为含税价格：</w:t>
      </w:r>
    </w:p>
    <w:tbl>
      <w:tblPr>
        <w:tblStyle w:val="41"/>
        <w:tblpPr w:leftFromText="180" w:rightFromText="180" w:vertAnchor="text" w:horzAnchor="page" w:tblpX="1575"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5661"/>
        <w:gridCol w:w="1335"/>
        <w:gridCol w:w="1335"/>
      </w:tblGrid>
      <w:tr w14:paraId="658B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6D7856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auto"/>
                <w:sz w:val="24"/>
                <w:szCs w:val="24"/>
                <w:highlight w:val="none"/>
                <w:u w:val="none"/>
                <w:vertAlign w:val="baseline"/>
                <w:lang w:val="en-US" w:eastAsia="zh-CN"/>
              </w:rPr>
            </w:pPr>
            <w:r>
              <w:rPr>
                <w:rFonts w:hint="eastAsia" w:ascii="Times New Roman" w:hAnsi="Times New Roman" w:eastAsia="宋体" w:cs="Times New Roman"/>
                <w:b/>
                <w:bCs/>
                <w:color w:val="auto"/>
                <w:sz w:val="24"/>
                <w:szCs w:val="24"/>
                <w:highlight w:val="none"/>
                <w:u w:val="none"/>
                <w:vertAlign w:val="baseline"/>
                <w:lang w:val="en-US" w:eastAsia="zh-CN"/>
              </w:rPr>
              <w:t>序号</w:t>
            </w:r>
          </w:p>
        </w:tc>
        <w:tc>
          <w:tcPr>
            <w:tcW w:w="5661" w:type="dxa"/>
          </w:tcPr>
          <w:p w14:paraId="25108F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auto"/>
                <w:sz w:val="24"/>
                <w:szCs w:val="24"/>
                <w:highlight w:val="none"/>
                <w:u w:val="none"/>
                <w:vertAlign w:val="baseline"/>
                <w:lang w:val="en-US" w:eastAsia="zh-CN"/>
              </w:rPr>
            </w:pPr>
            <w:r>
              <w:rPr>
                <w:rFonts w:hint="eastAsia" w:ascii="Times New Roman" w:hAnsi="Times New Roman" w:eastAsia="宋体" w:cs="Times New Roman"/>
                <w:b/>
                <w:bCs/>
                <w:color w:val="auto"/>
                <w:sz w:val="24"/>
                <w:szCs w:val="24"/>
                <w:highlight w:val="none"/>
                <w:u w:val="none"/>
                <w:vertAlign w:val="baseline"/>
                <w:lang w:val="en-US" w:eastAsia="zh-CN"/>
              </w:rPr>
              <w:t>公司名称</w:t>
            </w:r>
          </w:p>
        </w:tc>
        <w:tc>
          <w:tcPr>
            <w:tcW w:w="1335" w:type="dxa"/>
          </w:tcPr>
          <w:p w14:paraId="7A902C5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bCs/>
                <w:color w:val="auto"/>
                <w:sz w:val="24"/>
                <w:szCs w:val="24"/>
                <w:highlight w:val="none"/>
                <w:u w:val="none"/>
                <w:vertAlign w:val="baseline"/>
                <w:lang w:val="en-US" w:eastAsia="zh-CN"/>
              </w:rPr>
            </w:pPr>
            <w:r>
              <w:rPr>
                <w:rFonts w:hint="eastAsia" w:ascii="Times New Roman" w:hAnsi="Times New Roman" w:eastAsia="宋体" w:cs="Times New Roman"/>
                <w:b/>
                <w:bCs/>
                <w:color w:val="auto"/>
                <w:sz w:val="24"/>
                <w:szCs w:val="24"/>
                <w:highlight w:val="none"/>
                <w:u w:val="none"/>
                <w:vertAlign w:val="baseline"/>
                <w:lang w:val="en-US" w:eastAsia="zh-CN"/>
              </w:rPr>
              <w:t>报价</w:t>
            </w:r>
          </w:p>
        </w:tc>
        <w:tc>
          <w:tcPr>
            <w:tcW w:w="1335" w:type="dxa"/>
          </w:tcPr>
          <w:p w14:paraId="4DF4E1D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bCs/>
                <w:color w:val="auto"/>
                <w:sz w:val="24"/>
                <w:szCs w:val="24"/>
                <w:highlight w:val="none"/>
                <w:u w:val="none"/>
                <w:vertAlign w:val="baseline"/>
                <w:lang w:val="en-US" w:eastAsia="zh-CN"/>
              </w:rPr>
            </w:pPr>
            <w:r>
              <w:rPr>
                <w:rFonts w:hint="eastAsia" w:ascii="Times New Roman" w:hAnsi="Times New Roman" w:eastAsia="宋体" w:cs="Times New Roman"/>
                <w:b/>
                <w:bCs/>
                <w:color w:val="auto"/>
                <w:sz w:val="24"/>
                <w:szCs w:val="24"/>
                <w:highlight w:val="none"/>
                <w:u w:val="none"/>
                <w:vertAlign w:val="baseline"/>
                <w:lang w:val="en-US" w:eastAsia="zh-CN"/>
              </w:rPr>
              <w:t>总价</w:t>
            </w:r>
          </w:p>
        </w:tc>
      </w:tr>
      <w:tr w14:paraId="5124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897458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1</w:t>
            </w:r>
          </w:p>
        </w:tc>
        <w:tc>
          <w:tcPr>
            <w:tcW w:w="5661" w:type="dxa"/>
          </w:tcPr>
          <w:p w14:paraId="22A9BD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合肥滨湖时光产业投资集团有限公司</w:t>
            </w:r>
          </w:p>
        </w:tc>
        <w:tc>
          <w:tcPr>
            <w:tcW w:w="1335" w:type="dxa"/>
          </w:tcPr>
          <w:p w14:paraId="0CA5758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p>
        </w:tc>
        <w:tc>
          <w:tcPr>
            <w:tcW w:w="1335" w:type="dxa"/>
            <w:vMerge w:val="restart"/>
          </w:tcPr>
          <w:p w14:paraId="7D4EFE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val="0"/>
                <w:bCs/>
                <w:color w:val="auto"/>
                <w:kern w:val="0"/>
                <w:sz w:val="24"/>
                <w:szCs w:val="28"/>
                <w:highlight w:val="none"/>
                <w:lang w:val="en-US" w:eastAsia="zh-CN" w:bidi="ar-SA"/>
              </w:rPr>
            </w:pPr>
          </w:p>
        </w:tc>
      </w:tr>
      <w:tr w14:paraId="3ADC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61E7EC1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2</w:t>
            </w:r>
          </w:p>
        </w:tc>
        <w:tc>
          <w:tcPr>
            <w:tcW w:w="5661" w:type="dxa"/>
          </w:tcPr>
          <w:p w14:paraId="38CD2E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合肥滨湖时光教育管理有限公司及其下属公司</w:t>
            </w:r>
          </w:p>
        </w:tc>
        <w:tc>
          <w:tcPr>
            <w:tcW w:w="1335" w:type="dxa"/>
          </w:tcPr>
          <w:p w14:paraId="3484C3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p>
        </w:tc>
        <w:tc>
          <w:tcPr>
            <w:tcW w:w="1335" w:type="dxa"/>
            <w:vMerge w:val="continue"/>
          </w:tcPr>
          <w:p w14:paraId="39F9741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val="0"/>
                <w:bCs/>
                <w:color w:val="auto"/>
                <w:kern w:val="0"/>
                <w:sz w:val="24"/>
                <w:szCs w:val="28"/>
                <w:highlight w:val="none"/>
                <w:lang w:val="en-US" w:eastAsia="zh-CN" w:bidi="ar-SA"/>
              </w:rPr>
            </w:pPr>
          </w:p>
        </w:tc>
      </w:tr>
      <w:tr w14:paraId="6528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4B5E72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3</w:t>
            </w:r>
          </w:p>
        </w:tc>
        <w:tc>
          <w:tcPr>
            <w:tcW w:w="5661" w:type="dxa"/>
          </w:tcPr>
          <w:p w14:paraId="42D11E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合肥滨湖时光体育发展有限公司及其下属公司</w:t>
            </w:r>
          </w:p>
        </w:tc>
        <w:tc>
          <w:tcPr>
            <w:tcW w:w="1335" w:type="dxa"/>
          </w:tcPr>
          <w:p w14:paraId="2E231C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p>
        </w:tc>
        <w:tc>
          <w:tcPr>
            <w:tcW w:w="1335" w:type="dxa"/>
            <w:vMerge w:val="continue"/>
          </w:tcPr>
          <w:p w14:paraId="45ADAF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val="0"/>
                <w:bCs/>
                <w:color w:val="auto"/>
                <w:kern w:val="0"/>
                <w:sz w:val="24"/>
                <w:szCs w:val="28"/>
                <w:highlight w:val="none"/>
                <w:lang w:val="en-US" w:eastAsia="zh-CN" w:bidi="ar-SA"/>
              </w:rPr>
            </w:pPr>
          </w:p>
        </w:tc>
      </w:tr>
      <w:tr w14:paraId="6515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44C10B6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4</w:t>
            </w:r>
          </w:p>
        </w:tc>
        <w:tc>
          <w:tcPr>
            <w:tcW w:w="5661" w:type="dxa"/>
          </w:tcPr>
          <w:p w14:paraId="1770367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合肥滨湖时光空间运营管理有限公司及其下属公司</w:t>
            </w:r>
          </w:p>
        </w:tc>
        <w:tc>
          <w:tcPr>
            <w:tcW w:w="1335" w:type="dxa"/>
          </w:tcPr>
          <w:p w14:paraId="71A74DB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p>
        </w:tc>
        <w:tc>
          <w:tcPr>
            <w:tcW w:w="1335" w:type="dxa"/>
            <w:vMerge w:val="continue"/>
          </w:tcPr>
          <w:p w14:paraId="6A0B154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val="0"/>
                <w:bCs/>
                <w:color w:val="auto"/>
                <w:kern w:val="0"/>
                <w:sz w:val="24"/>
                <w:szCs w:val="28"/>
                <w:highlight w:val="none"/>
                <w:lang w:val="en-US" w:eastAsia="zh-CN" w:bidi="ar-SA"/>
              </w:rPr>
            </w:pPr>
          </w:p>
        </w:tc>
      </w:tr>
      <w:tr w14:paraId="2996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DE8BB7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vertAlign w:val="baseline"/>
                <w:lang w:val="en-US" w:eastAsia="zh-CN"/>
              </w:rPr>
              <w:t>5</w:t>
            </w:r>
          </w:p>
        </w:tc>
        <w:tc>
          <w:tcPr>
            <w:tcW w:w="5661" w:type="dxa"/>
          </w:tcPr>
          <w:p w14:paraId="5394236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r>
              <w:rPr>
                <w:rFonts w:hint="eastAsia" w:ascii="Times New Roman" w:hAnsi="Times New Roman" w:eastAsia="宋体" w:cs="Times New Roman"/>
                <w:b w:val="0"/>
                <w:bCs/>
                <w:color w:val="auto"/>
                <w:kern w:val="0"/>
                <w:sz w:val="24"/>
                <w:szCs w:val="28"/>
                <w:highlight w:val="none"/>
                <w:lang w:val="en-US" w:eastAsia="zh-CN" w:bidi="ar-SA"/>
              </w:rPr>
              <w:t>合肥滨湖时光康养产业有限公司及其下属公司</w:t>
            </w:r>
          </w:p>
        </w:tc>
        <w:tc>
          <w:tcPr>
            <w:tcW w:w="1335" w:type="dxa"/>
          </w:tcPr>
          <w:p w14:paraId="1EC3E4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val="0"/>
                <w:bCs/>
                <w:color w:val="auto"/>
                <w:kern w:val="0"/>
                <w:sz w:val="24"/>
                <w:szCs w:val="28"/>
                <w:highlight w:val="none"/>
                <w:lang w:val="en-US" w:eastAsia="zh-CN" w:bidi="ar-SA"/>
              </w:rPr>
            </w:pPr>
          </w:p>
        </w:tc>
        <w:tc>
          <w:tcPr>
            <w:tcW w:w="1335" w:type="dxa"/>
            <w:vMerge w:val="continue"/>
          </w:tcPr>
          <w:p w14:paraId="74B04A8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val="0"/>
                <w:bCs/>
                <w:color w:val="auto"/>
                <w:kern w:val="0"/>
                <w:sz w:val="24"/>
                <w:szCs w:val="28"/>
                <w:highlight w:val="none"/>
                <w:lang w:val="en-US" w:eastAsia="zh-CN" w:bidi="ar-SA"/>
              </w:rPr>
            </w:pPr>
          </w:p>
        </w:tc>
      </w:tr>
    </w:tbl>
    <w:p w14:paraId="33B05A81">
      <w:pPr>
        <w:spacing w:line="360" w:lineRule="auto"/>
        <w:jc w:val="center"/>
        <w:outlineLvl w:val="2"/>
        <w:rPr>
          <w:rFonts w:hint="eastAsia" w:ascii="Times New Roman" w:hAnsi="Times New Roman" w:cs="Times New Roman"/>
          <w:b/>
          <w:color w:val="auto"/>
          <w:sz w:val="28"/>
          <w:szCs w:val="28"/>
          <w:highlight w:val="none"/>
          <w:lang w:val="en-US" w:eastAsia="zh-CN"/>
        </w:rPr>
      </w:pPr>
    </w:p>
    <w:p w14:paraId="1087260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81E835E">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B63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0EDB4DBC">
      <w:pPr>
        <w:spacing w:line="360" w:lineRule="auto"/>
        <w:jc w:val="center"/>
        <w:outlineLvl w:val="2"/>
        <w:rPr>
          <w:rFonts w:hint="eastAsia" w:ascii="Times New Roman" w:hAnsi="Times New Roman" w:cs="Times New Roman"/>
          <w:b/>
          <w:color w:val="auto"/>
          <w:sz w:val="28"/>
          <w:szCs w:val="28"/>
          <w:highlight w:val="none"/>
          <w:lang w:val="en-US" w:eastAsia="zh-CN"/>
        </w:rPr>
      </w:pPr>
    </w:p>
    <w:p w14:paraId="132C25CF">
      <w:pPr>
        <w:spacing w:line="360" w:lineRule="auto"/>
        <w:jc w:val="center"/>
        <w:outlineLvl w:val="2"/>
        <w:rPr>
          <w:rFonts w:hint="eastAsia" w:ascii="Times New Roman" w:hAnsi="Times New Roman" w:cs="Times New Roman"/>
          <w:b/>
          <w:color w:val="auto"/>
          <w:sz w:val="28"/>
          <w:szCs w:val="28"/>
          <w:highlight w:val="none"/>
          <w:lang w:val="en-US" w:eastAsia="zh-CN"/>
        </w:rPr>
      </w:pPr>
    </w:p>
    <w:p w14:paraId="4F8BCF58">
      <w:pPr>
        <w:spacing w:line="360" w:lineRule="auto"/>
        <w:jc w:val="center"/>
        <w:outlineLvl w:val="2"/>
        <w:rPr>
          <w:rFonts w:hint="eastAsia" w:ascii="Times New Roman" w:hAnsi="Times New Roman" w:cs="Times New Roman"/>
          <w:b/>
          <w:color w:val="auto"/>
          <w:sz w:val="28"/>
          <w:szCs w:val="28"/>
          <w:highlight w:val="none"/>
          <w:lang w:val="en-US" w:eastAsia="zh-CN"/>
        </w:rPr>
      </w:pPr>
    </w:p>
    <w:p w14:paraId="7DBE6860">
      <w:pPr>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br w:type="page"/>
      </w: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七</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r>
        <w:rPr>
          <w:rFonts w:hint="eastAsia" w:ascii="Times New Roman" w:hAnsi="Times New Roman" w:cs="Times New Roman"/>
          <w:color w:val="auto"/>
          <w:sz w:val="24"/>
          <w:highlight w:val="none"/>
          <w:lang w:eastAsia="zh-CN"/>
        </w:rPr>
        <w:t>，如相关资质证明、相关业绩证明材料、投标人实力证明材料、人员服务方案、常年法律顾问服务方案等</w:t>
      </w:r>
      <w:r>
        <w:rPr>
          <w:rFonts w:hint="default" w:ascii="Times New Roman" w:hAnsi="Times New Roman" w:cs="Times New Roman"/>
          <w:color w:val="auto"/>
          <w:sz w:val="24"/>
          <w:highlight w:val="none"/>
        </w:rPr>
        <w:t>。</w:t>
      </w:r>
    </w:p>
    <w:p w14:paraId="1E93CF9A">
      <w:pPr>
        <w:spacing w:line="360" w:lineRule="auto"/>
        <w:ind w:firstLine="435"/>
        <w:rPr>
          <w:rFonts w:hint="default" w:ascii="Times New Roman" w:hAnsi="Times New Roman" w:cs="Times New Roman"/>
          <w:color w:val="auto"/>
          <w:sz w:val="24"/>
          <w:highlight w:val="none"/>
        </w:rPr>
      </w:pPr>
    </w:p>
    <w:p w14:paraId="09FB86B4">
      <w:pPr>
        <w:rPr>
          <w:rFonts w:hint="default" w:ascii="Times New Roman" w:hAnsi="Times New Roman" w:cs="Times New Roman"/>
          <w:color w:val="auto"/>
          <w:sz w:val="24"/>
          <w:highlight w:val="none"/>
        </w:rPr>
      </w:pPr>
    </w:p>
    <w:p w14:paraId="637A1F50">
      <w:pPr>
        <w:pStyle w:val="32"/>
        <w:rPr>
          <w:rFonts w:hint="default" w:ascii="Times New Roman" w:hAnsi="Times New Roman" w:cs="Times New Roman"/>
          <w:color w:val="auto"/>
          <w:sz w:val="24"/>
          <w:highlight w:val="none"/>
        </w:rPr>
      </w:pPr>
    </w:p>
    <w:p w14:paraId="08F09FF2">
      <w:pPr>
        <w:rPr>
          <w:rFonts w:hint="default" w:ascii="Times New Roman" w:hAnsi="Times New Roman" w:cs="Times New Roman"/>
          <w:color w:val="auto"/>
          <w:sz w:val="28"/>
          <w:szCs w:val="28"/>
          <w:highlight w:val="none"/>
        </w:rPr>
      </w:pPr>
    </w:p>
    <w:p w14:paraId="22B03B12">
      <w:pPr>
        <w:jc w:val="center"/>
        <w:rPr>
          <w:rFonts w:hint="default" w:ascii="Times New Roman" w:hAnsi="Times New Roman" w:cs="Times New Roman"/>
          <w:color w:val="auto"/>
          <w:sz w:val="32"/>
          <w:szCs w:val="28"/>
          <w:highlight w:val="none"/>
          <w:lang w:val="en-US" w:eastAsia="zh-CN"/>
        </w:rPr>
      </w:pPr>
    </w:p>
    <w:p w14:paraId="6DE44BE9">
      <w:pPr>
        <w:jc w:val="center"/>
        <w:rPr>
          <w:rFonts w:hint="default" w:ascii="Times New Roman" w:hAnsi="Times New Roman" w:eastAsia="宋体" w:cs="Times New Roman"/>
          <w:color w:val="auto"/>
          <w:sz w:val="32"/>
          <w:szCs w:val="28"/>
          <w:highlight w:val="none"/>
          <w:lang w:val="en-US" w:eastAsia="zh-CN"/>
        </w:rPr>
      </w:pPr>
    </w:p>
    <w:p w14:paraId="75C39B4A">
      <w:pPr>
        <w:pStyle w:val="58"/>
        <w:rPr>
          <w:rFonts w:hint="default"/>
          <w:highlight w:val="none"/>
          <w:lang w:val="en-US" w:eastAsia="zh-CN"/>
        </w:rPr>
      </w:pPr>
    </w:p>
    <w:p w14:paraId="41DEB7D4">
      <w:pPr>
        <w:jc w:val="center"/>
        <w:rPr>
          <w:rFonts w:hint="default" w:ascii="Times New Roman" w:hAnsi="Times New Roman" w:eastAsia="宋体" w:cs="Times New Roman"/>
          <w:color w:val="auto"/>
          <w:sz w:val="32"/>
          <w:szCs w:val="28"/>
          <w:highlight w:val="none"/>
          <w:lang w:val="en-US" w:eastAsia="zh-CN"/>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940F73-2AE5-4016-B49B-6293A227C99A}"/>
  </w:font>
  <w:font w:name="黑体">
    <w:panose1 w:val="02010609060101010101"/>
    <w:charset w:val="86"/>
    <w:family w:val="auto"/>
    <w:pitch w:val="default"/>
    <w:sig w:usb0="800002BF" w:usb1="38CF7CFA" w:usb2="00000016" w:usb3="00000000" w:csb0="00040001" w:csb1="00000000"/>
    <w:embedRegular r:id="rId2" w:fontKey="{FEFAA8B4-1455-463E-8384-3BCDD5D561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9EB5296-415A-4EF7-AF24-1EC02C32CC2F}"/>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161A8384-56BE-4805-BF69-4EB97AF48F3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B3BBB"/>
    <w:multiLevelType w:val="singleLevel"/>
    <w:tmpl w:val="D7BB3BBB"/>
    <w:lvl w:ilvl="0" w:tentative="0">
      <w:start w:val="3"/>
      <w:numFmt w:val="chineseCounting"/>
      <w:suff w:val="nothing"/>
      <w:lvlText w:val="%1、"/>
      <w:lvlJc w:val="left"/>
      <w:pPr>
        <w:ind w:left="-17"/>
      </w:pPr>
      <w:rPr>
        <w:rFonts w:hint="eastAsia"/>
      </w:rPr>
    </w:lvl>
  </w:abstractNum>
  <w:abstractNum w:abstractNumId="1">
    <w:nsid w:val="FFFCB768"/>
    <w:multiLevelType w:val="singleLevel"/>
    <w:tmpl w:val="FFFCB76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E61381"/>
    <w:rsid w:val="07F33DC6"/>
    <w:rsid w:val="085F62D4"/>
    <w:rsid w:val="08935065"/>
    <w:rsid w:val="08B50556"/>
    <w:rsid w:val="08D12F8B"/>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7EFAF2"/>
    <w:rsid w:val="0DA93E40"/>
    <w:rsid w:val="0DE40111"/>
    <w:rsid w:val="0DEE10BE"/>
    <w:rsid w:val="0DF43E62"/>
    <w:rsid w:val="0DFEF84A"/>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0FFC802F"/>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E21ED"/>
    <w:rsid w:val="15ED0E47"/>
    <w:rsid w:val="15F72A6C"/>
    <w:rsid w:val="16077FE3"/>
    <w:rsid w:val="161D0664"/>
    <w:rsid w:val="163B0AEA"/>
    <w:rsid w:val="165A2044"/>
    <w:rsid w:val="16640041"/>
    <w:rsid w:val="166762DE"/>
    <w:rsid w:val="166B13D0"/>
    <w:rsid w:val="16730284"/>
    <w:rsid w:val="16930926"/>
    <w:rsid w:val="16FC651F"/>
    <w:rsid w:val="172F32B7"/>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B78BC9"/>
    <w:rsid w:val="1AC2012B"/>
    <w:rsid w:val="1AC83E8D"/>
    <w:rsid w:val="1AD05CA5"/>
    <w:rsid w:val="1AD67E21"/>
    <w:rsid w:val="1AEEA49F"/>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CF712A1"/>
    <w:rsid w:val="1D1633DB"/>
    <w:rsid w:val="1D3028A5"/>
    <w:rsid w:val="1D5EE0DA"/>
    <w:rsid w:val="1D653FD5"/>
    <w:rsid w:val="1D813BCE"/>
    <w:rsid w:val="1D862F93"/>
    <w:rsid w:val="1D9236E6"/>
    <w:rsid w:val="1D931E0A"/>
    <w:rsid w:val="1DB14C98"/>
    <w:rsid w:val="1DB573D4"/>
    <w:rsid w:val="1DCF7EF7"/>
    <w:rsid w:val="1DE33F41"/>
    <w:rsid w:val="1DE94DA0"/>
    <w:rsid w:val="1DF148B0"/>
    <w:rsid w:val="1DFBD90D"/>
    <w:rsid w:val="1E0B65F8"/>
    <w:rsid w:val="1E564A2C"/>
    <w:rsid w:val="1E79668E"/>
    <w:rsid w:val="1E901008"/>
    <w:rsid w:val="1EAE49C7"/>
    <w:rsid w:val="1EDF0949"/>
    <w:rsid w:val="1F4B3F19"/>
    <w:rsid w:val="1F58571C"/>
    <w:rsid w:val="1F614D81"/>
    <w:rsid w:val="1FC972B5"/>
    <w:rsid w:val="1FDDF4E3"/>
    <w:rsid w:val="1FF4147B"/>
    <w:rsid w:val="1FF561AE"/>
    <w:rsid w:val="1FF5DA6A"/>
    <w:rsid w:val="1FF5E8D0"/>
    <w:rsid w:val="1FFF6932"/>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70488"/>
    <w:rsid w:val="22CC3F58"/>
    <w:rsid w:val="22FD1E5A"/>
    <w:rsid w:val="23051DB7"/>
    <w:rsid w:val="231F1703"/>
    <w:rsid w:val="23221B80"/>
    <w:rsid w:val="2329538E"/>
    <w:rsid w:val="23900769"/>
    <w:rsid w:val="23AB72A0"/>
    <w:rsid w:val="23AC3027"/>
    <w:rsid w:val="23B55F2B"/>
    <w:rsid w:val="23D031BA"/>
    <w:rsid w:val="23F073B8"/>
    <w:rsid w:val="23F1BF3C"/>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C0B83"/>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7FB7D1"/>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7BCBD1"/>
    <w:rsid w:val="2EA64F2E"/>
    <w:rsid w:val="2EB2322D"/>
    <w:rsid w:val="2EB77450"/>
    <w:rsid w:val="2EF642E1"/>
    <w:rsid w:val="2EFB2629"/>
    <w:rsid w:val="2F0401BB"/>
    <w:rsid w:val="2F0E519C"/>
    <w:rsid w:val="2F290682"/>
    <w:rsid w:val="2F2B74F6"/>
    <w:rsid w:val="2F2BDB8E"/>
    <w:rsid w:val="2F3738F6"/>
    <w:rsid w:val="2F3C7955"/>
    <w:rsid w:val="2F6509D0"/>
    <w:rsid w:val="2F744280"/>
    <w:rsid w:val="2F778DA5"/>
    <w:rsid w:val="2F995607"/>
    <w:rsid w:val="2FB614B6"/>
    <w:rsid w:val="2FB947ED"/>
    <w:rsid w:val="2FEEEDC7"/>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BFB131"/>
    <w:rsid w:val="31C20277"/>
    <w:rsid w:val="31CE6AAA"/>
    <w:rsid w:val="31DF997C"/>
    <w:rsid w:val="321720DE"/>
    <w:rsid w:val="3218123E"/>
    <w:rsid w:val="32190491"/>
    <w:rsid w:val="323C0648"/>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BDD209"/>
    <w:rsid w:val="33CB02F8"/>
    <w:rsid w:val="33F72671"/>
    <w:rsid w:val="34037804"/>
    <w:rsid w:val="34041F1A"/>
    <w:rsid w:val="341D7D55"/>
    <w:rsid w:val="342F5CDB"/>
    <w:rsid w:val="345C74F2"/>
    <w:rsid w:val="34B6208F"/>
    <w:rsid w:val="34BD4190"/>
    <w:rsid w:val="34BF01E0"/>
    <w:rsid w:val="34C5219B"/>
    <w:rsid w:val="34CB3182"/>
    <w:rsid w:val="34D17522"/>
    <w:rsid w:val="34D707D6"/>
    <w:rsid w:val="34E647FA"/>
    <w:rsid w:val="34FE180F"/>
    <w:rsid w:val="35085D0E"/>
    <w:rsid w:val="3511441F"/>
    <w:rsid w:val="35164520"/>
    <w:rsid w:val="356B4AF0"/>
    <w:rsid w:val="357725E6"/>
    <w:rsid w:val="359C1C0F"/>
    <w:rsid w:val="35CA5890"/>
    <w:rsid w:val="35D96C73"/>
    <w:rsid w:val="35EF60E4"/>
    <w:rsid w:val="35F5085E"/>
    <w:rsid w:val="36146F36"/>
    <w:rsid w:val="362D624A"/>
    <w:rsid w:val="3676BC09"/>
    <w:rsid w:val="369858BF"/>
    <w:rsid w:val="369E291D"/>
    <w:rsid w:val="36B6389F"/>
    <w:rsid w:val="36BB5604"/>
    <w:rsid w:val="36DA2C22"/>
    <w:rsid w:val="36EC3A0F"/>
    <w:rsid w:val="371371EE"/>
    <w:rsid w:val="37264343"/>
    <w:rsid w:val="372AC3A4"/>
    <w:rsid w:val="37445638"/>
    <w:rsid w:val="37450E5C"/>
    <w:rsid w:val="37500442"/>
    <w:rsid w:val="377B7406"/>
    <w:rsid w:val="37A61E10"/>
    <w:rsid w:val="37B60EBC"/>
    <w:rsid w:val="37BF70B3"/>
    <w:rsid w:val="37C56917"/>
    <w:rsid w:val="37C84E9C"/>
    <w:rsid w:val="37CF55FF"/>
    <w:rsid w:val="37D3697D"/>
    <w:rsid w:val="37D7B296"/>
    <w:rsid w:val="37EF3D0A"/>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8FF678E"/>
    <w:rsid w:val="39363667"/>
    <w:rsid w:val="39534219"/>
    <w:rsid w:val="395378E5"/>
    <w:rsid w:val="39771483"/>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8C7F3"/>
    <w:rsid w:val="3A7D1016"/>
    <w:rsid w:val="3A8C23C1"/>
    <w:rsid w:val="3A9A444B"/>
    <w:rsid w:val="3AAA7E69"/>
    <w:rsid w:val="3ABFE705"/>
    <w:rsid w:val="3AE838BC"/>
    <w:rsid w:val="3AF954DC"/>
    <w:rsid w:val="3AFB06C4"/>
    <w:rsid w:val="3B001415"/>
    <w:rsid w:val="3B2A71FC"/>
    <w:rsid w:val="3B2C4D22"/>
    <w:rsid w:val="3B7F221E"/>
    <w:rsid w:val="3BBA40DC"/>
    <w:rsid w:val="3BD038FF"/>
    <w:rsid w:val="3BDE5685"/>
    <w:rsid w:val="3BF35840"/>
    <w:rsid w:val="3BFEE25B"/>
    <w:rsid w:val="3C0E2679"/>
    <w:rsid w:val="3C137C90"/>
    <w:rsid w:val="3C157A35"/>
    <w:rsid w:val="3C5D7880"/>
    <w:rsid w:val="3C770C51"/>
    <w:rsid w:val="3C7BE9A7"/>
    <w:rsid w:val="3C86556E"/>
    <w:rsid w:val="3C9561C6"/>
    <w:rsid w:val="3C9C1EDC"/>
    <w:rsid w:val="3CA20495"/>
    <w:rsid w:val="3CA871F1"/>
    <w:rsid w:val="3CAF6B4F"/>
    <w:rsid w:val="3CE157CC"/>
    <w:rsid w:val="3CF45AB1"/>
    <w:rsid w:val="3D22462E"/>
    <w:rsid w:val="3D270A63"/>
    <w:rsid w:val="3D3251B2"/>
    <w:rsid w:val="3D63216E"/>
    <w:rsid w:val="3D79998C"/>
    <w:rsid w:val="3D864DFE"/>
    <w:rsid w:val="3D9A2531"/>
    <w:rsid w:val="3DA204A8"/>
    <w:rsid w:val="3DAE01CF"/>
    <w:rsid w:val="3DCC6A70"/>
    <w:rsid w:val="3DFB9CD5"/>
    <w:rsid w:val="3E1201FF"/>
    <w:rsid w:val="3E4B70C0"/>
    <w:rsid w:val="3E5D7C39"/>
    <w:rsid w:val="3E5F0359"/>
    <w:rsid w:val="3E791810"/>
    <w:rsid w:val="3E7D478B"/>
    <w:rsid w:val="3E941710"/>
    <w:rsid w:val="3E9A6D2D"/>
    <w:rsid w:val="3EB33728"/>
    <w:rsid w:val="3EC6723B"/>
    <w:rsid w:val="3EFBFA1E"/>
    <w:rsid w:val="3F147BD8"/>
    <w:rsid w:val="3F204B9E"/>
    <w:rsid w:val="3F2E35FA"/>
    <w:rsid w:val="3F440A6D"/>
    <w:rsid w:val="3F6128A3"/>
    <w:rsid w:val="3F775917"/>
    <w:rsid w:val="3F7C1A35"/>
    <w:rsid w:val="3F876C14"/>
    <w:rsid w:val="3FBE1F95"/>
    <w:rsid w:val="3FBFEB08"/>
    <w:rsid w:val="3FCE3E53"/>
    <w:rsid w:val="3FEE1866"/>
    <w:rsid w:val="3FEF042D"/>
    <w:rsid w:val="3FEF576C"/>
    <w:rsid w:val="3FF1F8E6"/>
    <w:rsid w:val="3FFF93A3"/>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F4508"/>
    <w:rsid w:val="41C25A06"/>
    <w:rsid w:val="41D50910"/>
    <w:rsid w:val="41DB4DAC"/>
    <w:rsid w:val="41F4499C"/>
    <w:rsid w:val="42350960"/>
    <w:rsid w:val="42397D6D"/>
    <w:rsid w:val="425A0117"/>
    <w:rsid w:val="42AFD07C"/>
    <w:rsid w:val="42F83EEA"/>
    <w:rsid w:val="43100A85"/>
    <w:rsid w:val="432664FB"/>
    <w:rsid w:val="43334BED"/>
    <w:rsid w:val="434F5A51"/>
    <w:rsid w:val="43625023"/>
    <w:rsid w:val="43647127"/>
    <w:rsid w:val="43771229"/>
    <w:rsid w:val="43B7AF44"/>
    <w:rsid w:val="43C2511F"/>
    <w:rsid w:val="43C26ECE"/>
    <w:rsid w:val="43DC386C"/>
    <w:rsid w:val="43E86F4C"/>
    <w:rsid w:val="441578FA"/>
    <w:rsid w:val="441F0B16"/>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7F09EA"/>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AFF4724"/>
    <w:rsid w:val="4B0215FB"/>
    <w:rsid w:val="4B233854"/>
    <w:rsid w:val="4B4A2CEC"/>
    <w:rsid w:val="4B575558"/>
    <w:rsid w:val="4B5856BF"/>
    <w:rsid w:val="4B5A0EBE"/>
    <w:rsid w:val="4B613429"/>
    <w:rsid w:val="4B64F66F"/>
    <w:rsid w:val="4B7859A5"/>
    <w:rsid w:val="4B7A0ABE"/>
    <w:rsid w:val="4B960E56"/>
    <w:rsid w:val="4BD258F2"/>
    <w:rsid w:val="4BF3033F"/>
    <w:rsid w:val="4BF52F0E"/>
    <w:rsid w:val="4BFC429C"/>
    <w:rsid w:val="4C003255"/>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B7E80"/>
    <w:rsid w:val="4E6D1139"/>
    <w:rsid w:val="4EBD4EA8"/>
    <w:rsid w:val="4EDD2F44"/>
    <w:rsid w:val="4F295E53"/>
    <w:rsid w:val="4F8079F5"/>
    <w:rsid w:val="4F8C0F11"/>
    <w:rsid w:val="4F97214F"/>
    <w:rsid w:val="4F9D01AA"/>
    <w:rsid w:val="4FB235F0"/>
    <w:rsid w:val="4FD30759"/>
    <w:rsid w:val="4FEF2B17"/>
    <w:rsid w:val="4FFFBD90"/>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452242"/>
    <w:rsid w:val="516D5B98"/>
    <w:rsid w:val="516E1798"/>
    <w:rsid w:val="5179477F"/>
    <w:rsid w:val="51B04CD5"/>
    <w:rsid w:val="51B318A1"/>
    <w:rsid w:val="51DBF0DB"/>
    <w:rsid w:val="522220BC"/>
    <w:rsid w:val="522B1438"/>
    <w:rsid w:val="52416EAD"/>
    <w:rsid w:val="524B7D2C"/>
    <w:rsid w:val="527C6137"/>
    <w:rsid w:val="52A64F11"/>
    <w:rsid w:val="52A65DDA"/>
    <w:rsid w:val="52D15A02"/>
    <w:rsid w:val="52DE64B1"/>
    <w:rsid w:val="52E0059C"/>
    <w:rsid w:val="52E23FE1"/>
    <w:rsid w:val="530348CC"/>
    <w:rsid w:val="533B38FC"/>
    <w:rsid w:val="53595EB0"/>
    <w:rsid w:val="53639721"/>
    <w:rsid w:val="537D2167"/>
    <w:rsid w:val="537F286A"/>
    <w:rsid w:val="538771E8"/>
    <w:rsid w:val="53DF072C"/>
    <w:rsid w:val="546450D5"/>
    <w:rsid w:val="546A3CB6"/>
    <w:rsid w:val="547A60F6"/>
    <w:rsid w:val="54AF2286"/>
    <w:rsid w:val="54B55930"/>
    <w:rsid w:val="54B813E9"/>
    <w:rsid w:val="54C87412"/>
    <w:rsid w:val="54CD4A28"/>
    <w:rsid w:val="54EB0FDA"/>
    <w:rsid w:val="54EC5ACF"/>
    <w:rsid w:val="5529361E"/>
    <w:rsid w:val="5560764A"/>
    <w:rsid w:val="557773FB"/>
    <w:rsid w:val="558E2409"/>
    <w:rsid w:val="55903F90"/>
    <w:rsid w:val="559F728E"/>
    <w:rsid w:val="55B94FAC"/>
    <w:rsid w:val="55D53CA2"/>
    <w:rsid w:val="55F78DE6"/>
    <w:rsid w:val="55FB3B6C"/>
    <w:rsid w:val="56130809"/>
    <w:rsid w:val="56366476"/>
    <w:rsid w:val="56433C62"/>
    <w:rsid w:val="56885723"/>
    <w:rsid w:val="56BD3C46"/>
    <w:rsid w:val="56DA5E47"/>
    <w:rsid w:val="57030BD5"/>
    <w:rsid w:val="571A55FE"/>
    <w:rsid w:val="572C6D7D"/>
    <w:rsid w:val="57322ECA"/>
    <w:rsid w:val="5737D9CF"/>
    <w:rsid w:val="575A7E5A"/>
    <w:rsid w:val="57733075"/>
    <w:rsid w:val="577F4CFA"/>
    <w:rsid w:val="57A22D8A"/>
    <w:rsid w:val="57C609EB"/>
    <w:rsid w:val="57E67CBF"/>
    <w:rsid w:val="57F7C7DB"/>
    <w:rsid w:val="58020E8D"/>
    <w:rsid w:val="58102C16"/>
    <w:rsid w:val="582160FE"/>
    <w:rsid w:val="582165A1"/>
    <w:rsid w:val="582A050E"/>
    <w:rsid w:val="589809DC"/>
    <w:rsid w:val="589F4805"/>
    <w:rsid w:val="58AD4AF5"/>
    <w:rsid w:val="58B65789"/>
    <w:rsid w:val="58CD4FF7"/>
    <w:rsid w:val="58D07DF4"/>
    <w:rsid w:val="58D27DB6"/>
    <w:rsid w:val="58D906CC"/>
    <w:rsid w:val="58DD7FD9"/>
    <w:rsid w:val="58EBB9E8"/>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BFD46B"/>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6E129C"/>
    <w:rsid w:val="5D7D6B9A"/>
    <w:rsid w:val="5D951E96"/>
    <w:rsid w:val="5D9F5C74"/>
    <w:rsid w:val="5DA603AA"/>
    <w:rsid w:val="5DBF79F0"/>
    <w:rsid w:val="5DCBC7BD"/>
    <w:rsid w:val="5DD15589"/>
    <w:rsid w:val="5DE27226"/>
    <w:rsid w:val="5DE51034"/>
    <w:rsid w:val="5DEA21A7"/>
    <w:rsid w:val="5DF53918"/>
    <w:rsid w:val="5DF866B7"/>
    <w:rsid w:val="5DFF5981"/>
    <w:rsid w:val="5DFF94B4"/>
    <w:rsid w:val="5E230800"/>
    <w:rsid w:val="5E39312E"/>
    <w:rsid w:val="5E3E1E95"/>
    <w:rsid w:val="5E483371"/>
    <w:rsid w:val="5E4963F2"/>
    <w:rsid w:val="5E4F64AE"/>
    <w:rsid w:val="5E5E2B95"/>
    <w:rsid w:val="5E9B7345"/>
    <w:rsid w:val="5EB74390"/>
    <w:rsid w:val="5ECC2766"/>
    <w:rsid w:val="5EDDA7AC"/>
    <w:rsid w:val="5EEB4B01"/>
    <w:rsid w:val="5EFD7E9A"/>
    <w:rsid w:val="5F34C143"/>
    <w:rsid w:val="5F3A5CEE"/>
    <w:rsid w:val="5F3BCBC7"/>
    <w:rsid w:val="5F3DDA84"/>
    <w:rsid w:val="5F40721D"/>
    <w:rsid w:val="5F5A480F"/>
    <w:rsid w:val="5F743C57"/>
    <w:rsid w:val="5F7E4861"/>
    <w:rsid w:val="5F9F1219"/>
    <w:rsid w:val="5FB35030"/>
    <w:rsid w:val="5FB46F10"/>
    <w:rsid w:val="5FBC8376"/>
    <w:rsid w:val="5FBD5F9A"/>
    <w:rsid w:val="5FD01870"/>
    <w:rsid w:val="5FE77A37"/>
    <w:rsid w:val="5FEB7BC5"/>
    <w:rsid w:val="5FEC44F0"/>
    <w:rsid w:val="5FF01979"/>
    <w:rsid w:val="5FF74D26"/>
    <w:rsid w:val="5FF91BB5"/>
    <w:rsid w:val="5FFC0B17"/>
    <w:rsid w:val="5FFD76E6"/>
    <w:rsid w:val="5FFF1479"/>
    <w:rsid w:val="5FFF7393"/>
    <w:rsid w:val="5FFF8A15"/>
    <w:rsid w:val="600F1A46"/>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1FCB5DB"/>
    <w:rsid w:val="622F6D22"/>
    <w:rsid w:val="62391B02"/>
    <w:rsid w:val="625978FB"/>
    <w:rsid w:val="625EB1B3"/>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9F3DE3"/>
    <w:rsid w:val="64B04B1B"/>
    <w:rsid w:val="64B04CD0"/>
    <w:rsid w:val="64BB18DC"/>
    <w:rsid w:val="64C175E6"/>
    <w:rsid w:val="64EBB55F"/>
    <w:rsid w:val="650608D1"/>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8E5ED8"/>
    <w:rsid w:val="66950DE9"/>
    <w:rsid w:val="66EEEFB2"/>
    <w:rsid w:val="66FF4A74"/>
    <w:rsid w:val="670C7632"/>
    <w:rsid w:val="6723497B"/>
    <w:rsid w:val="67281F92"/>
    <w:rsid w:val="67C938CC"/>
    <w:rsid w:val="67DD9C65"/>
    <w:rsid w:val="67EBF12C"/>
    <w:rsid w:val="67EC408F"/>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801FE2"/>
    <w:rsid w:val="699F7F40"/>
    <w:rsid w:val="69AF73BD"/>
    <w:rsid w:val="69B376EC"/>
    <w:rsid w:val="69BF8527"/>
    <w:rsid w:val="69DD52B6"/>
    <w:rsid w:val="69E14DA6"/>
    <w:rsid w:val="69E20B1E"/>
    <w:rsid w:val="6A177304"/>
    <w:rsid w:val="6A3B1269"/>
    <w:rsid w:val="6A415844"/>
    <w:rsid w:val="6A5B302E"/>
    <w:rsid w:val="6A6F389E"/>
    <w:rsid w:val="6A9122B5"/>
    <w:rsid w:val="6AEE5468"/>
    <w:rsid w:val="6AFC29D0"/>
    <w:rsid w:val="6B0D5727"/>
    <w:rsid w:val="6B157DBF"/>
    <w:rsid w:val="6B1C1E0E"/>
    <w:rsid w:val="6B322169"/>
    <w:rsid w:val="6B3C7950"/>
    <w:rsid w:val="6B475B01"/>
    <w:rsid w:val="6B4C2DE2"/>
    <w:rsid w:val="6B5062F1"/>
    <w:rsid w:val="6B6063C9"/>
    <w:rsid w:val="6B611663"/>
    <w:rsid w:val="6B650E43"/>
    <w:rsid w:val="6B7E05CC"/>
    <w:rsid w:val="6B981494"/>
    <w:rsid w:val="6BAA3735"/>
    <w:rsid w:val="6BAD01CD"/>
    <w:rsid w:val="6BAD2630"/>
    <w:rsid w:val="6BB880C1"/>
    <w:rsid w:val="6BF045A1"/>
    <w:rsid w:val="6BFD24C5"/>
    <w:rsid w:val="6BFDDFFB"/>
    <w:rsid w:val="6BFF5895"/>
    <w:rsid w:val="6C1C078A"/>
    <w:rsid w:val="6C233169"/>
    <w:rsid w:val="6C7F2580"/>
    <w:rsid w:val="6C7F6D77"/>
    <w:rsid w:val="6C951E77"/>
    <w:rsid w:val="6CBF6BEA"/>
    <w:rsid w:val="6CC85483"/>
    <w:rsid w:val="6CCB5899"/>
    <w:rsid w:val="6CDB1506"/>
    <w:rsid w:val="6CDFEA66"/>
    <w:rsid w:val="6CF86B53"/>
    <w:rsid w:val="6D142245"/>
    <w:rsid w:val="6D1B0D1D"/>
    <w:rsid w:val="6D1D3DC2"/>
    <w:rsid w:val="6D1D6078"/>
    <w:rsid w:val="6D463C2E"/>
    <w:rsid w:val="6D7E290C"/>
    <w:rsid w:val="6D8B3656"/>
    <w:rsid w:val="6D8C7F14"/>
    <w:rsid w:val="6D9A1754"/>
    <w:rsid w:val="6DA12003"/>
    <w:rsid w:val="6DAF51BB"/>
    <w:rsid w:val="6DBC07B9"/>
    <w:rsid w:val="6DC9002B"/>
    <w:rsid w:val="6DCFC836"/>
    <w:rsid w:val="6DE011AA"/>
    <w:rsid w:val="6DE1668B"/>
    <w:rsid w:val="6DE22E9A"/>
    <w:rsid w:val="6DE76703"/>
    <w:rsid w:val="6DF15B63"/>
    <w:rsid w:val="6DF8C45B"/>
    <w:rsid w:val="6E023C8A"/>
    <w:rsid w:val="6E0B0E7C"/>
    <w:rsid w:val="6E131612"/>
    <w:rsid w:val="6E1B3196"/>
    <w:rsid w:val="6E59ACB0"/>
    <w:rsid w:val="6E5F273D"/>
    <w:rsid w:val="6E6F6B73"/>
    <w:rsid w:val="6E7837FF"/>
    <w:rsid w:val="6E9D595D"/>
    <w:rsid w:val="6EB04C24"/>
    <w:rsid w:val="6EC726C0"/>
    <w:rsid w:val="6ED177DA"/>
    <w:rsid w:val="6ED70525"/>
    <w:rsid w:val="6ED924EF"/>
    <w:rsid w:val="6EDF2A31"/>
    <w:rsid w:val="6EDFA4D4"/>
    <w:rsid w:val="6EFF864A"/>
    <w:rsid w:val="6F0A3320"/>
    <w:rsid w:val="6F173018"/>
    <w:rsid w:val="6F345978"/>
    <w:rsid w:val="6F3C270D"/>
    <w:rsid w:val="6F531AAA"/>
    <w:rsid w:val="6F5FE476"/>
    <w:rsid w:val="6F6238F1"/>
    <w:rsid w:val="6F7A0897"/>
    <w:rsid w:val="6F7E6748"/>
    <w:rsid w:val="6F8E49DA"/>
    <w:rsid w:val="6FEBD8C2"/>
    <w:rsid w:val="6FF463F0"/>
    <w:rsid w:val="6FFF2CE4"/>
    <w:rsid w:val="701B08E6"/>
    <w:rsid w:val="70417478"/>
    <w:rsid w:val="705F139B"/>
    <w:rsid w:val="706611D1"/>
    <w:rsid w:val="70725AA9"/>
    <w:rsid w:val="70756B0C"/>
    <w:rsid w:val="7086589D"/>
    <w:rsid w:val="70910BA8"/>
    <w:rsid w:val="709A3F00"/>
    <w:rsid w:val="70BE741B"/>
    <w:rsid w:val="70D746AC"/>
    <w:rsid w:val="710C2988"/>
    <w:rsid w:val="711315BD"/>
    <w:rsid w:val="71241A1C"/>
    <w:rsid w:val="71394B73"/>
    <w:rsid w:val="714D068C"/>
    <w:rsid w:val="716067B0"/>
    <w:rsid w:val="71777D9E"/>
    <w:rsid w:val="71991F1F"/>
    <w:rsid w:val="719B20E2"/>
    <w:rsid w:val="71A46E80"/>
    <w:rsid w:val="71A5490B"/>
    <w:rsid w:val="71ABC66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3FFB466"/>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4ED5BB3"/>
    <w:rsid w:val="75083C44"/>
    <w:rsid w:val="75184561"/>
    <w:rsid w:val="751D3629"/>
    <w:rsid w:val="756FE0F4"/>
    <w:rsid w:val="757AC6D0"/>
    <w:rsid w:val="757B11EC"/>
    <w:rsid w:val="758B206A"/>
    <w:rsid w:val="75B441DC"/>
    <w:rsid w:val="75BE06D4"/>
    <w:rsid w:val="75C32123"/>
    <w:rsid w:val="75CA0DE4"/>
    <w:rsid w:val="75CD1C51"/>
    <w:rsid w:val="75DD4C2E"/>
    <w:rsid w:val="75E57C6F"/>
    <w:rsid w:val="75EECB12"/>
    <w:rsid w:val="75FE7852"/>
    <w:rsid w:val="761D3A1E"/>
    <w:rsid w:val="762E3BD5"/>
    <w:rsid w:val="766F725C"/>
    <w:rsid w:val="7684252C"/>
    <w:rsid w:val="76984A3E"/>
    <w:rsid w:val="76AB6601"/>
    <w:rsid w:val="76BB31AD"/>
    <w:rsid w:val="76DD4B47"/>
    <w:rsid w:val="76EF6628"/>
    <w:rsid w:val="76FD53A2"/>
    <w:rsid w:val="77316C41"/>
    <w:rsid w:val="7734199B"/>
    <w:rsid w:val="77484CAB"/>
    <w:rsid w:val="776E12A5"/>
    <w:rsid w:val="7779FB53"/>
    <w:rsid w:val="77902D6F"/>
    <w:rsid w:val="779C3CC8"/>
    <w:rsid w:val="77A78149"/>
    <w:rsid w:val="77BB266F"/>
    <w:rsid w:val="77BB26F3"/>
    <w:rsid w:val="77BC3493"/>
    <w:rsid w:val="77BF993E"/>
    <w:rsid w:val="77C86594"/>
    <w:rsid w:val="77D99B3D"/>
    <w:rsid w:val="77E367A2"/>
    <w:rsid w:val="77EFD76B"/>
    <w:rsid w:val="77F690C9"/>
    <w:rsid w:val="77FEF378"/>
    <w:rsid w:val="77FF086C"/>
    <w:rsid w:val="77FFDA33"/>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51480"/>
    <w:rsid w:val="78EB408C"/>
    <w:rsid w:val="78EFD76C"/>
    <w:rsid w:val="78FB3062"/>
    <w:rsid w:val="78FB3FD9"/>
    <w:rsid w:val="78FD9DEA"/>
    <w:rsid w:val="78FF6FF6"/>
    <w:rsid w:val="79382508"/>
    <w:rsid w:val="79435A80"/>
    <w:rsid w:val="79495540"/>
    <w:rsid w:val="795E053C"/>
    <w:rsid w:val="796432FD"/>
    <w:rsid w:val="79643327"/>
    <w:rsid w:val="797C0CF7"/>
    <w:rsid w:val="797FB50B"/>
    <w:rsid w:val="79A70520"/>
    <w:rsid w:val="79C30024"/>
    <w:rsid w:val="79DF2733"/>
    <w:rsid w:val="79EFA318"/>
    <w:rsid w:val="79FBC1AC"/>
    <w:rsid w:val="79FD9BAE"/>
    <w:rsid w:val="79FE87EC"/>
    <w:rsid w:val="7A014FF7"/>
    <w:rsid w:val="7A2902FC"/>
    <w:rsid w:val="7A4837E7"/>
    <w:rsid w:val="7A556C0C"/>
    <w:rsid w:val="7A6F63EC"/>
    <w:rsid w:val="7A88301C"/>
    <w:rsid w:val="7A884DCA"/>
    <w:rsid w:val="7A902877"/>
    <w:rsid w:val="7AA53BCD"/>
    <w:rsid w:val="7AA96F08"/>
    <w:rsid w:val="7AD17C9C"/>
    <w:rsid w:val="7ADB5F56"/>
    <w:rsid w:val="7B0A3A31"/>
    <w:rsid w:val="7B103033"/>
    <w:rsid w:val="7B163388"/>
    <w:rsid w:val="7B4F58E7"/>
    <w:rsid w:val="7B5015FF"/>
    <w:rsid w:val="7B59C7B7"/>
    <w:rsid w:val="7B5F3B5C"/>
    <w:rsid w:val="7B637C66"/>
    <w:rsid w:val="7B6E2E0E"/>
    <w:rsid w:val="7B77D83D"/>
    <w:rsid w:val="7B7D06A6"/>
    <w:rsid w:val="7B917B48"/>
    <w:rsid w:val="7B933A26"/>
    <w:rsid w:val="7B9CA0BD"/>
    <w:rsid w:val="7BA9C3D0"/>
    <w:rsid w:val="7BAB5214"/>
    <w:rsid w:val="7BB35E76"/>
    <w:rsid w:val="7BB9F3F8"/>
    <w:rsid w:val="7BD7184C"/>
    <w:rsid w:val="7BDDA5BF"/>
    <w:rsid w:val="7BDE528C"/>
    <w:rsid w:val="7BDEC374"/>
    <w:rsid w:val="7BEB20D0"/>
    <w:rsid w:val="7BEBDE8E"/>
    <w:rsid w:val="7BED22C5"/>
    <w:rsid w:val="7BEE4481"/>
    <w:rsid w:val="7BF1B072"/>
    <w:rsid w:val="7BF201AF"/>
    <w:rsid w:val="7BFA2A8D"/>
    <w:rsid w:val="7BFB61CE"/>
    <w:rsid w:val="7BFDD997"/>
    <w:rsid w:val="7BFEFCB7"/>
    <w:rsid w:val="7BFF1BB2"/>
    <w:rsid w:val="7BFF93DD"/>
    <w:rsid w:val="7C030BAC"/>
    <w:rsid w:val="7C074EE7"/>
    <w:rsid w:val="7C0F4366"/>
    <w:rsid w:val="7C3E1BE4"/>
    <w:rsid w:val="7C3E2D03"/>
    <w:rsid w:val="7C5B7556"/>
    <w:rsid w:val="7C7A0AC6"/>
    <w:rsid w:val="7CAB3AC4"/>
    <w:rsid w:val="7CBFD414"/>
    <w:rsid w:val="7CDB1E38"/>
    <w:rsid w:val="7CDF524F"/>
    <w:rsid w:val="7CFDF10A"/>
    <w:rsid w:val="7CFE5230"/>
    <w:rsid w:val="7CFE6352"/>
    <w:rsid w:val="7CFFFA0A"/>
    <w:rsid w:val="7D147F9C"/>
    <w:rsid w:val="7D172435"/>
    <w:rsid w:val="7D2F1182"/>
    <w:rsid w:val="7D587166"/>
    <w:rsid w:val="7D6134D2"/>
    <w:rsid w:val="7D717D97"/>
    <w:rsid w:val="7D8A2C07"/>
    <w:rsid w:val="7D9DEA51"/>
    <w:rsid w:val="7DA017BC"/>
    <w:rsid w:val="7DA63EE4"/>
    <w:rsid w:val="7DA9081B"/>
    <w:rsid w:val="7DBD2FDC"/>
    <w:rsid w:val="7DC2296C"/>
    <w:rsid w:val="7DDFE345"/>
    <w:rsid w:val="7DE042DE"/>
    <w:rsid w:val="7DE40E3C"/>
    <w:rsid w:val="7DE976A8"/>
    <w:rsid w:val="7DEF230F"/>
    <w:rsid w:val="7DF2702E"/>
    <w:rsid w:val="7DF76FF6"/>
    <w:rsid w:val="7DFD6DD9"/>
    <w:rsid w:val="7DFDEC03"/>
    <w:rsid w:val="7DFFF714"/>
    <w:rsid w:val="7E1846B6"/>
    <w:rsid w:val="7E295E51"/>
    <w:rsid w:val="7E6241D9"/>
    <w:rsid w:val="7E643271"/>
    <w:rsid w:val="7E6BE8A8"/>
    <w:rsid w:val="7E7F5C17"/>
    <w:rsid w:val="7E7FFD62"/>
    <w:rsid w:val="7E8314F8"/>
    <w:rsid w:val="7E89E269"/>
    <w:rsid w:val="7EBB8956"/>
    <w:rsid w:val="7EC3062C"/>
    <w:rsid w:val="7EC52758"/>
    <w:rsid w:val="7ECC58E9"/>
    <w:rsid w:val="7EDA4E35"/>
    <w:rsid w:val="7EDBEA5A"/>
    <w:rsid w:val="7EDD399D"/>
    <w:rsid w:val="7EDE0CAE"/>
    <w:rsid w:val="7EDFC306"/>
    <w:rsid w:val="7EE7EE20"/>
    <w:rsid w:val="7EEB258C"/>
    <w:rsid w:val="7EED73B4"/>
    <w:rsid w:val="7F397345"/>
    <w:rsid w:val="7F3EB631"/>
    <w:rsid w:val="7F3F7323"/>
    <w:rsid w:val="7F571ED1"/>
    <w:rsid w:val="7F5DB2A3"/>
    <w:rsid w:val="7F5F81E7"/>
    <w:rsid w:val="7F653072"/>
    <w:rsid w:val="7F74E094"/>
    <w:rsid w:val="7F7625D0"/>
    <w:rsid w:val="7F7676A4"/>
    <w:rsid w:val="7F7E3898"/>
    <w:rsid w:val="7F7FE7F0"/>
    <w:rsid w:val="7F873A64"/>
    <w:rsid w:val="7F8F3FAC"/>
    <w:rsid w:val="7F970ECA"/>
    <w:rsid w:val="7F9E036E"/>
    <w:rsid w:val="7F9F205A"/>
    <w:rsid w:val="7FA53646"/>
    <w:rsid w:val="7FAD558D"/>
    <w:rsid w:val="7FAEADE8"/>
    <w:rsid w:val="7FBC6CDA"/>
    <w:rsid w:val="7FBDCB20"/>
    <w:rsid w:val="7FBF993A"/>
    <w:rsid w:val="7FD9E1C1"/>
    <w:rsid w:val="7FDC58DF"/>
    <w:rsid w:val="7FE42534"/>
    <w:rsid w:val="7FEB33E1"/>
    <w:rsid w:val="7FEDDD97"/>
    <w:rsid w:val="7FF1132B"/>
    <w:rsid w:val="7FF379B1"/>
    <w:rsid w:val="7FF7112C"/>
    <w:rsid w:val="7FF71849"/>
    <w:rsid w:val="7FF7D25E"/>
    <w:rsid w:val="7FF91027"/>
    <w:rsid w:val="7FFB8911"/>
    <w:rsid w:val="7FFD9107"/>
    <w:rsid w:val="7FFDAE33"/>
    <w:rsid w:val="7FFDC831"/>
    <w:rsid w:val="7FFDE750"/>
    <w:rsid w:val="7FFE3E07"/>
    <w:rsid w:val="7FFEAC2F"/>
    <w:rsid w:val="7FFED045"/>
    <w:rsid w:val="7FFF2A7D"/>
    <w:rsid w:val="7FFF4642"/>
    <w:rsid w:val="8DF70CEB"/>
    <w:rsid w:val="8EDC439A"/>
    <w:rsid w:val="8FEBCB1C"/>
    <w:rsid w:val="9BED4418"/>
    <w:rsid w:val="9E5E8CE0"/>
    <w:rsid w:val="9FBB44C4"/>
    <w:rsid w:val="9FFE7DFB"/>
    <w:rsid w:val="A2BD15E5"/>
    <w:rsid w:val="A7DD8EA6"/>
    <w:rsid w:val="A9DD2899"/>
    <w:rsid w:val="AABA4305"/>
    <w:rsid w:val="AC9B448D"/>
    <w:rsid w:val="ACF78EE0"/>
    <w:rsid w:val="ADD3AE57"/>
    <w:rsid w:val="AF220F61"/>
    <w:rsid w:val="B50E35AD"/>
    <w:rsid w:val="B63D9958"/>
    <w:rsid w:val="B77E069F"/>
    <w:rsid w:val="B7EF1B9A"/>
    <w:rsid w:val="B7FF63C4"/>
    <w:rsid w:val="B8FDEEA2"/>
    <w:rsid w:val="B975B6DE"/>
    <w:rsid w:val="B9ED9A8B"/>
    <w:rsid w:val="BB6A3DC4"/>
    <w:rsid w:val="BB8F8405"/>
    <w:rsid w:val="BBB76D9A"/>
    <w:rsid w:val="BBDFA701"/>
    <w:rsid w:val="BBF7AC06"/>
    <w:rsid w:val="BC7D0CE8"/>
    <w:rsid w:val="BC7F3E1B"/>
    <w:rsid w:val="BCFB3EFD"/>
    <w:rsid w:val="BD6BB338"/>
    <w:rsid w:val="BDBFC125"/>
    <w:rsid w:val="BDDF2B6F"/>
    <w:rsid w:val="BDFD4B65"/>
    <w:rsid w:val="BEEB9EF0"/>
    <w:rsid w:val="BF4F9CA4"/>
    <w:rsid w:val="BF5FE1CB"/>
    <w:rsid w:val="BF8FF624"/>
    <w:rsid w:val="BFAF7648"/>
    <w:rsid w:val="BFEEBA96"/>
    <w:rsid w:val="BFFA07DA"/>
    <w:rsid w:val="BFFC2AD2"/>
    <w:rsid w:val="C6E37F1B"/>
    <w:rsid w:val="CB8383B0"/>
    <w:rsid w:val="CE6BF6F7"/>
    <w:rsid w:val="CF378900"/>
    <w:rsid w:val="CF9FD811"/>
    <w:rsid w:val="CFFC97FC"/>
    <w:rsid w:val="D07FFF2B"/>
    <w:rsid w:val="D32766F1"/>
    <w:rsid w:val="D3F787CD"/>
    <w:rsid w:val="D6EF8DE1"/>
    <w:rsid w:val="D76B00FE"/>
    <w:rsid w:val="D87EE28A"/>
    <w:rsid w:val="DB9E69B0"/>
    <w:rsid w:val="DBDF5E02"/>
    <w:rsid w:val="DC9CE8A3"/>
    <w:rsid w:val="DCEF665E"/>
    <w:rsid w:val="DD7FB0F2"/>
    <w:rsid w:val="DDFC4529"/>
    <w:rsid w:val="DE3BAF9D"/>
    <w:rsid w:val="DEA7762C"/>
    <w:rsid w:val="DED6C8E5"/>
    <w:rsid w:val="DEFF82F1"/>
    <w:rsid w:val="DF3F98B1"/>
    <w:rsid w:val="DFB1C369"/>
    <w:rsid w:val="DFB48F0A"/>
    <w:rsid w:val="DFD73198"/>
    <w:rsid w:val="DFDD7728"/>
    <w:rsid w:val="DFDF2B52"/>
    <w:rsid w:val="DFEF1E76"/>
    <w:rsid w:val="E2FDBB71"/>
    <w:rsid w:val="E3FBE9D5"/>
    <w:rsid w:val="E47F7A84"/>
    <w:rsid w:val="E4BB2720"/>
    <w:rsid w:val="E57564B6"/>
    <w:rsid w:val="E5F2D135"/>
    <w:rsid w:val="E6F7ADAB"/>
    <w:rsid w:val="E6FF21EB"/>
    <w:rsid w:val="E73F6D60"/>
    <w:rsid w:val="E798AA61"/>
    <w:rsid w:val="E7DBA97F"/>
    <w:rsid w:val="E7F3BF81"/>
    <w:rsid w:val="E7FF6BFE"/>
    <w:rsid w:val="E7FF9E56"/>
    <w:rsid w:val="E8F0602B"/>
    <w:rsid w:val="E9FE69DD"/>
    <w:rsid w:val="EAFB8E96"/>
    <w:rsid w:val="EB670CA2"/>
    <w:rsid w:val="EB6B203B"/>
    <w:rsid w:val="EB9D04C5"/>
    <w:rsid w:val="EBBF1CDF"/>
    <w:rsid w:val="EC7EA215"/>
    <w:rsid w:val="EDE5101A"/>
    <w:rsid w:val="EDF7D61B"/>
    <w:rsid w:val="EE5C2243"/>
    <w:rsid w:val="EE7FFDE1"/>
    <w:rsid w:val="EE9D2FA9"/>
    <w:rsid w:val="EEDF4A0B"/>
    <w:rsid w:val="EEFB4C46"/>
    <w:rsid w:val="EF557354"/>
    <w:rsid w:val="EF7B3834"/>
    <w:rsid w:val="EF7F73D6"/>
    <w:rsid w:val="EF8F2AE6"/>
    <w:rsid w:val="EFBF1F0A"/>
    <w:rsid w:val="EFBF318E"/>
    <w:rsid w:val="EFBF6A39"/>
    <w:rsid w:val="EFD5B1CE"/>
    <w:rsid w:val="EFFE6C87"/>
    <w:rsid w:val="F1DF52C7"/>
    <w:rsid w:val="F1EF9C6D"/>
    <w:rsid w:val="F2BFBD64"/>
    <w:rsid w:val="F3773AB7"/>
    <w:rsid w:val="F3FD768F"/>
    <w:rsid w:val="F4EE6D93"/>
    <w:rsid w:val="F51D1B8F"/>
    <w:rsid w:val="F53FC3DA"/>
    <w:rsid w:val="F54FBCC1"/>
    <w:rsid w:val="F57F8DEA"/>
    <w:rsid w:val="F5E5C191"/>
    <w:rsid w:val="F5EE61DA"/>
    <w:rsid w:val="F6362572"/>
    <w:rsid w:val="F63FD604"/>
    <w:rsid w:val="F6F45695"/>
    <w:rsid w:val="F73B0AC9"/>
    <w:rsid w:val="F73F36D2"/>
    <w:rsid w:val="F73FDAA3"/>
    <w:rsid w:val="F76F8424"/>
    <w:rsid w:val="F7BE3025"/>
    <w:rsid w:val="F7BF1C87"/>
    <w:rsid w:val="F7CF2043"/>
    <w:rsid w:val="F7D75FE4"/>
    <w:rsid w:val="F7DD03BC"/>
    <w:rsid w:val="F7DE17D0"/>
    <w:rsid w:val="F7DF1915"/>
    <w:rsid w:val="F7EC680A"/>
    <w:rsid w:val="F7F7A524"/>
    <w:rsid w:val="F7FBE3E0"/>
    <w:rsid w:val="F8FD21A4"/>
    <w:rsid w:val="F9FFAC9A"/>
    <w:rsid w:val="FA157879"/>
    <w:rsid w:val="FA3DF52B"/>
    <w:rsid w:val="FA775E30"/>
    <w:rsid w:val="FA7B4167"/>
    <w:rsid w:val="FA9526A9"/>
    <w:rsid w:val="FB6EF3D4"/>
    <w:rsid w:val="FB7DBD63"/>
    <w:rsid w:val="FB9F76BD"/>
    <w:rsid w:val="FBA939F8"/>
    <w:rsid w:val="FBBF84F8"/>
    <w:rsid w:val="FBE91495"/>
    <w:rsid w:val="FBED048B"/>
    <w:rsid w:val="FBEDAAAF"/>
    <w:rsid w:val="FBFA1FA6"/>
    <w:rsid w:val="FBFB5A89"/>
    <w:rsid w:val="FBFF139F"/>
    <w:rsid w:val="FC6FB3EF"/>
    <w:rsid w:val="FCF66E2B"/>
    <w:rsid w:val="FCFF68AE"/>
    <w:rsid w:val="FCFF83FF"/>
    <w:rsid w:val="FD7F06BD"/>
    <w:rsid w:val="FD8DA14E"/>
    <w:rsid w:val="FDAD06E7"/>
    <w:rsid w:val="FDB2753F"/>
    <w:rsid w:val="FDBDC749"/>
    <w:rsid w:val="FDBF22C2"/>
    <w:rsid w:val="FDBFF735"/>
    <w:rsid w:val="FDD7C383"/>
    <w:rsid w:val="FDDEEA1A"/>
    <w:rsid w:val="FDEB7971"/>
    <w:rsid w:val="FDF3969C"/>
    <w:rsid w:val="FDF41012"/>
    <w:rsid w:val="FDFBCD44"/>
    <w:rsid w:val="FDFF51A5"/>
    <w:rsid w:val="FDFF6B84"/>
    <w:rsid w:val="FDFF9A8C"/>
    <w:rsid w:val="FDFFABE0"/>
    <w:rsid w:val="FDFFE801"/>
    <w:rsid w:val="FE653C85"/>
    <w:rsid w:val="FE9B55BC"/>
    <w:rsid w:val="FE9B7F60"/>
    <w:rsid w:val="FEBFC9E7"/>
    <w:rsid w:val="FEEABE89"/>
    <w:rsid w:val="FEEB99A8"/>
    <w:rsid w:val="FEEE89BB"/>
    <w:rsid w:val="FEEFE8A5"/>
    <w:rsid w:val="FF27186D"/>
    <w:rsid w:val="FF2FE3F1"/>
    <w:rsid w:val="FF3A590A"/>
    <w:rsid w:val="FF502F0E"/>
    <w:rsid w:val="FF5D632E"/>
    <w:rsid w:val="FF6EFB24"/>
    <w:rsid w:val="FF733D64"/>
    <w:rsid w:val="FF7FE354"/>
    <w:rsid w:val="FF7FF8DC"/>
    <w:rsid w:val="FF8E8E44"/>
    <w:rsid w:val="FF97B82F"/>
    <w:rsid w:val="FF994F22"/>
    <w:rsid w:val="FFADE93D"/>
    <w:rsid w:val="FFAEEB21"/>
    <w:rsid w:val="FFB56863"/>
    <w:rsid w:val="FFB77F74"/>
    <w:rsid w:val="FFBD06F2"/>
    <w:rsid w:val="FFBD58F5"/>
    <w:rsid w:val="FFBDAD22"/>
    <w:rsid w:val="FFE2E5B2"/>
    <w:rsid w:val="FFEB00BE"/>
    <w:rsid w:val="FFEF6290"/>
    <w:rsid w:val="FFEFF08D"/>
    <w:rsid w:val="FFF79B72"/>
    <w:rsid w:val="FFFC6324"/>
    <w:rsid w:val="FFFC9A34"/>
    <w:rsid w:val="FFFEC627"/>
    <w:rsid w:val="FFFF067B"/>
    <w:rsid w:val="FFFF22D0"/>
    <w:rsid w:val="FFFFD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49</Pages>
  <Words>23285</Words>
  <Characters>24447</Characters>
  <Lines>305</Lines>
  <Paragraphs>86</Paragraphs>
  <TotalTime>23</TotalTime>
  <ScaleCrop>false</ScaleCrop>
  <LinksUpToDate>false</LinksUpToDate>
  <CharactersWithSpaces>25958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2023-07-16T22:24:00Z</dcterms:created>
  <dc:creator>Anakin</dc:creator>
  <cp:lastModifiedBy>汤雨濛</cp:lastModifiedBy>
  <cp:lastPrinted>2025-08-09T04:26:00Z</cp:lastPrinted>
  <dcterms:modified xsi:type="dcterms:W3CDTF">2025-08-12T03:21:07Z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E939374076AA8C527561946812997512_43</vt:lpwstr>
  </property>
  <property fmtid="{D5CDD505-2E9C-101B-9397-08002B2CF9AE}" pid="4" name="KSOTemplateDocerSaveRecord">
    <vt:lpwstr>eyJoZGlkIjoiNjE5ODU3ZjBjYzJjMzIyZmRlNGE1YjkyODVmYmY1NWQiLCJ1c2VySWQiOiIxNjQ0NzUzMDQ2In0=</vt:lpwstr>
  </property>
</Properties>
</file>