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41D0B">
      <w:pPr>
        <w:widowControl/>
        <w:jc w:val="center"/>
        <w:rPr>
          <w:rFonts w:hint="default" w:ascii="Times New Roman" w:hAnsi="Times New Roman" w:eastAsia="方正小标宋简体" w:cs="Times New Roman"/>
          <w:color w:val="auto"/>
          <w:sz w:val="32"/>
          <w:szCs w:val="32"/>
          <w:highlight w:val="none"/>
        </w:rPr>
      </w:pPr>
      <w:bookmarkStart w:id="0" w:name="_Hlk9544796"/>
    </w:p>
    <w:p w14:paraId="0BAFB1D0">
      <w:pPr>
        <w:widowControl/>
        <w:jc w:val="center"/>
        <w:rPr>
          <w:rFonts w:hint="default" w:ascii="Times New Roman" w:hAnsi="Times New Roman" w:eastAsia="方正小标宋简体" w:cs="Times New Roman"/>
          <w:color w:val="auto"/>
          <w:sz w:val="32"/>
          <w:szCs w:val="32"/>
          <w:highlight w:val="none"/>
        </w:rPr>
      </w:pPr>
    </w:p>
    <w:p w14:paraId="7078104A">
      <w:pPr>
        <w:pStyle w:val="40"/>
        <w:ind w:firstLine="560"/>
        <w:rPr>
          <w:rFonts w:hint="default" w:ascii="Times New Roman" w:hAnsi="Times New Roman" w:eastAsia="方正小标宋简体" w:cs="Times New Roman"/>
          <w:snapToGrid w:val="0"/>
          <w:color w:val="auto"/>
          <w:kern w:val="0"/>
          <w:sz w:val="28"/>
          <w:szCs w:val="28"/>
          <w:highlight w:val="none"/>
        </w:rPr>
      </w:pPr>
    </w:p>
    <w:p w14:paraId="6269B2E7">
      <w:pPr>
        <w:rPr>
          <w:rFonts w:hint="default" w:ascii="Times New Roman" w:hAnsi="Times New Roman" w:cs="Times New Roman"/>
          <w:color w:val="auto"/>
          <w:highlight w:val="none"/>
        </w:rPr>
      </w:pPr>
    </w:p>
    <w:p w14:paraId="75E68584">
      <w:pPr>
        <w:tabs>
          <w:tab w:val="left" w:pos="315"/>
          <w:tab w:val="left" w:pos="8820"/>
        </w:tabs>
        <w:spacing w:before="156" w:beforeLines="50" w:after="156" w:afterLines="50"/>
        <w:ind w:right="265" w:rightChars="126"/>
        <w:jc w:val="center"/>
        <w:rPr>
          <w:rFonts w:hint="default" w:ascii="Times New Roman" w:hAnsi="Times New Roman" w:cs="Times New Roman"/>
          <w:b/>
          <w:bCs/>
          <w:color w:val="auto"/>
          <w:sz w:val="96"/>
          <w:szCs w:val="96"/>
          <w:highlight w:val="none"/>
        </w:rPr>
      </w:pPr>
      <w:r>
        <w:rPr>
          <w:rFonts w:hint="default" w:ascii="Times New Roman" w:hAnsi="Times New Roman" w:eastAsia="黑体" w:cs="Times New Roman"/>
          <w:color w:val="auto"/>
          <w:sz w:val="72"/>
          <w:szCs w:val="72"/>
          <w:highlight w:val="none"/>
        </w:rPr>
        <w:t>招 标 文 件</w:t>
      </w:r>
    </w:p>
    <w:p w14:paraId="5D5B0AF1">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r>
        <w:rPr>
          <w:rFonts w:hint="default" w:ascii="Times New Roman" w:hAnsi="Times New Roman" w:cs="Times New Roman"/>
          <w:b/>
          <w:bCs/>
          <w:color w:val="auto"/>
          <w:sz w:val="52"/>
          <w:szCs w:val="52"/>
          <w:highlight w:val="none"/>
        </w:rPr>
        <w:t>（货物类）</w:t>
      </w:r>
    </w:p>
    <w:p w14:paraId="1E00BEB0">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p>
    <w:p w14:paraId="525DB781">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bookmarkStart w:id="199" w:name="_GoBack"/>
      <w:bookmarkEnd w:id="199"/>
    </w:p>
    <w:p w14:paraId="1223749A">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438712B2">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58514CF3">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rPr>
      </w:pPr>
      <w:r>
        <w:rPr>
          <w:rFonts w:hint="default" w:ascii="Times New Roman" w:hAnsi="Times New Roman" w:cs="Times New Roman"/>
          <w:b/>
          <w:color w:val="auto"/>
          <w:spacing w:val="20"/>
          <w:kern w:val="0"/>
          <w:sz w:val="32"/>
          <w:szCs w:val="32"/>
          <w:highlight w:val="none"/>
        </w:rPr>
        <w:t>项目名称：</w:t>
      </w:r>
      <w:r>
        <w:rPr>
          <w:rFonts w:hint="default" w:ascii="Times New Roman" w:hAnsi="Times New Roman" w:cs="Times New Roman"/>
          <w:b/>
          <w:color w:val="auto"/>
          <w:spacing w:val="20"/>
          <w:kern w:val="0"/>
          <w:sz w:val="32"/>
          <w:szCs w:val="32"/>
          <w:highlight w:val="none"/>
          <w:u w:val="single"/>
        </w:rPr>
        <w:t xml:space="preserve"> </w:t>
      </w:r>
      <w:r>
        <w:rPr>
          <w:rFonts w:hint="default" w:ascii="Times New Roman" w:hAnsi="Times New Roman" w:cs="Times New Roman"/>
          <w:b/>
          <w:color w:val="auto"/>
          <w:spacing w:val="20"/>
          <w:kern w:val="0"/>
          <w:sz w:val="32"/>
          <w:szCs w:val="32"/>
          <w:highlight w:val="none"/>
          <w:u w:val="single"/>
          <w:lang w:eastAsia="zh-CN"/>
        </w:rPr>
        <w:t>常青</w:t>
      </w:r>
      <w:r>
        <w:rPr>
          <w:rFonts w:hint="default" w:ascii="Times New Roman" w:hAnsi="Times New Roman" w:cs="Times New Roman"/>
          <w:b/>
          <w:color w:val="auto"/>
          <w:spacing w:val="20"/>
          <w:kern w:val="0"/>
          <w:sz w:val="32"/>
          <w:szCs w:val="32"/>
          <w:highlight w:val="none"/>
          <w:u w:val="single"/>
          <w:lang w:val="en-US" w:eastAsia="zh-CN"/>
        </w:rPr>
        <w:t>街道邻里坊厨房设备采购及安装项目</w:t>
      </w:r>
      <w:r>
        <w:rPr>
          <w:rFonts w:hint="default" w:ascii="Times New Roman" w:hAnsi="Times New Roman" w:cs="Times New Roman"/>
          <w:b/>
          <w:color w:val="auto"/>
          <w:spacing w:val="20"/>
          <w:kern w:val="0"/>
          <w:sz w:val="32"/>
          <w:szCs w:val="32"/>
          <w:highlight w:val="none"/>
          <w:u w:val="single"/>
        </w:rPr>
        <w:t xml:space="preserve">  </w:t>
      </w:r>
    </w:p>
    <w:p w14:paraId="5CD84946">
      <w:pPr>
        <w:tabs>
          <w:tab w:val="left" w:pos="2410"/>
        </w:tabs>
        <w:autoSpaceDE w:val="0"/>
        <w:autoSpaceDN w:val="0"/>
        <w:adjustRightInd w:val="0"/>
        <w:snapToGrid w:val="0"/>
        <w:spacing w:line="360" w:lineRule="auto"/>
        <w:ind w:firstLine="723" w:firstLineChars="200"/>
        <w:rPr>
          <w:rFonts w:hint="eastAsia" w:ascii="Times New Roman" w:hAnsi="Times New Roman" w:eastAsia="仿宋_GB2312" w:cs="Times New Roman"/>
          <w:b/>
          <w:color w:val="auto"/>
          <w:spacing w:val="20"/>
          <w:kern w:val="0"/>
          <w:sz w:val="32"/>
          <w:szCs w:val="32"/>
          <w:highlight w:val="none"/>
          <w:u w:val="single"/>
          <w:lang w:val="en-US" w:eastAsia="zh-CN"/>
        </w:rPr>
      </w:pPr>
      <w:r>
        <w:rPr>
          <w:rFonts w:hint="default" w:ascii="Times New Roman" w:hAnsi="Times New Roman" w:cs="Times New Roman"/>
          <w:b/>
          <w:color w:val="auto"/>
          <w:spacing w:val="20"/>
          <w:kern w:val="0"/>
          <w:sz w:val="32"/>
          <w:szCs w:val="32"/>
          <w:highlight w:val="none"/>
        </w:rPr>
        <w:t>项目编号：</w:t>
      </w:r>
      <w:r>
        <w:rPr>
          <w:rFonts w:hint="default" w:ascii="Times New Roman" w:hAnsi="Times New Roman" w:cs="Times New Roman"/>
          <w:b/>
          <w:color w:val="auto"/>
          <w:spacing w:val="20"/>
          <w:kern w:val="0"/>
          <w:sz w:val="32"/>
          <w:szCs w:val="32"/>
          <w:highlight w:val="none"/>
          <w:u w:val="single"/>
        </w:rPr>
        <w:t xml:space="preserve"> </w:t>
      </w:r>
      <w:r>
        <w:rPr>
          <w:rFonts w:hint="eastAsia" w:ascii="Times New Roman" w:hAnsi="Times New Roman" w:cs="Times New Roman"/>
          <w:b/>
          <w:color w:val="auto"/>
          <w:spacing w:val="20"/>
          <w:kern w:val="0"/>
          <w:sz w:val="32"/>
          <w:szCs w:val="32"/>
          <w:highlight w:val="none"/>
          <w:u w:val="single"/>
          <w:lang w:eastAsia="zh-CN"/>
        </w:rPr>
        <w:t>BHSG-ZTB-2025-44</w:t>
      </w:r>
      <w:r>
        <w:rPr>
          <w:rFonts w:hint="eastAsia" w:ascii="Times New Roman" w:hAnsi="Times New Roman" w:cs="Times New Roman"/>
          <w:b/>
          <w:color w:val="auto"/>
          <w:spacing w:val="20"/>
          <w:kern w:val="0"/>
          <w:sz w:val="32"/>
          <w:szCs w:val="32"/>
          <w:highlight w:val="none"/>
          <w:u w:val="single"/>
          <w:lang w:val="en-US" w:eastAsia="zh-CN"/>
        </w:rPr>
        <w:t xml:space="preserve"> </w:t>
      </w:r>
    </w:p>
    <w:p w14:paraId="3BD7A4C4">
      <w:pPr>
        <w:tabs>
          <w:tab w:val="left" w:pos="2410"/>
        </w:tabs>
        <w:autoSpaceDE w:val="0"/>
        <w:autoSpaceDN w:val="0"/>
        <w:adjustRightInd w:val="0"/>
        <w:snapToGrid w:val="0"/>
        <w:spacing w:line="360" w:lineRule="auto"/>
        <w:ind w:firstLine="723" w:firstLineChars="200"/>
        <w:rPr>
          <w:rFonts w:hint="default" w:ascii="Times New Roman" w:hAnsi="Times New Roman" w:eastAsia="宋体" w:cs="Times New Roman"/>
          <w:b/>
          <w:color w:val="auto"/>
          <w:spacing w:val="20"/>
          <w:kern w:val="0"/>
          <w:sz w:val="32"/>
          <w:szCs w:val="32"/>
          <w:highlight w:val="none"/>
          <w:u w:val="single"/>
          <w:lang w:eastAsia="zh-CN"/>
        </w:rPr>
      </w:pPr>
      <w:r>
        <w:rPr>
          <w:rFonts w:hint="default" w:ascii="Times New Roman" w:hAnsi="Times New Roman" w:cs="Times New Roman"/>
          <w:b/>
          <w:color w:val="auto"/>
          <w:spacing w:val="20"/>
          <w:kern w:val="0"/>
          <w:sz w:val="32"/>
          <w:szCs w:val="32"/>
          <w:highlight w:val="none"/>
        </w:rPr>
        <w:t>招标人：</w:t>
      </w:r>
      <w:r>
        <w:rPr>
          <w:rFonts w:hint="default" w:ascii="Times New Roman" w:hAnsi="Times New Roman" w:cs="Times New Roman"/>
          <w:b/>
          <w:color w:val="auto"/>
          <w:spacing w:val="20"/>
          <w:kern w:val="0"/>
          <w:sz w:val="32"/>
          <w:szCs w:val="32"/>
          <w:highlight w:val="none"/>
          <w:u w:val="single"/>
          <w:lang w:eastAsia="zh-CN"/>
        </w:rPr>
        <w:t>合肥滨湖时光</w:t>
      </w:r>
      <w:r>
        <w:rPr>
          <w:rFonts w:hint="default" w:ascii="Times New Roman" w:hAnsi="Times New Roman" w:cs="Times New Roman"/>
          <w:b/>
          <w:color w:val="auto"/>
          <w:spacing w:val="20"/>
          <w:kern w:val="0"/>
          <w:sz w:val="32"/>
          <w:szCs w:val="32"/>
          <w:highlight w:val="none"/>
          <w:u w:val="single"/>
          <w:lang w:val="en-US" w:eastAsia="zh-CN"/>
        </w:rPr>
        <w:t>空间运营管理</w:t>
      </w:r>
      <w:r>
        <w:rPr>
          <w:rFonts w:hint="default" w:ascii="Times New Roman" w:hAnsi="Times New Roman" w:cs="Times New Roman"/>
          <w:b/>
          <w:color w:val="auto"/>
          <w:spacing w:val="20"/>
          <w:kern w:val="0"/>
          <w:sz w:val="32"/>
          <w:szCs w:val="32"/>
          <w:highlight w:val="none"/>
          <w:u w:val="single"/>
          <w:lang w:eastAsia="zh-CN"/>
        </w:rPr>
        <w:t>有限公司</w:t>
      </w:r>
    </w:p>
    <w:p w14:paraId="06E0B908">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20651653">
      <w:pPr>
        <w:tabs>
          <w:tab w:val="left" w:pos="2410"/>
        </w:tabs>
        <w:autoSpaceDE w:val="0"/>
        <w:autoSpaceDN w:val="0"/>
        <w:adjustRightInd w:val="0"/>
        <w:snapToGrid w:val="0"/>
        <w:spacing w:line="360" w:lineRule="auto"/>
        <w:ind w:firstLine="723" w:firstLineChars="200"/>
        <w:jc w:val="both"/>
        <w:rPr>
          <w:rFonts w:hint="default" w:ascii="Times New Roman" w:hAnsi="Times New Roman" w:cs="Times New Roman"/>
          <w:b/>
          <w:color w:val="auto"/>
          <w:spacing w:val="20"/>
          <w:kern w:val="0"/>
          <w:sz w:val="32"/>
          <w:szCs w:val="32"/>
          <w:highlight w:val="none"/>
          <w:u w:val="single"/>
        </w:rPr>
      </w:pPr>
    </w:p>
    <w:p w14:paraId="2C161FB3">
      <w:pPr>
        <w:ind w:firstLine="3253" w:firstLineChars="900"/>
        <w:rPr>
          <w:rFonts w:hint="default" w:ascii="Times New Roman" w:hAnsi="Times New Roman" w:cs="Times New Roman"/>
          <w:color w:val="auto"/>
          <w:highlight w:val="none"/>
        </w:rPr>
        <w:sectPr>
          <w:headerReference r:id="rId3" w:type="default"/>
          <w:footerReference r:id="rId4" w:type="default"/>
          <w:pgSz w:w="11906" w:h="16838"/>
          <w:pgMar w:top="1417" w:right="1417" w:bottom="1417" w:left="1417" w:header="851" w:footer="992" w:gutter="0"/>
          <w:cols w:space="720" w:num="1"/>
          <w:docGrid w:type="lines" w:linePitch="312" w:charSpace="0"/>
        </w:sectPr>
      </w:pPr>
      <w:r>
        <w:rPr>
          <w:rFonts w:hint="default" w:ascii="Times New Roman" w:hAnsi="Times New Roman" w:cs="Times New Roman"/>
          <w:b/>
          <w:color w:val="auto"/>
          <w:sz w:val="36"/>
          <w:highlight w:val="none"/>
          <w:u w:val="single"/>
        </w:rPr>
        <w:t>202</w:t>
      </w:r>
      <w:r>
        <w:rPr>
          <w:rFonts w:hint="default" w:ascii="Times New Roman" w:hAnsi="Times New Roman" w:cs="Times New Roman"/>
          <w:b/>
          <w:color w:val="auto"/>
          <w:sz w:val="36"/>
          <w:highlight w:val="none"/>
          <w:u w:val="single"/>
          <w:lang w:val="en-US" w:eastAsia="zh-CN"/>
        </w:rPr>
        <w:t>5</w:t>
      </w:r>
      <w:r>
        <w:rPr>
          <w:rFonts w:hint="default" w:ascii="Times New Roman" w:hAnsi="Times New Roman" w:cs="Times New Roman"/>
          <w:b/>
          <w:color w:val="auto"/>
          <w:sz w:val="36"/>
          <w:highlight w:val="none"/>
        </w:rPr>
        <w:t>年</w:t>
      </w:r>
      <w:r>
        <w:rPr>
          <w:rFonts w:hint="default" w:ascii="Times New Roman" w:hAnsi="Times New Roman" w:cs="Times New Roman"/>
          <w:b/>
          <w:color w:val="auto"/>
          <w:sz w:val="36"/>
          <w:highlight w:val="none"/>
          <w:u w:val="single"/>
        </w:rPr>
        <w:t xml:space="preserve"> </w:t>
      </w:r>
      <w:r>
        <w:rPr>
          <w:rFonts w:hint="eastAsia" w:ascii="Times New Roman" w:hAnsi="Times New Roman" w:cs="Times New Roman"/>
          <w:b/>
          <w:color w:val="auto"/>
          <w:sz w:val="36"/>
          <w:highlight w:val="none"/>
          <w:u w:val="single"/>
          <w:lang w:val="en-US" w:eastAsia="zh-CN"/>
        </w:rPr>
        <w:t>9</w:t>
      </w:r>
      <w:r>
        <w:rPr>
          <w:rFonts w:hint="default" w:ascii="Times New Roman" w:hAnsi="Times New Roman" w:cs="Times New Roman"/>
          <w:b/>
          <w:color w:val="auto"/>
          <w:sz w:val="36"/>
          <w:highlight w:val="none"/>
          <w:u w:val="single"/>
        </w:rPr>
        <w:t xml:space="preserve"> </w:t>
      </w:r>
      <w:r>
        <w:rPr>
          <w:rFonts w:hint="default" w:ascii="Times New Roman" w:hAnsi="Times New Roman" w:cs="Times New Roman"/>
          <w:b/>
          <w:color w:val="auto"/>
          <w:sz w:val="36"/>
          <w:highlight w:val="none"/>
        </w:rPr>
        <w:t>月</w:t>
      </w:r>
      <w:bookmarkEnd w:id="0"/>
    </w:p>
    <w:p w14:paraId="107E0D1E">
      <w:pPr>
        <w:spacing w:line="360" w:lineRule="auto"/>
        <w:jc w:val="center"/>
        <w:outlineLvl w:val="1"/>
        <w:rPr>
          <w:rFonts w:hint="default" w:ascii="Times New Roman" w:hAnsi="Times New Roman" w:cs="Times New Roman"/>
          <w:b/>
          <w:color w:val="auto"/>
          <w:sz w:val="28"/>
          <w:highlight w:val="none"/>
        </w:rPr>
      </w:pPr>
      <w:bookmarkStart w:id="1" w:name="_Toc13708"/>
      <w:r>
        <w:rPr>
          <w:rFonts w:hint="default" w:ascii="Times New Roman" w:hAnsi="Times New Roman" w:cs="Times New Roman"/>
          <w:b/>
          <w:color w:val="auto"/>
          <w:sz w:val="28"/>
          <w:highlight w:val="none"/>
        </w:rPr>
        <w:t>第一章  招标公告</w:t>
      </w:r>
      <w:bookmarkEnd w:id="1"/>
    </w:p>
    <w:p w14:paraId="674A893A">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cs="Times New Roman"/>
          <w:color w:val="auto"/>
          <w:spacing w:val="20"/>
          <w:sz w:val="24"/>
          <w:szCs w:val="24"/>
          <w:highlight w:val="none"/>
        </w:rPr>
      </w:pPr>
      <w:bookmarkStart w:id="2" w:name="_Toc28359003"/>
      <w:bookmarkStart w:id="3" w:name="_Toc35393791"/>
      <w:bookmarkStart w:id="4" w:name="_Toc35393622"/>
      <w:bookmarkStart w:id="5" w:name="_Toc28359080"/>
      <w:r>
        <w:rPr>
          <w:rFonts w:hint="default" w:ascii="Times New Roman" w:hAnsi="Times New Roman" w:cs="Times New Roman"/>
          <w:color w:val="auto"/>
          <w:spacing w:val="20"/>
          <w:sz w:val="24"/>
          <w:szCs w:val="24"/>
          <w:highlight w:val="none"/>
        </w:rPr>
        <w:t>项目概况</w:t>
      </w:r>
    </w:p>
    <w:p w14:paraId="5CCD76E2">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pacing w:val="20"/>
          <w:sz w:val="24"/>
          <w:szCs w:val="24"/>
          <w:highlight w:val="none"/>
          <w:u w:val="single"/>
          <w:lang w:val="en-US" w:eastAsia="zh-CN"/>
        </w:rPr>
        <w:t>常青街道邻里坊厨房设备采购及安装项目</w:t>
      </w:r>
      <w:r>
        <w:rPr>
          <w:rFonts w:hint="default" w:ascii="Times New Roman" w:hAnsi="Times New Roman" w:cs="Times New Roman"/>
          <w:color w:val="auto"/>
          <w:spacing w:val="20"/>
          <w:sz w:val="24"/>
          <w:szCs w:val="24"/>
          <w:highlight w:val="none"/>
          <w:lang w:val="en-US" w:eastAsia="zh-CN"/>
        </w:rPr>
        <w:t>的</w:t>
      </w:r>
      <w:r>
        <w:rPr>
          <w:rFonts w:hint="default" w:ascii="Times New Roman" w:hAnsi="Times New Roman" w:cs="Times New Roman"/>
          <w:color w:val="auto"/>
          <w:spacing w:val="20"/>
          <w:sz w:val="24"/>
          <w:szCs w:val="24"/>
          <w:highlight w:val="none"/>
        </w:rPr>
        <w:t>潜在投标人应在</w:t>
      </w:r>
      <w:r>
        <w:rPr>
          <w:rFonts w:hint="default" w:ascii="Times New Roman" w:hAnsi="Times New Roman" w:cs="Times New Roman"/>
          <w:color w:val="auto"/>
          <w:spacing w:val="20"/>
          <w:sz w:val="24"/>
          <w:szCs w:val="24"/>
          <w:highlight w:val="none"/>
          <w:u w:val="single"/>
          <w:lang w:eastAsia="zh-CN"/>
        </w:rPr>
        <w:t>合肥滨湖时光产业投资集团有限公司</w:t>
      </w:r>
      <w:r>
        <w:rPr>
          <w:rFonts w:hint="default" w:ascii="Times New Roman" w:hAnsi="Times New Roman" w:cs="Times New Roman"/>
          <w:color w:val="auto"/>
          <w:spacing w:val="20"/>
          <w:kern w:val="10"/>
          <w:sz w:val="24"/>
          <w:szCs w:val="24"/>
          <w:highlight w:val="none"/>
          <w:u w:val="single"/>
        </w:rPr>
        <w:t>官方网站</w:t>
      </w:r>
      <w:r>
        <w:rPr>
          <w:rFonts w:hint="default" w:ascii="Times New Roman" w:hAnsi="Times New Roman" w:cs="Times New Roman"/>
          <w:color w:val="auto"/>
          <w:spacing w:val="20"/>
          <w:sz w:val="24"/>
          <w:szCs w:val="24"/>
          <w:highlight w:val="none"/>
          <w:u w:val="single"/>
          <w:lang w:eastAsia="zh-CN"/>
        </w:rPr>
        <w:t>http://bhsggroup.cn/</w:t>
      </w:r>
      <w:r>
        <w:rPr>
          <w:rFonts w:hint="default" w:ascii="Times New Roman" w:hAnsi="Times New Roman" w:cs="Times New Roman"/>
          <w:color w:val="auto"/>
          <w:sz w:val="24"/>
          <w:szCs w:val="24"/>
          <w:highlight w:val="none"/>
        </w:rPr>
        <w:t>获取招标文件，并于</w:t>
      </w:r>
      <w:r>
        <w:rPr>
          <w:rFonts w:hint="default" w:ascii="Times New Roman" w:hAnsi="Times New Roman"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2025年</w:t>
      </w:r>
      <w:r>
        <w:rPr>
          <w:rFonts w:hint="default" w:ascii="Times New Roman" w:hAnsi="Times New Roman" w:cs="Times New Roman"/>
          <w:color w:val="auto"/>
          <w:sz w:val="24"/>
          <w:szCs w:val="24"/>
          <w:highlight w:val="none"/>
          <w:u w:val="single"/>
          <w:lang w:val="en-US" w:eastAsia="zh-CN"/>
        </w:rPr>
        <w:t>9</w:t>
      </w:r>
      <w:r>
        <w:rPr>
          <w:rFonts w:hint="eastAsia" w:ascii="Times New Roman" w:hAnsi="Times New Roman" w:cs="Times New Roman"/>
          <w:color w:val="auto"/>
          <w:sz w:val="24"/>
          <w:szCs w:val="24"/>
          <w:highlight w:val="none"/>
          <w:u w:val="single"/>
          <w:lang w:val="en-US" w:eastAsia="zh-CN"/>
        </w:rPr>
        <w:t>月22日15：00</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bCs/>
          <w:color w:val="auto"/>
          <w:sz w:val="24"/>
          <w:szCs w:val="24"/>
          <w:highlight w:val="none"/>
        </w:rPr>
        <w:t>（北京时间）前递交投标文件</w:t>
      </w:r>
      <w:r>
        <w:rPr>
          <w:rFonts w:hint="default" w:ascii="Times New Roman" w:hAnsi="Times New Roman" w:cs="Times New Roman"/>
          <w:color w:val="auto"/>
          <w:sz w:val="24"/>
          <w:szCs w:val="24"/>
          <w:highlight w:val="none"/>
        </w:rPr>
        <w:t>。</w:t>
      </w:r>
    </w:p>
    <w:p w14:paraId="32A30A9B">
      <w:pPr>
        <w:snapToGrid w:val="0"/>
        <w:spacing w:line="360" w:lineRule="auto"/>
        <w:rPr>
          <w:rFonts w:hint="default" w:ascii="Times New Roman" w:hAnsi="Times New Roman" w:cs="Times New Roman"/>
          <w:color w:val="auto"/>
          <w:sz w:val="24"/>
          <w:szCs w:val="24"/>
          <w:highlight w:val="none"/>
        </w:rPr>
      </w:pPr>
    </w:p>
    <w:p w14:paraId="17C075BD">
      <w:pPr>
        <w:snapToGrid w:val="0"/>
        <w:spacing w:line="360" w:lineRule="auto"/>
        <w:ind w:firstLine="482" w:firstLineChars="200"/>
        <w:rPr>
          <w:rFonts w:hint="default" w:ascii="Times New Roman" w:hAnsi="Times New Roman" w:cs="Times New Roman"/>
          <w:b/>
          <w:bCs/>
          <w:color w:val="auto"/>
          <w:sz w:val="24"/>
          <w:szCs w:val="24"/>
          <w:highlight w:val="none"/>
        </w:rPr>
      </w:pPr>
      <w:bookmarkStart w:id="6" w:name="_Toc35393621"/>
      <w:bookmarkStart w:id="7" w:name="_Toc28359079"/>
      <w:bookmarkStart w:id="8" w:name="_Toc35393790"/>
      <w:bookmarkStart w:id="9" w:name="_Toc28359002"/>
      <w:bookmarkStart w:id="10" w:name="_Hlk24379207"/>
      <w:r>
        <w:rPr>
          <w:rFonts w:hint="default" w:ascii="Times New Roman" w:hAnsi="Times New Roman" w:cs="Times New Roman"/>
          <w:b/>
          <w:bCs/>
          <w:color w:val="auto"/>
          <w:sz w:val="24"/>
          <w:szCs w:val="24"/>
          <w:highlight w:val="none"/>
        </w:rPr>
        <w:t>一、</w:t>
      </w:r>
      <w:bookmarkEnd w:id="6"/>
      <w:bookmarkEnd w:id="7"/>
      <w:bookmarkEnd w:id="8"/>
      <w:bookmarkEnd w:id="9"/>
      <w:r>
        <w:rPr>
          <w:rFonts w:hint="default" w:ascii="Times New Roman" w:hAnsi="Times New Roman" w:cs="Times New Roman"/>
          <w:b/>
          <w:bCs/>
          <w:color w:val="auto"/>
          <w:sz w:val="24"/>
          <w:szCs w:val="18"/>
          <w:highlight w:val="none"/>
        </w:rPr>
        <w:t>项目名称及内容</w:t>
      </w:r>
    </w:p>
    <w:p w14:paraId="3BFFFC82">
      <w:pPr>
        <w:tabs>
          <w:tab w:val="left" w:pos="2410"/>
        </w:tabs>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 xml:space="preserve">1.项目编号： </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single"/>
          <w:lang w:val="en-US" w:eastAsia="zh-CN"/>
        </w:rPr>
        <w:t>BHSG-ZTB-2025-44</w:t>
      </w:r>
      <w:r>
        <w:rPr>
          <w:rFonts w:hint="default" w:ascii="Times New Roman" w:hAnsi="Times New Roman" w:cs="Times New Roman"/>
          <w:color w:val="auto"/>
          <w:sz w:val="24"/>
          <w:szCs w:val="24"/>
          <w:highlight w:val="none"/>
          <w:u w:val="single"/>
          <w:lang w:val="en-US" w:eastAsia="zh-CN"/>
        </w:rPr>
        <w:t xml:space="preserve">  </w:t>
      </w:r>
    </w:p>
    <w:p w14:paraId="4AFC1078">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2.项目名称：</w:t>
      </w:r>
      <w:bookmarkEnd w:id="10"/>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pacing w:val="20"/>
          <w:sz w:val="24"/>
          <w:szCs w:val="24"/>
          <w:highlight w:val="none"/>
          <w:u w:val="single"/>
          <w:lang w:val="en-US" w:eastAsia="zh-CN"/>
        </w:rPr>
        <w:t>常青街道邻里坊厨房设备采购及安装项目</w:t>
      </w:r>
    </w:p>
    <w:p w14:paraId="67154745">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3.项目地点：</w:t>
      </w:r>
      <w:r>
        <w:rPr>
          <w:rFonts w:hint="default" w:ascii="Times New Roman" w:hAnsi="Times New Roman" w:cs="Times New Roman"/>
          <w:color w:val="auto"/>
          <w:sz w:val="24"/>
          <w:szCs w:val="24"/>
          <w:highlight w:val="none"/>
          <w:u w:val="single"/>
        </w:rPr>
        <w:t>合肥市包河区</w:t>
      </w:r>
    </w:p>
    <w:p w14:paraId="51B628D0">
      <w:pPr>
        <w:snapToGrid w:val="0"/>
        <w:spacing w:line="360" w:lineRule="auto"/>
        <w:ind w:left="479" w:leftChars="228"/>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4.项目概况：</w:t>
      </w:r>
      <w:r>
        <w:rPr>
          <w:rFonts w:hint="default" w:ascii="Times New Roman" w:hAnsi="Times New Roman" w:cs="Times New Roman"/>
          <w:color w:val="auto"/>
          <w:spacing w:val="20"/>
          <w:sz w:val="24"/>
          <w:szCs w:val="24"/>
          <w:highlight w:val="none"/>
          <w:u w:val="single"/>
          <w:lang w:val="en-US" w:eastAsia="zh-CN"/>
        </w:rPr>
        <w:t>常青街道邻里坊厨房设备采购及安装项目</w:t>
      </w:r>
      <w:r>
        <w:rPr>
          <w:rFonts w:hint="default" w:ascii="Times New Roman" w:hAnsi="Times New Roman" w:cs="Times New Roman"/>
          <w:color w:val="auto"/>
          <w:sz w:val="24"/>
          <w:szCs w:val="24"/>
          <w:highlight w:val="none"/>
          <w:u w:val="single"/>
        </w:rPr>
        <w:t xml:space="preserve">等。 </w:t>
      </w:r>
    </w:p>
    <w:p w14:paraId="673AC95F">
      <w:pPr>
        <w:snapToGrid w:val="0"/>
        <w:spacing w:line="360" w:lineRule="auto"/>
        <w:ind w:firstLine="480" w:firstLineChars="200"/>
        <w:rPr>
          <w:rFonts w:hint="default" w:ascii="Times New Roman" w:hAnsi="Times New Roman" w:eastAsia="仿宋_GB2312"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5.项目预算：</w:t>
      </w:r>
      <w:r>
        <w:rPr>
          <w:rFonts w:hint="default"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single"/>
          <w:lang w:val="en-US" w:eastAsia="zh-CN"/>
        </w:rPr>
        <w:t>145000</w:t>
      </w:r>
      <w:r>
        <w:rPr>
          <w:rFonts w:hint="default" w:ascii="Times New Roman" w:hAnsi="Times New Roman" w:cs="Times New Roman"/>
          <w:color w:val="auto"/>
          <w:sz w:val="24"/>
          <w:szCs w:val="24"/>
          <w:highlight w:val="none"/>
          <w:u w:val="single"/>
        </w:rPr>
        <w:t>元</w:t>
      </w:r>
      <w:r>
        <w:rPr>
          <w:rFonts w:hint="eastAsia" w:ascii="Times New Roman" w:hAnsi="Times New Roman" w:cs="Times New Roman"/>
          <w:color w:val="auto"/>
          <w:sz w:val="24"/>
          <w:szCs w:val="24"/>
          <w:highlight w:val="none"/>
          <w:u w:val="single"/>
          <w:lang w:val="en-US" w:eastAsia="zh-CN"/>
        </w:rPr>
        <w:t xml:space="preserve">  </w:t>
      </w:r>
    </w:p>
    <w:p w14:paraId="452FCADC">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6.最高限价：</w:t>
      </w:r>
      <w:r>
        <w:rPr>
          <w:rFonts w:hint="default"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single"/>
          <w:lang w:val="en-US" w:eastAsia="zh-CN"/>
        </w:rPr>
        <w:t>145000</w:t>
      </w:r>
      <w:r>
        <w:rPr>
          <w:rFonts w:hint="default" w:ascii="Times New Roman" w:hAnsi="Times New Roman" w:cs="Times New Roman"/>
          <w:color w:val="auto"/>
          <w:sz w:val="24"/>
          <w:szCs w:val="24"/>
          <w:highlight w:val="none"/>
          <w:u w:val="single"/>
        </w:rPr>
        <w:t>元</w:t>
      </w:r>
    </w:p>
    <w:p w14:paraId="499D1288">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7.项目类别：</w:t>
      </w:r>
      <w:r>
        <w:rPr>
          <w:rFonts w:hint="default" w:ascii="Times New Roman" w:hAnsi="Times New Roman" w:cs="Times New Roman"/>
          <w:color w:val="auto"/>
          <w:sz w:val="24"/>
          <w:szCs w:val="24"/>
          <w:highlight w:val="none"/>
          <w:u w:val="single"/>
        </w:rPr>
        <w:t>货物类</w:t>
      </w:r>
    </w:p>
    <w:p w14:paraId="58807CCC">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8.合同履行期限：</w:t>
      </w:r>
      <w:r>
        <w:rPr>
          <w:rFonts w:hint="default" w:ascii="Times New Roman" w:hAnsi="Times New Roman" w:cs="Times New Roman"/>
          <w:color w:val="auto"/>
          <w:sz w:val="24"/>
          <w:szCs w:val="24"/>
          <w:highlight w:val="none"/>
          <w:u w:val="single"/>
        </w:rPr>
        <w:t>详见招标文件</w:t>
      </w:r>
    </w:p>
    <w:p w14:paraId="380A19FE">
      <w:pPr>
        <w:autoSpaceDE w:val="0"/>
        <w:autoSpaceDN w:val="0"/>
        <w:adjustRightInd w:val="0"/>
        <w:spacing w:line="360" w:lineRule="auto"/>
        <w:ind w:firstLine="436" w:firstLineChars="182"/>
        <w:jc w:val="left"/>
        <w:rPr>
          <w:rFonts w:hint="default" w:ascii="Times New Roman" w:hAnsi="Times New Roman" w:cs="Times New Roman"/>
          <w:color w:val="auto"/>
          <w:sz w:val="24"/>
          <w:szCs w:val="18"/>
          <w:highlight w:val="none"/>
          <w:u w:val="single"/>
        </w:rPr>
      </w:pPr>
      <w:r>
        <w:rPr>
          <w:rFonts w:hint="default" w:ascii="Times New Roman" w:hAnsi="Times New Roman" w:cs="Times New Roman"/>
          <w:color w:val="auto"/>
          <w:sz w:val="24"/>
          <w:szCs w:val="18"/>
          <w:highlight w:val="none"/>
        </w:rPr>
        <w:t>9.标段（包别）划分：</w:t>
      </w:r>
      <w:r>
        <w:rPr>
          <w:rFonts w:hint="default" w:ascii="Times New Roman" w:hAnsi="Times New Roman" w:cs="Times New Roman"/>
          <w:color w:val="auto"/>
          <w:sz w:val="24"/>
          <w:szCs w:val="18"/>
          <w:highlight w:val="none"/>
          <w:u w:val="single"/>
        </w:rPr>
        <w:t>共分 1 个标段</w:t>
      </w:r>
    </w:p>
    <w:p w14:paraId="6ABEE2E3">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二、</w:t>
      </w:r>
      <w:r>
        <w:rPr>
          <w:rFonts w:hint="default" w:ascii="Times New Roman" w:hAnsi="Times New Roman" w:cs="Times New Roman" w:eastAsiaTheme="minorEastAsia"/>
          <w:b/>
          <w:color w:val="auto"/>
          <w:sz w:val="24"/>
          <w:highlight w:val="none"/>
        </w:rPr>
        <w:t>投标人</w:t>
      </w:r>
      <w:r>
        <w:rPr>
          <w:rFonts w:hint="default" w:ascii="Times New Roman" w:hAnsi="Times New Roman" w:cs="Times New Roman"/>
          <w:b/>
          <w:bCs/>
          <w:color w:val="auto"/>
          <w:sz w:val="24"/>
          <w:szCs w:val="18"/>
          <w:highlight w:val="none"/>
        </w:rPr>
        <w:t>资格</w:t>
      </w:r>
    </w:p>
    <w:p w14:paraId="11D54FE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1</w:t>
      </w:r>
      <w:r>
        <w:rPr>
          <w:rFonts w:hint="default" w:ascii="Times New Roman" w:hAnsi="Times New Roman" w:cs="Times New Roman"/>
          <w:b/>
          <w:color w:val="auto"/>
          <w:sz w:val="24"/>
          <w:highlight w:val="none"/>
        </w:rPr>
        <w:t>.</w:t>
      </w:r>
      <w:r>
        <w:rPr>
          <w:rFonts w:hint="default" w:ascii="Times New Roman" w:hAnsi="Times New Roman" w:cs="Times New Roman"/>
          <w:color w:val="auto"/>
          <w:sz w:val="24"/>
          <w:szCs w:val="18"/>
          <w:highlight w:val="none"/>
        </w:rPr>
        <w:t>具有独立承担民事责任的能力；</w:t>
      </w:r>
    </w:p>
    <w:p w14:paraId="5BCBDEE7">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2.资质要求：/；</w:t>
      </w:r>
    </w:p>
    <w:p w14:paraId="27677875">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3.业绩要求：自202</w:t>
      </w:r>
      <w:r>
        <w:rPr>
          <w:rFonts w:hint="default" w:ascii="Times New Roman" w:hAnsi="Times New Roman" w:cs="Times New Roman"/>
          <w:color w:val="auto"/>
          <w:sz w:val="24"/>
          <w:szCs w:val="18"/>
          <w:highlight w:val="none"/>
          <w:lang w:val="en-US" w:eastAsia="zh-CN"/>
        </w:rPr>
        <w:t>1</w:t>
      </w:r>
      <w:r>
        <w:rPr>
          <w:rFonts w:hint="default" w:ascii="Times New Roman" w:hAnsi="Times New Roman" w:cs="Times New Roman"/>
          <w:color w:val="auto"/>
          <w:sz w:val="24"/>
          <w:szCs w:val="18"/>
          <w:highlight w:val="none"/>
        </w:rPr>
        <w:t>年1月1日以来（以合同签订时间为准），投标人具有</w:t>
      </w:r>
      <w:r>
        <w:rPr>
          <w:rFonts w:hint="default" w:ascii="Times New Roman" w:hAnsi="Times New Roman" w:cs="Times New Roman"/>
          <w:color w:val="auto"/>
          <w:sz w:val="24"/>
          <w:szCs w:val="18"/>
          <w:highlight w:val="none"/>
          <w:lang w:eastAsia="zh-CN"/>
        </w:rPr>
        <w:t>厨具的</w:t>
      </w:r>
      <w:r>
        <w:rPr>
          <w:rFonts w:hint="default" w:ascii="Times New Roman" w:hAnsi="Times New Roman" w:cs="Times New Roman"/>
          <w:color w:val="auto"/>
          <w:sz w:val="24"/>
          <w:szCs w:val="18"/>
          <w:highlight w:val="none"/>
        </w:rPr>
        <w:t>供货（或供货安装）业绩。</w:t>
      </w:r>
    </w:p>
    <w:p w14:paraId="28285CF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4.本项目不接受联合体投标；</w:t>
      </w:r>
    </w:p>
    <w:p w14:paraId="1BF07069">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18"/>
          <w:highlight w:val="none"/>
        </w:rPr>
        <w:t>5.投标人存在以下不良信用记录情形之一的，不得推荐为中标候选人，不得确</w:t>
      </w:r>
      <w:r>
        <w:rPr>
          <w:rFonts w:hint="default" w:ascii="Times New Roman" w:hAnsi="Times New Roman" w:cs="Times New Roman"/>
          <w:color w:val="auto"/>
          <w:sz w:val="24"/>
          <w:szCs w:val="24"/>
          <w:highlight w:val="none"/>
        </w:rPr>
        <w:t>定为中标人：</w:t>
      </w:r>
    </w:p>
    <w:p w14:paraId="610A45F6">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14:paraId="6309F2EB">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14:paraId="0D514240">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72E8F222">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33DEFD6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72A6C83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46AEDED4">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0EB539C8">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三、获取招标文件方式</w:t>
      </w:r>
    </w:p>
    <w:p w14:paraId="0731D282">
      <w:pPr>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1.获取时间：</w:t>
      </w:r>
      <w:r>
        <w:rPr>
          <w:rFonts w:hint="default"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single"/>
          <w:lang w:val="en-US" w:eastAsia="zh-CN"/>
        </w:rPr>
        <w:t>2025年</w:t>
      </w:r>
      <w:r>
        <w:rPr>
          <w:rFonts w:hint="default" w:ascii="Times New Roman" w:hAnsi="Times New Roman" w:cs="Times New Roman"/>
          <w:color w:val="auto"/>
          <w:sz w:val="24"/>
          <w:szCs w:val="24"/>
          <w:highlight w:val="none"/>
          <w:u w:val="single"/>
          <w:lang w:val="en-US" w:eastAsia="zh-CN"/>
        </w:rPr>
        <w:t>9</w:t>
      </w:r>
      <w:r>
        <w:rPr>
          <w:rFonts w:hint="eastAsia" w:ascii="Times New Roman" w:hAnsi="Times New Roman" w:cs="Times New Roman"/>
          <w:color w:val="auto"/>
          <w:sz w:val="24"/>
          <w:szCs w:val="24"/>
          <w:highlight w:val="none"/>
          <w:u w:val="single"/>
          <w:lang w:val="en-US" w:eastAsia="zh-CN"/>
        </w:rPr>
        <w:t>月</w:t>
      </w:r>
      <w:r>
        <w:rPr>
          <w:rFonts w:hint="default" w:ascii="Times New Roman" w:hAnsi="Times New Roman" w:cs="Times New Roman"/>
          <w:color w:val="auto"/>
          <w:sz w:val="24"/>
          <w:szCs w:val="24"/>
          <w:highlight w:val="none"/>
          <w:u w:val="single"/>
          <w:lang w:val="en-US" w:eastAsia="zh-CN"/>
        </w:rPr>
        <w:t>1</w:t>
      </w:r>
      <w:r>
        <w:rPr>
          <w:rFonts w:hint="eastAsia" w:ascii="Times New Roman" w:hAnsi="Times New Roman" w:cs="Times New Roman"/>
          <w:color w:val="auto"/>
          <w:sz w:val="24"/>
          <w:szCs w:val="24"/>
          <w:highlight w:val="none"/>
          <w:u w:val="single"/>
          <w:lang w:val="en-US" w:eastAsia="zh-CN"/>
        </w:rPr>
        <w:t>5日-2025年</w:t>
      </w:r>
      <w:r>
        <w:rPr>
          <w:rFonts w:hint="default" w:ascii="Times New Roman" w:hAnsi="Times New Roman" w:cs="Times New Roman"/>
          <w:color w:val="auto"/>
          <w:sz w:val="24"/>
          <w:szCs w:val="24"/>
          <w:highlight w:val="none"/>
          <w:u w:val="single"/>
          <w:lang w:val="en-US" w:eastAsia="zh-CN"/>
        </w:rPr>
        <w:t>9</w:t>
      </w:r>
      <w:r>
        <w:rPr>
          <w:rFonts w:hint="eastAsia" w:ascii="Times New Roman" w:hAnsi="Times New Roman" w:cs="Times New Roman"/>
          <w:color w:val="auto"/>
          <w:sz w:val="24"/>
          <w:szCs w:val="24"/>
          <w:highlight w:val="none"/>
          <w:u w:val="single"/>
          <w:lang w:val="en-US" w:eastAsia="zh-CN"/>
        </w:rPr>
        <w:t>月22日</w:t>
      </w:r>
      <w:r>
        <w:rPr>
          <w:rFonts w:hint="default" w:ascii="Times New Roman" w:hAnsi="Times New Roman" w:cs="Times New Roman"/>
          <w:color w:val="auto"/>
          <w:sz w:val="24"/>
          <w:szCs w:val="24"/>
          <w:highlight w:val="none"/>
          <w:u w:val="single"/>
          <w:lang w:val="en-US" w:eastAsia="zh-CN"/>
        </w:rPr>
        <w:t xml:space="preserve">                                                 </w:t>
      </w:r>
    </w:p>
    <w:p w14:paraId="4F78CA82">
      <w:pPr>
        <w:snapToGrid w:val="0"/>
        <w:spacing w:line="360" w:lineRule="auto"/>
        <w:ind w:firstLine="480" w:firstLineChars="200"/>
        <w:jc w:val="left"/>
        <w:rPr>
          <w:rFonts w:hint="default" w:ascii="Times New Roman" w:hAnsi="Times New Roman" w:cs="Times New Roman"/>
          <w:color w:val="auto"/>
          <w:sz w:val="24"/>
          <w:szCs w:val="24"/>
          <w:highlight w:val="none"/>
          <w:shd w:val="clear" w:color="auto" w:fill="FFFFFF"/>
        </w:rPr>
      </w:pPr>
      <w:r>
        <w:rPr>
          <w:rFonts w:hint="default" w:ascii="Times New Roman" w:hAnsi="Times New Roman" w:cs="Times New Roman"/>
          <w:color w:val="auto"/>
          <w:sz w:val="24"/>
          <w:szCs w:val="24"/>
          <w:highlight w:val="none"/>
        </w:rPr>
        <w:t>2.获取方式：登录</w:t>
      </w:r>
      <w:r>
        <w:rPr>
          <w:rFonts w:hint="default" w:ascii="Times New Roman" w:hAnsi="Times New Roman" w:cs="Times New Roman"/>
          <w:color w:val="auto"/>
          <w:spacing w:val="20"/>
          <w:sz w:val="24"/>
          <w:szCs w:val="24"/>
          <w:highlight w:val="none"/>
          <w:u w:val="single"/>
          <w:lang w:eastAsia="zh-CN"/>
        </w:rPr>
        <w:t>合肥滨湖时光产业投资集团有限公司官方网站http://bhsggroup.cn/</w:t>
      </w:r>
      <w:r>
        <w:rPr>
          <w:rFonts w:hint="default" w:ascii="Times New Roman" w:hAnsi="Times New Roman" w:cs="Times New Roman"/>
          <w:color w:val="auto"/>
          <w:sz w:val="24"/>
          <w:szCs w:val="24"/>
          <w:highlight w:val="none"/>
          <w:shd w:val="clear" w:color="auto" w:fill="FFFFFF"/>
        </w:rPr>
        <w:t>并下载招标文件及相关附件。在投标截止时间前，将投标文件密封提交（或快递）至项目联系人处即可。</w:t>
      </w:r>
    </w:p>
    <w:p w14:paraId="4B3B82FF">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四、提交投标文件截止时间、开标时间和地点</w:t>
      </w:r>
    </w:p>
    <w:p w14:paraId="28C77DB4">
      <w:pPr>
        <w:snapToGrid w:val="0"/>
        <w:spacing w:line="360" w:lineRule="auto"/>
        <w:ind w:firstLine="480" w:firstLineChars="200"/>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1.投标文件提交截止时间：</w:t>
      </w:r>
      <w:r>
        <w:rPr>
          <w:rFonts w:hint="default"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single"/>
          <w:lang w:val="en-US" w:eastAsia="zh-CN"/>
        </w:rPr>
        <w:t>2025年</w:t>
      </w:r>
      <w:r>
        <w:rPr>
          <w:rFonts w:hint="default" w:ascii="Times New Roman" w:hAnsi="Times New Roman" w:cs="Times New Roman"/>
          <w:color w:val="auto"/>
          <w:sz w:val="24"/>
          <w:szCs w:val="24"/>
          <w:highlight w:val="none"/>
          <w:u w:val="single"/>
          <w:lang w:val="en-US" w:eastAsia="zh-CN"/>
        </w:rPr>
        <w:t>9</w:t>
      </w:r>
      <w:r>
        <w:rPr>
          <w:rFonts w:hint="eastAsia" w:ascii="Times New Roman" w:hAnsi="Times New Roman" w:cs="Times New Roman"/>
          <w:color w:val="auto"/>
          <w:sz w:val="24"/>
          <w:szCs w:val="24"/>
          <w:highlight w:val="none"/>
          <w:u w:val="single"/>
          <w:lang w:val="en-US" w:eastAsia="zh-CN"/>
        </w:rPr>
        <w:t>月22日15：00</w:t>
      </w:r>
      <w:r>
        <w:rPr>
          <w:rFonts w:hint="default" w:ascii="Times New Roman" w:hAnsi="Times New Roman" w:cs="Times New Roman"/>
          <w:color w:val="auto"/>
          <w:sz w:val="24"/>
          <w:szCs w:val="24"/>
          <w:highlight w:val="none"/>
          <w:u w:val="single"/>
          <w:lang w:val="en-US" w:eastAsia="zh-CN"/>
        </w:rPr>
        <w:t xml:space="preserve">  </w:t>
      </w:r>
    </w:p>
    <w:p w14:paraId="3B9ECD9D">
      <w:pPr>
        <w:snapToGrid w:val="0"/>
        <w:spacing w:line="360" w:lineRule="auto"/>
        <w:ind w:firstLine="480" w:firstLineChars="200"/>
        <w:rPr>
          <w:rFonts w:hint="default" w:ascii="Times New Roman" w:hAnsi="Times New Roman" w:cs="Times New Roman"/>
          <w:b/>
          <w:bCs/>
          <w:color w:val="auto"/>
          <w:sz w:val="24"/>
          <w:szCs w:val="24"/>
          <w:highlight w:val="none"/>
          <w:u w:val="single"/>
        </w:rPr>
      </w:pPr>
      <w:r>
        <w:rPr>
          <w:rFonts w:hint="default" w:ascii="Times New Roman" w:hAnsi="Times New Roman" w:cs="Times New Roman"/>
          <w:color w:val="auto"/>
          <w:sz w:val="24"/>
          <w:szCs w:val="24"/>
          <w:highlight w:val="none"/>
        </w:rPr>
        <w:t>2.投标文件提交地点：合肥市包河区滨湖卓越城文华园一期A2楼4层</w:t>
      </w:r>
    </w:p>
    <w:p w14:paraId="6BD91A30">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五、开标时间：同投标文件提交截止时间</w:t>
      </w:r>
    </w:p>
    <w:p w14:paraId="1D0A742B">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六、公告期限</w:t>
      </w:r>
    </w:p>
    <w:p w14:paraId="700DD5AA">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自本公告发布之日起5个工作日内。</w:t>
      </w:r>
    </w:p>
    <w:p w14:paraId="0FD68A36">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七、其他补充事宜</w:t>
      </w:r>
    </w:p>
    <w:p w14:paraId="25FBCEB4">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1.潜在投标人应合理安排招标文件获取时间，特别是网络速度慢的地区防止在系统关闭前网络拥堵无法操作。如果因计算机及网络故障造成无法完成招标文件获取，责任自负。</w:t>
      </w:r>
    </w:p>
    <w:p w14:paraId="70F2B58C">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八、对本次招标提出询问，请按以下方式联系。</w:t>
      </w:r>
    </w:p>
    <w:bookmarkEnd w:id="2"/>
    <w:bookmarkEnd w:id="3"/>
    <w:bookmarkEnd w:id="4"/>
    <w:bookmarkEnd w:id="5"/>
    <w:p w14:paraId="35C8DA28">
      <w:pPr>
        <w:widowControl/>
        <w:snapToGrid w:val="0"/>
        <w:spacing w:line="360" w:lineRule="auto"/>
        <w:ind w:firstLine="480" w:firstLineChars="200"/>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1.招标人信息</w:t>
      </w:r>
    </w:p>
    <w:p w14:paraId="5239CAF1">
      <w:pPr>
        <w:pStyle w:val="31"/>
        <w:spacing w:line="360" w:lineRule="auto"/>
        <w:ind w:left="479" w:leftChars="228" w:firstLine="0" w:firstLineChars="0"/>
        <w:rPr>
          <w:rFonts w:hint="default" w:ascii="Times New Roman" w:hAnsi="Times New Roman" w:eastAsia="宋体" w:cs="Times New Roman"/>
          <w:color w:val="auto"/>
          <w:kern w:val="2"/>
          <w:sz w:val="24"/>
          <w:szCs w:val="24"/>
          <w:highlight w:val="none"/>
          <w:u w:val="single"/>
          <w:lang w:val="en-US" w:eastAsia="zh-CN" w:bidi="ar-SA"/>
        </w:rPr>
      </w:pPr>
      <w:r>
        <w:rPr>
          <w:rFonts w:hint="default" w:ascii="Times New Roman" w:hAnsi="Times New Roman" w:eastAsia="宋体" w:cs="Times New Roman"/>
          <w:color w:val="auto"/>
          <w:kern w:val="2"/>
          <w:sz w:val="24"/>
          <w:szCs w:val="24"/>
          <w:highlight w:val="none"/>
          <w:lang w:val="en-US" w:eastAsia="zh-CN" w:bidi="ar-SA"/>
        </w:rPr>
        <w:t>名称</w:t>
      </w:r>
      <w:r>
        <w:rPr>
          <w:rFonts w:hint="default" w:ascii="Times New Roman" w:hAnsi="Times New Roman" w:eastAsia="宋体" w:cs="Times New Roman"/>
          <w:color w:val="auto"/>
          <w:kern w:val="2"/>
          <w:sz w:val="24"/>
          <w:szCs w:val="24"/>
          <w:highlight w:val="none"/>
          <w:u w:val="none"/>
          <w:lang w:val="en-US" w:eastAsia="zh-CN" w:bidi="ar-SA"/>
        </w:rPr>
        <w:t>：</w:t>
      </w:r>
      <w:r>
        <w:rPr>
          <w:rFonts w:hint="default" w:ascii="Times New Roman" w:hAnsi="Times New Roman" w:cs="Times New Roman"/>
          <w:color w:val="auto"/>
          <w:kern w:val="2"/>
          <w:sz w:val="24"/>
          <w:szCs w:val="24"/>
          <w:highlight w:val="none"/>
          <w:u w:val="single"/>
          <w:lang w:val="en-US" w:eastAsia="zh-CN" w:bidi="ar-SA"/>
        </w:rPr>
        <w:t>合肥滨湖时光空间运营管理有限公司</w:t>
      </w:r>
    </w:p>
    <w:p w14:paraId="7A7E5B2C">
      <w:pPr>
        <w:pStyle w:val="21"/>
        <w:snapToGrid w:val="0"/>
        <w:spacing w:line="360" w:lineRule="auto"/>
        <w:ind w:firstLine="480" w:firstLineChars="200"/>
        <w:rPr>
          <w:rFonts w:hint="default" w:ascii="Times New Roman" w:hAnsi="Times New Roman" w:eastAsia="宋体" w:cs="Times New Roman"/>
          <w:color w:val="auto"/>
          <w:kern w:val="2"/>
          <w:sz w:val="24"/>
          <w:szCs w:val="24"/>
          <w:highlight w:val="none"/>
          <w:u w:val="single"/>
          <w:lang w:val="en-US" w:eastAsia="zh-CN" w:bidi="ar-SA"/>
        </w:rPr>
      </w:pPr>
      <w:r>
        <w:rPr>
          <w:rFonts w:hint="default" w:ascii="Times New Roman" w:hAnsi="Times New Roman" w:eastAsia="宋体" w:cs="Times New Roman"/>
          <w:color w:val="auto"/>
          <w:kern w:val="2"/>
          <w:sz w:val="24"/>
          <w:szCs w:val="24"/>
          <w:highlight w:val="none"/>
          <w:lang w:val="en-US" w:eastAsia="zh-CN" w:bidi="ar-SA"/>
        </w:rPr>
        <w:t>地址：</w:t>
      </w:r>
      <w:r>
        <w:rPr>
          <w:rFonts w:hint="default" w:ascii="Times New Roman" w:hAnsi="Times New Roman" w:eastAsia="宋体" w:cs="Times New Roman"/>
          <w:color w:val="auto"/>
          <w:kern w:val="2"/>
          <w:sz w:val="24"/>
          <w:szCs w:val="24"/>
          <w:highlight w:val="none"/>
          <w:u w:val="single"/>
          <w:lang w:val="en-US" w:eastAsia="zh-CN" w:bidi="ar-SA"/>
        </w:rPr>
        <w:t xml:space="preserve"> 合肥市包河区花园大道以南泰山路以东滨湖卓越城文华园一期</w:t>
      </w:r>
      <w:r>
        <w:rPr>
          <w:rFonts w:hint="default" w:ascii="Times New Roman" w:hAnsi="Times New Roman" w:cs="Times New Roman"/>
          <w:color w:val="auto"/>
          <w:kern w:val="2"/>
          <w:sz w:val="24"/>
          <w:szCs w:val="24"/>
          <w:highlight w:val="none"/>
          <w:u w:val="single"/>
          <w:lang w:val="en-US" w:eastAsia="zh-CN" w:bidi="ar-SA"/>
        </w:rPr>
        <w:t>A2</w:t>
      </w:r>
      <w:r>
        <w:rPr>
          <w:rFonts w:hint="default" w:ascii="Times New Roman" w:hAnsi="Times New Roman" w:eastAsia="宋体" w:cs="Times New Roman"/>
          <w:color w:val="auto"/>
          <w:kern w:val="2"/>
          <w:sz w:val="24"/>
          <w:szCs w:val="24"/>
          <w:highlight w:val="none"/>
          <w:u w:val="single"/>
          <w:lang w:val="en-US" w:eastAsia="zh-CN" w:bidi="ar-SA"/>
        </w:rPr>
        <w:t>楼</w:t>
      </w:r>
      <w:r>
        <w:rPr>
          <w:rFonts w:hint="default" w:ascii="Times New Roman" w:hAnsi="Times New Roman" w:cs="Times New Roman"/>
          <w:color w:val="auto"/>
          <w:kern w:val="2"/>
          <w:sz w:val="24"/>
          <w:szCs w:val="24"/>
          <w:highlight w:val="none"/>
          <w:u w:val="single"/>
          <w:lang w:val="en-US" w:eastAsia="zh-CN" w:bidi="ar-SA"/>
        </w:rPr>
        <w:t>4层</w:t>
      </w:r>
    </w:p>
    <w:p w14:paraId="2651119C">
      <w:pPr>
        <w:pStyle w:val="21"/>
        <w:snapToGrid w:val="0"/>
        <w:spacing w:line="360" w:lineRule="auto"/>
        <w:ind w:firstLine="480" w:firstLineChars="20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账号：261682624151000002</w:t>
      </w:r>
    </w:p>
    <w:p w14:paraId="38966E55">
      <w:pPr>
        <w:pStyle w:val="21"/>
        <w:snapToGrid w:val="0"/>
        <w:spacing w:line="360" w:lineRule="auto"/>
        <w:ind w:firstLine="480" w:firstLineChars="200"/>
        <w:rPr>
          <w:rFonts w:hint="default" w:ascii="Times New Roman" w:hAnsi="Times New Roman" w:eastAsia="宋体" w:cs="Times New Roman"/>
          <w:color w:val="auto"/>
          <w:kern w:val="2"/>
          <w:sz w:val="24"/>
          <w:szCs w:val="24"/>
          <w:highlight w:val="none"/>
          <w:u w:val="single"/>
          <w:lang w:val="en-US" w:eastAsia="zh-CN" w:bidi="ar-SA"/>
        </w:rPr>
      </w:pPr>
      <w:r>
        <w:rPr>
          <w:rFonts w:hint="default" w:ascii="Times New Roman" w:hAnsi="Times New Roman" w:eastAsia="宋体" w:cs="Times New Roman"/>
          <w:color w:val="auto"/>
          <w:kern w:val="2"/>
          <w:sz w:val="24"/>
          <w:szCs w:val="24"/>
          <w:highlight w:val="none"/>
          <w:lang w:val="en-US" w:eastAsia="zh-CN" w:bidi="ar-SA"/>
        </w:rPr>
        <w:t>开户行：徽商银行股份有限公司合肥包河支行</w:t>
      </w:r>
    </w:p>
    <w:p w14:paraId="2AEF39E0">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2.项目联系方式</w:t>
      </w:r>
    </w:p>
    <w:p w14:paraId="3A3580FB">
      <w:pPr>
        <w:pStyle w:val="21"/>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项目联系人：</w:t>
      </w:r>
      <w:r>
        <w:rPr>
          <w:rFonts w:hint="default" w:ascii="Times New Roman" w:hAnsi="Times New Roman"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李</w:t>
      </w:r>
      <w:r>
        <w:rPr>
          <w:rFonts w:hint="default" w:ascii="Times New Roman" w:hAnsi="Times New Roman" w:cs="Times New Roman"/>
          <w:color w:val="auto"/>
          <w:sz w:val="24"/>
          <w:szCs w:val="24"/>
          <w:highlight w:val="none"/>
          <w:u w:val="single"/>
        </w:rPr>
        <w:t xml:space="preserve">工   </w:t>
      </w:r>
      <w:r>
        <w:rPr>
          <w:rFonts w:hint="default" w:ascii="Times New Roman" w:hAnsi="Times New Roman" w:cs="Times New Roman"/>
          <w:color w:val="auto"/>
          <w:sz w:val="24"/>
          <w:szCs w:val="24"/>
          <w:highlight w:val="none"/>
          <w:u w:val="single"/>
          <w:lang w:val="en-US" w:eastAsia="zh-CN"/>
        </w:rPr>
        <w:t xml:space="preserve">       </w:t>
      </w:r>
    </w:p>
    <w:p w14:paraId="02635EA7">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联系电话：</w:t>
      </w:r>
      <w:r>
        <w:rPr>
          <w:rFonts w:hint="default" w:ascii="Times New Roman" w:hAnsi="Times New Roman"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18057276222</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single"/>
        </w:rPr>
        <w:t xml:space="preserve"> </w:t>
      </w:r>
    </w:p>
    <w:p w14:paraId="053EEB04">
      <w:pPr>
        <w:pStyle w:val="59"/>
        <w:widowControl w:val="0"/>
        <w:autoSpaceDE w:val="0"/>
        <w:autoSpaceDN w:val="0"/>
        <w:adjustRightInd w:val="0"/>
        <w:spacing w:before="0" w:after="0" w:line="360" w:lineRule="auto"/>
        <w:rPr>
          <w:rFonts w:hint="default" w:ascii="Times New Roman" w:hAnsi="Times New Roman" w:cs="Times New Roman"/>
          <w:color w:val="auto"/>
          <w:kern w:val="2"/>
          <w:szCs w:val="18"/>
          <w:highlight w:val="none"/>
        </w:rPr>
      </w:pPr>
    </w:p>
    <w:p w14:paraId="33220FD7">
      <w:pPr>
        <w:autoSpaceDE w:val="0"/>
        <w:autoSpaceDN w:val="0"/>
        <w:adjustRightInd w:val="0"/>
        <w:spacing w:line="360" w:lineRule="auto"/>
        <w:ind w:firstLine="434" w:firstLineChars="181"/>
        <w:jc w:val="right"/>
        <w:rPr>
          <w:rFonts w:hint="default" w:ascii="Times New Roman" w:hAnsi="Times New Roman" w:cs="Times New Roman"/>
          <w:bCs/>
          <w:color w:val="auto"/>
          <w:sz w:val="24"/>
          <w:szCs w:val="18"/>
          <w:highlight w:val="none"/>
        </w:rPr>
      </w:pPr>
      <w:r>
        <w:rPr>
          <w:rFonts w:hint="default" w:ascii="Times New Roman" w:hAnsi="Times New Roman" w:cs="Times New Roman"/>
          <w:bCs/>
          <w:color w:val="auto"/>
          <w:sz w:val="24"/>
          <w:szCs w:val="18"/>
          <w:highlight w:val="none"/>
        </w:rPr>
        <w:br w:type="page"/>
      </w:r>
    </w:p>
    <w:p w14:paraId="592449C6">
      <w:pPr>
        <w:spacing w:line="360" w:lineRule="auto"/>
        <w:jc w:val="center"/>
        <w:outlineLvl w:val="1"/>
        <w:rPr>
          <w:rFonts w:hint="default" w:ascii="Times New Roman" w:hAnsi="Times New Roman" w:cs="Times New Roman"/>
          <w:b/>
          <w:color w:val="auto"/>
          <w:sz w:val="28"/>
          <w:highlight w:val="none"/>
        </w:rPr>
      </w:pPr>
      <w:bookmarkStart w:id="11" w:name="_Toc19060"/>
      <w:bookmarkStart w:id="12" w:name="_Toc31897"/>
      <w:r>
        <w:rPr>
          <w:rFonts w:hint="default" w:ascii="Times New Roman" w:hAnsi="Times New Roman" w:cs="Times New Roman"/>
          <w:b/>
          <w:color w:val="auto"/>
          <w:sz w:val="28"/>
          <w:highlight w:val="none"/>
        </w:rPr>
        <w:t>第二章  投标人须知</w:t>
      </w:r>
      <w:bookmarkEnd w:id="11"/>
      <w:bookmarkEnd w:id="12"/>
    </w:p>
    <w:p w14:paraId="7DFB80D4">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一、投标人须知前附表</w:t>
      </w:r>
    </w:p>
    <w:p w14:paraId="0DE12C81">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b/>
          <w:bCs/>
          <w:color w:val="auto"/>
          <w:sz w:val="24"/>
          <w:szCs w:val="18"/>
          <w:highlight w:val="none"/>
        </w:rPr>
        <w:t>注：</w:t>
      </w:r>
      <w:r>
        <w:rPr>
          <w:rFonts w:hint="default" w:ascii="Times New Roman" w:hAnsi="Times New Roman" w:cs="Times New Roman"/>
          <w:color w:val="auto"/>
          <w:sz w:val="24"/>
          <w:szCs w:val="18"/>
          <w:highlight w:val="none"/>
        </w:rPr>
        <w:t>本表是本项目的具体要求，是对投标人须知的具体补充和修改，如有不一致，以本表为准。</w:t>
      </w:r>
    </w:p>
    <w:tbl>
      <w:tblPr>
        <w:tblStyle w:val="41"/>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14:paraId="4184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006351C">
            <w:pPr>
              <w:pStyle w:val="60"/>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条款名称</w:t>
            </w:r>
          </w:p>
        </w:tc>
        <w:tc>
          <w:tcPr>
            <w:tcW w:w="6687" w:type="dxa"/>
            <w:vAlign w:val="center"/>
          </w:tcPr>
          <w:p w14:paraId="62F3E7B9">
            <w:pPr>
              <w:pStyle w:val="60"/>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内容、说明与要求</w:t>
            </w:r>
          </w:p>
        </w:tc>
      </w:tr>
      <w:tr w14:paraId="3DE3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0C4F75C">
            <w:pPr>
              <w:pStyle w:val="60"/>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招标人</w:t>
            </w:r>
          </w:p>
        </w:tc>
        <w:tc>
          <w:tcPr>
            <w:tcW w:w="6687" w:type="dxa"/>
            <w:vAlign w:val="center"/>
          </w:tcPr>
          <w:p w14:paraId="42C43AA7">
            <w:pPr>
              <w:pStyle w:val="60"/>
              <w:widowControl w:val="0"/>
              <w:spacing w:before="0" w:beforeAutospacing="0" w:after="0" w:afterAutospacing="0" w:line="360" w:lineRule="auto"/>
              <w:jc w:val="both"/>
              <w:rPr>
                <w:rFonts w:hint="default" w:ascii="Times New Roman" w:hAnsi="Times New Roman" w:eastAsia="宋体" w:cs="Times New Roman"/>
                <w:b w:val="0"/>
                <w:bCs w:val="0"/>
                <w:color w:val="auto"/>
                <w:kern w:val="2"/>
                <w:sz w:val="24"/>
                <w:szCs w:val="20"/>
                <w:highlight w:val="none"/>
                <w:lang w:eastAsia="zh-CN"/>
              </w:rPr>
            </w:pPr>
            <w:r>
              <w:rPr>
                <w:rFonts w:hint="default" w:ascii="Times New Roman" w:hAnsi="Times New Roman" w:cs="Times New Roman"/>
                <w:b w:val="0"/>
                <w:bCs w:val="0"/>
                <w:color w:val="auto"/>
                <w:sz w:val="24"/>
                <w:szCs w:val="18"/>
                <w:highlight w:val="none"/>
                <w:lang w:eastAsia="zh-CN"/>
              </w:rPr>
              <w:t>合肥滨湖时光空间运营管理有限公司</w:t>
            </w:r>
          </w:p>
        </w:tc>
      </w:tr>
      <w:tr w14:paraId="452AF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194A10F">
            <w:pPr>
              <w:pStyle w:val="60"/>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采购监督管理部门</w:t>
            </w:r>
          </w:p>
        </w:tc>
        <w:tc>
          <w:tcPr>
            <w:tcW w:w="6687" w:type="dxa"/>
            <w:vAlign w:val="center"/>
          </w:tcPr>
          <w:p w14:paraId="5E269607">
            <w:pPr>
              <w:pStyle w:val="60"/>
              <w:widowControl w:val="0"/>
              <w:spacing w:before="0" w:beforeAutospacing="0" w:after="0" w:afterAutospacing="0" w:line="360" w:lineRule="auto"/>
              <w:jc w:val="both"/>
              <w:rPr>
                <w:rFonts w:hint="default" w:ascii="Times New Roman" w:hAnsi="Times New Roman" w:eastAsia="宋体" w:cs="Times New Roman"/>
                <w:b w:val="0"/>
                <w:bCs w:val="0"/>
                <w:color w:val="auto"/>
                <w:sz w:val="24"/>
                <w:szCs w:val="18"/>
                <w:highlight w:val="none"/>
                <w:lang w:eastAsia="zh-CN"/>
              </w:rPr>
            </w:pPr>
            <w:r>
              <w:rPr>
                <w:rFonts w:hint="default" w:ascii="Times New Roman" w:hAnsi="Times New Roman" w:cs="Times New Roman"/>
                <w:b w:val="0"/>
                <w:bCs w:val="0"/>
                <w:color w:val="auto"/>
                <w:sz w:val="24"/>
                <w:szCs w:val="18"/>
                <w:highlight w:val="none"/>
                <w:lang w:eastAsia="zh-CN"/>
              </w:rPr>
              <w:t>合肥滨湖时光产业投资集团有限公司</w:t>
            </w:r>
          </w:p>
        </w:tc>
      </w:tr>
      <w:tr w14:paraId="5B73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4C42742">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是否允许联合体投标</w:t>
            </w:r>
          </w:p>
        </w:tc>
        <w:tc>
          <w:tcPr>
            <w:tcW w:w="6687" w:type="dxa"/>
            <w:vAlign w:val="center"/>
          </w:tcPr>
          <w:p w14:paraId="0457D23F">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szCs w:val="24"/>
                <w:highlight w:val="none"/>
              </w:rPr>
              <w:t>否</w:t>
            </w:r>
          </w:p>
        </w:tc>
      </w:tr>
      <w:tr w14:paraId="64BA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58BCD8D">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现场考察</w:t>
            </w:r>
          </w:p>
        </w:tc>
        <w:tc>
          <w:tcPr>
            <w:tcW w:w="6687" w:type="dxa"/>
            <w:vAlign w:val="center"/>
          </w:tcPr>
          <w:p w14:paraId="51A081B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highlight w:val="none"/>
              </w:rPr>
              <w:t>不组织，投标人自行考察</w:t>
            </w:r>
          </w:p>
        </w:tc>
      </w:tr>
      <w:tr w14:paraId="72C1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6EFEEB8">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包别划分</w:t>
            </w:r>
          </w:p>
        </w:tc>
        <w:tc>
          <w:tcPr>
            <w:tcW w:w="6687" w:type="dxa"/>
            <w:vAlign w:val="center"/>
          </w:tcPr>
          <w:p w14:paraId="259976BF">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不分包</w:t>
            </w:r>
          </w:p>
        </w:tc>
      </w:tr>
      <w:tr w14:paraId="66FD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vAlign w:val="center"/>
          </w:tcPr>
          <w:p w14:paraId="2156A5B9">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投标保证金</w:t>
            </w:r>
          </w:p>
        </w:tc>
        <w:tc>
          <w:tcPr>
            <w:tcW w:w="6687" w:type="dxa"/>
            <w:vAlign w:val="center"/>
          </w:tcPr>
          <w:p w14:paraId="04EAE9CC">
            <w:pPr>
              <w:spacing w:line="360" w:lineRule="auto"/>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免收</w:t>
            </w:r>
          </w:p>
        </w:tc>
      </w:tr>
      <w:tr w14:paraId="5DCE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8C9DAC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投标有效期</w:t>
            </w:r>
          </w:p>
        </w:tc>
        <w:tc>
          <w:tcPr>
            <w:tcW w:w="6687" w:type="dxa"/>
            <w:vAlign w:val="center"/>
          </w:tcPr>
          <w:p w14:paraId="0801F5E7">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u w:val="single"/>
              </w:rPr>
              <w:t>90</w:t>
            </w:r>
            <w:r>
              <w:rPr>
                <w:rFonts w:hint="default" w:ascii="Times New Roman" w:hAnsi="Times New Roman" w:cs="Times New Roman"/>
                <w:b w:val="0"/>
                <w:color w:val="auto"/>
                <w:sz w:val="24"/>
                <w:highlight w:val="none"/>
              </w:rPr>
              <w:t>日历日</w:t>
            </w:r>
          </w:p>
        </w:tc>
      </w:tr>
      <w:tr w14:paraId="26B05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3437ADC">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投标文件要求</w:t>
            </w:r>
          </w:p>
        </w:tc>
        <w:tc>
          <w:tcPr>
            <w:tcW w:w="6687" w:type="dxa"/>
            <w:vAlign w:val="center"/>
          </w:tcPr>
          <w:p w14:paraId="664DCFC2">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（1）纸质版投标文件（建议胶装成册）：</w:t>
            </w:r>
          </w:p>
          <w:p w14:paraId="240EF84C">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正本</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份；副本</w:t>
            </w:r>
            <w:r>
              <w:rPr>
                <w:rFonts w:hint="default" w:ascii="Times New Roman" w:hAnsi="Times New Roman" w:cs="Times New Roman"/>
                <w:bCs w:val="0"/>
                <w:color w:val="auto"/>
                <w:sz w:val="24"/>
                <w:highlight w:val="none"/>
                <w:u w:val="single"/>
              </w:rPr>
              <w:t>2</w:t>
            </w:r>
            <w:r>
              <w:rPr>
                <w:rFonts w:hint="default" w:ascii="Times New Roman" w:hAnsi="Times New Roman" w:cs="Times New Roman"/>
                <w:bCs w:val="0"/>
                <w:color w:val="auto"/>
                <w:sz w:val="24"/>
                <w:highlight w:val="none"/>
              </w:rPr>
              <w:t>份，密封提交。</w:t>
            </w:r>
          </w:p>
          <w:p w14:paraId="7B2843A8">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（2）电子版投标文件（仅作为存档使用，不作为否决条款，要求与纸质版投标文件一致）：</w:t>
            </w:r>
          </w:p>
          <w:p w14:paraId="68FD6B43">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U盘</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份（加盖公章后完整版投标文件扫描件）。</w:t>
            </w:r>
          </w:p>
          <w:p w14:paraId="5F96EA8E">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Cs w:val="0"/>
                <w:color w:val="auto"/>
                <w:sz w:val="24"/>
                <w:highlight w:val="none"/>
              </w:rPr>
              <w:t>以上文件均密封提交。</w:t>
            </w:r>
          </w:p>
        </w:tc>
      </w:tr>
      <w:tr w14:paraId="597A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81953D1">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开标现场提交的其他材料要求</w:t>
            </w:r>
          </w:p>
        </w:tc>
        <w:tc>
          <w:tcPr>
            <w:tcW w:w="6687" w:type="dxa"/>
            <w:vAlign w:val="center"/>
          </w:tcPr>
          <w:p w14:paraId="4F77016E">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18"/>
                <w:highlight w:val="none"/>
              </w:rPr>
              <w:t xml:space="preserve">/      </w:t>
            </w:r>
          </w:p>
        </w:tc>
      </w:tr>
      <w:tr w14:paraId="3C8E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9444EFC">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投标截止时间及地点</w:t>
            </w:r>
          </w:p>
        </w:tc>
        <w:tc>
          <w:tcPr>
            <w:tcW w:w="6687" w:type="dxa"/>
            <w:vAlign w:val="center"/>
          </w:tcPr>
          <w:p w14:paraId="013309E5">
            <w:pPr>
              <w:pStyle w:val="60"/>
              <w:widowControl w:val="0"/>
              <w:spacing w:before="0" w:beforeAutospacing="0" w:after="0" w:afterAutospacing="0" w:line="360" w:lineRule="auto"/>
              <w:jc w:val="both"/>
              <w:rPr>
                <w:rFonts w:hint="default" w:ascii="Times New Roman" w:hAnsi="Times New Roman" w:cs="Times New Roman"/>
                <w:color w:val="auto"/>
                <w:kern w:val="2"/>
                <w:sz w:val="24"/>
                <w:szCs w:val="24"/>
                <w:highlight w:val="none"/>
              </w:rPr>
            </w:pPr>
            <w:r>
              <w:rPr>
                <w:rFonts w:hint="default" w:ascii="Times New Roman" w:hAnsi="Times New Roman" w:cs="Times New Roman"/>
                <w:b w:val="0"/>
                <w:color w:val="auto"/>
                <w:sz w:val="24"/>
                <w:highlight w:val="none"/>
              </w:rPr>
              <w:t>投标截止时间：</w:t>
            </w:r>
            <w:r>
              <w:rPr>
                <w:rFonts w:hint="default" w:ascii="Times New Roman" w:hAnsi="Times New Roman" w:cs="Times New Roman"/>
                <w:color w:val="auto"/>
                <w:kern w:val="2"/>
                <w:sz w:val="24"/>
                <w:szCs w:val="24"/>
                <w:highlight w:val="none"/>
              </w:rPr>
              <w:t>详见招标公告</w:t>
            </w:r>
          </w:p>
          <w:p w14:paraId="1C22647A">
            <w:pPr>
              <w:snapToGrid w:val="0"/>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highlight w:val="none"/>
              </w:rPr>
              <w:t>投标文件递交地点：</w:t>
            </w:r>
            <w:r>
              <w:rPr>
                <w:rFonts w:hint="default" w:ascii="Times New Roman" w:hAnsi="Times New Roman" w:cs="Times New Roman"/>
                <w:b/>
                <w:bCs/>
                <w:color w:val="auto"/>
                <w:sz w:val="24"/>
                <w:szCs w:val="24"/>
                <w:highlight w:val="none"/>
              </w:rPr>
              <w:t>合肥市包河区滨湖卓越城文华园一期A2楼</w:t>
            </w:r>
            <w:r>
              <w:rPr>
                <w:rFonts w:hint="default" w:ascii="Times New Roman" w:hAnsi="Times New Roman" w:cs="Times New Roman"/>
                <w:b/>
                <w:bCs/>
                <w:color w:val="auto"/>
                <w:sz w:val="24"/>
                <w:szCs w:val="24"/>
                <w:highlight w:val="none"/>
                <w:lang w:val="en-US" w:eastAsia="zh-CN"/>
              </w:rPr>
              <w:t>4</w:t>
            </w:r>
            <w:r>
              <w:rPr>
                <w:rFonts w:hint="default" w:ascii="Times New Roman" w:hAnsi="Times New Roman" w:cs="Times New Roman"/>
                <w:b/>
                <w:bCs/>
                <w:color w:val="auto"/>
                <w:sz w:val="24"/>
                <w:szCs w:val="24"/>
                <w:highlight w:val="none"/>
              </w:rPr>
              <w:t>层</w:t>
            </w:r>
          </w:p>
          <w:p w14:paraId="41C2A69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投标文件接收时间：</w:t>
            </w:r>
            <w:r>
              <w:rPr>
                <w:rFonts w:hint="default" w:ascii="Times New Roman" w:hAnsi="Times New Roman" w:cs="Times New Roman"/>
                <w:color w:val="auto"/>
                <w:kern w:val="2"/>
                <w:sz w:val="24"/>
                <w:szCs w:val="24"/>
                <w:highlight w:val="none"/>
              </w:rPr>
              <w:t>详见招标公告</w:t>
            </w:r>
          </w:p>
        </w:tc>
      </w:tr>
      <w:tr w14:paraId="6854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1D77A54">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资格审查</w:t>
            </w:r>
          </w:p>
        </w:tc>
        <w:tc>
          <w:tcPr>
            <w:tcW w:w="6687" w:type="dxa"/>
            <w:vAlign w:val="center"/>
          </w:tcPr>
          <w:p w14:paraId="3D5BFC83">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24"/>
                <w:highlight w:val="none"/>
              </w:rPr>
              <w:t>评标委员会进行审查</w:t>
            </w:r>
          </w:p>
        </w:tc>
      </w:tr>
      <w:tr w14:paraId="059B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96E07C1">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评标方法</w:t>
            </w:r>
          </w:p>
        </w:tc>
        <w:tc>
          <w:tcPr>
            <w:tcW w:w="6687" w:type="dxa"/>
            <w:vAlign w:val="center"/>
          </w:tcPr>
          <w:p w14:paraId="5085246E">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最低</w:t>
            </w:r>
            <w:r>
              <w:rPr>
                <w:rFonts w:hint="default" w:ascii="Times New Roman" w:hAnsi="Times New Roman" w:cs="Times New Roman"/>
                <w:b w:val="0"/>
                <w:color w:val="auto"/>
                <w:sz w:val="24"/>
                <w:highlight w:val="none"/>
                <w:u w:val="single"/>
                <w:lang w:eastAsia="zh-CN"/>
              </w:rPr>
              <w:t>投</w:t>
            </w:r>
            <w:r>
              <w:rPr>
                <w:rFonts w:hint="default" w:ascii="Times New Roman" w:hAnsi="Times New Roman" w:cs="Times New Roman"/>
                <w:b w:val="0"/>
                <w:color w:val="auto"/>
                <w:sz w:val="24"/>
                <w:highlight w:val="none"/>
                <w:u w:val="single"/>
              </w:rPr>
              <w:t>标价法</w:t>
            </w:r>
          </w:p>
          <w:p w14:paraId="79A65AC0">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u w:val="single"/>
                <w:lang w:val="en-US" w:eastAsia="zh-CN"/>
              </w:rPr>
              <w:t>☑</w:t>
            </w:r>
            <w:r>
              <w:rPr>
                <w:rFonts w:hint="default" w:ascii="Times New Roman" w:hAnsi="Times New Roman" w:cs="Times New Roman"/>
                <w:b w:val="0"/>
                <w:color w:val="auto"/>
                <w:sz w:val="24"/>
                <w:highlight w:val="none"/>
                <w:u w:val="single"/>
              </w:rPr>
              <w:t>综合评分法</w:t>
            </w:r>
          </w:p>
        </w:tc>
      </w:tr>
      <w:tr w14:paraId="71D7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F3C280E">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推荐中标候选人的数量</w:t>
            </w:r>
          </w:p>
        </w:tc>
        <w:tc>
          <w:tcPr>
            <w:tcW w:w="6687" w:type="dxa"/>
            <w:vAlign w:val="center"/>
          </w:tcPr>
          <w:p w14:paraId="1019F1E4">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1家</w:t>
            </w:r>
          </w:p>
        </w:tc>
      </w:tr>
      <w:tr w14:paraId="145D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1762" w:type="dxa"/>
            <w:vAlign w:val="center"/>
          </w:tcPr>
          <w:p w14:paraId="6B0C22CB">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确定中标人</w:t>
            </w:r>
          </w:p>
        </w:tc>
        <w:tc>
          <w:tcPr>
            <w:tcW w:w="6687" w:type="dxa"/>
            <w:vAlign w:val="center"/>
          </w:tcPr>
          <w:p w14:paraId="6E87EC6C">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招标人委托评标委员会确定</w:t>
            </w:r>
          </w:p>
          <w:p w14:paraId="509A50B4">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招标人确定</w:t>
            </w:r>
          </w:p>
        </w:tc>
      </w:tr>
      <w:tr w14:paraId="347C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1004181">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告知招标结果的形式</w:t>
            </w:r>
          </w:p>
        </w:tc>
        <w:tc>
          <w:tcPr>
            <w:tcW w:w="6687" w:type="dxa"/>
            <w:vAlign w:val="center"/>
          </w:tcPr>
          <w:p w14:paraId="3A57C24C">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投标人自行上网查看（</w:t>
            </w:r>
            <w:r>
              <w:rPr>
                <w:rFonts w:hint="default" w:ascii="Times New Roman" w:hAnsi="Times New Roman" w:cs="Times New Roman"/>
                <w:b w:val="0"/>
                <w:bCs w:val="0"/>
                <w:color w:val="auto"/>
                <w:sz w:val="24"/>
                <w:szCs w:val="24"/>
                <w:highlight w:val="none"/>
                <w:lang w:eastAsia="zh-CN"/>
              </w:rPr>
              <w:t>合肥滨湖时光产业投资集团有限公司</w:t>
            </w:r>
            <w:r>
              <w:rPr>
                <w:rFonts w:hint="default" w:ascii="Times New Roman" w:hAnsi="Times New Roman" w:cs="Times New Roman"/>
                <w:b w:val="0"/>
                <w:bCs w:val="0"/>
                <w:color w:val="auto"/>
                <w:sz w:val="24"/>
                <w:szCs w:val="24"/>
                <w:highlight w:val="none"/>
              </w:rPr>
              <w:t>官方网站http://bhsggroup.cn/）</w:t>
            </w:r>
          </w:p>
        </w:tc>
      </w:tr>
      <w:tr w14:paraId="793D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vAlign w:val="center"/>
          </w:tcPr>
          <w:p w14:paraId="715F6F21">
            <w:pPr>
              <w:pStyle w:val="60"/>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履约保证金</w:t>
            </w:r>
          </w:p>
          <w:p w14:paraId="13223BED">
            <w:pPr>
              <w:pStyle w:val="60"/>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bCs w:val="0"/>
                <w:color w:val="auto"/>
                <w:sz w:val="24"/>
                <w:highlight w:val="none"/>
              </w:rPr>
              <w:t>（本项目不收取）</w:t>
            </w:r>
          </w:p>
        </w:tc>
        <w:tc>
          <w:tcPr>
            <w:tcW w:w="6687" w:type="dxa"/>
            <w:vAlign w:val="center"/>
          </w:tcPr>
          <w:tbl>
            <w:tblPr>
              <w:tblStyle w:val="41"/>
              <w:tblW w:w="5000" w:type="pct"/>
              <w:tblInd w:w="0" w:type="dxa"/>
              <w:tblLayout w:type="fixed"/>
              <w:tblCellMar>
                <w:top w:w="0" w:type="dxa"/>
                <w:left w:w="108" w:type="dxa"/>
                <w:bottom w:w="0" w:type="dxa"/>
                <w:right w:w="108" w:type="dxa"/>
              </w:tblCellMar>
            </w:tblPr>
            <w:tblGrid>
              <w:gridCol w:w="1509"/>
              <w:gridCol w:w="4962"/>
            </w:tblGrid>
            <w:tr w14:paraId="75FEA46E">
              <w:tc>
                <w:tcPr>
                  <w:tcW w:w="1166" w:type="pct"/>
                  <w:shd w:val="clear" w:color="auto" w:fill="auto"/>
                  <w:vAlign w:val="center"/>
                </w:tcPr>
                <w:p w14:paraId="4718342C">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（1）形式：</w:t>
                  </w:r>
                </w:p>
              </w:tc>
              <w:tc>
                <w:tcPr>
                  <w:tcW w:w="3834" w:type="pct"/>
                  <w:shd w:val="clear" w:color="auto" w:fill="auto"/>
                </w:tcPr>
                <w:p w14:paraId="6DA05038">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银行转账□银行电汇</w:t>
                  </w:r>
                </w:p>
                <w:p w14:paraId="57E3CB5A">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□银行保函□担保机构担保</w:t>
                  </w:r>
                </w:p>
                <w:p w14:paraId="1F7156D8">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□保证保险</w:t>
                  </w:r>
                </w:p>
              </w:tc>
            </w:tr>
            <w:tr w14:paraId="2CB397E3">
              <w:tblPrEx>
                <w:tblCellMar>
                  <w:top w:w="0" w:type="dxa"/>
                  <w:left w:w="108" w:type="dxa"/>
                  <w:bottom w:w="0" w:type="dxa"/>
                  <w:right w:w="108" w:type="dxa"/>
                </w:tblCellMar>
              </w:tblPrEx>
              <w:tc>
                <w:tcPr>
                  <w:tcW w:w="5000" w:type="pct"/>
                  <w:gridSpan w:val="2"/>
                  <w:shd w:val="clear" w:color="auto" w:fill="auto"/>
                </w:tcPr>
                <w:p w14:paraId="772132B4">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（2）金额：签约合同价的</w:t>
                  </w:r>
                  <w:r>
                    <w:rPr>
                      <w:rFonts w:hint="default" w:ascii="Times New Roman" w:hAnsi="Times New Roman" w:cs="Times New Roman"/>
                      <w:b w:val="0"/>
                      <w:bCs w:val="0"/>
                      <w:color w:val="auto"/>
                      <w:sz w:val="24"/>
                      <w:szCs w:val="24"/>
                      <w:highlight w:val="none"/>
                      <w:lang w:val="en-US" w:eastAsia="zh-CN"/>
                    </w:rPr>
                    <w:t>2</w:t>
                  </w:r>
                  <w:r>
                    <w:rPr>
                      <w:rFonts w:hint="default" w:ascii="Times New Roman" w:hAnsi="Times New Roman" w:cs="Times New Roman"/>
                      <w:b w:val="0"/>
                      <w:bCs w:val="0"/>
                      <w:color w:val="auto"/>
                      <w:sz w:val="24"/>
                      <w:szCs w:val="24"/>
                      <w:highlight w:val="none"/>
                    </w:rPr>
                    <w:t>％</w:t>
                  </w:r>
                </w:p>
                <w:p w14:paraId="29C7E0F4">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3）如采用银行保函，银行保函应为合肥行政区域（含四县一市）具有分支机构的银行（或该银行国内任一分行或支行）出具的见索即付无条件银行保函。例如：某银行在合肥行政区域有分支机构，则该银行总行（或该银行国内任一分行或支行）出具的满足招标文件要求的银行保函均予以认可。</w:t>
                  </w:r>
                </w:p>
                <w:p w14:paraId="32849B73">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（4）如采用担保机构出具的保函（担保机构担保），应为经安徽省地方金融监督管理局审查批准，依法取得融资担保业务经营许可证的融资担保机构出具的无条件保函。</w:t>
                  </w:r>
                </w:p>
                <w:p w14:paraId="78D5A353">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(5)以上各类机构出具的以担保函、保证保险承担责任的方式均须满足无条件见索即付条件。</w:t>
                  </w:r>
                </w:p>
              </w:tc>
            </w:tr>
          </w:tbl>
          <w:p w14:paraId="660E10D8">
            <w:pPr>
              <w:pStyle w:val="94"/>
              <w:tabs>
                <w:tab w:val="left" w:pos="351"/>
              </w:tabs>
              <w:spacing w:line="360" w:lineRule="auto"/>
              <w:ind w:right="96"/>
              <w:jc w:val="left"/>
              <w:rPr>
                <w:rFonts w:hint="default" w:ascii="Times New Roman" w:hAnsi="Times New Roman" w:cs="Times New Roman"/>
                <w:color w:val="auto"/>
                <w:sz w:val="24"/>
                <w:highlight w:val="none"/>
                <w:lang w:val="en-US"/>
              </w:rPr>
            </w:pPr>
            <w:r>
              <w:rPr>
                <w:rFonts w:hint="default" w:ascii="Times New Roman" w:hAnsi="Times New Roman" w:cs="Times New Roman"/>
                <w:color w:val="auto"/>
                <w:sz w:val="24"/>
                <w:highlight w:val="none"/>
                <w:lang w:val="en-US"/>
              </w:rPr>
              <w:t xml:space="preserve">（6）履约保证金提交期限的要求：合同签订前。 </w:t>
            </w:r>
          </w:p>
          <w:p w14:paraId="13B93201">
            <w:pPr>
              <w:pStyle w:val="94"/>
              <w:tabs>
                <w:tab w:val="left" w:pos="351"/>
              </w:tabs>
              <w:spacing w:line="360" w:lineRule="auto"/>
              <w:ind w:right="96"/>
              <w:jc w:val="left"/>
              <w:rPr>
                <w:rFonts w:hint="default" w:ascii="Times New Roman" w:hAnsi="Times New Roman" w:cs="Times New Roman"/>
                <w:color w:val="auto"/>
                <w:sz w:val="24"/>
                <w:highlight w:val="none"/>
                <w:lang w:val="en-US"/>
              </w:rPr>
            </w:pPr>
            <w:r>
              <w:rPr>
                <w:rFonts w:hint="default" w:ascii="Times New Roman" w:hAnsi="Times New Roman" w:cs="Times New Roman"/>
                <w:color w:val="auto"/>
                <w:sz w:val="24"/>
                <w:highlight w:val="none"/>
                <w:lang w:val="en-US"/>
              </w:rPr>
              <w:t>（7）履约保证金退还：竣工验收通过后28天内。</w:t>
            </w:r>
          </w:p>
        </w:tc>
      </w:tr>
      <w:tr w14:paraId="52EAE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E3CAC0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eastAsia="宋体" w:cs="Times New Roman"/>
                <w:b w:val="0"/>
                <w:color w:val="auto"/>
                <w:sz w:val="24"/>
                <w:highlight w:val="none"/>
              </w:rPr>
              <w:t>构成招标文件 的其他材料</w:t>
            </w:r>
          </w:p>
        </w:tc>
        <w:tc>
          <w:tcPr>
            <w:tcW w:w="6687" w:type="dxa"/>
            <w:vAlign w:val="center"/>
          </w:tcPr>
          <w:p w14:paraId="51CA298E">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eastAsia="宋体" w:cs="Times New Roman"/>
                <w:b w:val="0"/>
                <w:bCs w:val="0"/>
                <w:color w:val="auto"/>
                <w:kern w:val="2"/>
                <w:sz w:val="24"/>
                <w:szCs w:val="20"/>
                <w:highlight w:val="none"/>
                <w:lang w:val="en-US" w:eastAsia="zh-CN" w:bidi="zh-CN"/>
              </w:rPr>
              <w:t>清单</w:t>
            </w:r>
          </w:p>
        </w:tc>
      </w:tr>
      <w:tr w14:paraId="7FAB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D8FFED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关于联合体投标的相关约定</w:t>
            </w:r>
          </w:p>
        </w:tc>
        <w:tc>
          <w:tcPr>
            <w:tcW w:w="6687" w:type="dxa"/>
            <w:vAlign w:val="center"/>
          </w:tcPr>
          <w:p w14:paraId="346667A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（1）联合体投标的，招标文件获取手续由联合体中任一成员单位办理均可。</w:t>
            </w:r>
          </w:p>
          <w:p w14:paraId="46C53BFF">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（2）联合体投标的须提供联合协议（见投标文件格式），相关证明材料由投标人根据联合协议分工情况及招标文件要求提供。</w:t>
            </w:r>
          </w:p>
          <w:p w14:paraId="0B91D494">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（3）联合体各成员单位均须提供营业执照（或事业单位法人登记证书）和无重大违法记录声明函、无不良信用记录声明函。</w:t>
            </w:r>
          </w:p>
        </w:tc>
      </w:tr>
      <w:tr w14:paraId="315B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D25BE9D">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社保证明材料</w:t>
            </w:r>
          </w:p>
        </w:tc>
        <w:tc>
          <w:tcPr>
            <w:tcW w:w="6687" w:type="dxa"/>
            <w:vAlign w:val="center"/>
          </w:tcPr>
          <w:p w14:paraId="26B10E21">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本项目招标文件中要求提供的社保证明材料为下述形式之一（投标文件中须提供影印件或复印件）：</w:t>
            </w:r>
          </w:p>
          <w:p w14:paraId="5A70F3B6">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（1）社保局官方网站查询的缴费记录截图；</w:t>
            </w:r>
          </w:p>
          <w:p w14:paraId="45DE2D08">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（2）社保局的书面证明材料；</w:t>
            </w:r>
          </w:p>
          <w:p w14:paraId="7B221451">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（3）经投标人委托的第三方人力资源服务机构或与投标人有直接隶属关系的机构可以代缴社保，但须提供有关证明材料并经评标委员会确认。</w:t>
            </w:r>
          </w:p>
          <w:p w14:paraId="3A090653">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（4）其他经评标委员会认可的证明材料。</w:t>
            </w:r>
          </w:p>
          <w:p w14:paraId="3366B8DF">
            <w:pPr>
              <w:pStyle w:val="60"/>
              <w:widowControl w:val="0"/>
              <w:spacing w:before="0" w:beforeAutospacing="0" w:after="0" w:afterAutospacing="0" w:line="360" w:lineRule="auto"/>
              <w:jc w:val="both"/>
              <w:rPr>
                <w:rFonts w:hint="default" w:ascii="Times New Roman" w:hAnsi="Times New Roman" w:cs="Times New Roman"/>
                <w:b w:val="0"/>
                <w:iCs/>
                <w:color w:val="auto"/>
                <w:sz w:val="24"/>
                <w:highlight w:val="none"/>
              </w:rPr>
            </w:pPr>
            <w:r>
              <w:rPr>
                <w:rFonts w:hint="default" w:ascii="Times New Roman" w:hAnsi="Times New Roman" w:cs="Times New Roman"/>
                <w:b w:val="0"/>
                <w:iCs/>
                <w:color w:val="auto"/>
                <w:sz w:val="24"/>
                <w:highlight w:val="none"/>
              </w:rPr>
              <w:t>（5）法定代表人参与项目的，无需提供社保证明材料，提供身份证明材料即可。</w:t>
            </w:r>
          </w:p>
        </w:tc>
      </w:tr>
      <w:tr w14:paraId="1A30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2CE47CB">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重要提示</w:t>
            </w:r>
          </w:p>
        </w:tc>
        <w:tc>
          <w:tcPr>
            <w:tcW w:w="6687" w:type="dxa"/>
            <w:vAlign w:val="center"/>
          </w:tcPr>
          <w:p w14:paraId="5408B304">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（1）中标人应在规定期限内领取《中标通知书》，若中标人未在规定期限内领取《中标通知书》，招标人有权取消中标人中标资格，并将相关违约行为报送监管部门，实施信用惩戒；</w:t>
            </w:r>
          </w:p>
          <w:p w14:paraId="16DFF9E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（2）中标人应在规定期限内与招标人签订合同，若中标人未能在规定期限内签订合同，招标人有权取消中标人中标资格，并将相关违约行为报送监管部门，实施信用惩戒；</w:t>
            </w:r>
          </w:p>
          <w:p w14:paraId="20088105">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（3）合同签订后，中标人存在规定时间内不履行服务义务等情况，招标人有权解除合同，并追究违约责任，同时将相关违约行为报送监管部门，实施信用惩戒；</w:t>
            </w:r>
          </w:p>
          <w:p w14:paraId="585E694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（4）中标人中标后被监管部门查实存在违法行为，不满足中标条件的，由招标人取消中标资格，并做好项目后续工作；</w:t>
            </w:r>
          </w:p>
          <w:p w14:paraId="790732CB">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（5）中标人在中标项目发生投诉、信访举报案件、履约存在争议时，拒绝协助配合执法部门调查案件的，招标人可以取消其中标资格或解除合同，并追究其违约责任。</w:t>
            </w:r>
          </w:p>
        </w:tc>
      </w:tr>
      <w:tr w14:paraId="28C5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58F44CA">
            <w:pPr>
              <w:pStyle w:val="60"/>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解释权</w:t>
            </w:r>
          </w:p>
        </w:tc>
        <w:tc>
          <w:tcPr>
            <w:tcW w:w="6687" w:type="dxa"/>
            <w:vAlign w:val="center"/>
          </w:tcPr>
          <w:p w14:paraId="1549E31A">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（1）构成本招标文件的各个组成文件应互为解释，互为说明；</w:t>
            </w:r>
          </w:p>
          <w:p w14:paraId="138B6DD7">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（2）同一组成文件中就同一事项的规定或约定不一致的，除招标文件另有规定外，以编排顺序在后者为准；</w:t>
            </w:r>
          </w:p>
          <w:p w14:paraId="04829C26">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（3）如有不明确或不一致，构成合同文件组成内容的，以合同文件约定内容为准，且以专用合同条款约定的合同文件优先顺序解释；</w:t>
            </w:r>
          </w:p>
          <w:p w14:paraId="35D59CA8">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（4）除招标文件中有特别规定外，仅适用于招标投标阶段的规定，按投标邀请、投标人须知、评标方法和标准、投标文件格式的先后顺序解释；</w:t>
            </w:r>
          </w:p>
          <w:p w14:paraId="0BD58CE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（5）按本款前述规定仍不能形成结论的，由招标人负责解释。</w:t>
            </w:r>
          </w:p>
        </w:tc>
      </w:tr>
      <w:tr w14:paraId="5B90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0870691">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其他补充说明</w:t>
            </w:r>
          </w:p>
        </w:tc>
        <w:tc>
          <w:tcPr>
            <w:tcW w:w="6687" w:type="dxa"/>
            <w:vAlign w:val="center"/>
          </w:tcPr>
          <w:p w14:paraId="08EAB054">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 xml:space="preserve">1.本项目投标文件要求详见本须知前附表，投标文件现场递交，无需上传电子投标文件。 </w:t>
            </w:r>
          </w:p>
          <w:p w14:paraId="59D39FD2">
            <w:pPr>
              <w:spacing w:line="360" w:lineRule="auto"/>
              <w:rPr>
                <w:rFonts w:hint="default" w:ascii="Times New Roman" w:hAnsi="Times New Roman" w:eastAsia="宋体" w:cs="Times New Roman"/>
                <w:bCs/>
                <w:color w:val="auto"/>
                <w:sz w:val="24"/>
                <w:szCs w:val="24"/>
                <w:highlight w:val="none"/>
                <w:u w:val="single"/>
                <w:lang w:eastAsia="zh-CN"/>
              </w:rPr>
            </w:pPr>
            <w:r>
              <w:rPr>
                <w:rFonts w:hint="default" w:ascii="Times New Roman" w:hAnsi="Times New Roman" w:cs="Times New Roman"/>
                <w:bCs/>
                <w:color w:val="auto"/>
                <w:sz w:val="24"/>
                <w:szCs w:val="24"/>
                <w:highlight w:val="none"/>
              </w:rPr>
              <w:t>2.</w:t>
            </w:r>
            <w:r>
              <w:rPr>
                <w:rFonts w:hint="default" w:ascii="Times New Roman" w:hAnsi="Times New Roman" w:cs="Times New Roman"/>
                <w:color w:val="auto"/>
                <w:highlight w:val="none"/>
              </w:rPr>
              <w:t xml:space="preserve"> </w:t>
            </w:r>
            <w:r>
              <w:rPr>
                <w:rFonts w:hint="default" w:ascii="Times New Roman" w:hAnsi="Times New Roman" w:cs="Times New Roman"/>
                <w:bCs/>
                <w:color w:val="auto"/>
                <w:sz w:val="24"/>
                <w:szCs w:val="24"/>
                <w:highlight w:val="none"/>
              </w:rPr>
              <w:t>本项目资金来源：</w:t>
            </w:r>
            <w:r>
              <w:rPr>
                <w:rFonts w:hint="default" w:ascii="Times New Roman" w:hAnsi="Times New Roman" w:cs="Times New Roman"/>
                <w:bCs/>
                <w:color w:val="auto"/>
                <w:sz w:val="24"/>
                <w:szCs w:val="24"/>
                <w:highlight w:val="none"/>
                <w:lang w:eastAsia="zh-CN"/>
              </w:rPr>
              <w:t>自筹</w:t>
            </w:r>
          </w:p>
        </w:tc>
      </w:tr>
    </w:tbl>
    <w:p w14:paraId="193B77C2">
      <w:pPr>
        <w:spacing w:line="360" w:lineRule="auto"/>
        <w:ind w:firstLine="435"/>
        <w:rPr>
          <w:rFonts w:hint="default" w:ascii="Times New Roman" w:hAnsi="Times New Roman" w:cs="Times New Roman"/>
          <w:color w:val="auto"/>
          <w:sz w:val="24"/>
          <w:szCs w:val="18"/>
          <w:highlight w:val="none"/>
        </w:rPr>
      </w:pPr>
    </w:p>
    <w:p w14:paraId="6B9B5BE4">
      <w:pPr>
        <w:rPr>
          <w:rFonts w:hint="default" w:ascii="Times New Roman" w:hAnsi="Times New Roman" w:cs="Times New Roman"/>
          <w:b/>
          <w:color w:val="auto"/>
          <w:highlight w:val="none"/>
        </w:rPr>
      </w:pPr>
      <w:bookmarkStart w:id="13" w:name="_Toc460660062"/>
      <w:bookmarkStart w:id="14" w:name="_Toc421916975"/>
      <w:bookmarkStart w:id="15" w:name="_Toc11078137"/>
      <w:bookmarkStart w:id="16" w:name="_Toc26766"/>
      <w:bookmarkStart w:id="17" w:name="_Toc283798416"/>
      <w:bookmarkStart w:id="18" w:name="_Toc460226989"/>
      <w:bookmarkStart w:id="19" w:name="_Toc460226720"/>
      <w:r>
        <w:rPr>
          <w:rFonts w:hint="default" w:ascii="Times New Roman" w:hAnsi="Times New Roman" w:cs="Times New Roman"/>
          <w:b/>
          <w:color w:val="auto"/>
          <w:highlight w:val="none"/>
        </w:rPr>
        <w:br w:type="page"/>
      </w:r>
    </w:p>
    <w:p w14:paraId="61D716C9">
      <w:pPr>
        <w:rPr>
          <w:rFonts w:hint="default" w:ascii="Times New Roman" w:hAnsi="Times New Roman" w:cs="Times New Roman"/>
          <w:b/>
          <w:color w:val="auto"/>
          <w:highlight w:val="none"/>
        </w:rPr>
      </w:pPr>
    </w:p>
    <w:bookmarkEnd w:id="13"/>
    <w:bookmarkEnd w:id="14"/>
    <w:bookmarkEnd w:id="15"/>
    <w:bookmarkEnd w:id="16"/>
    <w:bookmarkEnd w:id="17"/>
    <w:bookmarkEnd w:id="18"/>
    <w:bookmarkEnd w:id="19"/>
    <w:p w14:paraId="211EF456">
      <w:pPr>
        <w:spacing w:line="360" w:lineRule="auto"/>
        <w:jc w:val="center"/>
        <w:outlineLvl w:val="2"/>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二、投标人须知正文</w:t>
      </w:r>
    </w:p>
    <w:p w14:paraId="77929CB8">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1.适用范围</w:t>
      </w:r>
    </w:p>
    <w:p w14:paraId="2BAE2E9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1.1本招标文件仅适用于本次招标所述的货物项目招标。</w:t>
      </w:r>
    </w:p>
    <w:p w14:paraId="36A54997">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2.定义</w:t>
      </w:r>
    </w:p>
    <w:p w14:paraId="58EE23D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2.1货物：是指各种形态和种类的物品，包括原材料、燃料、设备、产品等。</w:t>
      </w:r>
    </w:p>
    <w:p w14:paraId="4EF48A28">
      <w:pPr>
        <w:spacing w:line="360" w:lineRule="auto"/>
        <w:ind w:firstLine="470" w:firstLineChars="196"/>
        <w:rPr>
          <w:rFonts w:hint="default" w:ascii="Times New Roman" w:hAnsi="Times New Roman" w:cs="Times New Roman"/>
          <w:b/>
          <w:color w:val="auto"/>
          <w:highlight w:val="none"/>
        </w:rPr>
      </w:pPr>
      <w:r>
        <w:rPr>
          <w:rFonts w:hint="default" w:ascii="Times New Roman" w:hAnsi="Times New Roman" w:cs="Times New Roman"/>
          <w:color w:val="auto"/>
          <w:sz w:val="24"/>
          <w:highlight w:val="none"/>
        </w:rPr>
        <w:t>2.2时限（年份、月份等）计算：系指从投标文件提交截止之日向前追溯X年/月（“X”为“一”及以后整数）起算。</w:t>
      </w:r>
    </w:p>
    <w:p w14:paraId="6D33A8F0">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3.招标人及投标人</w:t>
      </w:r>
    </w:p>
    <w:p w14:paraId="46D339A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3.1招标人：是指开展招标活动的各类主体。本项目的招标人见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7A0CE69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3.2采购监督管理部门：</w:t>
      </w:r>
      <w:r>
        <w:rPr>
          <w:rFonts w:hint="default" w:ascii="Times New Roman" w:hAnsi="Times New Roman" w:cs="Times New Roman"/>
          <w:color w:val="auto"/>
          <w:sz w:val="24"/>
          <w:szCs w:val="22"/>
          <w:highlight w:val="none"/>
        </w:rPr>
        <w:t>与</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szCs w:val="22"/>
          <w:highlight w:val="none"/>
        </w:rPr>
        <w:t>活动有关的具有监督管理权利的相关部门。</w:t>
      </w:r>
      <w:r>
        <w:rPr>
          <w:rFonts w:hint="default" w:ascii="Times New Roman" w:hAnsi="Times New Roman" w:cs="Times New Roman"/>
          <w:color w:val="auto"/>
          <w:sz w:val="24"/>
          <w:highlight w:val="none"/>
        </w:rPr>
        <w:t>本项目的采购监督管理部门见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0242332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投标人：是指向招标人提供货物、工程或者服务的法人、非法人组织或者自然人。分支机构不得参加采购活动，但银行、保险、石油石化、电力、电信等特殊行业除外。本项目的投标人及其投标货物须满足以下条件：</w:t>
      </w:r>
    </w:p>
    <w:p w14:paraId="7BD701F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3.4在中华人民共和国境内注册，能够独立承担民事责任，有生产或供应能力的本国投标人。</w:t>
      </w:r>
    </w:p>
    <w:p w14:paraId="2570A00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中允许联合体投标，对联合体规定如下：</w:t>
      </w:r>
    </w:p>
    <w:p w14:paraId="54D6244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3.5.1两个以上投标人可以组成一个投标联合体，以一个投标人的身份投标。</w:t>
      </w:r>
    </w:p>
    <w:p w14:paraId="28F9A2B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3.5.2联合体各方均应为在中华人民共和国境内注册，能够独立承担民事责任，有生产或供应能力的本国投标人。</w:t>
      </w:r>
    </w:p>
    <w:p w14:paraId="226ACF2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3.5.3招标人根据采购项目对投标人的特殊要求，联合体中至少应当有一方符合相关规定。</w:t>
      </w:r>
    </w:p>
    <w:p w14:paraId="1E06CD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3.5.4联合体各方应签订联合体协议，明确约定联合体各方承担的工作和相应的责任，并将联合体协议作为投标文件的一部分提交。</w:t>
      </w:r>
    </w:p>
    <w:p w14:paraId="707598C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3.5.5联合体中有同类资质的投标人按照联合体分工承担相同工作的，应当按照资质等级较低的投标人确定资质等级。</w:t>
      </w:r>
    </w:p>
    <w:p w14:paraId="441D0B2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3.5.6以联合体形式参加采购活动的，联合体各方不得再单独参加或者与其他投标人另外组成联合体参加本项目投标，否则相关投标将被认定为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34A40FD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3.5.7对联合体投标的其他资格要求见</w:t>
      </w:r>
      <w:r>
        <w:rPr>
          <w:rFonts w:hint="default" w:ascii="Times New Roman" w:hAnsi="Times New Roman" w:cs="Times New Roman"/>
          <w:color w:val="auto"/>
          <w:sz w:val="24"/>
          <w:highlight w:val="none"/>
          <w:u w:val="single"/>
        </w:rPr>
        <w:t>投标人资格</w:t>
      </w:r>
      <w:r>
        <w:rPr>
          <w:rFonts w:hint="default" w:ascii="Times New Roman" w:hAnsi="Times New Roman" w:cs="Times New Roman"/>
          <w:color w:val="auto"/>
          <w:sz w:val="24"/>
          <w:highlight w:val="none"/>
        </w:rPr>
        <w:t>。</w:t>
      </w:r>
    </w:p>
    <w:p w14:paraId="0C51126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3.6单位负责人为同一人或者存在直接控股、管理关系的不同投标人，不得参加同一合同项下的采购活动。否则其投标将被认定为</w:t>
      </w:r>
      <w:r>
        <w:rPr>
          <w:rFonts w:hint="default" w:ascii="Times New Roman" w:hAnsi="Times New Roman" w:cs="Times New Roman"/>
          <w:b/>
          <w:bCs/>
          <w:color w:val="auto"/>
          <w:sz w:val="24"/>
          <w:highlight w:val="none"/>
        </w:rPr>
        <w:t>投标无效</w:t>
      </w:r>
      <w:r>
        <w:rPr>
          <w:rFonts w:hint="default" w:ascii="Times New Roman" w:hAnsi="Times New Roman" w:cs="Times New Roman"/>
          <w:color w:val="auto"/>
          <w:sz w:val="24"/>
          <w:highlight w:val="none"/>
        </w:rPr>
        <w:t>。</w:t>
      </w:r>
    </w:p>
    <w:p w14:paraId="0C5BF86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4.资金来源</w:t>
      </w:r>
    </w:p>
    <w:p w14:paraId="7B0F4E0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4.1本项目的招标人已获得足以支付本次招标后所签订的合同项下的资金。</w:t>
      </w:r>
    </w:p>
    <w:p w14:paraId="6721EB2B">
      <w:pPr>
        <w:spacing w:line="360" w:lineRule="auto"/>
        <w:ind w:firstLine="435"/>
        <w:rPr>
          <w:rFonts w:hint="default" w:ascii="Times New Roman" w:hAnsi="Times New Roman" w:cs="Times New Roman"/>
          <w:color w:val="auto"/>
          <w:sz w:val="24"/>
          <w:highlight w:val="none"/>
        </w:rPr>
      </w:pPr>
      <w:bookmarkStart w:id="20" w:name="_Hlk11702998"/>
      <w:r>
        <w:rPr>
          <w:rFonts w:hint="default" w:ascii="Times New Roman" w:hAnsi="Times New Roman" w:cs="Times New Roman"/>
          <w:color w:val="auto"/>
          <w:sz w:val="24"/>
          <w:highlight w:val="none"/>
        </w:rPr>
        <w:t>4.2</w:t>
      </w:r>
      <w:r>
        <w:rPr>
          <w:rFonts w:hint="default" w:ascii="Times New Roman" w:hAnsi="Times New Roman" w:cs="Times New Roman" w:eastAsiaTheme="minorEastAsia"/>
          <w:color w:val="auto"/>
          <w:sz w:val="24"/>
          <w:highlight w:val="none"/>
        </w:rPr>
        <w:t>项目预算金额或分项（或分标段）预算金额见</w:t>
      </w:r>
      <w:r>
        <w:rPr>
          <w:rFonts w:hint="default" w:ascii="Times New Roman" w:hAnsi="Times New Roman" w:cs="Times New Roman"/>
          <w:color w:val="auto"/>
          <w:sz w:val="24"/>
          <w:highlight w:val="none"/>
          <w:u w:val="single"/>
        </w:rPr>
        <w:t>投标邀请（招标公告）</w:t>
      </w:r>
      <w:r>
        <w:rPr>
          <w:rFonts w:hint="default" w:ascii="Times New Roman" w:hAnsi="Times New Roman" w:cs="Times New Roman"/>
          <w:color w:val="auto"/>
          <w:sz w:val="24"/>
          <w:highlight w:val="none"/>
        </w:rPr>
        <w:t>。</w:t>
      </w:r>
    </w:p>
    <w:bookmarkEnd w:id="20"/>
    <w:p w14:paraId="4784EAD4">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5.投标费用</w:t>
      </w:r>
    </w:p>
    <w:p w14:paraId="2F68E3F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不论投标的结果如何，投标人应承担所有与准备和参加投标有关的费用。</w:t>
      </w:r>
    </w:p>
    <w:p w14:paraId="5E0906C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6.适用法律</w:t>
      </w:r>
    </w:p>
    <w:p w14:paraId="22F3FFA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本项目招标人、投标人的相关行为和权利受招标人有关规定及本项目招标文件的约束和保护。</w:t>
      </w:r>
    </w:p>
    <w:p w14:paraId="7EA0D1F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7.招标文件构成</w:t>
      </w:r>
    </w:p>
    <w:p w14:paraId="04930EE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7.1招标文件包括下列内容：</w:t>
      </w:r>
    </w:p>
    <w:p w14:paraId="066F3482">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第一章  投标邀请（招标公告）</w:t>
      </w:r>
    </w:p>
    <w:p w14:paraId="13087B8B">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第二章  投标人须知</w:t>
      </w:r>
    </w:p>
    <w:p w14:paraId="4D338D4C">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第三章  招标需求</w:t>
      </w:r>
    </w:p>
    <w:p w14:paraId="536B196B">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第四章  评标方法和标准</w:t>
      </w:r>
    </w:p>
    <w:p w14:paraId="0310FD16">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第五章  合同模板</w:t>
      </w:r>
    </w:p>
    <w:p w14:paraId="56663621">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第六章  投标文件格式</w:t>
      </w:r>
    </w:p>
    <w:p w14:paraId="7E2F002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7.2招标文件中有不一致的，有澄清的部分以最终的澄清更正内容为准。</w:t>
      </w:r>
    </w:p>
    <w:p w14:paraId="2E27184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7.3现场考察及相关事项见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08171DD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7.4本次招标需要提供部分样品，对样品相关要求见采购需求，对样品的评审方法及评审标准见招标文件第四章。</w:t>
      </w:r>
    </w:p>
    <w:p w14:paraId="5425CF7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7.5投标人应认真阅读招标文件所有的事项、格式、条款和技术规范等。</w:t>
      </w:r>
    </w:p>
    <w:p w14:paraId="0723498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8.招标文件的澄清与修改</w:t>
      </w:r>
    </w:p>
    <w:p w14:paraId="6F3EFF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8.1投标人如对招标文件内容有疑问，应以书面形式（如传真、邮件等）通知招标人。招标人对需要做出澄清的问题，以澄清和修改通知的方式予以答复。</w:t>
      </w:r>
    </w:p>
    <w:p w14:paraId="0FEFA60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8.2招标人可主动或在解答投标人提出的问题时对招标文件进行澄清或者修改。</w:t>
      </w:r>
    </w:p>
    <w:p w14:paraId="3364A08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8.3任何人或任何组织向投标人提供的任何书面或口头资料，未经招标人在网上发布或书面通知，均作无效处理，不得作为招标文件的组成部分。</w:t>
      </w:r>
    </w:p>
    <w:p w14:paraId="43F3EEF6">
      <w:pPr>
        <w:spacing w:line="360" w:lineRule="auto"/>
        <w:ind w:firstLine="435"/>
        <w:rPr>
          <w:rFonts w:hint="default" w:ascii="Times New Roman" w:hAnsi="Times New Roman" w:cs="Times New Roman"/>
          <w:i/>
          <w:iCs/>
          <w:color w:val="auto"/>
          <w:sz w:val="24"/>
          <w:highlight w:val="none"/>
        </w:rPr>
      </w:pPr>
      <w:r>
        <w:rPr>
          <w:rFonts w:hint="default" w:ascii="Times New Roman" w:hAnsi="Times New Roman" w:cs="Times New Roman"/>
          <w:color w:val="auto"/>
          <w:sz w:val="24"/>
          <w:highlight w:val="none"/>
        </w:rPr>
        <w:t>8.4对于没有提出疑问又参与了本项目投标的投标人将被视为完全认同本招标文件（含更正公告的内容）</w:t>
      </w:r>
      <w:r>
        <w:rPr>
          <w:rFonts w:hint="default" w:ascii="Times New Roman" w:hAnsi="Times New Roman" w:cs="Times New Roman"/>
          <w:i/>
          <w:color w:val="auto"/>
          <w:sz w:val="24"/>
          <w:highlight w:val="none"/>
        </w:rPr>
        <w:t>。</w:t>
      </w:r>
    </w:p>
    <w:p w14:paraId="5EC7BC8F">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9.投标范围及投标文件中标准和计量单位的使用</w:t>
      </w:r>
    </w:p>
    <w:p w14:paraId="43F64B2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9.1</w:t>
      </w:r>
      <w:r>
        <w:rPr>
          <w:rFonts w:hint="default" w:ascii="Times New Roman" w:hAnsi="Times New Roman" w:cs="Times New Roman" w:eastAsiaTheme="minorEastAsia"/>
          <w:color w:val="auto"/>
          <w:sz w:val="24"/>
          <w:highlight w:val="none"/>
        </w:rPr>
        <w:t>项目有划分标段的，投标人可参与其中某一个或多个标段的投标，中标标段数详见</w:t>
      </w:r>
      <w:r>
        <w:rPr>
          <w:rFonts w:hint="default" w:ascii="Times New Roman" w:hAnsi="Times New Roman" w:cs="Times New Roman" w:eastAsiaTheme="minorEastAsia"/>
          <w:color w:val="auto"/>
          <w:sz w:val="24"/>
          <w:highlight w:val="none"/>
          <w:u w:val="single"/>
        </w:rPr>
        <w:t>投标人须知前附表</w:t>
      </w:r>
      <w:r>
        <w:rPr>
          <w:rFonts w:hint="default" w:ascii="Times New Roman" w:hAnsi="Times New Roman" w:cs="Times New Roman" w:eastAsiaTheme="minorEastAsia"/>
          <w:color w:val="auto"/>
          <w:sz w:val="24"/>
          <w:highlight w:val="none"/>
        </w:rPr>
        <w:t>中规定。</w:t>
      </w:r>
    </w:p>
    <w:p w14:paraId="4D899208">
      <w:pPr>
        <w:spacing w:line="360" w:lineRule="auto"/>
        <w:ind w:firstLine="435"/>
        <w:rPr>
          <w:rFonts w:hint="default" w:ascii="Times New Roman" w:hAnsi="Times New Roman" w:cs="Times New Roman"/>
          <w:color w:val="auto"/>
          <w:sz w:val="24"/>
          <w:highlight w:val="none"/>
        </w:rPr>
      </w:pPr>
      <w:bookmarkStart w:id="21" w:name="_Hlk16458980"/>
      <w:r>
        <w:rPr>
          <w:rFonts w:hint="default" w:ascii="Times New Roman" w:hAnsi="Times New Roman" w:cs="Times New Roman"/>
          <w:color w:val="auto"/>
          <w:sz w:val="24"/>
          <w:highlight w:val="none"/>
        </w:rPr>
        <w:t>9.2无论招标文件中是否要求，投标人所投货物及伴随的服务和工程均应符合国家强制性标准。</w:t>
      </w:r>
    </w:p>
    <w:bookmarkEnd w:id="21"/>
    <w:p w14:paraId="3CA6984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14:paraId="0AD0AD5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9.4除招标文件中有特殊要求外，投标文件中所使用的计量单位，应采用中华人民共和国法定计量单位。</w:t>
      </w:r>
    </w:p>
    <w:p w14:paraId="03CB402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10.投标文件构成</w:t>
      </w:r>
    </w:p>
    <w:p w14:paraId="5C0C4D5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10.1投标人应完整地按招标文件提供的投标文件格式及要求编写投标文件，具体内容详见本项目第六章投标文件格式的相关内容。</w:t>
      </w:r>
    </w:p>
    <w:p w14:paraId="3ECAD4B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10.2上述文件应按照招标文件规定的格式填写、签署和盖章。</w:t>
      </w:r>
    </w:p>
    <w:p w14:paraId="50C1825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11.证明投标标的的合格性和符合招标文件规定的技术文件</w:t>
      </w:r>
    </w:p>
    <w:p w14:paraId="4EDFF40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11.1投标人应提交证明文件，证明其投标内容符合招标文件规定。该证明文件是投标文件的一部分。</w:t>
      </w:r>
    </w:p>
    <w:p w14:paraId="305D4E9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11.2上款所述的证明文件，可以是文字资料、图纸和数据</w:t>
      </w:r>
      <w:bookmarkStart w:id="22" w:name="_Hlk11703583"/>
      <w:r>
        <w:rPr>
          <w:rFonts w:hint="default" w:ascii="Times New Roman" w:hAnsi="Times New Roman" w:cs="Times New Roman"/>
          <w:color w:val="auto"/>
          <w:sz w:val="24"/>
          <w:highlight w:val="none"/>
        </w:rPr>
        <w:t>。</w:t>
      </w:r>
    </w:p>
    <w:bookmarkEnd w:id="22"/>
    <w:p w14:paraId="60B070C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11.3本条所指证明文件不包括对招标文件相关部分的文字、图标的复制。</w:t>
      </w:r>
    </w:p>
    <w:p w14:paraId="777FD06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11.4为保证公平公正，除非另有规定或说明，投标人对同一项目投标时，不得同时提供备选投标方案。</w:t>
      </w:r>
    </w:p>
    <w:p w14:paraId="2F712FB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12.投标报价</w:t>
      </w:r>
    </w:p>
    <w:p w14:paraId="2299E58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12.1投标人的报价应当包括满足本次招标全部采购需求所应提供的货物，以及伴随的服务和工程。所有投标均应以人民币报价。投标人的投标报价应遵守《中华人民共和国价格法》。</w:t>
      </w:r>
    </w:p>
    <w:p w14:paraId="45CAFE71">
      <w:pPr>
        <w:spacing w:line="360" w:lineRule="auto"/>
        <w:ind w:firstLine="4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12.2除非招标文件另有规定或经招标人同意支付的，最后报价均不得高于招标文件（公告）列明的项目预算，否则其投标文件将被认定为</w:t>
      </w:r>
      <w:r>
        <w:rPr>
          <w:rFonts w:hint="default" w:ascii="Times New Roman" w:hAnsi="Times New Roman" w:cs="Times New Roman" w:eastAsiaTheme="minorEastAsia"/>
          <w:b/>
          <w:color w:val="auto"/>
          <w:sz w:val="24"/>
          <w:highlight w:val="none"/>
        </w:rPr>
        <w:t>投标无效</w:t>
      </w:r>
      <w:r>
        <w:rPr>
          <w:rFonts w:hint="default" w:ascii="Times New Roman" w:hAnsi="Times New Roman" w:cs="Times New Roman" w:eastAsiaTheme="minorEastAsia"/>
          <w:color w:val="auto"/>
          <w:sz w:val="24"/>
          <w:highlight w:val="none"/>
        </w:rPr>
        <w:t>。</w:t>
      </w:r>
    </w:p>
    <w:p w14:paraId="0647795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12.3投标报价在合同履行过程中是固定不变的，不得以任何理由予以变更。任何包含价格调整要求的投标，其投标将被认定为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2B8F6E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12.4招标人不接受具有附加条件的报价。</w:t>
      </w:r>
    </w:p>
    <w:p w14:paraId="1C1E4280">
      <w:pPr>
        <w:numPr>
          <w:ilvl w:val="0"/>
          <w:numId w:val="2"/>
        </w:num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投标保证金</w:t>
      </w:r>
    </w:p>
    <w:p w14:paraId="2D094F21">
      <w:pPr>
        <w:spacing w:line="360" w:lineRule="auto"/>
        <w:ind w:firstLine="437"/>
        <w:outlineLvl w:val="3"/>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规定缴纳投标保证金。</w:t>
      </w:r>
    </w:p>
    <w:p w14:paraId="7DA2596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14.投标有效期</w:t>
      </w:r>
    </w:p>
    <w:p w14:paraId="786365B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14.1投标有效期为从投标截止之日算起的日历天数，投标有效期详见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2FD1B75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14.2在投标有效期内，投标人的投标保持有效，投标人不得要求撤销或修改其投标文件。投标有效期不满足要求的投标，其投标将被认定为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63AB43A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03EEAF7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15.投标文件的制作</w:t>
      </w:r>
    </w:p>
    <w:p w14:paraId="2FC9AE0D">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15.1投标文件份数</w:t>
      </w:r>
    </w:p>
    <w:p w14:paraId="0AAA34A5">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15.1.1投标人应按照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的要求编制投标文件，并在封面上注明“正本”和“副本”字样。投标文件的正本与副本如有不一致之处，以正本为准。</w:t>
      </w:r>
    </w:p>
    <w:p w14:paraId="3610C4E3">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15.1.2投标文件应按招标文件要求加盖投标人公章，热敏纸无效。</w:t>
      </w:r>
    </w:p>
    <w:p w14:paraId="24F03A51">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15.1.3招标人保留要求中标人提供其投标文件电子版的权利。</w:t>
      </w:r>
    </w:p>
    <w:p w14:paraId="7BF59AF8">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15.2投标文件的封装和标记</w:t>
      </w:r>
    </w:p>
    <w:p w14:paraId="28DEE571">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15.2.1投标文件应装订成册并封装，建议在密封袋上标注项目名称、项目编号、投标人名称及包别。</w:t>
      </w:r>
    </w:p>
    <w:p w14:paraId="5CDA1D2D">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15.2.2建议投标人将正本单独封装，全部副本一起封装。</w:t>
      </w:r>
    </w:p>
    <w:p w14:paraId="6CA2674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15.2.3如果未按规定封装或加写标记，招标人将不承担投标文件错放或提前开封的责任，并可能导致投标无效。</w:t>
      </w:r>
    </w:p>
    <w:p w14:paraId="0FF5579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15.3开标现场提交的其他材料要求详见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071BA01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16.投标截止及投标文件的递交</w:t>
      </w:r>
    </w:p>
    <w:p w14:paraId="3E3EA57C">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16.1投标人应当在</w:t>
      </w:r>
      <w:r>
        <w:rPr>
          <w:rFonts w:hint="default" w:ascii="Times New Roman" w:hAnsi="Times New Roman" w:cs="Times New Roman"/>
          <w:color w:val="auto"/>
          <w:sz w:val="24"/>
          <w:highlight w:val="none"/>
        </w:rPr>
        <w:t>“投标邀请”</w:t>
      </w:r>
      <w:r>
        <w:rPr>
          <w:rFonts w:hint="default" w:ascii="Times New Roman" w:hAnsi="Times New Roman" w:cs="Times New Roman"/>
          <w:bCs/>
          <w:color w:val="auto"/>
          <w:sz w:val="24"/>
          <w:highlight w:val="none"/>
        </w:rPr>
        <w:t>规定的投标截止时间前，将投标文件密封送达</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bCs/>
          <w:color w:val="auto"/>
          <w:sz w:val="24"/>
          <w:highlight w:val="none"/>
        </w:rPr>
        <w:t>指定地点。</w:t>
      </w:r>
    </w:p>
    <w:p w14:paraId="55746967">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16.2在投标截止时间之后送达的投标文件将被拒绝。</w:t>
      </w:r>
    </w:p>
    <w:p w14:paraId="3D573F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16.3招标人有权按本招标文件的规定，延迟投标截止时间。在此情况下，招标人和投标人受投标截止时间制约的所有权利和义务均应延长至新的截止时间。</w:t>
      </w:r>
    </w:p>
    <w:p w14:paraId="0186F9A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17.投标文件的修改、补充与撤回</w:t>
      </w:r>
    </w:p>
    <w:p w14:paraId="6C06F13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17.1投标人在投标截止时间前，可以对所递交的投标文件进行补充、修改或者撤回，并书面通知招标人。</w:t>
      </w:r>
    </w:p>
    <w:p w14:paraId="19A6762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17.2补充、修改的内容应当按照招标文件要求签署、盖章、密封后，作为投标文件的组成部分。</w:t>
      </w:r>
    </w:p>
    <w:p w14:paraId="2AE4833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18.开标（本项目不采用）</w:t>
      </w:r>
    </w:p>
    <w:p w14:paraId="3B97419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18.1开标将在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规定的时间和地点进行。</w:t>
      </w:r>
    </w:p>
    <w:p w14:paraId="7E8FA83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14:paraId="04EFFB3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18.3开标过程由招标人负责记录，并由参加开标的各投标人代表和相关工作人员签字确认。</w:t>
      </w:r>
    </w:p>
    <w:p w14:paraId="0A85CA6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18.4投标人代表对开标过程和开标记录有疑义，以及认为招标人相关工作人员有需要回避的情形的，应当场提出询问或者回避申请。</w:t>
      </w:r>
    </w:p>
    <w:p w14:paraId="50E0DEB0">
      <w:pPr>
        <w:spacing w:line="360" w:lineRule="auto"/>
        <w:ind w:firstLine="435"/>
        <w:rPr>
          <w:rFonts w:hint="default" w:ascii="Times New Roman" w:hAnsi="Times New Roman" w:cs="Times New Roman"/>
          <w:color w:val="auto"/>
          <w:sz w:val="28"/>
          <w:highlight w:val="none"/>
        </w:rPr>
      </w:pPr>
      <w:r>
        <w:rPr>
          <w:rFonts w:hint="default" w:ascii="Times New Roman" w:hAnsi="Times New Roman" w:cs="Times New Roman"/>
          <w:color w:val="auto"/>
          <w:sz w:val="24"/>
          <w:highlight w:val="none"/>
        </w:rPr>
        <w:t>18.5投标人应参加开标，投标人未参加开标的，视同认可开标结果。</w:t>
      </w:r>
    </w:p>
    <w:p w14:paraId="0F328CD0">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19.资格审查及组建评标委员会</w:t>
      </w:r>
    </w:p>
    <w:p w14:paraId="3FDFF82D">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19.1按照有关规定依法组建的评标委员会，负责本项目评标工作。</w:t>
      </w:r>
    </w:p>
    <w:p w14:paraId="154A5C5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19.2评标委员会依据法律法规和招标文件中规定的内容，对投标人资格进行审查，未通过资格审查的投标人不进入评标。</w:t>
      </w:r>
    </w:p>
    <w:p w14:paraId="63E67A9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19.3投标人存在不良信用记录的，其投标将被认定为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7E231433">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highlight w:val="none"/>
        </w:rPr>
        <w:t>19.3.1不良信用记录是指：</w:t>
      </w:r>
      <w:bookmarkStart w:id="23" w:name="_Hlk24663244"/>
      <w:r>
        <w:rPr>
          <w:rFonts w:hint="default" w:ascii="Times New Roman" w:hAnsi="Times New Roman" w:cs="Times New Roman"/>
          <w:color w:val="auto"/>
          <w:sz w:val="24"/>
          <w:szCs w:val="18"/>
          <w:highlight w:val="none"/>
        </w:rPr>
        <w:t>（1）供应商被人民法院列入失信被执行人；（2）供应商被税务部门列入重大税收违法案件当事人名单。</w:t>
      </w:r>
    </w:p>
    <w:p w14:paraId="20A2B26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以联合体形式参加投标的，联合体任何成员存在以上不良信用记录的，联合体投标将被认定为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2153DF4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19.3.2信用信息查询渠道：“信用中国”网站（www.creditchina.gov.cn）。</w:t>
      </w:r>
    </w:p>
    <w:p w14:paraId="61A4010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19.3.3信用信息记录方式：投标人将查询网页打印、盖章并在投标文件中提供。查询网页必须体现被查询人名称、查询时间、查询结果。</w:t>
      </w:r>
    </w:p>
    <w:p w14:paraId="037FD24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投标人对不良信用记录的真实性和有效性负责。</w:t>
      </w:r>
    </w:p>
    <w:p w14:paraId="02E3086E">
      <w:pPr>
        <w:spacing w:line="360" w:lineRule="auto"/>
        <w:ind w:firstLine="435"/>
        <w:rPr>
          <w:rFonts w:hint="default" w:ascii="Times New Roman" w:hAnsi="Times New Roman" w:cs="Times New Roman"/>
          <w:color w:val="auto"/>
          <w:sz w:val="24"/>
          <w:highlight w:val="none"/>
        </w:rPr>
      </w:pPr>
      <w:bookmarkStart w:id="24" w:name="_Hlk24663338"/>
      <w:r>
        <w:rPr>
          <w:rFonts w:hint="default" w:ascii="Times New Roman" w:hAnsi="Times New Roman" w:cs="Times New Roman"/>
          <w:color w:val="auto"/>
          <w:sz w:val="24"/>
          <w:highlight w:val="none"/>
        </w:rPr>
        <w:t>信用信息查询时间为投标截止时间前2个工作日内。</w:t>
      </w:r>
    </w:p>
    <w:p w14:paraId="01BAA1A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在本招标文件规定的查询时间之外，网站信息发生的任何变更均不作为资格审查依据。</w:t>
      </w:r>
    </w:p>
    <w:bookmarkEnd w:id="23"/>
    <w:bookmarkEnd w:id="24"/>
    <w:p w14:paraId="15CA9C9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20.投标文件初审与澄清</w:t>
      </w:r>
    </w:p>
    <w:p w14:paraId="7C7CB32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20.1初审是指依据招标文件的规定，从投标文件的有效性和完整性对招标文件的响应程度进行审查，以确定是否对招标文件的实质性要求做出响应。</w:t>
      </w:r>
    </w:p>
    <w:p w14:paraId="320069A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20.2投标文件的澄清</w:t>
      </w:r>
    </w:p>
    <w:p w14:paraId="1DE93A0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14:paraId="5F912E8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如有询标，授权代表（或法定代表人）携带本人有效身份证明原件参加询标。因授权代表联系不上、未到开标现场等情形而无法接受评审委员会询标的，投标人自行承担相关风险。</w:t>
      </w:r>
    </w:p>
    <w:p w14:paraId="71FBBD7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20.2.2投标人的澄清、说明或补正将作为投标文件的一部分。</w:t>
      </w:r>
    </w:p>
    <w:p w14:paraId="26C09D2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20.2.3评标委员会对投标人提交的澄清、说明或补正有疑问的，可以要求投标人进一步澄清、说明或补正，直至满足评标委员会的要求。</w:t>
      </w:r>
    </w:p>
    <w:p w14:paraId="1A5F8CE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20.3投标文件报价出现前后不一致的，按照下列规定修正：</w:t>
      </w:r>
    </w:p>
    <w:p w14:paraId="661C89D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（1）投标文件中开标一览表内容与投标文件中相应内容不一致的，以开标一览表为准；</w:t>
      </w:r>
    </w:p>
    <w:p w14:paraId="2A46E0E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（2）大写金额和小写金额不一致的，以大写金额为准；</w:t>
      </w:r>
    </w:p>
    <w:p w14:paraId="46C0302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（3）单价金额小数点或者百分比有明显错位的，以开标一览表的总价为准，并修改单价；</w:t>
      </w:r>
    </w:p>
    <w:p w14:paraId="0156A43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（4）总价金额与按单价汇总金额不一致的，以单价金额计算结果为准。</w:t>
      </w:r>
    </w:p>
    <w:p w14:paraId="47EFDE7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同时出现两种以上不一致的，按照前款规定的顺序修正。修正后的报价按照第20.4条的规定经投标人确认后产生约束力，投标人不确认的，其投标将被认定为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4A04DA53">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对不同文字文本投标文件的解释发生异议的，以中文文本为准。</w:t>
      </w:r>
    </w:p>
    <w:p w14:paraId="29CAFC5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21.投标无效</w:t>
      </w:r>
    </w:p>
    <w:p w14:paraId="66224CB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21.1根据本招标文件的规定，评标委员会要审查每份投标文件是否实质上响应了招标文件的要求。投标人不得通过修正或撤销不符合要求的偏离，从而使其投标成为实质上响应的投标。</w:t>
      </w:r>
    </w:p>
    <w:p w14:paraId="55C67BA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评标委员会决定投标的响应性只根据招标文件要求和投标文件内容。</w:t>
      </w:r>
    </w:p>
    <w:p w14:paraId="1AB31EA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无论何种原因，即使投标人投标时携带了证书材料的原件，但投标文件中未提供与之内容完全一致的影印件或复印件的，评标委员会视同其未提供。</w:t>
      </w:r>
    </w:p>
    <w:p w14:paraId="38D9A76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21.2如发现下列情况之一的，其投标将被认定为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76090DC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（1）投标文件未按照招标文件规定要求签署、盖章的；</w:t>
      </w:r>
    </w:p>
    <w:p w14:paraId="712F45C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（2）不具备招标文件中规定的资格要求的；</w:t>
      </w:r>
    </w:p>
    <w:p w14:paraId="074C39D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（3）投标报价超过招标文件中规定的项目预算或者最高限价的；</w:t>
      </w:r>
    </w:p>
    <w:p w14:paraId="758D85F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（4）投标文件不满足招标文件全部实质性要求的；</w:t>
      </w:r>
    </w:p>
    <w:p w14:paraId="07F85E2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（5）投标文件含有招标人不能接受的附加条件的；</w:t>
      </w:r>
    </w:p>
    <w:p w14:paraId="55865FF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（6）法律、法规和招标文件规定的其他无效情形。</w:t>
      </w:r>
    </w:p>
    <w:p w14:paraId="659193CF">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22.比较与评价</w:t>
      </w:r>
    </w:p>
    <w:p w14:paraId="3897DE5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22.1经初审合格的投标文件，评标委员会将根据招标文件确定的评标方法和标准，对其投标文件作进一步的比较与评价。</w:t>
      </w:r>
    </w:p>
    <w:p w14:paraId="6656494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22.2评标严格按照招标文件的要求和条件进行。根据实际情况，在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中规定采用下列一种评标方法，详细评标方法和标准见招标文件第四章：</w:t>
      </w:r>
    </w:p>
    <w:p w14:paraId="06D0C2E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（1）最低评标价法，是指投标文件满足招标文件全部实质性要求，且投标报价最低的投标人为中标候选人的评标方法。</w:t>
      </w:r>
    </w:p>
    <w:p w14:paraId="7203DE5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（2）综合评分法，是指投标文件满足招标文件全部实质性要求，且按照评审因素的量化指标评审得分最高的投标人为中标候选人的评标方法。</w:t>
      </w:r>
    </w:p>
    <w:p w14:paraId="7343F75F">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23.废标</w:t>
      </w:r>
    </w:p>
    <w:p w14:paraId="0D6082E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出现下列情形之一，将导致项目废标：</w:t>
      </w:r>
    </w:p>
    <w:p w14:paraId="6E5DA04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（1）符合专业条件的投标人或者对招标文件做实质性响应的投标人不足规定数量的；</w:t>
      </w:r>
    </w:p>
    <w:p w14:paraId="68E3CA3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（2）出现影响采购公正的违法、违规行为的；</w:t>
      </w:r>
    </w:p>
    <w:p w14:paraId="2E6C165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（3）投标人的报价均超过了采购估算，招标人不能支付的；</w:t>
      </w:r>
    </w:p>
    <w:p w14:paraId="6C48B93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（4）因重大变故，采购任务取消的。</w:t>
      </w:r>
    </w:p>
    <w:p w14:paraId="6763FBFE">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24.保密要求</w:t>
      </w:r>
    </w:p>
    <w:p w14:paraId="042E497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24.1评标将在严格保密的情况下进行。</w:t>
      </w:r>
    </w:p>
    <w:p w14:paraId="77AB849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24.2有关人员应当遵守评标工作纪律，不得泄露评标文件、评标情况和评标中获悉的国家秘密、商业秘密。</w:t>
      </w:r>
    </w:p>
    <w:p w14:paraId="22F83E1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25.中标候选人的确定原则及标准</w:t>
      </w:r>
    </w:p>
    <w:p w14:paraId="33B96DF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25.1评标委员会依据本项目招标文件所约定的评标方法，对实质上响应招标文件的投标人按下列方法进行排序，确定中标候选人：</w:t>
      </w:r>
    </w:p>
    <w:p w14:paraId="60D553C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30D6C5F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19192C94">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26.确定中标候选人和中标人</w:t>
      </w:r>
    </w:p>
    <w:p w14:paraId="49EA950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26.1评标委员会将根据评标标准，按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中规定数量推荐中标候选人。</w:t>
      </w:r>
    </w:p>
    <w:p w14:paraId="5FAC757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26.2按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中规定，由评标委员会或招标人确定中标人。</w:t>
      </w:r>
    </w:p>
    <w:p w14:paraId="21BF181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26.3因重大变故采购任务取消时，招标人有权拒绝任何投标人中标，且对受影响的投标人不承担任何责任。</w:t>
      </w:r>
    </w:p>
    <w:p w14:paraId="7F4970C0">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27.编写评标报告</w:t>
      </w:r>
    </w:p>
    <w:p w14:paraId="304257A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0FABCF1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28.中标结果公告</w:t>
      </w:r>
    </w:p>
    <w:p w14:paraId="4ECEEA5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28.1自中标人确定之日起3日内，招标人将在</w:t>
      </w:r>
      <w:r>
        <w:rPr>
          <w:rFonts w:hint="default" w:ascii="Times New Roman" w:hAnsi="Times New Roman" w:cs="Times New Roman"/>
          <w:color w:val="auto"/>
          <w:sz w:val="24"/>
          <w:szCs w:val="22"/>
          <w:highlight w:val="none"/>
        </w:rPr>
        <w:t>公司网站</w:t>
      </w:r>
      <w:r>
        <w:rPr>
          <w:rFonts w:hint="default" w:ascii="Times New Roman" w:hAnsi="Times New Roman" w:cs="Times New Roman"/>
          <w:color w:val="auto"/>
          <w:sz w:val="24"/>
          <w:highlight w:val="none"/>
        </w:rPr>
        <w:t>发布中标结果公告。</w:t>
      </w:r>
    </w:p>
    <w:p w14:paraId="5C7E35C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28.2中标结果公告内容应当包括招标人名称、地址、联系方式，项目名称和项目编号，中标人名称、地址和中标金额，主要中标标的的名称、</w:t>
      </w:r>
      <w:r>
        <w:rPr>
          <w:rFonts w:hint="default" w:ascii="Times New Roman" w:hAnsi="Times New Roman" w:cs="Times New Roman"/>
          <w:color w:val="auto"/>
          <w:sz w:val="24"/>
          <w:highlight w:val="none"/>
          <w:lang w:eastAsia="zh-CN"/>
        </w:rPr>
        <w:t>规格</w:t>
      </w:r>
      <w:r>
        <w:rPr>
          <w:rFonts w:hint="default" w:ascii="Times New Roman" w:hAnsi="Times New Roman" w:cs="Times New Roman"/>
          <w:color w:val="auto"/>
          <w:sz w:val="24"/>
          <w:highlight w:val="none"/>
        </w:rPr>
        <w:t>型号、数量、单价、服务要求，中标公告期限、评审专家名单以及</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中约定进行公告的内容。中标公告期限为3日。</w:t>
      </w:r>
    </w:p>
    <w:p w14:paraId="4737129E">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29.中标通知书</w:t>
      </w:r>
    </w:p>
    <w:p w14:paraId="388510E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29.1招标人发布中标公告</w:t>
      </w:r>
      <w:r>
        <w:rPr>
          <w:rFonts w:hint="default" w:ascii="Times New Roman" w:hAnsi="Times New Roman" w:cs="Times New Roman"/>
          <w:iCs/>
          <w:color w:val="auto"/>
          <w:sz w:val="24"/>
          <w:highlight w:val="none"/>
        </w:rPr>
        <w:t>的</w:t>
      </w:r>
      <w:r>
        <w:rPr>
          <w:rFonts w:hint="default" w:ascii="Times New Roman" w:hAnsi="Times New Roman" w:cs="Times New Roman"/>
          <w:color w:val="auto"/>
          <w:sz w:val="24"/>
          <w:highlight w:val="none"/>
        </w:rPr>
        <w:t>同时向中标人发出中标通知书。</w:t>
      </w:r>
    </w:p>
    <w:p w14:paraId="5762D43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29.2中标通知书对招标人和中标人具有同等法律效力。中标通知书发出以后，招标人改变中标结果或者中标人放弃中标，应当承担相应的法律责任。</w:t>
      </w:r>
    </w:p>
    <w:p w14:paraId="3E8F5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29.3中标通知书是合同的组成部分。</w:t>
      </w:r>
    </w:p>
    <w:p w14:paraId="7076445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30.告知招标结果</w:t>
      </w:r>
    </w:p>
    <w:p w14:paraId="0168332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30.1在公告中标结果的同时，招标人同时以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规定的形式告知未通过资格审查的投标人未通过的原因；采用综合评分法评审的，还将告知未中标人本人的评审得分和排序。</w:t>
      </w:r>
    </w:p>
    <w:p w14:paraId="6666A5B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31.履约保证金</w:t>
      </w:r>
    </w:p>
    <w:p w14:paraId="35E3C13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31.1中标人应按照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规定缴纳履约保证金。</w:t>
      </w:r>
    </w:p>
    <w:p w14:paraId="5E03420E">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31.2如果中标人没有按照上述履约保证金的规定执行，将视为放弃中标资格。在此情况下，招标人可确定下一中标候选人为中标人，也可以重新开展采购活动。</w:t>
      </w:r>
    </w:p>
    <w:p w14:paraId="5DA22A0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32.签订合同</w:t>
      </w:r>
    </w:p>
    <w:p w14:paraId="081E5C9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32.1招标人与中标人应当自发出中标通知书之日起30日内签订合同。</w:t>
      </w:r>
    </w:p>
    <w:p w14:paraId="4C4D77D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32.2招标文件、中标人的投标文件及其澄清文件等，均为签订合同的依据。</w:t>
      </w:r>
    </w:p>
    <w:p w14:paraId="62DC1FA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32.3中标人拒绝与招标人签订合同的，招标人可以按照评审报告推荐的中标候选人名单排序，确定下一中标候选人为中标人，也可以重新开展采购活动。</w:t>
      </w:r>
    </w:p>
    <w:p w14:paraId="3BDAEEF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32.4当出现法规规定的中标无效或中标结果无效情形时，招标人可依法与排名下一位的中标候选人另行签订合同，或依法重新开展采购活动。</w:t>
      </w:r>
    </w:p>
    <w:p w14:paraId="2543F6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32.5 投标人签订合同前，需向招标人演示投标产品的相关功能。否则招标人有权变更中标人。</w:t>
      </w:r>
    </w:p>
    <w:p w14:paraId="16881E40">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33.中标服务费</w:t>
      </w:r>
    </w:p>
    <w:p w14:paraId="5062C22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33.1本项目中标服务费的收取按</w:t>
      </w:r>
      <w:r>
        <w:rPr>
          <w:rFonts w:hint="default" w:ascii="Times New Roman" w:hAnsi="Times New Roman" w:cs="Times New Roman"/>
          <w:color w:val="auto"/>
          <w:sz w:val="24"/>
          <w:highlight w:val="none"/>
          <w:u w:val="single"/>
        </w:rPr>
        <w:t>投标人须知前附表的</w:t>
      </w:r>
      <w:r>
        <w:rPr>
          <w:rFonts w:hint="default" w:ascii="Times New Roman" w:hAnsi="Times New Roman" w:cs="Times New Roman"/>
          <w:color w:val="auto"/>
          <w:sz w:val="24"/>
          <w:highlight w:val="none"/>
        </w:rPr>
        <w:t>规定执行。</w:t>
      </w:r>
    </w:p>
    <w:p w14:paraId="1DE52509">
      <w:pPr>
        <w:spacing w:line="360" w:lineRule="auto"/>
        <w:ind w:firstLine="437"/>
        <w:outlineLvl w:val="3"/>
        <w:rPr>
          <w:rFonts w:hint="default" w:ascii="Times New Roman" w:hAnsi="Times New Roman" w:cs="Times New Roman"/>
          <w:b/>
          <w:color w:val="auto"/>
          <w:sz w:val="24"/>
          <w:highlight w:val="none"/>
        </w:rPr>
      </w:pPr>
      <w:bookmarkStart w:id="25" w:name="_Toc2583661"/>
      <w:bookmarkStart w:id="26" w:name="_Toc518923100"/>
      <w:r>
        <w:rPr>
          <w:rFonts w:hint="default" w:ascii="Times New Roman" w:hAnsi="Times New Roman" w:cs="Times New Roman"/>
          <w:b/>
          <w:color w:val="auto"/>
          <w:sz w:val="24"/>
          <w:highlight w:val="none"/>
        </w:rPr>
        <w:t>34.廉洁自律规定</w:t>
      </w:r>
      <w:bookmarkEnd w:id="25"/>
      <w:bookmarkEnd w:id="26"/>
    </w:p>
    <w:p w14:paraId="2D99A53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34.1采购工作人员不得接受投标人组织的宴请、旅游、娱乐，不得收受礼品、现金、有价证券等，不得向投标人报销应当由个人承担的费用。</w:t>
      </w:r>
    </w:p>
    <w:p w14:paraId="0DDE3237">
      <w:pPr>
        <w:spacing w:line="360" w:lineRule="auto"/>
        <w:ind w:firstLine="437"/>
        <w:outlineLvl w:val="3"/>
        <w:rPr>
          <w:rFonts w:hint="default" w:ascii="Times New Roman" w:hAnsi="Times New Roman" w:cs="Times New Roman"/>
          <w:b/>
          <w:color w:val="auto"/>
          <w:sz w:val="24"/>
          <w:highlight w:val="none"/>
        </w:rPr>
      </w:pPr>
      <w:bookmarkStart w:id="27" w:name="_Toc2583662"/>
      <w:bookmarkStart w:id="28" w:name="_Toc518923101"/>
      <w:r>
        <w:rPr>
          <w:rFonts w:hint="default" w:ascii="Times New Roman" w:hAnsi="Times New Roman" w:cs="Times New Roman"/>
          <w:b/>
          <w:color w:val="auto"/>
          <w:sz w:val="24"/>
          <w:highlight w:val="none"/>
        </w:rPr>
        <w:t>35.人员回避</w:t>
      </w:r>
      <w:bookmarkEnd w:id="27"/>
      <w:bookmarkEnd w:id="28"/>
    </w:p>
    <w:p w14:paraId="78341D4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投标人认为招标人员及其相关人员有法律法规所列与其他投标人有利害关系的，可以向招标人书面提出回避申请，并说明理由。</w:t>
      </w:r>
    </w:p>
    <w:p w14:paraId="13641253">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color w:val="auto"/>
          <w:sz w:val="24"/>
          <w:highlight w:val="none"/>
        </w:rPr>
        <w:br w:type="page"/>
      </w:r>
      <w:r>
        <w:rPr>
          <w:rFonts w:hint="default" w:ascii="Times New Roman" w:hAnsi="Times New Roman" w:cs="Times New Roman"/>
          <w:b/>
          <w:color w:val="auto"/>
          <w:sz w:val="28"/>
          <w:highlight w:val="none"/>
        </w:rPr>
        <w:t>第三章  招标需求</w:t>
      </w:r>
    </w:p>
    <w:p w14:paraId="4F13AF8D">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前注：</w:t>
      </w:r>
    </w:p>
    <w:p w14:paraId="77D453D9">
      <w:pPr>
        <w:spacing w:line="360" w:lineRule="auto"/>
        <w:ind w:firstLine="480" w:firstLineChars="200"/>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2BFC1D73">
      <w:pPr>
        <w:spacing w:line="360" w:lineRule="auto"/>
        <w:ind w:firstLine="480" w:firstLineChars="200"/>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2.为鼓励不同品牌的充分竞争，如某货物的某技术参数或要求属于个别品牌专有，则该技术参数及要求不具有限制性，投标人可对该参数或要求的情况进行说明，且该说明须经招标评审小组审核认可。</w:t>
      </w:r>
    </w:p>
    <w:p w14:paraId="22B633F5">
      <w:pPr>
        <w:spacing w:line="360" w:lineRule="auto"/>
        <w:ind w:firstLine="480" w:firstLineChars="200"/>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3.如供货要求中提供了推荐品牌（或型号）、参考品牌（或型号）等，为有助于投标人选择投标产品，上述品牌（或型号）仅供参考，并无限制性。投标人可以选择性能不低于推荐（或参考）的品牌（或型号）的其他品牌产品，但投标时应当提供有关技术证明资料，未提供的可能导致投标无效。</w:t>
      </w:r>
    </w:p>
    <w:p w14:paraId="31E8DB52">
      <w:pPr>
        <w:spacing w:line="360" w:lineRule="auto"/>
        <w:ind w:firstLine="480" w:firstLineChars="200"/>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lang w:val="en-US" w:eastAsia="zh-CN"/>
        </w:rPr>
        <w:t>4</w:t>
      </w:r>
      <w:r>
        <w:rPr>
          <w:rFonts w:hint="default" w:ascii="Times New Roman" w:hAnsi="Times New Roman" w:cs="Times New Roman"/>
          <w:color w:val="auto"/>
          <w:sz w:val="24"/>
          <w:szCs w:val="18"/>
          <w:highlight w:val="none"/>
        </w:rPr>
        <w:t>.招标人保留在签订合同之前对本技术</w:t>
      </w:r>
      <w:r>
        <w:rPr>
          <w:rFonts w:hint="default" w:ascii="Times New Roman" w:hAnsi="Times New Roman" w:cs="Times New Roman"/>
          <w:color w:val="auto"/>
          <w:sz w:val="24"/>
          <w:szCs w:val="18"/>
          <w:highlight w:val="none"/>
          <w:lang w:eastAsia="zh-CN"/>
        </w:rPr>
        <w:t>规格</w:t>
      </w:r>
      <w:r>
        <w:rPr>
          <w:rFonts w:hint="default" w:ascii="Times New Roman" w:hAnsi="Times New Roman" w:cs="Times New Roman"/>
          <w:color w:val="auto"/>
          <w:sz w:val="24"/>
          <w:szCs w:val="18"/>
          <w:highlight w:val="none"/>
        </w:rPr>
        <w:t>及要求进行补充和修改的权利，投标人应承诺予以配合。</w:t>
      </w:r>
    </w:p>
    <w:p w14:paraId="77A06B53">
      <w:pPr>
        <w:spacing w:line="360" w:lineRule="auto"/>
        <w:ind w:firstLine="480" w:firstLineChars="200"/>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lang w:val="en-US" w:eastAsia="zh-CN"/>
        </w:rPr>
        <w:t>5</w:t>
      </w:r>
      <w:r>
        <w:rPr>
          <w:rFonts w:hint="default" w:ascii="Times New Roman" w:hAnsi="Times New Roman" w:cs="Times New Roman"/>
          <w:color w:val="auto"/>
          <w:sz w:val="24"/>
          <w:szCs w:val="18"/>
          <w:highlight w:val="none"/>
        </w:rPr>
        <w:t>. 中标人必须确保整体通过招标人及有关主管部门验收,所发生的验收费用由中标人承担；如中标人因未及时现场考察而导致的报价缺项漏项废标、或中标后无法完工，投标人自行承担一切后果。</w:t>
      </w:r>
    </w:p>
    <w:p w14:paraId="6F5501AF">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一、招标需求前附表</w:t>
      </w:r>
    </w:p>
    <w:tbl>
      <w:tblPr>
        <w:tblStyle w:val="41"/>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91"/>
        <w:gridCol w:w="5913"/>
      </w:tblGrid>
      <w:tr w14:paraId="3A47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288B9A49">
            <w:pPr>
              <w:pStyle w:val="61"/>
              <w:pBdr>
                <w:bottom w:val="none" w:color="auto" w:sz="0" w:space="0"/>
              </w:pBdr>
              <w:tabs>
                <w:tab w:val="clear" w:pos="4153"/>
                <w:tab w:val="clear" w:pos="8306"/>
              </w:tabs>
              <w:adjustRightInd/>
              <w:spacing w:line="240" w:lineRule="auto"/>
              <w:textAlignment w:val="auto"/>
              <w:rPr>
                <w:rFonts w:hint="default" w:ascii="Times New Roman" w:hAnsi="Times New Roman" w:cs="Times New Roman"/>
                <w:b/>
                <w:color w:val="auto"/>
                <w:kern w:val="2"/>
                <w:highlight w:val="none"/>
              </w:rPr>
            </w:pPr>
            <w:r>
              <w:rPr>
                <w:rFonts w:hint="default" w:ascii="Times New Roman" w:hAnsi="Times New Roman" w:cs="Times New Roman"/>
                <w:b/>
                <w:color w:val="auto"/>
                <w:kern w:val="2"/>
                <w:highlight w:val="none"/>
              </w:rPr>
              <w:t>序号</w:t>
            </w:r>
          </w:p>
        </w:tc>
        <w:tc>
          <w:tcPr>
            <w:tcW w:w="2191" w:type="dxa"/>
            <w:vAlign w:val="center"/>
          </w:tcPr>
          <w:p w14:paraId="4A8C215C">
            <w:pPr>
              <w:pStyle w:val="60"/>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条款名称</w:t>
            </w:r>
          </w:p>
        </w:tc>
        <w:tc>
          <w:tcPr>
            <w:tcW w:w="5913" w:type="dxa"/>
            <w:vAlign w:val="center"/>
          </w:tcPr>
          <w:p w14:paraId="7285F2D9">
            <w:pPr>
              <w:pStyle w:val="60"/>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内容、说明与要求</w:t>
            </w:r>
          </w:p>
        </w:tc>
      </w:tr>
      <w:tr w14:paraId="132F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21CF7977">
            <w:pPr>
              <w:pStyle w:val="61"/>
              <w:pBdr>
                <w:bottom w:val="none" w:color="auto" w:sz="0" w:space="0"/>
              </w:pBdr>
              <w:tabs>
                <w:tab w:val="clear" w:pos="4153"/>
                <w:tab w:val="clear" w:pos="8306"/>
              </w:tabs>
              <w:adjustRightInd/>
              <w:spacing w:line="24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1</w:t>
            </w:r>
          </w:p>
        </w:tc>
        <w:tc>
          <w:tcPr>
            <w:tcW w:w="2191" w:type="dxa"/>
            <w:vAlign w:val="center"/>
          </w:tcPr>
          <w:p w14:paraId="54FB48BE">
            <w:pPr>
              <w:pStyle w:val="60"/>
              <w:widowControl w:val="0"/>
              <w:spacing w:before="0" w:beforeAutospacing="0" w:after="0" w:afterAutospacing="0" w:line="360" w:lineRule="auto"/>
              <w:rPr>
                <w:rFonts w:hint="eastAsia" w:ascii="仿宋_GB2312" w:hAnsi="仿宋_GB2312" w:eastAsia="仿宋_GB2312" w:cs="仿宋_GB2312"/>
                <w:b w:val="0"/>
                <w:color w:val="auto"/>
                <w:sz w:val="24"/>
                <w:highlight w:val="none"/>
              </w:rPr>
            </w:pPr>
            <w:r>
              <w:rPr>
                <w:rFonts w:hint="eastAsia" w:ascii="仿宋_GB2312" w:hAnsi="仿宋_GB2312" w:eastAsia="仿宋_GB2312" w:cs="仿宋_GB2312"/>
                <w:b w:val="0"/>
                <w:color w:val="auto"/>
                <w:sz w:val="24"/>
                <w:highlight w:val="none"/>
              </w:rPr>
              <w:t>付款方式</w:t>
            </w:r>
          </w:p>
        </w:tc>
        <w:tc>
          <w:tcPr>
            <w:tcW w:w="5913" w:type="dxa"/>
            <w:vAlign w:val="center"/>
          </w:tcPr>
          <w:p w14:paraId="0FAE9C5C">
            <w:pPr>
              <w:spacing w:line="360" w:lineRule="auto"/>
              <w:rPr>
                <w:rFonts w:hint="eastAsia" w:ascii="仿宋_GB2312" w:hAnsi="仿宋_GB2312" w:eastAsia="仿宋_GB2312" w:cs="仿宋_GB2312"/>
                <w:i w:val="0"/>
                <w:iCs w:val="0"/>
                <w:color w:val="auto"/>
                <w:sz w:val="24"/>
                <w:szCs w:val="18"/>
                <w:highlight w:val="none"/>
              </w:rPr>
            </w:pPr>
            <w:r>
              <w:rPr>
                <w:rFonts w:hint="eastAsia" w:ascii="仿宋_GB2312" w:hAnsi="仿宋_GB2312" w:eastAsia="仿宋_GB2312" w:cs="仿宋_GB2312"/>
                <w:i w:val="0"/>
                <w:iCs w:val="0"/>
                <w:color w:val="auto"/>
                <w:sz w:val="24"/>
                <w:szCs w:val="18"/>
                <w:highlight w:val="none"/>
              </w:rPr>
              <w:t>所有货物安装调试完成且验收合格后三个月内支付  至已完成供货价款的9</w:t>
            </w:r>
            <w:r>
              <w:rPr>
                <w:rFonts w:hint="eastAsia" w:ascii="仿宋_GB2312" w:hAnsi="仿宋_GB2312" w:eastAsia="仿宋_GB2312" w:cs="仿宋_GB2312"/>
                <w:i w:val="0"/>
                <w:iCs w:val="0"/>
                <w:color w:val="auto"/>
                <w:sz w:val="24"/>
                <w:szCs w:val="18"/>
                <w:highlight w:val="none"/>
                <w:lang w:val="en-US" w:eastAsia="zh-CN"/>
              </w:rPr>
              <w:t>7</w:t>
            </w:r>
            <w:r>
              <w:rPr>
                <w:rFonts w:hint="eastAsia" w:ascii="仿宋_GB2312" w:hAnsi="仿宋_GB2312" w:eastAsia="仿宋_GB2312" w:cs="仿宋_GB2312"/>
                <w:i w:val="0"/>
                <w:iCs w:val="0"/>
                <w:color w:val="auto"/>
                <w:sz w:val="24"/>
                <w:szCs w:val="18"/>
                <w:highlight w:val="none"/>
              </w:rPr>
              <w:t>%，余款3%作为质量保证金，质保期满后三个月内一次性付清。(中标人须提供足额的增值税发票，如未按约定开具增值税发票或实际开具的增值税发票税率低于约定税率的，中标人应向招标人支付无法抵扣的部分税款金额。)</w:t>
            </w:r>
          </w:p>
          <w:p w14:paraId="3E4B601F">
            <w:pPr>
              <w:spacing w:line="360" w:lineRule="auto"/>
              <w:rPr>
                <w:rFonts w:hint="eastAsia" w:ascii="仿宋_GB2312" w:hAnsi="仿宋_GB2312" w:eastAsia="仿宋_GB2312" w:cs="仿宋_GB2312"/>
                <w:b w:val="0"/>
                <w:color w:val="auto"/>
                <w:sz w:val="24"/>
                <w:highlight w:val="none"/>
                <w:u w:val="single"/>
              </w:rPr>
            </w:pPr>
            <w:r>
              <w:rPr>
                <w:rFonts w:hint="eastAsia" w:ascii="仿宋_GB2312" w:hAnsi="仿宋_GB2312" w:eastAsia="仿宋_GB2312" w:cs="仿宋_GB2312"/>
                <w:b w:val="0"/>
                <w:bCs w:val="0"/>
                <w:color w:val="auto"/>
                <w:sz w:val="24"/>
                <w:szCs w:val="18"/>
                <w:highlight w:val="none"/>
                <w:lang w:eastAsia="zh-CN"/>
              </w:rPr>
              <w:t>备注：如</w:t>
            </w:r>
            <w:r>
              <w:rPr>
                <w:rFonts w:hint="eastAsia" w:ascii="仿宋_GB2312" w:hAnsi="仿宋_GB2312" w:eastAsia="仿宋_GB2312" w:cs="仿宋_GB2312"/>
                <w:b w:val="0"/>
                <w:bCs w:val="0"/>
                <w:color w:val="auto"/>
                <w:sz w:val="24"/>
                <w:szCs w:val="18"/>
                <w:highlight w:val="none"/>
                <w:lang w:val="en-US" w:eastAsia="zh-CN"/>
              </w:rPr>
              <w:t>中标</w:t>
            </w:r>
            <w:r>
              <w:rPr>
                <w:rFonts w:hint="eastAsia" w:ascii="仿宋_GB2312" w:hAnsi="仿宋_GB2312" w:eastAsia="仿宋_GB2312" w:cs="仿宋_GB2312"/>
                <w:b w:val="0"/>
                <w:bCs w:val="0"/>
                <w:color w:val="auto"/>
                <w:sz w:val="24"/>
                <w:szCs w:val="18"/>
                <w:highlight w:val="none"/>
                <w:lang w:eastAsia="zh-CN"/>
              </w:rPr>
              <w:t>人采用“银行保函或保证保险等方式”提交等额质量保证金（保函的期限须与质保期一致），则在现场货物移交使用且</w:t>
            </w:r>
            <w:r>
              <w:rPr>
                <w:rFonts w:hint="eastAsia" w:ascii="仿宋_GB2312" w:hAnsi="仿宋_GB2312" w:eastAsia="仿宋_GB2312" w:cs="仿宋_GB2312"/>
                <w:b w:val="0"/>
                <w:bCs w:val="0"/>
                <w:color w:val="auto"/>
                <w:sz w:val="24"/>
                <w:szCs w:val="18"/>
                <w:highlight w:val="none"/>
                <w:lang w:val="en-US" w:eastAsia="zh-CN"/>
              </w:rPr>
              <w:t>验收合格</w:t>
            </w:r>
            <w:r>
              <w:rPr>
                <w:rFonts w:hint="eastAsia" w:ascii="仿宋_GB2312" w:hAnsi="仿宋_GB2312" w:eastAsia="仿宋_GB2312" w:cs="仿宋_GB2312"/>
                <w:b w:val="0"/>
                <w:bCs w:val="0"/>
                <w:color w:val="auto"/>
                <w:sz w:val="24"/>
                <w:szCs w:val="18"/>
                <w:highlight w:val="none"/>
                <w:lang w:eastAsia="zh-CN"/>
              </w:rPr>
              <w:t>后付至最终</w:t>
            </w:r>
            <w:r>
              <w:rPr>
                <w:rFonts w:hint="eastAsia" w:ascii="仿宋_GB2312" w:hAnsi="仿宋_GB2312" w:eastAsia="仿宋_GB2312" w:cs="仿宋_GB2312"/>
                <w:b w:val="0"/>
                <w:bCs w:val="0"/>
                <w:color w:val="auto"/>
                <w:sz w:val="24"/>
                <w:szCs w:val="18"/>
                <w:highlight w:val="none"/>
                <w:lang w:val="en-US" w:eastAsia="zh-CN"/>
              </w:rPr>
              <w:t>已完成货款</w:t>
            </w:r>
            <w:r>
              <w:rPr>
                <w:rFonts w:hint="eastAsia" w:ascii="仿宋_GB2312" w:hAnsi="仿宋_GB2312" w:eastAsia="仿宋_GB2312" w:cs="仿宋_GB2312"/>
                <w:b w:val="0"/>
                <w:bCs w:val="0"/>
                <w:color w:val="auto"/>
                <w:sz w:val="24"/>
                <w:szCs w:val="18"/>
                <w:highlight w:val="none"/>
                <w:lang w:eastAsia="zh-CN"/>
              </w:rPr>
              <w:t>的100%。</w:t>
            </w:r>
          </w:p>
        </w:tc>
      </w:tr>
      <w:tr w14:paraId="7547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87" w:type="dxa"/>
            <w:vAlign w:val="center"/>
          </w:tcPr>
          <w:p w14:paraId="783C813D">
            <w:pPr>
              <w:pStyle w:val="61"/>
              <w:pBdr>
                <w:bottom w:val="none" w:color="auto" w:sz="0" w:space="0"/>
              </w:pBdr>
              <w:tabs>
                <w:tab w:val="clear" w:pos="4153"/>
                <w:tab w:val="clear" w:pos="8306"/>
              </w:tabs>
              <w:adjustRightInd/>
              <w:spacing w:line="24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2</w:t>
            </w:r>
          </w:p>
        </w:tc>
        <w:tc>
          <w:tcPr>
            <w:tcW w:w="2191" w:type="dxa"/>
            <w:vAlign w:val="center"/>
          </w:tcPr>
          <w:p w14:paraId="7AD85614">
            <w:pPr>
              <w:pStyle w:val="60"/>
              <w:widowControl w:val="0"/>
              <w:spacing w:before="0" w:beforeAutospacing="0" w:after="0" w:afterAutospacing="0" w:line="360" w:lineRule="auto"/>
              <w:rPr>
                <w:rFonts w:hint="eastAsia" w:ascii="仿宋_GB2312" w:hAnsi="仿宋_GB2312" w:eastAsia="仿宋_GB2312" w:cs="仿宋_GB2312"/>
                <w:b w:val="0"/>
                <w:color w:val="auto"/>
                <w:sz w:val="24"/>
                <w:highlight w:val="none"/>
              </w:rPr>
            </w:pPr>
            <w:r>
              <w:rPr>
                <w:rFonts w:hint="eastAsia" w:ascii="仿宋_GB2312" w:hAnsi="仿宋_GB2312" w:eastAsia="仿宋_GB2312" w:cs="仿宋_GB2312"/>
                <w:b w:val="0"/>
                <w:color w:val="auto"/>
                <w:sz w:val="24"/>
                <w:highlight w:val="none"/>
              </w:rPr>
              <w:t>供货及安装地点</w:t>
            </w:r>
          </w:p>
        </w:tc>
        <w:tc>
          <w:tcPr>
            <w:tcW w:w="5913" w:type="dxa"/>
            <w:vAlign w:val="center"/>
          </w:tcPr>
          <w:p w14:paraId="6D93892F">
            <w:pPr>
              <w:pStyle w:val="186"/>
              <w:spacing w:before="0" w:after="0" w:line="360" w:lineRule="auto"/>
              <w:jc w:val="left"/>
              <w:rPr>
                <w:rFonts w:hint="eastAsia" w:ascii="仿宋_GB2312" w:hAnsi="仿宋_GB2312" w:eastAsia="仿宋_GB2312" w:cs="仿宋_GB2312"/>
                <w:b w:val="0"/>
                <w:color w:val="auto"/>
                <w:sz w:val="24"/>
                <w:highlight w:val="none"/>
              </w:rPr>
            </w:pPr>
            <w:r>
              <w:rPr>
                <w:rStyle w:val="103"/>
                <w:rFonts w:hint="eastAsia" w:ascii="仿宋_GB2312" w:hAnsi="仿宋_GB2312" w:eastAsia="仿宋_GB2312" w:cs="仿宋_GB2312"/>
                <w:b w:val="0"/>
                <w:color w:val="auto"/>
                <w:kern w:val="0"/>
                <w:sz w:val="24"/>
                <w:highlight w:val="none"/>
              </w:rPr>
              <w:t>合肥市包河区，招标人指定地点。</w:t>
            </w:r>
          </w:p>
        </w:tc>
      </w:tr>
      <w:tr w14:paraId="3B27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6D3F0B07">
            <w:pPr>
              <w:pStyle w:val="61"/>
              <w:pBdr>
                <w:bottom w:val="none" w:color="auto" w:sz="0" w:space="0"/>
              </w:pBdr>
              <w:tabs>
                <w:tab w:val="clear" w:pos="4153"/>
                <w:tab w:val="clear" w:pos="8306"/>
              </w:tabs>
              <w:adjustRightInd/>
              <w:spacing w:line="24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3</w:t>
            </w:r>
          </w:p>
        </w:tc>
        <w:tc>
          <w:tcPr>
            <w:tcW w:w="2191" w:type="dxa"/>
            <w:vAlign w:val="center"/>
          </w:tcPr>
          <w:p w14:paraId="11A88FED">
            <w:pPr>
              <w:pStyle w:val="60"/>
              <w:widowControl w:val="0"/>
              <w:spacing w:before="0" w:beforeAutospacing="0" w:after="0" w:afterAutospacing="0" w:line="360" w:lineRule="auto"/>
              <w:rPr>
                <w:rFonts w:hint="eastAsia" w:ascii="仿宋_GB2312" w:hAnsi="仿宋_GB2312" w:eastAsia="仿宋_GB2312" w:cs="仿宋_GB2312"/>
                <w:b w:val="0"/>
                <w:color w:val="auto"/>
                <w:sz w:val="24"/>
                <w:highlight w:val="none"/>
              </w:rPr>
            </w:pPr>
            <w:r>
              <w:rPr>
                <w:rFonts w:hint="eastAsia" w:ascii="仿宋_GB2312" w:hAnsi="仿宋_GB2312" w:eastAsia="仿宋_GB2312" w:cs="仿宋_GB2312"/>
                <w:b w:val="0"/>
                <w:color w:val="auto"/>
                <w:sz w:val="24"/>
                <w:highlight w:val="none"/>
              </w:rPr>
              <w:t>供货及安装期限</w:t>
            </w:r>
          </w:p>
        </w:tc>
        <w:tc>
          <w:tcPr>
            <w:tcW w:w="5913" w:type="dxa"/>
            <w:vAlign w:val="center"/>
          </w:tcPr>
          <w:p w14:paraId="0C36D94B">
            <w:pPr>
              <w:pStyle w:val="187"/>
              <w:widowControl/>
              <w:spacing w:line="360" w:lineRule="auto"/>
              <w:rPr>
                <w:rFonts w:hint="eastAsia" w:ascii="仿宋_GB2312" w:hAnsi="仿宋_GB2312" w:eastAsia="仿宋_GB2312" w:cs="仿宋_GB2312"/>
                <w:color w:val="auto"/>
                <w:sz w:val="24"/>
                <w:highlight w:val="none"/>
              </w:rPr>
            </w:pPr>
            <w:r>
              <w:rPr>
                <w:rStyle w:val="103"/>
                <w:rFonts w:hint="eastAsia" w:ascii="仿宋_GB2312" w:hAnsi="仿宋_GB2312" w:eastAsia="仿宋_GB2312" w:cs="仿宋_GB2312"/>
                <w:bCs/>
                <w:color w:val="auto"/>
                <w:kern w:val="0"/>
                <w:sz w:val="24"/>
                <w:szCs w:val="28"/>
                <w:highlight w:val="none"/>
              </w:rPr>
              <w:t>合同签订后</w:t>
            </w:r>
            <w:r>
              <w:rPr>
                <w:rStyle w:val="103"/>
                <w:rFonts w:hint="eastAsia" w:ascii="仿宋_GB2312" w:hAnsi="仿宋_GB2312" w:eastAsia="仿宋_GB2312" w:cs="仿宋_GB2312"/>
                <w:bCs/>
                <w:color w:val="auto"/>
                <w:kern w:val="0"/>
                <w:sz w:val="24"/>
                <w:szCs w:val="28"/>
                <w:highlight w:val="none"/>
                <w:lang w:val="en-US"/>
              </w:rPr>
              <w:t>30</w:t>
            </w:r>
            <w:r>
              <w:rPr>
                <w:rStyle w:val="103"/>
                <w:rFonts w:hint="eastAsia" w:ascii="仿宋_GB2312" w:hAnsi="仿宋_GB2312" w:eastAsia="仿宋_GB2312" w:cs="仿宋_GB2312"/>
                <w:bCs/>
                <w:color w:val="auto"/>
                <w:kern w:val="0"/>
                <w:sz w:val="24"/>
                <w:szCs w:val="28"/>
                <w:highlight w:val="none"/>
              </w:rPr>
              <w:t>个日历日内完成供货及安装。</w:t>
            </w:r>
          </w:p>
        </w:tc>
      </w:tr>
      <w:tr w14:paraId="7633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2446C642">
            <w:pPr>
              <w:pStyle w:val="61"/>
              <w:pBdr>
                <w:bottom w:val="none" w:color="auto" w:sz="0" w:space="0"/>
              </w:pBdr>
              <w:tabs>
                <w:tab w:val="clear" w:pos="4153"/>
                <w:tab w:val="clear" w:pos="8306"/>
              </w:tabs>
              <w:adjustRightInd/>
              <w:spacing w:line="24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4</w:t>
            </w:r>
          </w:p>
        </w:tc>
        <w:tc>
          <w:tcPr>
            <w:tcW w:w="2191" w:type="dxa"/>
            <w:vAlign w:val="center"/>
          </w:tcPr>
          <w:p w14:paraId="31886B6F">
            <w:pPr>
              <w:pStyle w:val="60"/>
              <w:widowControl w:val="0"/>
              <w:spacing w:before="0" w:beforeAutospacing="0" w:after="0" w:afterAutospacing="0" w:line="360" w:lineRule="auto"/>
              <w:rPr>
                <w:rFonts w:hint="eastAsia" w:ascii="仿宋_GB2312" w:hAnsi="仿宋_GB2312" w:eastAsia="仿宋_GB2312" w:cs="仿宋_GB2312"/>
                <w:b w:val="0"/>
                <w:color w:val="auto"/>
                <w:sz w:val="24"/>
                <w:highlight w:val="none"/>
              </w:rPr>
            </w:pPr>
            <w:r>
              <w:rPr>
                <w:rFonts w:hint="eastAsia" w:ascii="仿宋_GB2312" w:hAnsi="仿宋_GB2312" w:eastAsia="仿宋_GB2312" w:cs="仿宋_GB2312"/>
                <w:b w:val="0"/>
                <w:color w:val="auto"/>
                <w:sz w:val="24"/>
                <w:highlight w:val="none"/>
              </w:rPr>
              <w:t>免费质保期</w:t>
            </w:r>
          </w:p>
        </w:tc>
        <w:tc>
          <w:tcPr>
            <w:tcW w:w="5913" w:type="dxa"/>
            <w:vAlign w:val="center"/>
          </w:tcPr>
          <w:p w14:paraId="511A46E3">
            <w:pPr>
              <w:pStyle w:val="186"/>
              <w:spacing w:before="0" w:after="0" w:line="360" w:lineRule="auto"/>
              <w:jc w:val="left"/>
              <w:rPr>
                <w:rFonts w:hint="eastAsia" w:ascii="仿宋_GB2312" w:hAnsi="仿宋_GB2312" w:eastAsia="仿宋_GB2312" w:cs="仿宋_GB2312"/>
                <w:b w:val="0"/>
                <w:color w:val="auto"/>
                <w:sz w:val="24"/>
                <w:highlight w:val="none"/>
              </w:rPr>
            </w:pPr>
            <w:r>
              <w:rPr>
                <w:rStyle w:val="103"/>
                <w:rFonts w:hint="eastAsia" w:ascii="仿宋_GB2312" w:hAnsi="仿宋_GB2312" w:eastAsia="仿宋_GB2312" w:cs="仿宋_GB2312"/>
                <w:b w:val="0"/>
                <w:color w:val="auto"/>
                <w:kern w:val="0"/>
                <w:sz w:val="24"/>
                <w:highlight w:val="none"/>
              </w:rPr>
              <w:t>验收合格之日起</w:t>
            </w:r>
            <w:r>
              <w:rPr>
                <w:rStyle w:val="103"/>
                <w:rFonts w:hint="eastAsia" w:ascii="仿宋_GB2312" w:hAnsi="仿宋_GB2312" w:eastAsia="仿宋_GB2312" w:cs="仿宋_GB2312"/>
                <w:b w:val="0"/>
                <w:color w:val="auto"/>
                <w:kern w:val="0"/>
                <w:sz w:val="24"/>
                <w:highlight w:val="none"/>
                <w:lang w:val="en-US"/>
              </w:rPr>
              <w:t>3</w:t>
            </w:r>
            <w:r>
              <w:rPr>
                <w:rStyle w:val="103"/>
                <w:rFonts w:hint="eastAsia" w:ascii="仿宋_GB2312" w:hAnsi="仿宋_GB2312" w:eastAsia="仿宋_GB2312" w:cs="仿宋_GB2312"/>
                <w:b w:val="0"/>
                <w:color w:val="auto"/>
                <w:kern w:val="0"/>
                <w:sz w:val="24"/>
                <w:highlight w:val="none"/>
              </w:rPr>
              <w:t>年。</w:t>
            </w:r>
          </w:p>
        </w:tc>
      </w:tr>
    </w:tbl>
    <w:p w14:paraId="483F82A5">
      <w:pPr>
        <w:numPr>
          <w:ilvl w:val="0"/>
          <w:numId w:val="3"/>
        </w:numPr>
        <w:spacing w:line="360" w:lineRule="auto"/>
        <w:ind w:firstLine="437"/>
        <w:rPr>
          <w:rFonts w:hint="default" w:ascii="Times New Roman" w:hAnsi="Times New Roman" w:cs="Times New Roman"/>
          <w:b/>
          <w:color w:val="auto"/>
          <w:sz w:val="28"/>
          <w:highlight w:val="none"/>
        </w:rPr>
      </w:pPr>
      <w:r>
        <w:rPr>
          <w:rFonts w:hint="default" w:ascii="Times New Roman" w:hAnsi="Times New Roman" w:cs="Times New Roman"/>
          <w:b/>
          <w:bCs/>
          <w:color w:val="auto"/>
          <w:sz w:val="24"/>
          <w:szCs w:val="18"/>
          <w:highlight w:val="none"/>
        </w:rPr>
        <w:t>货物需求</w:t>
      </w:r>
    </w:p>
    <w:p w14:paraId="3B41E87E">
      <w:pPr>
        <w:spacing w:line="360" w:lineRule="auto"/>
        <w:ind w:firstLine="480" w:firstLineChars="200"/>
        <w:rPr>
          <w:rFonts w:hint="default" w:ascii="Times New Roman" w:hAnsi="Times New Roman" w:cs="Times New Roman"/>
          <w:b/>
          <w:bCs/>
          <w:color w:val="auto"/>
          <w:sz w:val="24"/>
          <w:szCs w:val="18"/>
          <w:highlight w:val="none"/>
        </w:rPr>
      </w:pPr>
      <w:r>
        <w:rPr>
          <w:rFonts w:hint="default" w:ascii="Times New Roman" w:hAnsi="Times New Roman" w:cs="Times New Roman"/>
          <w:color w:val="auto"/>
          <w:sz w:val="24"/>
          <w:szCs w:val="28"/>
          <w:highlight w:val="none"/>
          <w:lang w:val="en-US" w:eastAsia="zh-CN"/>
        </w:rPr>
        <w:t>1.1</w:t>
      </w:r>
      <w:r>
        <w:rPr>
          <w:rFonts w:hint="default" w:ascii="Times New Roman" w:hAnsi="Times New Roman" w:cs="Times New Roman"/>
          <w:b/>
          <w:bCs/>
          <w:color w:val="auto"/>
          <w:sz w:val="24"/>
          <w:szCs w:val="18"/>
          <w:highlight w:val="none"/>
        </w:rPr>
        <w:t>清单要求</w:t>
      </w:r>
    </w:p>
    <w:p w14:paraId="71D59FCC">
      <w:pPr>
        <w:numPr>
          <w:ilvl w:val="0"/>
          <w:numId w:val="4"/>
        </w:num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货物清单详见:</w:t>
      </w:r>
      <w:r>
        <w:rPr>
          <w:rFonts w:hint="eastAsia" w:ascii="仿宋_GB2312" w:hAnsi="仿宋_GB2312" w:eastAsia="仿宋_GB2312" w:cs="仿宋_GB2312"/>
          <w:color w:val="auto"/>
          <w:sz w:val="24"/>
          <w:szCs w:val="24"/>
          <w:highlight w:val="none"/>
          <w:lang w:eastAsia="zh-CN"/>
        </w:rPr>
        <w:t>厨房设备</w:t>
      </w:r>
      <w:r>
        <w:rPr>
          <w:rFonts w:hint="eastAsia" w:ascii="仿宋_GB2312" w:hAnsi="仿宋_GB2312" w:eastAsia="仿宋_GB2312" w:cs="仿宋_GB2312"/>
          <w:color w:val="auto"/>
          <w:sz w:val="24"/>
          <w:szCs w:val="24"/>
          <w:highlight w:val="none"/>
        </w:rPr>
        <w:t>清单。清单内所有参数不作为评审项,但合同签订后将作为履约验收的依据,涉及到的证书、检测报告等证明材料在合同签订后交由招标人核查,如不满足,招标人有权解除合同,并按相关规定依规处理,投标人承担由此产生的一切后果及责任。</w:t>
      </w:r>
    </w:p>
    <w:tbl>
      <w:tblPr>
        <w:tblStyle w:val="41"/>
        <w:tblW w:w="672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6"/>
        <w:gridCol w:w="1211"/>
        <w:gridCol w:w="1207"/>
        <w:gridCol w:w="1641"/>
        <w:gridCol w:w="3083"/>
        <w:gridCol w:w="733"/>
        <w:gridCol w:w="726"/>
        <w:gridCol w:w="820"/>
        <w:gridCol w:w="1288"/>
      </w:tblGrid>
      <w:tr w14:paraId="28649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865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常青街道邻里坊厨房设备清单</w:t>
            </w:r>
          </w:p>
        </w:tc>
      </w:tr>
      <w:tr w14:paraId="4A631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F53F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CC6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产品名称</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04AC7">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尺寸（mm）</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(WxDxH)</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8192">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产品图片</w:t>
            </w:r>
          </w:p>
        </w:tc>
        <w:tc>
          <w:tcPr>
            <w:tcW w:w="1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52E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技术参数</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1D29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317" w:type="pct"/>
            <w:tcBorders>
              <w:top w:val="single" w:color="000000" w:sz="4" w:space="0"/>
              <w:left w:val="single" w:color="000000" w:sz="4" w:space="0"/>
              <w:bottom w:val="single" w:color="000000" w:sz="4" w:space="0"/>
              <w:right w:val="nil"/>
            </w:tcBorders>
            <w:shd w:val="clear" w:color="auto" w:fill="auto"/>
            <w:noWrap/>
            <w:vAlign w:val="center"/>
          </w:tcPr>
          <w:p w14:paraId="3078A45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74D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单价</w:t>
            </w:r>
          </w:p>
        </w:tc>
        <w:tc>
          <w:tcPr>
            <w:tcW w:w="563" w:type="pct"/>
            <w:tcBorders>
              <w:top w:val="single" w:color="000000" w:sz="4" w:space="0"/>
              <w:left w:val="nil"/>
              <w:bottom w:val="single" w:color="000000" w:sz="4" w:space="0"/>
              <w:right w:val="single" w:color="000000" w:sz="4" w:space="0"/>
            </w:tcBorders>
            <w:shd w:val="clear" w:color="auto" w:fill="auto"/>
            <w:noWrap/>
            <w:vAlign w:val="center"/>
          </w:tcPr>
          <w:p w14:paraId="5186A0D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合计金额</w:t>
            </w:r>
          </w:p>
        </w:tc>
      </w:tr>
      <w:tr w14:paraId="54681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6A6A6"/>
            <w:noWrap/>
            <w:vAlign w:val="center"/>
          </w:tcPr>
          <w:p w14:paraId="6904632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洗消间</w:t>
            </w:r>
          </w:p>
        </w:tc>
      </w:tr>
      <w:tr w14:paraId="6A4F4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3"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B7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789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电热开水器连底座</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733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约为605*535*1500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5EB1">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drawing>
                <wp:inline distT="0" distB="0" distL="114300" distR="114300">
                  <wp:extent cx="857250" cy="780415"/>
                  <wp:effectExtent l="0" t="0" r="0" b="6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9"/>
                          <a:stretch>
                            <a:fillRect/>
                          </a:stretch>
                        </pic:blipFill>
                        <pic:spPr>
                          <a:xfrm>
                            <a:off x="0" y="0"/>
                            <a:ext cx="857250" cy="780415"/>
                          </a:xfrm>
                          <a:prstGeom prst="rect">
                            <a:avLst/>
                          </a:prstGeom>
                          <a:noFill/>
                          <a:ln w="9525">
                            <a:noFill/>
                          </a:ln>
                        </pic:spPr>
                      </pic:pic>
                    </a:graphicData>
                  </a:graphic>
                </wp:inline>
              </w:drawing>
            </w: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C56D">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采用201#不锈钢板制造：内胆采用304不锈钢。</w:t>
            </w:r>
          </w:p>
          <w:p w14:paraId="7EEF6EC0">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额定电压: 380V</w:t>
            </w:r>
          </w:p>
          <w:p w14:paraId="527A2F69">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额定频率:50Hz</w:t>
            </w:r>
          </w:p>
          <w:p w14:paraId="2BD5A8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rPr>
              <w:t xml:space="preserve">优质电热管，配不锈钢分体底座。 </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63A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7" w:type="pct"/>
            <w:tcBorders>
              <w:top w:val="single" w:color="000000" w:sz="4" w:space="0"/>
              <w:left w:val="single" w:color="000000" w:sz="4" w:space="0"/>
              <w:bottom w:val="single" w:color="000000" w:sz="4" w:space="0"/>
              <w:right w:val="nil"/>
            </w:tcBorders>
            <w:shd w:val="clear" w:color="auto" w:fill="auto"/>
            <w:vAlign w:val="center"/>
          </w:tcPr>
          <w:p w14:paraId="2AB5DA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99D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63" w:type="pct"/>
            <w:tcBorders>
              <w:top w:val="single" w:color="000000" w:sz="4" w:space="0"/>
              <w:left w:val="nil"/>
              <w:bottom w:val="single" w:color="000000" w:sz="4" w:space="0"/>
              <w:right w:val="single" w:color="000000" w:sz="4" w:space="0"/>
            </w:tcBorders>
            <w:shd w:val="clear" w:color="auto" w:fill="auto"/>
            <w:vAlign w:val="center"/>
          </w:tcPr>
          <w:p w14:paraId="0A843679">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p>
        </w:tc>
      </w:tr>
      <w:tr w14:paraId="03429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8"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C1C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54C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单星洁碟台（中星B）</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F93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约为1200*750*800+150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5E4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drawing>
                <wp:inline distT="0" distB="0" distL="114300" distR="114300">
                  <wp:extent cx="857250" cy="619125"/>
                  <wp:effectExtent l="0" t="0" r="11430" b="571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10"/>
                          <a:stretch>
                            <a:fillRect/>
                          </a:stretch>
                        </pic:blipFill>
                        <pic:spPr>
                          <a:xfrm>
                            <a:off x="0" y="0"/>
                            <a:ext cx="857250" cy="619125"/>
                          </a:xfrm>
                          <a:prstGeom prst="rect">
                            <a:avLst/>
                          </a:prstGeom>
                          <a:noFill/>
                          <a:ln w="9525">
                            <a:noFill/>
                          </a:ln>
                        </pic:spPr>
                      </pic:pic>
                    </a:graphicData>
                  </a:graphic>
                </wp:inline>
              </w:drawing>
            </w: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2BA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采用优质优质不锈钢板材制作；台面板1.2mm加强处理；立柱为Φ38×1.0mm不锈钢管,加装优质不锈钢可调子弹脚。</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B46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7" w:type="pct"/>
            <w:tcBorders>
              <w:top w:val="single" w:color="000000" w:sz="4" w:space="0"/>
              <w:left w:val="single" w:color="000000" w:sz="4" w:space="0"/>
              <w:bottom w:val="single" w:color="000000" w:sz="4" w:space="0"/>
              <w:right w:val="nil"/>
            </w:tcBorders>
            <w:shd w:val="clear" w:color="auto" w:fill="auto"/>
            <w:vAlign w:val="center"/>
          </w:tcPr>
          <w:p w14:paraId="2AF8BC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2F4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63" w:type="pct"/>
            <w:tcBorders>
              <w:top w:val="single" w:color="000000" w:sz="4" w:space="0"/>
              <w:left w:val="nil"/>
              <w:bottom w:val="single" w:color="000000" w:sz="4" w:space="0"/>
              <w:right w:val="single" w:color="000000" w:sz="4" w:space="0"/>
            </w:tcBorders>
            <w:shd w:val="clear" w:color="auto" w:fill="auto"/>
            <w:vAlign w:val="center"/>
          </w:tcPr>
          <w:p w14:paraId="1D16CC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p>
        </w:tc>
      </w:tr>
      <w:tr w14:paraId="345A3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A03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45C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双温水龙头</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D6B3C">
            <w:pPr>
              <w:jc w:val="center"/>
              <w:rPr>
                <w:rFonts w:hint="eastAsia" w:ascii="宋体" w:hAnsi="宋体" w:eastAsia="宋体" w:cs="宋体"/>
                <w:i w:val="0"/>
                <w:iCs w:val="0"/>
                <w:color w:val="auto"/>
                <w:sz w:val="24"/>
                <w:szCs w:val="24"/>
                <w:highlight w:val="none"/>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8E762">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rPr>
              <w:drawing>
                <wp:inline distT="0" distB="0" distL="114300" distR="114300">
                  <wp:extent cx="828040" cy="772160"/>
                  <wp:effectExtent l="0" t="0" r="10160" b="8890"/>
                  <wp:docPr id="6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16"/>
                          <pic:cNvPicPr>
                            <a:picLocks noChangeAspect="1"/>
                          </pic:cNvPicPr>
                        </pic:nvPicPr>
                        <pic:blipFill>
                          <a:blip r:embed="rId11"/>
                          <a:stretch>
                            <a:fillRect/>
                          </a:stretch>
                        </pic:blipFill>
                        <pic:spPr>
                          <a:xfrm>
                            <a:off x="0" y="0"/>
                            <a:ext cx="828040" cy="772160"/>
                          </a:xfrm>
                          <a:prstGeom prst="rect">
                            <a:avLst/>
                          </a:prstGeom>
                          <a:noFill/>
                          <a:ln w="9525">
                            <a:noFill/>
                          </a:ln>
                        </pic:spPr>
                      </pic:pic>
                    </a:graphicData>
                  </a:graphic>
                </wp:inline>
              </w:drawing>
            </w: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3B277">
            <w:pPr>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采用铜铸本体，表面抛光镀铬处理。配陶瓷阀芯一字型手柄。</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4E4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7" w:type="pct"/>
            <w:tcBorders>
              <w:top w:val="single" w:color="000000" w:sz="4" w:space="0"/>
              <w:left w:val="single" w:color="000000" w:sz="4" w:space="0"/>
              <w:bottom w:val="single" w:color="000000" w:sz="4" w:space="0"/>
              <w:right w:val="nil"/>
            </w:tcBorders>
            <w:shd w:val="clear" w:color="auto" w:fill="auto"/>
            <w:vAlign w:val="center"/>
          </w:tcPr>
          <w:p w14:paraId="757F3E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23F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63" w:type="pct"/>
            <w:tcBorders>
              <w:top w:val="single" w:color="000000" w:sz="4" w:space="0"/>
              <w:left w:val="nil"/>
              <w:bottom w:val="single" w:color="000000" w:sz="4" w:space="0"/>
              <w:right w:val="single" w:color="000000" w:sz="4" w:space="0"/>
            </w:tcBorders>
            <w:shd w:val="clear" w:color="auto" w:fill="auto"/>
            <w:vAlign w:val="center"/>
          </w:tcPr>
          <w:p w14:paraId="743EAAD1">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p>
        </w:tc>
      </w:tr>
      <w:tr w14:paraId="24AAA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3"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56E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5C2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大双星污碟台A</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F5D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约为1750*750*800+150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987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drawing>
                <wp:inline distT="0" distB="0" distL="114300" distR="114300">
                  <wp:extent cx="857250" cy="609600"/>
                  <wp:effectExtent l="0" t="0" r="1143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12"/>
                          <a:stretch>
                            <a:fillRect/>
                          </a:stretch>
                        </pic:blipFill>
                        <pic:spPr>
                          <a:xfrm>
                            <a:off x="0" y="0"/>
                            <a:ext cx="857250" cy="609600"/>
                          </a:xfrm>
                          <a:prstGeom prst="rect">
                            <a:avLst/>
                          </a:prstGeom>
                          <a:noFill/>
                          <a:ln w="9525">
                            <a:noFill/>
                          </a:ln>
                        </pic:spPr>
                      </pic:pic>
                    </a:graphicData>
                  </a:graphic>
                </wp:inline>
              </w:drawing>
            </w: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0DF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采用优质优质不锈钢板材制作</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B72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7" w:type="pct"/>
            <w:tcBorders>
              <w:top w:val="single" w:color="000000" w:sz="4" w:space="0"/>
              <w:left w:val="single" w:color="000000" w:sz="4" w:space="0"/>
              <w:bottom w:val="single" w:color="000000" w:sz="4" w:space="0"/>
              <w:right w:val="nil"/>
            </w:tcBorders>
            <w:shd w:val="clear" w:color="auto" w:fill="auto"/>
            <w:vAlign w:val="center"/>
          </w:tcPr>
          <w:p w14:paraId="42C732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FAD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63" w:type="pct"/>
            <w:tcBorders>
              <w:top w:val="single" w:color="000000" w:sz="4" w:space="0"/>
              <w:left w:val="nil"/>
              <w:bottom w:val="single" w:color="000000" w:sz="4" w:space="0"/>
              <w:right w:val="single" w:color="000000" w:sz="4" w:space="0"/>
            </w:tcBorders>
            <w:shd w:val="clear" w:color="auto" w:fill="auto"/>
            <w:vAlign w:val="center"/>
          </w:tcPr>
          <w:p w14:paraId="5B03772F">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p>
        </w:tc>
      </w:tr>
      <w:tr w14:paraId="24AC1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A8C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9A0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双温水龙头</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5F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含三角阀进水管</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32BB9">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rPr>
              <w:drawing>
                <wp:inline distT="0" distB="0" distL="114300" distR="114300">
                  <wp:extent cx="828040" cy="772160"/>
                  <wp:effectExtent l="0" t="0" r="10160" b="8890"/>
                  <wp:docPr id="2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6"/>
                          <pic:cNvPicPr>
                            <a:picLocks noChangeAspect="1"/>
                          </pic:cNvPicPr>
                        </pic:nvPicPr>
                        <pic:blipFill>
                          <a:blip r:embed="rId11"/>
                          <a:stretch>
                            <a:fillRect/>
                          </a:stretch>
                        </pic:blipFill>
                        <pic:spPr>
                          <a:xfrm>
                            <a:off x="0" y="0"/>
                            <a:ext cx="828040" cy="772160"/>
                          </a:xfrm>
                          <a:prstGeom prst="rect">
                            <a:avLst/>
                          </a:prstGeom>
                          <a:noFill/>
                          <a:ln w="9525">
                            <a:noFill/>
                          </a:ln>
                        </pic:spPr>
                      </pic:pic>
                    </a:graphicData>
                  </a:graphic>
                </wp:inline>
              </w:drawing>
            </w: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B4850">
            <w:pPr>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采用铜铸本体，表面抛光镀铬处理。配陶瓷阀芯一字型手柄。</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9AF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7" w:type="pct"/>
            <w:tcBorders>
              <w:top w:val="single" w:color="000000" w:sz="4" w:space="0"/>
              <w:left w:val="single" w:color="000000" w:sz="4" w:space="0"/>
              <w:bottom w:val="single" w:color="000000" w:sz="4" w:space="0"/>
              <w:right w:val="nil"/>
            </w:tcBorders>
            <w:shd w:val="clear" w:color="auto" w:fill="auto"/>
            <w:vAlign w:val="center"/>
          </w:tcPr>
          <w:p w14:paraId="54D71F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A9F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63" w:type="pct"/>
            <w:tcBorders>
              <w:top w:val="single" w:color="000000" w:sz="4" w:space="0"/>
              <w:left w:val="nil"/>
              <w:bottom w:val="single" w:color="000000" w:sz="4" w:space="0"/>
              <w:right w:val="single" w:color="000000" w:sz="4" w:space="0"/>
            </w:tcBorders>
            <w:shd w:val="clear" w:color="auto" w:fill="auto"/>
            <w:vAlign w:val="center"/>
          </w:tcPr>
          <w:p w14:paraId="52FCEDFF">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p>
        </w:tc>
      </w:tr>
      <w:tr w14:paraId="3B6C6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BC8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5047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单冷水龙头</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24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含三角阀进水管</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121E">
            <w:pPr>
              <w:jc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color w:val="auto"/>
                <w:sz w:val="24"/>
                <w:szCs w:val="24"/>
                <w:highlight w:val="none"/>
              </w:rPr>
              <w:drawing>
                <wp:inline distT="0" distB="0" distL="114300" distR="114300">
                  <wp:extent cx="608965" cy="617220"/>
                  <wp:effectExtent l="0" t="0" r="635" b="11430"/>
                  <wp:docPr id="68" name="图片 67" descr="LVVG)BVY$4TI%@{B9$LN6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7" descr="LVVG)BVY$4TI%@{B9$LN6EU"/>
                          <pic:cNvPicPr>
                            <a:picLocks noChangeAspect="1"/>
                          </pic:cNvPicPr>
                        </pic:nvPicPr>
                        <pic:blipFill>
                          <a:blip r:embed="rId13"/>
                          <a:stretch>
                            <a:fillRect/>
                          </a:stretch>
                        </pic:blipFill>
                        <pic:spPr>
                          <a:xfrm>
                            <a:off x="0" y="0"/>
                            <a:ext cx="608965" cy="617220"/>
                          </a:xfrm>
                          <a:prstGeom prst="rect">
                            <a:avLst/>
                          </a:prstGeom>
                        </pic:spPr>
                      </pic:pic>
                    </a:graphicData>
                  </a:graphic>
                </wp:inline>
              </w:drawing>
            </w:r>
          </w:p>
        </w:tc>
        <w:tc>
          <w:tcPr>
            <w:tcW w:w="1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2E6A9">
            <w:pPr>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黄铜主体，不锈钢管，陶瓷阀芯。</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6A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7" w:type="pct"/>
            <w:tcBorders>
              <w:top w:val="single" w:color="000000" w:sz="4" w:space="0"/>
              <w:left w:val="single" w:color="000000" w:sz="4" w:space="0"/>
              <w:bottom w:val="single" w:color="000000" w:sz="4" w:space="0"/>
              <w:right w:val="nil"/>
            </w:tcBorders>
            <w:shd w:val="clear" w:color="auto" w:fill="auto"/>
            <w:vAlign w:val="center"/>
          </w:tcPr>
          <w:p w14:paraId="3A67B1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418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63" w:type="pct"/>
            <w:tcBorders>
              <w:top w:val="single" w:color="000000" w:sz="4" w:space="0"/>
              <w:left w:val="nil"/>
              <w:bottom w:val="single" w:color="000000" w:sz="4" w:space="0"/>
              <w:right w:val="single" w:color="000000" w:sz="4" w:space="0"/>
            </w:tcBorders>
            <w:shd w:val="clear" w:color="auto" w:fill="auto"/>
            <w:vAlign w:val="center"/>
          </w:tcPr>
          <w:p w14:paraId="61B26246">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p>
        </w:tc>
      </w:tr>
      <w:tr w14:paraId="63F33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B7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B2C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高温热风循环消毒保洁柜</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F76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约为1300*600*1780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72745">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drawing>
                <wp:inline distT="0" distB="0" distL="114300" distR="114300">
                  <wp:extent cx="857250" cy="866140"/>
                  <wp:effectExtent l="0" t="0" r="0" b="10160"/>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14"/>
                          <a:stretch>
                            <a:fillRect/>
                          </a:stretch>
                        </pic:blipFill>
                        <pic:spPr>
                          <a:xfrm>
                            <a:off x="0" y="0"/>
                            <a:ext cx="857250" cy="866140"/>
                          </a:xfrm>
                          <a:prstGeom prst="rect">
                            <a:avLst/>
                          </a:prstGeom>
                          <a:noFill/>
                          <a:ln w="9525">
                            <a:noFill/>
                          </a:ln>
                        </pic:spPr>
                      </pic:pic>
                    </a:graphicData>
                  </a:graphic>
                </wp:inline>
              </w:drawing>
            </w: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1E6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·中温热风循环，内外不锈钢带磁箱体;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·臭氧立体消毒＋加热无死角;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·设有符合人体工程学把手;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·全不锈钢层架;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·设有定时器功能。</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96A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7" w:type="pct"/>
            <w:tcBorders>
              <w:top w:val="single" w:color="000000" w:sz="4" w:space="0"/>
              <w:left w:val="single" w:color="000000" w:sz="4" w:space="0"/>
              <w:bottom w:val="single" w:color="000000" w:sz="4" w:space="0"/>
              <w:right w:val="nil"/>
            </w:tcBorders>
            <w:shd w:val="clear" w:color="auto" w:fill="auto"/>
            <w:vAlign w:val="center"/>
          </w:tcPr>
          <w:p w14:paraId="728016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E66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63" w:type="pct"/>
            <w:tcBorders>
              <w:top w:val="single" w:color="000000" w:sz="4" w:space="0"/>
              <w:left w:val="nil"/>
              <w:bottom w:val="single" w:color="000000" w:sz="4" w:space="0"/>
              <w:right w:val="single" w:color="000000" w:sz="4" w:space="0"/>
            </w:tcBorders>
            <w:shd w:val="clear" w:color="auto" w:fill="auto"/>
            <w:vAlign w:val="center"/>
          </w:tcPr>
          <w:p w14:paraId="427DBD87">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p>
        </w:tc>
      </w:tr>
      <w:tr w14:paraId="16624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6A6A6"/>
            <w:noWrap/>
            <w:vAlign w:val="center"/>
          </w:tcPr>
          <w:p w14:paraId="4112E45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lang w:eastAsia="zh-CN"/>
              </w:rPr>
            </w:pPr>
            <w:r>
              <w:rPr>
                <w:rFonts w:hint="eastAsia" w:ascii="宋体" w:hAnsi="宋体" w:eastAsia="宋体" w:cs="宋体"/>
                <w:b/>
                <w:bCs/>
                <w:i w:val="0"/>
                <w:iCs w:val="0"/>
                <w:color w:val="auto"/>
                <w:sz w:val="24"/>
                <w:szCs w:val="24"/>
                <w:highlight w:val="none"/>
                <w:u w:val="none"/>
                <w:lang w:eastAsia="zh-CN"/>
              </w:rPr>
              <w:t>主厨间</w:t>
            </w:r>
          </w:p>
        </w:tc>
      </w:tr>
      <w:tr w14:paraId="32BAD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FC3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35D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冷藏操作台</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266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约为1800*760*800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FB4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drawing>
                <wp:inline distT="0" distB="0" distL="114300" distR="114300">
                  <wp:extent cx="857250" cy="828040"/>
                  <wp:effectExtent l="0" t="0" r="0" b="10160"/>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pic:cNvPicPr>
                        </pic:nvPicPr>
                        <pic:blipFill>
                          <a:blip r:embed="rId15"/>
                          <a:stretch>
                            <a:fillRect/>
                          </a:stretch>
                        </pic:blipFill>
                        <pic:spPr>
                          <a:xfrm>
                            <a:off x="0" y="0"/>
                            <a:ext cx="857250" cy="828040"/>
                          </a:xfrm>
                          <a:prstGeom prst="rect">
                            <a:avLst/>
                          </a:prstGeom>
                          <a:noFill/>
                          <a:ln w="9525">
                            <a:noFill/>
                          </a:ln>
                        </pic:spPr>
                      </pic:pic>
                    </a:graphicData>
                  </a:graphic>
                </wp:inline>
              </w:drawing>
            </w: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EE0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采用优质不锈钢，内箱圆弧设计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-外嵌式蒸发器，外挂防尘网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-内箱尺寸(mm)：1380*570/410*590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-控温类型：电子数字温控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-制冷剂：冷藏：R134a,冷冻：R404a</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278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7" w:type="pct"/>
            <w:tcBorders>
              <w:top w:val="single" w:color="000000" w:sz="4" w:space="0"/>
              <w:left w:val="single" w:color="000000" w:sz="4" w:space="0"/>
              <w:bottom w:val="single" w:color="000000" w:sz="4" w:space="0"/>
              <w:right w:val="nil"/>
            </w:tcBorders>
            <w:shd w:val="clear" w:color="auto" w:fill="auto"/>
            <w:vAlign w:val="center"/>
          </w:tcPr>
          <w:p w14:paraId="7494BF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C7F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63" w:type="pct"/>
            <w:tcBorders>
              <w:top w:val="single" w:color="000000" w:sz="4" w:space="0"/>
              <w:left w:val="nil"/>
              <w:bottom w:val="single" w:color="000000" w:sz="4" w:space="0"/>
              <w:right w:val="single" w:color="000000" w:sz="4" w:space="0"/>
            </w:tcBorders>
            <w:shd w:val="clear" w:color="auto" w:fill="auto"/>
            <w:vAlign w:val="center"/>
          </w:tcPr>
          <w:p w14:paraId="28F6A1CA">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p>
        </w:tc>
      </w:tr>
      <w:tr w14:paraId="746A4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6"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7B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5D9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双温四门高身柜</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B64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约为1200*700*1980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E9EA9">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drawing>
                <wp:inline distT="0" distB="0" distL="114300" distR="114300">
                  <wp:extent cx="857250" cy="781050"/>
                  <wp:effectExtent l="0" t="0" r="0" b="0"/>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embed="rId16"/>
                          <a:stretch>
                            <a:fillRect/>
                          </a:stretch>
                        </pic:blipFill>
                        <pic:spPr>
                          <a:xfrm>
                            <a:off x="0" y="0"/>
                            <a:ext cx="857250" cy="781050"/>
                          </a:xfrm>
                          <a:prstGeom prst="rect">
                            <a:avLst/>
                          </a:prstGeom>
                          <a:noFill/>
                          <a:ln w="9525">
                            <a:noFill/>
                          </a:ln>
                        </pic:spPr>
                      </pic:pic>
                    </a:graphicData>
                  </a:graphic>
                </wp:inline>
              </w:drawing>
            </w: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3C1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采用优质不锈钢板制造；内胆不锈钢，整体发泡，采用铜管，温度范围冷藏款为+10℃～-0℃。冷冻款-0℃～-18℃，内藏式制冷铜管；液晶温度显示，磁性自动回归拉门，配优质脚轮。</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0D1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7" w:type="pct"/>
            <w:tcBorders>
              <w:top w:val="single" w:color="000000" w:sz="4" w:space="0"/>
              <w:left w:val="single" w:color="000000" w:sz="4" w:space="0"/>
              <w:bottom w:val="single" w:color="000000" w:sz="4" w:space="0"/>
              <w:right w:val="nil"/>
            </w:tcBorders>
            <w:shd w:val="clear" w:color="auto" w:fill="auto"/>
            <w:vAlign w:val="center"/>
          </w:tcPr>
          <w:p w14:paraId="12D924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D6B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63" w:type="pct"/>
            <w:tcBorders>
              <w:top w:val="single" w:color="000000" w:sz="4" w:space="0"/>
              <w:left w:val="nil"/>
              <w:bottom w:val="single" w:color="000000" w:sz="4" w:space="0"/>
              <w:right w:val="single" w:color="000000" w:sz="4" w:space="0"/>
            </w:tcBorders>
            <w:shd w:val="clear" w:color="auto" w:fill="auto"/>
            <w:vAlign w:val="center"/>
          </w:tcPr>
          <w:p w14:paraId="698281B4">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p>
        </w:tc>
      </w:tr>
      <w:tr w14:paraId="6B471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4"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3A3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CDF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36盘蒸饭车</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330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约为1600*790*1540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45E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drawing>
                <wp:inline distT="0" distB="0" distL="114300" distR="114300">
                  <wp:extent cx="857250" cy="771525"/>
                  <wp:effectExtent l="0" t="0" r="0" b="9525"/>
                  <wp:docPr id="7"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62"/>
                          <pic:cNvPicPr>
                            <a:picLocks noChangeAspect="1"/>
                          </pic:cNvPicPr>
                        </pic:nvPicPr>
                        <pic:blipFill>
                          <a:blip r:embed="rId17"/>
                          <a:stretch>
                            <a:fillRect/>
                          </a:stretch>
                        </pic:blipFill>
                        <pic:spPr>
                          <a:xfrm>
                            <a:off x="0" y="0"/>
                            <a:ext cx="857250" cy="771525"/>
                          </a:xfrm>
                          <a:prstGeom prst="rect">
                            <a:avLst/>
                          </a:prstGeom>
                          <a:noFill/>
                          <a:ln w="9525">
                            <a:noFill/>
                          </a:ln>
                        </pic:spPr>
                      </pic:pic>
                    </a:graphicData>
                  </a:graphic>
                </wp:inline>
              </w:drawing>
            </w: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06D6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采用优质无磁拉丝贴膜不锈钢板制作，箱体内整体采用201#不锈钢板，；柜身：采用发泡一次成型；门封条采用嵌入式设计，使用无毒、耐高温的硅橡胶作材料；带电子打火、无需更换电池等优点，节能火排、不积碳。带熄火保护功能。轮子：采用重型带万向活动轮；配304#食品级不锈钢约2.3斤重蒸饭、蒸菜盘子24个；配自动进水，缺水自给，满水自停;注。                                                                                    </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EA2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7" w:type="pct"/>
            <w:tcBorders>
              <w:top w:val="single" w:color="000000" w:sz="4" w:space="0"/>
              <w:left w:val="single" w:color="000000" w:sz="4" w:space="0"/>
              <w:bottom w:val="single" w:color="000000" w:sz="4" w:space="0"/>
              <w:right w:val="nil"/>
            </w:tcBorders>
            <w:shd w:val="clear" w:color="auto" w:fill="auto"/>
            <w:vAlign w:val="center"/>
          </w:tcPr>
          <w:p w14:paraId="648283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4A4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63" w:type="pct"/>
            <w:tcBorders>
              <w:top w:val="single" w:color="000000" w:sz="4" w:space="0"/>
              <w:left w:val="nil"/>
              <w:bottom w:val="single" w:color="000000" w:sz="4" w:space="0"/>
              <w:right w:val="single" w:color="000000" w:sz="4" w:space="0"/>
            </w:tcBorders>
            <w:shd w:val="clear" w:color="auto" w:fill="auto"/>
            <w:vAlign w:val="center"/>
          </w:tcPr>
          <w:p w14:paraId="77977E95">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p>
        </w:tc>
      </w:tr>
      <w:tr w14:paraId="4647E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EB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E50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单头矮汤炉</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C40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700*760*800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4B12F">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drawing>
                <wp:inline distT="0" distB="0" distL="114300" distR="114300">
                  <wp:extent cx="857250" cy="808990"/>
                  <wp:effectExtent l="0" t="0" r="0" b="10160"/>
                  <wp:docPr id="8"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63"/>
                          <pic:cNvPicPr>
                            <a:picLocks noChangeAspect="1"/>
                          </pic:cNvPicPr>
                        </pic:nvPicPr>
                        <pic:blipFill>
                          <a:blip r:embed="rId18"/>
                          <a:stretch>
                            <a:fillRect/>
                          </a:stretch>
                        </pic:blipFill>
                        <pic:spPr>
                          <a:xfrm>
                            <a:off x="0" y="0"/>
                            <a:ext cx="857250" cy="808990"/>
                          </a:xfrm>
                          <a:prstGeom prst="rect">
                            <a:avLst/>
                          </a:prstGeom>
                          <a:noFill/>
                          <a:ln w="9525">
                            <a:noFill/>
                          </a:ln>
                        </pic:spPr>
                      </pic:pic>
                    </a:graphicData>
                  </a:graphic>
                </wp:inline>
              </w:drawing>
            </w: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BA3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rPr>
              <w:t xml:space="preserve">采用优质无磁拉丝贴膜不锈钢板制作，台面采用201#不锈钢板，面板厚度1.0mm，炉身及炉背板采用201#不锈钢厚度1.0mm，,骨架采用50*25mm的优质不锈钢管及不锈钢板焊接而成。炉膛：加厚铸造而成。装配气阀、气管等部件，炉通脚采用不锈钢管。配调节脚。     </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8D0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7" w:type="pct"/>
            <w:tcBorders>
              <w:top w:val="single" w:color="000000" w:sz="4" w:space="0"/>
              <w:left w:val="single" w:color="000000" w:sz="4" w:space="0"/>
              <w:bottom w:val="single" w:color="000000" w:sz="4" w:space="0"/>
              <w:right w:val="nil"/>
            </w:tcBorders>
            <w:shd w:val="clear" w:color="auto" w:fill="auto"/>
            <w:vAlign w:val="center"/>
          </w:tcPr>
          <w:p w14:paraId="496527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F3E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63" w:type="pct"/>
            <w:tcBorders>
              <w:top w:val="single" w:color="000000" w:sz="4" w:space="0"/>
              <w:left w:val="nil"/>
              <w:bottom w:val="single" w:color="000000" w:sz="4" w:space="0"/>
              <w:right w:val="single" w:color="000000" w:sz="4" w:space="0"/>
            </w:tcBorders>
            <w:shd w:val="clear" w:color="auto" w:fill="auto"/>
            <w:vAlign w:val="center"/>
          </w:tcPr>
          <w:p w14:paraId="512BB8BD">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p>
        </w:tc>
      </w:tr>
      <w:tr w14:paraId="445E8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6"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3F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ACA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单头单尾小炒灶</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15E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1100*1200*1200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84531">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drawing>
                <wp:inline distT="0" distB="0" distL="114300" distR="114300">
                  <wp:extent cx="857250" cy="885825"/>
                  <wp:effectExtent l="0" t="0" r="0" b="9525"/>
                  <wp:docPr id="9"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64"/>
                          <pic:cNvPicPr>
                            <a:picLocks noChangeAspect="1"/>
                          </pic:cNvPicPr>
                        </pic:nvPicPr>
                        <pic:blipFill>
                          <a:blip r:embed="rId19"/>
                          <a:stretch>
                            <a:fillRect/>
                          </a:stretch>
                        </pic:blipFill>
                        <pic:spPr>
                          <a:xfrm>
                            <a:off x="0" y="0"/>
                            <a:ext cx="857250" cy="885825"/>
                          </a:xfrm>
                          <a:prstGeom prst="rect">
                            <a:avLst/>
                          </a:prstGeom>
                          <a:noFill/>
                          <a:ln w="9525">
                            <a:noFill/>
                          </a:ln>
                        </pic:spPr>
                      </pic:pic>
                    </a:graphicData>
                  </a:graphic>
                </wp:inline>
              </w:drawing>
            </w: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E9D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rPr>
              <w:t xml:space="preserve">采用优质无磁拉丝贴膜不锈钢板制作，台面采用201#不锈钢板，台面采用1.2mm不锈钢板、炉身及炉背板采用201#不锈钢 厚度1.0mm，炉具炮台采用500吨液压机压制成型，设计的炮台达到国内领先水平。骨架采用镀锌方管及镀锌板焊接而成。炉头：采用耐高温、抗氧化的材质节能炉头。炉膛：①采用整体铸铁。②球墨铸铁耐火抗裂；③采用高级耐火材料隔热④炉膛带散热通道。⑤加粗点火针更耐用。焊接后刷两层防锈漆。风阀：采用机械式联动结构。风机：铜芯风机，单个风机功率：120w。带电子打火及熄火保护功能，安全、高效、节能。炉通脚含支承炉身的钢柱及可调炉身的高度的子弹脚。                                                                           </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E8A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7" w:type="pct"/>
            <w:tcBorders>
              <w:top w:val="single" w:color="000000" w:sz="4" w:space="0"/>
              <w:left w:val="single" w:color="000000" w:sz="4" w:space="0"/>
              <w:bottom w:val="single" w:color="000000" w:sz="4" w:space="0"/>
              <w:right w:val="nil"/>
            </w:tcBorders>
            <w:shd w:val="clear" w:color="auto" w:fill="auto"/>
            <w:vAlign w:val="center"/>
          </w:tcPr>
          <w:p w14:paraId="6E0FA5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1B4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63" w:type="pct"/>
            <w:tcBorders>
              <w:top w:val="single" w:color="000000" w:sz="4" w:space="0"/>
              <w:left w:val="nil"/>
              <w:bottom w:val="single" w:color="000000" w:sz="4" w:space="0"/>
              <w:right w:val="single" w:color="000000" w:sz="4" w:space="0"/>
            </w:tcBorders>
            <w:shd w:val="clear" w:color="auto" w:fill="auto"/>
            <w:vAlign w:val="center"/>
          </w:tcPr>
          <w:p w14:paraId="67D11351">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p>
        </w:tc>
      </w:tr>
      <w:tr w14:paraId="06F94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531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698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炉拼台</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CAD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约为300*1200*1200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4B269">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rPr>
              <w:drawing>
                <wp:inline distT="0" distB="0" distL="114300" distR="114300">
                  <wp:extent cx="829945" cy="746125"/>
                  <wp:effectExtent l="0" t="0" r="8255" b="15875"/>
                  <wp:docPr id="33" name="图片 62"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62" descr="6"/>
                          <pic:cNvPicPr>
                            <a:picLocks noChangeAspect="1"/>
                          </pic:cNvPicPr>
                        </pic:nvPicPr>
                        <pic:blipFill>
                          <a:blip r:embed="rId20"/>
                          <a:stretch>
                            <a:fillRect/>
                          </a:stretch>
                        </pic:blipFill>
                        <pic:spPr>
                          <a:xfrm>
                            <a:off x="0" y="0"/>
                            <a:ext cx="829945" cy="746125"/>
                          </a:xfrm>
                          <a:prstGeom prst="rect">
                            <a:avLst/>
                          </a:prstGeom>
                          <a:noFill/>
                          <a:ln w="9525">
                            <a:noFill/>
                          </a:ln>
                        </pic:spPr>
                      </pic:pic>
                    </a:graphicData>
                  </a:graphic>
                </wp:inline>
              </w:drawing>
            </w: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143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1、优质优质#不锈钢磨砂板，面板1.5mm、侧板1.2mm；置高**mm不锈钢后挡炉背板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2、横通采用￠25*1.2mm不锈钢管连接，立管采用￠38*1.2mm不锈钢管连可调节高度子弹脚</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69E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7" w:type="pct"/>
            <w:tcBorders>
              <w:top w:val="single" w:color="000000" w:sz="4" w:space="0"/>
              <w:left w:val="single" w:color="000000" w:sz="4" w:space="0"/>
              <w:bottom w:val="single" w:color="000000" w:sz="4" w:space="0"/>
              <w:right w:val="nil"/>
            </w:tcBorders>
            <w:shd w:val="clear" w:color="auto" w:fill="auto"/>
            <w:vAlign w:val="center"/>
          </w:tcPr>
          <w:p w14:paraId="45D8C8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1E5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63" w:type="pct"/>
            <w:tcBorders>
              <w:top w:val="single" w:color="000000" w:sz="4" w:space="0"/>
              <w:left w:val="nil"/>
              <w:bottom w:val="single" w:color="000000" w:sz="4" w:space="0"/>
              <w:right w:val="single" w:color="000000" w:sz="4" w:space="0"/>
            </w:tcBorders>
            <w:shd w:val="clear" w:color="auto" w:fill="auto"/>
            <w:vAlign w:val="center"/>
          </w:tcPr>
          <w:p w14:paraId="5FFA1C1A">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p>
        </w:tc>
      </w:tr>
      <w:tr w14:paraId="09DA6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6A6A6"/>
            <w:vAlign w:val="center"/>
          </w:tcPr>
          <w:p w14:paraId="5C06FF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b/>
                <w:bCs/>
                <w:i w:val="0"/>
                <w:iCs w:val="0"/>
                <w:color w:val="auto"/>
                <w:sz w:val="24"/>
                <w:szCs w:val="24"/>
                <w:highlight w:val="none"/>
                <w:u w:val="none"/>
                <w:lang w:eastAsia="zh-CN"/>
              </w:rPr>
              <w:t>备餐间</w:t>
            </w:r>
          </w:p>
        </w:tc>
      </w:tr>
      <w:tr w14:paraId="22D64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3"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08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FDA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快速热风烤箱</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424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约为598*558*551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D44C6">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drawing>
                <wp:inline distT="0" distB="0" distL="114300" distR="114300">
                  <wp:extent cx="857250" cy="847725"/>
                  <wp:effectExtent l="0" t="0" r="0" b="9525"/>
                  <wp:docPr id="11"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66"/>
                          <pic:cNvPicPr>
                            <a:picLocks noChangeAspect="1"/>
                          </pic:cNvPicPr>
                        </pic:nvPicPr>
                        <pic:blipFill>
                          <a:blip r:embed="rId21"/>
                          <a:stretch>
                            <a:fillRect/>
                          </a:stretch>
                        </pic:blipFill>
                        <pic:spPr>
                          <a:xfrm>
                            <a:off x="0" y="0"/>
                            <a:ext cx="857250" cy="847725"/>
                          </a:xfrm>
                          <a:prstGeom prst="rect">
                            <a:avLst/>
                          </a:prstGeom>
                          <a:noFill/>
                          <a:ln w="9525">
                            <a:noFill/>
                          </a:ln>
                        </pic:spPr>
                      </pic:pic>
                    </a:graphicData>
                  </a:graphic>
                </wp:inline>
              </w:drawing>
            </w: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111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采用优质不锈钢制造：电压220V 功率5KW,热风上辅热。</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056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7" w:type="pct"/>
            <w:tcBorders>
              <w:top w:val="single" w:color="000000" w:sz="4" w:space="0"/>
              <w:left w:val="single" w:color="000000" w:sz="4" w:space="0"/>
              <w:bottom w:val="single" w:color="000000" w:sz="4" w:space="0"/>
              <w:right w:val="nil"/>
            </w:tcBorders>
            <w:shd w:val="clear" w:color="auto" w:fill="auto"/>
            <w:vAlign w:val="center"/>
          </w:tcPr>
          <w:p w14:paraId="7B01CE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AF6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63" w:type="pct"/>
            <w:tcBorders>
              <w:top w:val="single" w:color="000000" w:sz="4" w:space="0"/>
              <w:left w:val="nil"/>
              <w:bottom w:val="single" w:color="000000" w:sz="4" w:space="0"/>
              <w:right w:val="single" w:color="000000" w:sz="4" w:space="0"/>
            </w:tcBorders>
            <w:shd w:val="clear" w:color="auto" w:fill="auto"/>
            <w:vAlign w:val="center"/>
          </w:tcPr>
          <w:p w14:paraId="24F13F8E">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p>
        </w:tc>
      </w:tr>
      <w:tr w14:paraId="5B657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631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D9F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风冷冷冻四门高身柜</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2E1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约为1220*760*1980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1BFB8">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drawing>
                <wp:inline distT="0" distB="0" distL="114300" distR="114300">
                  <wp:extent cx="857250" cy="762000"/>
                  <wp:effectExtent l="0" t="0" r="0" b="0"/>
                  <wp:docPr id="13"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IMG_267"/>
                          <pic:cNvPicPr>
                            <a:picLocks noChangeAspect="1"/>
                          </pic:cNvPicPr>
                        </pic:nvPicPr>
                        <pic:blipFill>
                          <a:blip r:embed="rId22"/>
                          <a:stretch>
                            <a:fillRect/>
                          </a:stretch>
                        </pic:blipFill>
                        <pic:spPr>
                          <a:xfrm>
                            <a:off x="0" y="0"/>
                            <a:ext cx="857250" cy="762000"/>
                          </a:xfrm>
                          <a:prstGeom prst="rect">
                            <a:avLst/>
                          </a:prstGeom>
                          <a:noFill/>
                          <a:ln w="9525">
                            <a:noFill/>
                          </a:ln>
                        </pic:spPr>
                      </pic:pic>
                    </a:graphicData>
                  </a:graphic>
                </wp:inline>
              </w:drawing>
            </w: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38D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rPr>
              <w:t xml:space="preserve">采用优质不锈钢板制造；内胆不锈钢，整体发泡，采用铜管，温度范围冷藏款为+10℃～-0℃。冷冻款-0℃～-18℃，内藏式制冷铜管；液晶温度显示，磁性自动回归拉门，配优质脚轮。                                                                                                               </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599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7" w:type="pct"/>
            <w:tcBorders>
              <w:top w:val="single" w:color="000000" w:sz="4" w:space="0"/>
              <w:left w:val="single" w:color="000000" w:sz="4" w:space="0"/>
              <w:bottom w:val="single" w:color="000000" w:sz="4" w:space="0"/>
              <w:right w:val="nil"/>
            </w:tcBorders>
            <w:shd w:val="clear" w:color="auto" w:fill="auto"/>
            <w:vAlign w:val="center"/>
          </w:tcPr>
          <w:p w14:paraId="721011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802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63" w:type="pct"/>
            <w:tcBorders>
              <w:top w:val="single" w:color="000000" w:sz="4" w:space="0"/>
              <w:left w:val="nil"/>
              <w:bottom w:val="single" w:color="000000" w:sz="4" w:space="0"/>
              <w:right w:val="single" w:color="000000" w:sz="4" w:space="0"/>
            </w:tcBorders>
            <w:shd w:val="clear" w:color="auto" w:fill="auto"/>
            <w:vAlign w:val="center"/>
          </w:tcPr>
          <w:p w14:paraId="39BD3AA0">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p>
        </w:tc>
      </w:tr>
      <w:tr w14:paraId="425F5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6"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5C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AED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单星盆水池</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2FB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rPr>
              <w:t>500*500*950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0BFA">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drawing>
                <wp:inline distT="0" distB="0" distL="114300" distR="114300">
                  <wp:extent cx="838200" cy="742950"/>
                  <wp:effectExtent l="0" t="0" r="0" b="0"/>
                  <wp:docPr id="14"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IMG_268"/>
                          <pic:cNvPicPr>
                            <a:picLocks noChangeAspect="1"/>
                          </pic:cNvPicPr>
                        </pic:nvPicPr>
                        <pic:blipFill>
                          <a:blip r:embed="rId23"/>
                          <a:stretch>
                            <a:fillRect/>
                          </a:stretch>
                        </pic:blipFill>
                        <pic:spPr>
                          <a:xfrm>
                            <a:off x="0" y="0"/>
                            <a:ext cx="838200" cy="742950"/>
                          </a:xfrm>
                          <a:prstGeom prst="rect">
                            <a:avLst/>
                          </a:prstGeom>
                          <a:noFill/>
                          <a:ln w="9525">
                            <a:noFill/>
                          </a:ln>
                        </pic:spPr>
                      </pic:pic>
                    </a:graphicData>
                  </a:graphic>
                </wp:inline>
              </w:drawing>
            </w: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182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采用优质无磁201#拉丝贴膜不锈钢板及不锈钢管制作，台面：采用0.8mm不锈钢板制作；星盆采用模压下水口：立柱：φ38不锈钢管制作；脚：配不锈钢调节脚；配不锈钢下水器及排水软管。整体焊接工艺。</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F61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7" w:type="pct"/>
            <w:tcBorders>
              <w:top w:val="single" w:color="000000" w:sz="4" w:space="0"/>
              <w:left w:val="single" w:color="000000" w:sz="4" w:space="0"/>
              <w:bottom w:val="single" w:color="000000" w:sz="4" w:space="0"/>
              <w:right w:val="nil"/>
            </w:tcBorders>
            <w:shd w:val="clear" w:color="auto" w:fill="auto"/>
            <w:vAlign w:val="center"/>
          </w:tcPr>
          <w:p w14:paraId="00C1E9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B28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63" w:type="pct"/>
            <w:tcBorders>
              <w:top w:val="single" w:color="000000" w:sz="4" w:space="0"/>
              <w:left w:val="nil"/>
              <w:bottom w:val="single" w:color="000000" w:sz="4" w:space="0"/>
              <w:right w:val="single" w:color="000000" w:sz="4" w:space="0"/>
            </w:tcBorders>
            <w:shd w:val="clear" w:color="auto" w:fill="auto"/>
            <w:vAlign w:val="center"/>
          </w:tcPr>
          <w:p w14:paraId="1ACFDB95">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p>
        </w:tc>
      </w:tr>
      <w:tr w14:paraId="5EA68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3"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187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86A3">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单冷水龙头</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49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含三角阀进水管</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0AAC7">
            <w:pPr>
              <w:jc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color w:val="auto"/>
                <w:sz w:val="24"/>
                <w:szCs w:val="24"/>
                <w:highlight w:val="none"/>
              </w:rPr>
              <w:drawing>
                <wp:inline distT="0" distB="0" distL="114300" distR="114300">
                  <wp:extent cx="617855" cy="741045"/>
                  <wp:effectExtent l="0" t="0" r="10795" b="1905"/>
                  <wp:docPr id="26" name="图片 67" descr="LVVG)BVY$4TI%@{B9$LN6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67" descr="LVVG)BVY$4TI%@{B9$LN6EU"/>
                          <pic:cNvPicPr>
                            <a:picLocks noChangeAspect="1"/>
                          </pic:cNvPicPr>
                        </pic:nvPicPr>
                        <pic:blipFill>
                          <a:blip r:embed="rId13"/>
                          <a:stretch>
                            <a:fillRect/>
                          </a:stretch>
                        </pic:blipFill>
                        <pic:spPr>
                          <a:xfrm>
                            <a:off x="0" y="0"/>
                            <a:ext cx="617855" cy="741045"/>
                          </a:xfrm>
                          <a:prstGeom prst="rect">
                            <a:avLst/>
                          </a:prstGeom>
                        </pic:spPr>
                      </pic:pic>
                    </a:graphicData>
                  </a:graphic>
                </wp:inline>
              </w:drawing>
            </w:r>
          </w:p>
        </w:tc>
        <w:tc>
          <w:tcPr>
            <w:tcW w:w="1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0BE0">
            <w:pPr>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黄铜主体，不锈钢管，陶瓷阀芯。</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E4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7" w:type="pct"/>
            <w:tcBorders>
              <w:top w:val="single" w:color="000000" w:sz="4" w:space="0"/>
              <w:left w:val="single" w:color="000000" w:sz="4" w:space="0"/>
              <w:bottom w:val="single" w:color="000000" w:sz="4" w:space="0"/>
              <w:right w:val="nil"/>
            </w:tcBorders>
            <w:shd w:val="clear" w:color="auto" w:fill="auto"/>
            <w:vAlign w:val="center"/>
          </w:tcPr>
          <w:p w14:paraId="241F05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CBF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63" w:type="pct"/>
            <w:tcBorders>
              <w:top w:val="single" w:color="000000" w:sz="4" w:space="0"/>
              <w:left w:val="nil"/>
              <w:bottom w:val="single" w:color="000000" w:sz="4" w:space="0"/>
              <w:right w:val="single" w:color="000000" w:sz="4" w:space="0"/>
            </w:tcBorders>
            <w:shd w:val="clear" w:color="auto" w:fill="auto"/>
            <w:vAlign w:val="center"/>
          </w:tcPr>
          <w:p w14:paraId="68F81AC5">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p>
        </w:tc>
      </w:tr>
      <w:tr w14:paraId="27A8E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6A6A6"/>
            <w:vAlign w:val="center"/>
          </w:tcPr>
          <w:p w14:paraId="364D98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b/>
                <w:bCs/>
                <w:i w:val="0"/>
                <w:iCs w:val="0"/>
                <w:color w:val="auto"/>
                <w:sz w:val="24"/>
                <w:szCs w:val="24"/>
                <w:highlight w:val="none"/>
                <w:u w:val="none"/>
                <w:lang w:eastAsia="zh-CN"/>
              </w:rPr>
              <w:t>加工间</w:t>
            </w:r>
          </w:p>
        </w:tc>
      </w:tr>
      <w:tr w14:paraId="586C6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C7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DAA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大单星盆水池</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9EF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1000*700*950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568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drawing>
                <wp:inline distT="0" distB="0" distL="114300" distR="114300">
                  <wp:extent cx="857250" cy="790575"/>
                  <wp:effectExtent l="0" t="0" r="0" b="9525"/>
                  <wp:docPr id="15"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descr="IMG_269"/>
                          <pic:cNvPicPr>
                            <a:picLocks noChangeAspect="1"/>
                          </pic:cNvPicPr>
                        </pic:nvPicPr>
                        <pic:blipFill>
                          <a:blip r:embed="rId24"/>
                          <a:stretch>
                            <a:fillRect/>
                          </a:stretch>
                        </pic:blipFill>
                        <pic:spPr>
                          <a:xfrm>
                            <a:off x="0" y="0"/>
                            <a:ext cx="857250" cy="790575"/>
                          </a:xfrm>
                          <a:prstGeom prst="rect">
                            <a:avLst/>
                          </a:prstGeom>
                          <a:noFill/>
                          <a:ln w="9525">
                            <a:noFill/>
                          </a:ln>
                        </pic:spPr>
                      </pic:pic>
                    </a:graphicData>
                  </a:graphic>
                </wp:inline>
              </w:drawing>
            </w: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6E0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rPr>
              <w:t>采用优质无磁201#拉丝贴膜不锈钢板及不锈钢管制作，台面：采用0.8mm不锈钢板制作；星盆采用模压下水口：立柱：φ38不锈钢管制作；脚：配不锈钢调节脚；配不锈钢下水器及排水软管。整体焊接工艺。</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B25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7" w:type="pct"/>
            <w:tcBorders>
              <w:top w:val="single" w:color="000000" w:sz="4" w:space="0"/>
              <w:left w:val="single" w:color="000000" w:sz="4" w:space="0"/>
              <w:bottom w:val="single" w:color="000000" w:sz="4" w:space="0"/>
              <w:right w:val="nil"/>
            </w:tcBorders>
            <w:shd w:val="clear" w:color="auto" w:fill="auto"/>
            <w:vAlign w:val="center"/>
          </w:tcPr>
          <w:p w14:paraId="1BEDA8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712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63" w:type="pct"/>
            <w:tcBorders>
              <w:top w:val="single" w:color="000000" w:sz="4" w:space="0"/>
              <w:left w:val="nil"/>
              <w:bottom w:val="single" w:color="000000" w:sz="4" w:space="0"/>
              <w:right w:val="single" w:color="000000" w:sz="4" w:space="0"/>
            </w:tcBorders>
            <w:shd w:val="clear" w:color="auto" w:fill="auto"/>
            <w:vAlign w:val="center"/>
          </w:tcPr>
          <w:p w14:paraId="180E8206">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p>
        </w:tc>
      </w:tr>
      <w:tr w14:paraId="150A4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8"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EA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1B0D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单冷水龙头</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00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含三角阀进水管</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B07F">
            <w:pPr>
              <w:jc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drawing>
                <wp:inline distT="0" distB="0" distL="114300" distR="114300">
                  <wp:extent cx="617855" cy="712470"/>
                  <wp:effectExtent l="0" t="0" r="10795" b="11430"/>
                  <wp:docPr id="28" name="图片 67" descr="LVVG)BVY$4TI%@{B9$LN6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67" descr="LVVG)BVY$4TI%@{B9$LN6EU"/>
                          <pic:cNvPicPr>
                            <a:picLocks noChangeAspect="1"/>
                          </pic:cNvPicPr>
                        </pic:nvPicPr>
                        <pic:blipFill>
                          <a:blip r:embed="rId13"/>
                          <a:stretch>
                            <a:fillRect/>
                          </a:stretch>
                        </pic:blipFill>
                        <pic:spPr>
                          <a:xfrm>
                            <a:off x="0" y="0"/>
                            <a:ext cx="617855" cy="712470"/>
                          </a:xfrm>
                          <a:prstGeom prst="rect">
                            <a:avLst/>
                          </a:prstGeom>
                        </pic:spPr>
                      </pic:pic>
                    </a:graphicData>
                  </a:graphic>
                </wp:inline>
              </w:drawing>
            </w:r>
          </w:p>
        </w:tc>
        <w:tc>
          <w:tcPr>
            <w:tcW w:w="1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E2D22">
            <w:pPr>
              <w:jc w:val="left"/>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rPr>
              <w:t>黄铜主体，不锈钢管，陶瓷阀芯。</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005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7" w:type="pct"/>
            <w:tcBorders>
              <w:top w:val="single" w:color="000000" w:sz="4" w:space="0"/>
              <w:left w:val="single" w:color="000000" w:sz="4" w:space="0"/>
              <w:bottom w:val="single" w:color="000000" w:sz="4" w:space="0"/>
              <w:right w:val="nil"/>
            </w:tcBorders>
            <w:shd w:val="clear" w:color="auto" w:fill="auto"/>
            <w:vAlign w:val="center"/>
          </w:tcPr>
          <w:p w14:paraId="7A4C39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40F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63" w:type="pct"/>
            <w:tcBorders>
              <w:top w:val="single" w:color="000000" w:sz="4" w:space="0"/>
              <w:left w:val="nil"/>
              <w:bottom w:val="single" w:color="000000" w:sz="4" w:space="0"/>
              <w:right w:val="single" w:color="000000" w:sz="4" w:space="0"/>
            </w:tcBorders>
            <w:shd w:val="clear" w:color="auto" w:fill="auto"/>
            <w:vAlign w:val="center"/>
          </w:tcPr>
          <w:p w14:paraId="442A7997">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p>
        </w:tc>
      </w:tr>
      <w:tr w14:paraId="27C17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9C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10F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双温操作台</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BA2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约为1800*800*800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87E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drawing>
                <wp:inline distT="0" distB="0" distL="114300" distR="114300">
                  <wp:extent cx="838200" cy="800100"/>
                  <wp:effectExtent l="0" t="0" r="0" b="0"/>
                  <wp:docPr id="16"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IMG_270"/>
                          <pic:cNvPicPr>
                            <a:picLocks noChangeAspect="1"/>
                          </pic:cNvPicPr>
                        </pic:nvPicPr>
                        <pic:blipFill>
                          <a:blip r:embed="rId25"/>
                          <a:stretch>
                            <a:fillRect/>
                          </a:stretch>
                        </pic:blipFill>
                        <pic:spPr>
                          <a:xfrm>
                            <a:off x="0" y="0"/>
                            <a:ext cx="838200" cy="800100"/>
                          </a:xfrm>
                          <a:prstGeom prst="rect">
                            <a:avLst/>
                          </a:prstGeom>
                          <a:noFill/>
                          <a:ln w="9525">
                            <a:noFill/>
                          </a:ln>
                        </pic:spPr>
                      </pic:pic>
                    </a:graphicData>
                  </a:graphic>
                </wp:inline>
              </w:drawing>
            </w: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E74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采用优质不锈钢，内箱圆弧设计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-外嵌式蒸发器，外挂防尘网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-内箱尺寸(mm)：1380*570/410*590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-控温类型：电子数字温控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-制冷剂：冷藏：R134a,冷冻：R404a</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D85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7" w:type="pct"/>
            <w:tcBorders>
              <w:top w:val="single" w:color="000000" w:sz="4" w:space="0"/>
              <w:left w:val="single" w:color="000000" w:sz="4" w:space="0"/>
              <w:bottom w:val="single" w:color="000000" w:sz="4" w:space="0"/>
              <w:right w:val="nil"/>
            </w:tcBorders>
            <w:shd w:val="clear" w:color="auto" w:fill="auto"/>
            <w:vAlign w:val="center"/>
          </w:tcPr>
          <w:p w14:paraId="61F651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5FB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63" w:type="pct"/>
            <w:tcBorders>
              <w:top w:val="single" w:color="000000" w:sz="4" w:space="0"/>
              <w:left w:val="nil"/>
              <w:bottom w:val="single" w:color="000000" w:sz="4" w:space="0"/>
              <w:right w:val="single" w:color="000000" w:sz="4" w:space="0"/>
            </w:tcBorders>
            <w:shd w:val="clear" w:color="auto" w:fill="auto"/>
            <w:vAlign w:val="center"/>
          </w:tcPr>
          <w:p w14:paraId="326C4423">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p>
        </w:tc>
      </w:tr>
      <w:tr w14:paraId="35B3A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A9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675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冷藏双门展示柜</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137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约为1220*760*1950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D29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drawing>
                <wp:inline distT="0" distB="0" distL="114300" distR="114300">
                  <wp:extent cx="857250" cy="790575"/>
                  <wp:effectExtent l="0" t="0" r="0" b="9525"/>
                  <wp:docPr id="17"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descr="IMG_271"/>
                          <pic:cNvPicPr>
                            <a:picLocks noChangeAspect="1"/>
                          </pic:cNvPicPr>
                        </pic:nvPicPr>
                        <pic:blipFill>
                          <a:blip r:embed="rId26"/>
                          <a:stretch>
                            <a:fillRect/>
                          </a:stretch>
                        </pic:blipFill>
                        <pic:spPr>
                          <a:xfrm>
                            <a:off x="0" y="0"/>
                            <a:ext cx="857250" cy="790575"/>
                          </a:xfrm>
                          <a:prstGeom prst="rect">
                            <a:avLst/>
                          </a:prstGeom>
                          <a:noFill/>
                          <a:ln w="9525">
                            <a:noFill/>
                          </a:ln>
                        </pic:spPr>
                      </pic:pic>
                    </a:graphicData>
                  </a:graphic>
                </wp:inline>
              </w:drawing>
            </w: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5AF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采用电融霜技术，功率220v/0.25kw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温度：+1℃～+4℃风冷，优质压缩机，容量：934L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内外柜体:1.2㎜，S/S 优质不锈钢板材质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柱脚:D50*1.2㎜不锈钢管加可调子弹脚</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CB5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7" w:type="pct"/>
            <w:tcBorders>
              <w:top w:val="single" w:color="000000" w:sz="4" w:space="0"/>
              <w:left w:val="single" w:color="000000" w:sz="4" w:space="0"/>
              <w:bottom w:val="single" w:color="000000" w:sz="4" w:space="0"/>
              <w:right w:val="nil"/>
            </w:tcBorders>
            <w:shd w:val="clear" w:color="auto" w:fill="auto"/>
            <w:vAlign w:val="center"/>
          </w:tcPr>
          <w:p w14:paraId="3FBCE3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F60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63" w:type="pct"/>
            <w:tcBorders>
              <w:top w:val="single" w:color="000000" w:sz="4" w:space="0"/>
              <w:left w:val="nil"/>
              <w:bottom w:val="single" w:color="000000" w:sz="4" w:space="0"/>
              <w:right w:val="single" w:color="000000" w:sz="4" w:space="0"/>
            </w:tcBorders>
            <w:shd w:val="clear" w:color="auto" w:fill="auto"/>
            <w:vAlign w:val="center"/>
          </w:tcPr>
          <w:p w14:paraId="631105EB">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p>
        </w:tc>
      </w:tr>
      <w:tr w14:paraId="55296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6A6A6"/>
            <w:vAlign w:val="center"/>
          </w:tcPr>
          <w:p w14:paraId="7D083C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b/>
                <w:bCs/>
                <w:i w:val="0"/>
                <w:iCs w:val="0"/>
                <w:color w:val="auto"/>
                <w:sz w:val="24"/>
                <w:szCs w:val="24"/>
                <w:highlight w:val="none"/>
                <w:u w:val="none"/>
                <w:lang w:eastAsia="zh-CN"/>
              </w:rPr>
              <w:t>面点间</w:t>
            </w:r>
          </w:p>
        </w:tc>
      </w:tr>
      <w:tr w14:paraId="7072F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6"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E2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CAB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单星盆水池</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542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rPr>
              <w:t>500*500*950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C689B">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drawing>
                <wp:inline distT="0" distB="0" distL="114300" distR="114300">
                  <wp:extent cx="838200" cy="723900"/>
                  <wp:effectExtent l="0" t="0" r="0" b="0"/>
                  <wp:docPr id="30"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3" descr="IMG_268"/>
                          <pic:cNvPicPr>
                            <a:picLocks noChangeAspect="1"/>
                          </pic:cNvPicPr>
                        </pic:nvPicPr>
                        <pic:blipFill>
                          <a:blip r:embed="rId23"/>
                          <a:stretch>
                            <a:fillRect/>
                          </a:stretch>
                        </pic:blipFill>
                        <pic:spPr>
                          <a:xfrm>
                            <a:off x="0" y="0"/>
                            <a:ext cx="838200" cy="723900"/>
                          </a:xfrm>
                          <a:prstGeom prst="rect">
                            <a:avLst/>
                          </a:prstGeom>
                          <a:noFill/>
                          <a:ln w="9525">
                            <a:noFill/>
                          </a:ln>
                        </pic:spPr>
                      </pic:pic>
                    </a:graphicData>
                  </a:graphic>
                </wp:inline>
              </w:drawing>
            </w: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80C0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采用优质无磁201#拉丝贴膜不锈钢板及不锈钢管制作，台面：采用0.8mm不锈钢板制作；星盆采用模压下水口：立柱：φ38不锈钢管制作；脚：配不锈钢调节脚；配不锈钢下水器及排水软管。整体焊接工艺。</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4CC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7" w:type="pct"/>
            <w:tcBorders>
              <w:top w:val="single" w:color="000000" w:sz="4" w:space="0"/>
              <w:left w:val="single" w:color="000000" w:sz="4" w:space="0"/>
              <w:bottom w:val="single" w:color="000000" w:sz="4" w:space="0"/>
              <w:right w:val="nil"/>
            </w:tcBorders>
            <w:shd w:val="clear" w:color="auto" w:fill="auto"/>
            <w:vAlign w:val="center"/>
          </w:tcPr>
          <w:p w14:paraId="02019C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120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63" w:type="pct"/>
            <w:tcBorders>
              <w:top w:val="single" w:color="000000" w:sz="4" w:space="0"/>
              <w:left w:val="nil"/>
              <w:bottom w:val="single" w:color="000000" w:sz="4" w:space="0"/>
              <w:right w:val="single" w:color="000000" w:sz="4" w:space="0"/>
            </w:tcBorders>
            <w:shd w:val="clear" w:color="auto" w:fill="auto"/>
            <w:vAlign w:val="center"/>
          </w:tcPr>
          <w:p w14:paraId="192135E8">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p>
        </w:tc>
      </w:tr>
      <w:tr w14:paraId="5BBD2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6"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E3B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BCD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冷藏操作台</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454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约为1800*800*800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8A7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drawing>
                <wp:inline distT="0" distB="0" distL="114300" distR="114300">
                  <wp:extent cx="857250" cy="838200"/>
                  <wp:effectExtent l="0" t="0" r="0" b="0"/>
                  <wp:docPr id="19" name="图片 1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descr="IMG_273"/>
                          <pic:cNvPicPr>
                            <a:picLocks noChangeAspect="1"/>
                          </pic:cNvPicPr>
                        </pic:nvPicPr>
                        <pic:blipFill>
                          <a:blip r:embed="rId27"/>
                          <a:stretch>
                            <a:fillRect/>
                          </a:stretch>
                        </pic:blipFill>
                        <pic:spPr>
                          <a:xfrm>
                            <a:off x="0" y="0"/>
                            <a:ext cx="857250" cy="838200"/>
                          </a:xfrm>
                          <a:prstGeom prst="rect">
                            <a:avLst/>
                          </a:prstGeom>
                          <a:noFill/>
                          <a:ln w="9525">
                            <a:noFill/>
                          </a:ln>
                        </pic:spPr>
                      </pic:pic>
                    </a:graphicData>
                  </a:graphic>
                </wp:inline>
              </w:drawing>
            </w: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55F7E">
            <w:pPr>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采用优质不锈钢，内箱圆弧设计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-外嵌式蒸发器，外挂防尘网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-内箱尺寸(mm)：1380*570/410*590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-控温类型：电子数字温控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-制冷剂：冷藏：R134a,冷冻：R404a</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035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7" w:type="pct"/>
            <w:tcBorders>
              <w:top w:val="single" w:color="000000" w:sz="4" w:space="0"/>
              <w:left w:val="single" w:color="000000" w:sz="4" w:space="0"/>
              <w:bottom w:val="single" w:color="000000" w:sz="4" w:space="0"/>
              <w:right w:val="nil"/>
            </w:tcBorders>
            <w:shd w:val="clear" w:color="auto" w:fill="auto"/>
            <w:vAlign w:val="center"/>
          </w:tcPr>
          <w:p w14:paraId="700A9F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BAE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63" w:type="pct"/>
            <w:tcBorders>
              <w:top w:val="single" w:color="000000" w:sz="4" w:space="0"/>
              <w:left w:val="nil"/>
              <w:bottom w:val="single" w:color="000000" w:sz="4" w:space="0"/>
              <w:right w:val="single" w:color="000000" w:sz="4" w:space="0"/>
            </w:tcBorders>
            <w:shd w:val="clear" w:color="auto" w:fill="auto"/>
            <w:vAlign w:val="center"/>
          </w:tcPr>
          <w:p w14:paraId="56FC032E">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p>
        </w:tc>
      </w:tr>
      <w:tr w14:paraId="26623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6A6A6"/>
            <w:vAlign w:val="center"/>
          </w:tcPr>
          <w:p w14:paraId="45D183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b/>
                <w:bCs/>
                <w:i w:val="0"/>
                <w:iCs w:val="0"/>
                <w:color w:val="auto"/>
                <w:sz w:val="24"/>
                <w:szCs w:val="24"/>
                <w:highlight w:val="none"/>
                <w:u w:val="none"/>
                <w:lang w:eastAsia="zh-CN"/>
              </w:rPr>
              <w:t>排烟系统</w:t>
            </w:r>
          </w:p>
        </w:tc>
      </w:tr>
      <w:tr w14:paraId="74081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72D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8D6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镀锌风管</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A77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按现场定制</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D900B">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drawing>
                <wp:inline distT="0" distB="0" distL="114300" distR="114300">
                  <wp:extent cx="846455" cy="742950"/>
                  <wp:effectExtent l="0" t="0" r="10795" b="0"/>
                  <wp:docPr id="18" name="图片 24"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4" descr="IMG_279"/>
                          <pic:cNvPicPr>
                            <a:picLocks noChangeAspect="1"/>
                          </pic:cNvPicPr>
                        </pic:nvPicPr>
                        <pic:blipFill>
                          <a:blip r:embed="rId28"/>
                          <a:stretch>
                            <a:fillRect/>
                          </a:stretch>
                        </pic:blipFill>
                        <pic:spPr>
                          <a:xfrm>
                            <a:off x="0" y="0"/>
                            <a:ext cx="846455" cy="742950"/>
                          </a:xfrm>
                          <a:prstGeom prst="rect">
                            <a:avLst/>
                          </a:prstGeom>
                          <a:noFill/>
                          <a:ln w="9525">
                            <a:noFill/>
                          </a:ln>
                        </pic:spPr>
                      </pic:pic>
                    </a:graphicData>
                  </a:graphic>
                </wp:inline>
              </w:drawing>
            </w: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468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采用优质201#不锈钢板制作，面板1.0mm，板面压筋处理。共板法兰工艺，内置法兰垫，人进入风管用耐热硅酮密封胶密封。主管配防火阀门。 </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8E0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7" w:type="pct"/>
            <w:tcBorders>
              <w:top w:val="single" w:color="000000" w:sz="4" w:space="0"/>
              <w:left w:val="single" w:color="000000" w:sz="4" w:space="0"/>
              <w:bottom w:val="single" w:color="000000" w:sz="4" w:space="0"/>
              <w:right w:val="nil"/>
            </w:tcBorders>
            <w:shd w:val="clear" w:color="auto" w:fill="auto"/>
            <w:vAlign w:val="center"/>
          </w:tcPr>
          <w:p w14:paraId="0FA29A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5B0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63" w:type="pct"/>
            <w:tcBorders>
              <w:top w:val="single" w:color="000000" w:sz="4" w:space="0"/>
              <w:left w:val="nil"/>
              <w:bottom w:val="single" w:color="000000" w:sz="4" w:space="0"/>
              <w:right w:val="single" w:color="000000" w:sz="4" w:space="0"/>
            </w:tcBorders>
            <w:shd w:val="clear" w:color="auto" w:fill="auto"/>
            <w:vAlign w:val="center"/>
          </w:tcPr>
          <w:p w14:paraId="301BDEE9">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p>
        </w:tc>
      </w:tr>
      <w:tr w14:paraId="1801E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659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ACA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电缆线</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6BD09">
            <w:pPr>
              <w:jc w:val="center"/>
              <w:rPr>
                <w:rFonts w:hint="eastAsia" w:ascii="宋体" w:hAnsi="宋体" w:eastAsia="宋体" w:cs="宋体"/>
                <w:i w:val="0"/>
                <w:iCs w:val="0"/>
                <w:color w:val="auto"/>
                <w:sz w:val="24"/>
                <w:szCs w:val="24"/>
                <w:highlight w:val="none"/>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3937C">
            <w:pPr>
              <w:jc w:val="center"/>
              <w:rPr>
                <w:rFonts w:hint="eastAsia" w:ascii="宋体" w:hAnsi="宋体" w:eastAsia="宋体" w:cs="宋体"/>
                <w:i w:val="0"/>
                <w:iCs w:val="0"/>
                <w:color w:val="auto"/>
                <w:sz w:val="24"/>
                <w:szCs w:val="24"/>
                <w:highlight w:val="none"/>
                <w:u w:val="none"/>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36E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4平方3项5线</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E290B">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30</w:t>
            </w:r>
          </w:p>
        </w:tc>
        <w:tc>
          <w:tcPr>
            <w:tcW w:w="317" w:type="pct"/>
            <w:tcBorders>
              <w:top w:val="single" w:color="000000" w:sz="4" w:space="0"/>
              <w:left w:val="single" w:color="000000" w:sz="4" w:space="0"/>
              <w:bottom w:val="single" w:color="000000" w:sz="4" w:space="0"/>
              <w:right w:val="nil"/>
            </w:tcBorders>
            <w:shd w:val="clear" w:color="auto" w:fill="auto"/>
            <w:vAlign w:val="center"/>
          </w:tcPr>
          <w:p w14:paraId="38ECD7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1066C">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p>
        </w:tc>
        <w:tc>
          <w:tcPr>
            <w:tcW w:w="563" w:type="pct"/>
            <w:tcBorders>
              <w:top w:val="single" w:color="000000" w:sz="4" w:space="0"/>
              <w:left w:val="nil"/>
              <w:bottom w:val="single" w:color="000000" w:sz="4" w:space="0"/>
              <w:right w:val="single" w:color="000000" w:sz="4" w:space="0"/>
            </w:tcBorders>
            <w:shd w:val="clear" w:color="auto" w:fill="auto"/>
            <w:vAlign w:val="center"/>
          </w:tcPr>
          <w:p w14:paraId="28271173">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p>
        </w:tc>
      </w:tr>
      <w:tr w14:paraId="0F04D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C3B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68A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打墙洞</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5AFD0">
            <w:pPr>
              <w:jc w:val="center"/>
              <w:rPr>
                <w:rFonts w:hint="eastAsia" w:ascii="宋体" w:hAnsi="宋体" w:eastAsia="宋体" w:cs="宋体"/>
                <w:i w:val="0"/>
                <w:iCs w:val="0"/>
                <w:color w:val="auto"/>
                <w:sz w:val="24"/>
                <w:szCs w:val="24"/>
                <w:highlight w:val="none"/>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677E2">
            <w:pPr>
              <w:jc w:val="center"/>
              <w:rPr>
                <w:rFonts w:hint="eastAsia" w:ascii="宋体" w:hAnsi="宋体" w:eastAsia="宋体" w:cs="宋体"/>
                <w:i w:val="0"/>
                <w:iCs w:val="0"/>
                <w:color w:val="auto"/>
                <w:sz w:val="24"/>
                <w:szCs w:val="24"/>
                <w:highlight w:val="none"/>
                <w:u w:val="none"/>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F28B8">
            <w:pPr>
              <w:jc w:val="left"/>
              <w:rPr>
                <w:rFonts w:hint="eastAsia" w:ascii="宋体" w:hAnsi="宋体" w:eastAsia="宋体" w:cs="宋体"/>
                <w:i w:val="0"/>
                <w:iCs w:val="0"/>
                <w:color w:val="auto"/>
                <w:sz w:val="24"/>
                <w:szCs w:val="24"/>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5BA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7" w:type="pct"/>
            <w:tcBorders>
              <w:top w:val="single" w:color="000000" w:sz="4" w:space="0"/>
              <w:left w:val="single" w:color="000000" w:sz="4" w:space="0"/>
              <w:bottom w:val="single" w:color="000000" w:sz="4" w:space="0"/>
              <w:right w:val="nil"/>
            </w:tcBorders>
            <w:shd w:val="clear" w:color="auto" w:fill="auto"/>
            <w:vAlign w:val="center"/>
          </w:tcPr>
          <w:p w14:paraId="28FFBD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EB4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63" w:type="pct"/>
            <w:tcBorders>
              <w:top w:val="single" w:color="000000" w:sz="4" w:space="0"/>
              <w:left w:val="nil"/>
              <w:bottom w:val="single" w:color="000000" w:sz="4" w:space="0"/>
              <w:right w:val="single" w:color="000000" w:sz="4" w:space="0"/>
            </w:tcBorders>
            <w:shd w:val="clear" w:color="auto" w:fill="auto"/>
            <w:vAlign w:val="center"/>
          </w:tcPr>
          <w:p w14:paraId="0F54E656">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p>
        </w:tc>
      </w:tr>
      <w:tr w14:paraId="09833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EEA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4</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DA6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排烟安装辅材</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90985">
            <w:pPr>
              <w:jc w:val="center"/>
              <w:rPr>
                <w:rFonts w:hint="eastAsia" w:ascii="宋体" w:hAnsi="宋体" w:eastAsia="宋体" w:cs="宋体"/>
                <w:i w:val="0"/>
                <w:iCs w:val="0"/>
                <w:color w:val="auto"/>
                <w:sz w:val="24"/>
                <w:szCs w:val="24"/>
                <w:highlight w:val="none"/>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48701">
            <w:pPr>
              <w:jc w:val="center"/>
              <w:rPr>
                <w:rFonts w:hint="eastAsia" w:ascii="宋体" w:hAnsi="宋体" w:eastAsia="宋体" w:cs="宋体"/>
                <w:i w:val="0"/>
                <w:iCs w:val="0"/>
                <w:color w:val="auto"/>
                <w:sz w:val="24"/>
                <w:szCs w:val="24"/>
                <w:highlight w:val="none"/>
                <w:u w:val="none"/>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B9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吊架，角钢，槽钢等</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610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7" w:type="pct"/>
            <w:tcBorders>
              <w:top w:val="single" w:color="000000" w:sz="4" w:space="0"/>
              <w:left w:val="single" w:color="000000" w:sz="4" w:space="0"/>
              <w:bottom w:val="single" w:color="000000" w:sz="4" w:space="0"/>
              <w:right w:val="nil"/>
            </w:tcBorders>
            <w:shd w:val="clear" w:color="auto" w:fill="auto"/>
            <w:vAlign w:val="center"/>
          </w:tcPr>
          <w:p w14:paraId="770A4F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3CE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63" w:type="pct"/>
            <w:tcBorders>
              <w:top w:val="single" w:color="000000" w:sz="4" w:space="0"/>
              <w:left w:val="nil"/>
              <w:bottom w:val="single" w:color="000000" w:sz="4" w:space="0"/>
              <w:right w:val="single" w:color="000000" w:sz="4" w:space="0"/>
            </w:tcBorders>
            <w:shd w:val="clear" w:color="auto" w:fill="auto"/>
            <w:vAlign w:val="center"/>
          </w:tcPr>
          <w:p w14:paraId="116200E7">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p>
        </w:tc>
      </w:tr>
      <w:tr w14:paraId="363DC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08342">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07E5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屋顶排烟口改造</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E7405">
            <w:pPr>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定制</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7DEC2">
            <w:pPr>
              <w:jc w:val="center"/>
              <w:rPr>
                <w:rFonts w:hint="eastAsia" w:ascii="宋体" w:hAnsi="宋体" w:eastAsia="宋体" w:cs="宋体"/>
                <w:i w:val="0"/>
                <w:iCs w:val="0"/>
                <w:color w:val="auto"/>
                <w:sz w:val="24"/>
                <w:szCs w:val="24"/>
                <w:highlight w:val="none"/>
                <w:u w:val="none"/>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E4EB9">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砌墙后,热铺SBS防水卷材。出口做百叶窗。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186B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317" w:type="pct"/>
            <w:tcBorders>
              <w:top w:val="single" w:color="000000" w:sz="4" w:space="0"/>
              <w:left w:val="single" w:color="000000" w:sz="4" w:space="0"/>
              <w:bottom w:val="single" w:color="000000" w:sz="4" w:space="0"/>
              <w:right w:val="nil"/>
            </w:tcBorders>
            <w:shd w:val="clear" w:color="auto" w:fill="auto"/>
            <w:vAlign w:val="center"/>
          </w:tcPr>
          <w:p w14:paraId="78FB07F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项</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967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63" w:type="pct"/>
            <w:tcBorders>
              <w:top w:val="single" w:color="000000" w:sz="4" w:space="0"/>
              <w:left w:val="nil"/>
              <w:bottom w:val="single" w:color="000000" w:sz="4" w:space="0"/>
              <w:right w:val="single" w:color="000000" w:sz="4" w:space="0"/>
            </w:tcBorders>
            <w:shd w:val="clear" w:color="auto" w:fill="auto"/>
            <w:vAlign w:val="center"/>
          </w:tcPr>
          <w:p w14:paraId="13C7E8AB">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p>
        </w:tc>
      </w:tr>
      <w:tr w14:paraId="6650F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6A6A6"/>
            <w:vAlign w:val="center"/>
          </w:tcPr>
          <w:p w14:paraId="4AC041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b/>
                <w:bCs/>
                <w:i w:val="0"/>
                <w:iCs w:val="0"/>
                <w:color w:val="auto"/>
                <w:sz w:val="24"/>
                <w:szCs w:val="24"/>
                <w:highlight w:val="none"/>
                <w:u w:val="none"/>
                <w:lang w:eastAsia="zh-CN"/>
              </w:rPr>
              <w:t>其他</w:t>
            </w:r>
          </w:p>
        </w:tc>
      </w:tr>
      <w:tr w14:paraId="6FAC2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DEF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EF0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燃气泄爆百叶窗</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DEEA7">
            <w:pPr>
              <w:jc w:val="center"/>
              <w:rPr>
                <w:rFonts w:hint="eastAsia" w:ascii="宋体" w:hAnsi="宋体" w:eastAsia="宋体" w:cs="宋体"/>
                <w:i w:val="0"/>
                <w:iCs w:val="0"/>
                <w:color w:val="auto"/>
                <w:sz w:val="24"/>
                <w:szCs w:val="24"/>
                <w:highlight w:val="none"/>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FA9E8">
            <w:pPr>
              <w:jc w:val="center"/>
              <w:rPr>
                <w:rFonts w:hint="eastAsia" w:ascii="宋体" w:hAnsi="宋体" w:eastAsia="宋体" w:cs="宋体"/>
                <w:i w:val="0"/>
                <w:iCs w:val="0"/>
                <w:color w:val="auto"/>
                <w:sz w:val="24"/>
                <w:szCs w:val="24"/>
                <w:highlight w:val="none"/>
                <w:u w:val="none"/>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A6C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铝合金含拆玻璃加纱窗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AE2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7" w:type="pct"/>
            <w:tcBorders>
              <w:top w:val="single" w:color="000000" w:sz="4" w:space="0"/>
              <w:left w:val="single" w:color="000000" w:sz="4" w:space="0"/>
              <w:bottom w:val="single" w:color="000000" w:sz="4" w:space="0"/>
              <w:right w:val="nil"/>
            </w:tcBorders>
            <w:shd w:val="clear" w:color="auto" w:fill="auto"/>
            <w:vAlign w:val="center"/>
          </w:tcPr>
          <w:p w14:paraId="0AF0C8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D32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63" w:type="pct"/>
            <w:tcBorders>
              <w:top w:val="single" w:color="000000" w:sz="4" w:space="0"/>
              <w:left w:val="nil"/>
              <w:bottom w:val="single" w:color="000000" w:sz="4" w:space="0"/>
              <w:right w:val="single" w:color="000000" w:sz="4" w:space="0"/>
            </w:tcBorders>
            <w:shd w:val="clear" w:color="auto" w:fill="auto"/>
            <w:vAlign w:val="center"/>
          </w:tcPr>
          <w:p w14:paraId="341D643E">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p>
        </w:tc>
      </w:tr>
      <w:tr w14:paraId="776DF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689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EAD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燃气热水器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94E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16升</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2B331">
            <w:pPr>
              <w:jc w:val="center"/>
              <w:rPr>
                <w:rFonts w:hint="eastAsia" w:ascii="宋体" w:hAnsi="宋体" w:eastAsia="宋体" w:cs="宋体"/>
                <w:i w:val="0"/>
                <w:iCs w:val="0"/>
                <w:color w:val="auto"/>
                <w:sz w:val="24"/>
                <w:szCs w:val="24"/>
                <w:highlight w:val="none"/>
                <w:u w:val="none"/>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167A3">
            <w:pPr>
              <w:jc w:val="left"/>
              <w:rPr>
                <w:rFonts w:hint="eastAsia" w:ascii="宋体" w:hAnsi="宋体" w:eastAsia="宋体" w:cs="宋体"/>
                <w:i w:val="0"/>
                <w:iCs w:val="0"/>
                <w:color w:val="auto"/>
                <w:sz w:val="24"/>
                <w:szCs w:val="24"/>
                <w:highlight w:val="none"/>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3DC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7" w:type="pct"/>
            <w:tcBorders>
              <w:top w:val="single" w:color="000000" w:sz="4" w:space="0"/>
              <w:left w:val="single" w:color="000000" w:sz="4" w:space="0"/>
              <w:bottom w:val="single" w:color="000000" w:sz="4" w:space="0"/>
              <w:right w:val="nil"/>
            </w:tcBorders>
            <w:shd w:val="clear" w:color="auto" w:fill="auto"/>
            <w:vAlign w:val="center"/>
          </w:tcPr>
          <w:p w14:paraId="626D4D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A60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563" w:type="pct"/>
            <w:tcBorders>
              <w:top w:val="single" w:color="000000" w:sz="4" w:space="0"/>
              <w:left w:val="nil"/>
              <w:bottom w:val="single" w:color="000000" w:sz="4" w:space="0"/>
              <w:right w:val="single" w:color="000000" w:sz="4" w:space="0"/>
            </w:tcBorders>
            <w:shd w:val="clear" w:color="auto" w:fill="auto"/>
            <w:vAlign w:val="center"/>
          </w:tcPr>
          <w:p w14:paraId="0538D88C">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p>
        </w:tc>
      </w:tr>
      <w:tr w14:paraId="32805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313" w:type="pct"/>
            <w:tcBorders>
              <w:top w:val="single" w:color="000000" w:sz="4" w:space="0"/>
              <w:left w:val="single" w:color="000000" w:sz="4" w:space="0"/>
              <w:bottom w:val="nil"/>
              <w:right w:val="single" w:color="000000" w:sz="4" w:space="0"/>
            </w:tcBorders>
            <w:shd w:val="clear" w:color="auto" w:fill="auto"/>
            <w:vAlign w:val="center"/>
          </w:tcPr>
          <w:p w14:paraId="5F9A72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530" w:type="pct"/>
            <w:tcBorders>
              <w:top w:val="single" w:color="000000" w:sz="4" w:space="0"/>
              <w:left w:val="single" w:color="000000" w:sz="4" w:space="0"/>
              <w:bottom w:val="nil"/>
              <w:right w:val="single" w:color="000000" w:sz="4" w:space="0"/>
            </w:tcBorders>
            <w:shd w:val="clear" w:color="auto" w:fill="auto"/>
            <w:vAlign w:val="center"/>
          </w:tcPr>
          <w:p w14:paraId="5B5019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厨房水电改造</w:t>
            </w:r>
          </w:p>
        </w:tc>
        <w:tc>
          <w:tcPr>
            <w:tcW w:w="528" w:type="pct"/>
            <w:tcBorders>
              <w:top w:val="single" w:color="000000" w:sz="4" w:space="0"/>
              <w:left w:val="single" w:color="000000" w:sz="4" w:space="0"/>
              <w:bottom w:val="nil"/>
              <w:right w:val="single" w:color="000000" w:sz="4" w:space="0"/>
            </w:tcBorders>
            <w:shd w:val="clear" w:color="auto" w:fill="auto"/>
            <w:vAlign w:val="center"/>
          </w:tcPr>
          <w:p w14:paraId="7CFBF079">
            <w:pPr>
              <w:jc w:val="center"/>
              <w:rPr>
                <w:rFonts w:hint="eastAsia" w:ascii="宋体" w:hAnsi="宋体" w:eastAsia="宋体" w:cs="宋体"/>
                <w:i w:val="0"/>
                <w:iCs w:val="0"/>
                <w:color w:val="auto"/>
                <w:sz w:val="24"/>
                <w:szCs w:val="24"/>
                <w:highlight w:val="none"/>
                <w:u w:val="none"/>
              </w:rPr>
            </w:pPr>
          </w:p>
        </w:tc>
        <w:tc>
          <w:tcPr>
            <w:tcW w:w="718" w:type="pct"/>
            <w:tcBorders>
              <w:top w:val="single" w:color="000000" w:sz="4" w:space="0"/>
              <w:left w:val="single" w:color="000000" w:sz="4" w:space="0"/>
              <w:bottom w:val="nil"/>
              <w:right w:val="single" w:color="000000" w:sz="4" w:space="0"/>
            </w:tcBorders>
            <w:shd w:val="clear" w:color="auto" w:fill="auto"/>
            <w:vAlign w:val="center"/>
          </w:tcPr>
          <w:p w14:paraId="757785D9">
            <w:pPr>
              <w:jc w:val="center"/>
              <w:rPr>
                <w:rFonts w:hint="eastAsia" w:ascii="宋体" w:hAnsi="宋体" w:eastAsia="宋体" w:cs="宋体"/>
                <w:i w:val="0"/>
                <w:iCs w:val="0"/>
                <w:color w:val="auto"/>
                <w:sz w:val="24"/>
                <w:szCs w:val="24"/>
                <w:highlight w:val="none"/>
                <w:u w:val="none"/>
              </w:rPr>
            </w:pPr>
          </w:p>
        </w:tc>
        <w:tc>
          <w:tcPr>
            <w:tcW w:w="1349" w:type="pct"/>
            <w:tcBorders>
              <w:top w:val="single" w:color="000000" w:sz="4" w:space="0"/>
              <w:left w:val="single" w:color="000000" w:sz="4" w:space="0"/>
              <w:bottom w:val="nil"/>
              <w:right w:val="single" w:color="000000" w:sz="4" w:space="0"/>
            </w:tcBorders>
            <w:shd w:val="clear" w:color="auto" w:fill="auto"/>
            <w:vAlign w:val="center"/>
          </w:tcPr>
          <w:p w14:paraId="1D80CD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电线，水管，排水等</w:t>
            </w:r>
          </w:p>
        </w:tc>
        <w:tc>
          <w:tcPr>
            <w:tcW w:w="320" w:type="pct"/>
            <w:tcBorders>
              <w:top w:val="single" w:color="000000" w:sz="4" w:space="0"/>
              <w:left w:val="single" w:color="000000" w:sz="4" w:space="0"/>
              <w:bottom w:val="nil"/>
              <w:right w:val="single" w:color="000000" w:sz="4" w:space="0"/>
            </w:tcBorders>
            <w:shd w:val="clear" w:color="auto" w:fill="auto"/>
            <w:vAlign w:val="center"/>
          </w:tcPr>
          <w:p w14:paraId="21DFE7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7" w:type="pct"/>
            <w:tcBorders>
              <w:top w:val="single" w:color="000000" w:sz="4" w:space="0"/>
              <w:left w:val="single" w:color="000000" w:sz="4" w:space="0"/>
              <w:bottom w:val="nil"/>
              <w:right w:val="nil"/>
            </w:tcBorders>
            <w:shd w:val="clear" w:color="auto" w:fill="auto"/>
            <w:vAlign w:val="center"/>
          </w:tcPr>
          <w:p w14:paraId="1741A4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359" w:type="pct"/>
            <w:tcBorders>
              <w:top w:val="single" w:color="000000" w:sz="4" w:space="0"/>
              <w:left w:val="single" w:color="000000" w:sz="4" w:space="0"/>
              <w:bottom w:val="nil"/>
              <w:right w:val="single" w:color="000000" w:sz="4" w:space="0"/>
            </w:tcBorders>
            <w:shd w:val="clear" w:color="auto" w:fill="auto"/>
            <w:vAlign w:val="center"/>
          </w:tcPr>
          <w:p w14:paraId="177CD749">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p>
        </w:tc>
        <w:tc>
          <w:tcPr>
            <w:tcW w:w="563" w:type="pct"/>
            <w:tcBorders>
              <w:top w:val="single" w:color="000000" w:sz="4" w:space="0"/>
              <w:left w:val="nil"/>
              <w:bottom w:val="nil"/>
              <w:right w:val="single" w:color="000000" w:sz="4" w:space="0"/>
            </w:tcBorders>
            <w:shd w:val="clear" w:color="auto" w:fill="auto"/>
            <w:vAlign w:val="center"/>
          </w:tcPr>
          <w:p w14:paraId="2B4D71A1">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p>
        </w:tc>
      </w:tr>
      <w:tr w14:paraId="1DFA5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4436" w:type="pct"/>
            <w:gridSpan w:val="8"/>
            <w:tcBorders>
              <w:top w:val="single" w:color="000000" w:sz="4" w:space="0"/>
              <w:left w:val="single" w:color="000000" w:sz="4" w:space="0"/>
              <w:bottom w:val="nil"/>
              <w:right w:val="single" w:color="000000" w:sz="4" w:space="0"/>
            </w:tcBorders>
            <w:shd w:val="clear" w:color="auto" w:fill="auto"/>
            <w:vAlign w:val="center"/>
          </w:tcPr>
          <w:p w14:paraId="279973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合计</w:t>
            </w:r>
          </w:p>
        </w:tc>
        <w:tc>
          <w:tcPr>
            <w:tcW w:w="563" w:type="pct"/>
            <w:tcBorders>
              <w:top w:val="single" w:color="000000" w:sz="4" w:space="0"/>
              <w:left w:val="nil"/>
              <w:bottom w:val="nil"/>
              <w:right w:val="single" w:color="000000" w:sz="4" w:space="0"/>
            </w:tcBorders>
            <w:shd w:val="clear" w:color="auto" w:fill="auto"/>
            <w:vAlign w:val="center"/>
          </w:tcPr>
          <w:p w14:paraId="437EA514">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p>
        </w:tc>
      </w:tr>
      <w:tr w14:paraId="5E3C8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D9B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备注：含设备运输、搬卸、辅材、安装调试、培训使用及免费质保期三年，含有效的增值税发票。</w:t>
            </w:r>
          </w:p>
        </w:tc>
      </w:tr>
    </w:tbl>
    <w:p w14:paraId="17965248">
      <w:pPr>
        <w:spacing w:line="360" w:lineRule="auto"/>
        <w:rPr>
          <w:rFonts w:hint="default" w:ascii="Times New Roman" w:hAnsi="Times New Roman" w:eastAsia="仿宋_GB2312" w:cs="Times New Roman"/>
          <w:color w:val="auto"/>
          <w:sz w:val="24"/>
          <w:szCs w:val="24"/>
          <w:highlight w:val="none"/>
          <w:lang w:val="en-US" w:eastAsia="zh-CN"/>
        </w:rPr>
      </w:pPr>
    </w:p>
    <w:p w14:paraId="24D9831C">
      <w:pPr>
        <w:spacing w:line="360" w:lineRule="auto"/>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rPr>
        <w:t>招标清单中如涉及品牌及图片(如有)均为参考,不对投标人的投标构成限制。但投标人所提供的产品的性能和质量必须满足或者优于参考的各项指标。</w:t>
      </w:r>
    </w:p>
    <w:p w14:paraId="78704A1B">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2.1技术性能指标</w:t>
      </w:r>
    </w:p>
    <w:p w14:paraId="1509F31E">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1.本次采购要求提出的技术参数及要求为最低限度的技术要求,并未对一切</w:t>
      </w:r>
    </w:p>
    <w:p w14:paraId="16488D2B">
      <w:pPr>
        <w:numPr>
          <w:ilvl w:val="0"/>
          <w:numId w:val="0"/>
        </w:numPr>
        <w:spacing w:line="360" w:lineRule="auto"/>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技术细节做出规定,也未充分引述有关标准和规范的条文,投标人应保证提供符合或优于本技术参数及要求和有关标准、规范的优质产品。</w:t>
      </w:r>
    </w:p>
    <w:p w14:paraId="23E14F63">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2.为鼓励不同品牌的充分竞争,如某货物的某技术参数或要求属于个别品牌</w:t>
      </w:r>
    </w:p>
    <w:p w14:paraId="04A477E0">
      <w:pPr>
        <w:numPr>
          <w:ilvl w:val="0"/>
          <w:numId w:val="0"/>
        </w:numPr>
        <w:spacing w:line="360" w:lineRule="auto"/>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专有,则该技术参数及要求不具有限制性,投标人可对该参数或要求的响应情况进行说明,且该说明须经评标委员会审核认可;</w:t>
      </w:r>
    </w:p>
    <w:p w14:paraId="2D4DDC35">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3.投标人应自行踏勘本项目实施现场,核对货物安装现场的土建尺寸等可能影响后期安装的全部因素,确保所投货物满足现场实际安装要求。</w:t>
      </w:r>
    </w:p>
    <w:p w14:paraId="3270CCBA">
      <w:pPr>
        <w:numPr>
          <w:ilvl w:val="0"/>
          <w:numId w:val="0"/>
        </w:numPr>
        <w:spacing w:line="360" w:lineRule="auto"/>
        <w:ind w:firstLine="480" w:firstLineChars="200"/>
        <w:rPr>
          <w:rFonts w:hint="eastAsia" w:ascii="Times New Roman" w:hAnsi="Times New Roman"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4.招标人保留在签订合同之前对本技术规格及要求进行补充和修改的权利,</w:t>
      </w:r>
      <w:r>
        <w:rPr>
          <w:rFonts w:hint="eastAsia" w:ascii="Times New Roman" w:hAnsi="Times New Roman" w:cs="Times New Roman"/>
          <w:color w:val="auto"/>
          <w:sz w:val="24"/>
          <w:szCs w:val="28"/>
          <w:highlight w:val="none"/>
          <w:lang w:val="en-US" w:eastAsia="zh-CN"/>
        </w:rPr>
        <w:t>调整的参数不低于清单内的要求，相应价格不做变化，投标人应予以配合。</w:t>
      </w:r>
    </w:p>
    <w:p w14:paraId="378FA8EB">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 xml:space="preserve">3.1其他要求   </w:t>
      </w:r>
    </w:p>
    <w:p w14:paraId="6B24B56D">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1.合同签订后,招标人有权在合同期限及质保期内对中标人提供的货物进行抽样检测,检测单位由招标人指定,中标人综合考虑由此产生的费用。检测结果必须符合国家标准及招标要求,否则招标人有权解除合同,由此产生的所有损失由中标人承担,并对中标人处以合同价款 1%的违约金。</w:t>
      </w:r>
    </w:p>
    <w:p w14:paraId="5DEFBCF7">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2.若中标人提供的样品质量有瑕疵,中标人必须按照招标人要求第一时间更换,如果未及时更换,招标人有权对中标人处于违约金 500 元/次,如若对招标人产生其余不良影响,招标人有权追究法律责任与经济责任。</w:t>
      </w:r>
    </w:p>
    <w:p w14:paraId="3E9E2FD1">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3.中标人负责在招标人指定场所进行供货安装,依照不低于招标文件中的数量与参数配置,接到招标人通知后30日历日内,中标人负责所有货物的供货、包装运输及保险、安装、调试、考核验收、培训及部分改造等工作,如若延期一天,处以 1000元/天的违约金,延期超过 3 天的,招标人有权解除合同,并追究其相关违约责任。其中若因招标人场地未移交等非中标人原因耽误工期的,不追究违约责任。在服务期限内,所有软硬件设备均要求进行“三包”,即包修、包退、包换。若因招标人要求部分场所分批次供货,中标人需无条件遵守招标人要求的其余批次供货时间,分批供货涉及的仓储、运输费、安装调试费、安装过程中的必要耗材费等均包含在总报价内,招标人后期不再追加任何费用 。</w:t>
      </w:r>
    </w:p>
    <w:p w14:paraId="55EFE769">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4.中标人需在合同签订期内生产、供货、安装、计划,并交由招标人确认,确认后按此计划实施,过程中如需进行调整计划,必须经过招标人同意,且不得超过合同约定的最终完成时间。如若进行分批次供货,则后续批次供货时间不受总工期约束,由招标人和使用方商定后交由中标人单独制定相应计划。</w:t>
      </w:r>
    </w:p>
    <w:p w14:paraId="0D5D7AEF">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5.中标人在生产过程中需随时接受招标人的监督,若招标人随机去生产基地,中标人需无条件配合,包括但不限于参观工厂、配合检查等,如发现产品制造过程中有降低质量或不符合约定的行为,招标人有权利解除合同,由此产生的所有损失由中标人承担,并对中标人处以合同价款 1%的违约金。</w:t>
      </w:r>
    </w:p>
    <w:p w14:paraId="37109436">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6.因厨房位置问题产生的人力搬运、机械搬运等费用中标人自行考虑,费用含在合同总价款中。所有货物均需要有相应的产品质量合格证,不能提供的视为不合格产品。</w:t>
      </w:r>
    </w:p>
    <w:p w14:paraId="60BEF265">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7.中标人应无条件接受招标人、使用方或主管部门对安装现场的质量、安全、文明、环保及纪律的监督和管理,货物安装期间中标人须保护招标人或使用方提供的原有的场地环境和相关现场设施,如有损坏必须负责赔偿或者恢复原状,并严格加强相关人员管理制度,如发生盗窃,斗殴等现象,则追究中标人责任;安装调试期间产生的水电费包含在投标报价总价中,由中标人自行承担。</w:t>
      </w:r>
    </w:p>
    <w:p w14:paraId="08FD9AA6">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8.中标人提前交货的产品、多交的产品和不符合合同规定的产品,由中标人自行看管,相关的保管、保养等费用以及因保管不善而发生的损失,应当由中标人承担。</w:t>
      </w:r>
    </w:p>
    <w:p w14:paraId="4DF50437">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9.中标人应对其所提供的货物承担所有权担保责任,并应保证招标人在中华人民共和国内使用该货物时不侵犯第三人的知识产权。否则中标人应承担由此引起的一切法律责任及经济责任。</w:t>
      </w:r>
    </w:p>
    <w:p w14:paraId="351ADC61">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10.部分场所原有设备安装位置、数量可能不满足要求,安装条件有限,包括但不限于事故通风系统改造,防爆照明灯安装,满足燃气开通要求墙体改造,门窗改造,木门更换不锈钢门,各类设备上下水改造,电源电压要求改造等等,中标人需根据招标人后期要求考虑设备布置,承担设备的安装、线路改造、新开孔洞、原有孔洞封堵、新增及隔墙修改、增加电动感应门、传菜口、燃气报警器安装等事项,需自行提供相应配套的强弱电桥架、开关插座、穿管布线(电线、电缆)、设备调整、破除一切形式的吊顶及恢复、墙体改造及恢复,以及施工辅材(支架、线缆、开孔、防护装置、百叶窗+拆装、百叶窗定制、玻璃更换、卫生清理、拆旧换新、增加插座、漏水保护等)等材料,并自行承担相应改造任务,以现场实际为准,中标后必须保障厨房能无障碍使用,且必须满足市场监督管理部门的验收要求,所有费用含在投标报价内,请投标人自行踏勘现场,中标后不能以不了解不清楚为理由增加任何费用,如有安装改造过程中不配合的,处以违约金 1000 元/次,超过 3 次的,招标人有权解除合同,由此产生的相应责任由中标人承担。</w:t>
      </w:r>
    </w:p>
    <w:p w14:paraId="2468F55F">
      <w:pPr>
        <w:numPr>
          <w:ilvl w:val="0"/>
          <w:numId w:val="0"/>
        </w:numPr>
        <w:spacing w:line="360" w:lineRule="auto"/>
        <w:ind w:firstLine="482" w:firstLineChars="200"/>
        <w:rPr>
          <w:rFonts w:hint="default" w:ascii="Times New Roman" w:hAnsi="Times New Roman" w:eastAsia="仿宋_GB2312" w:cs="Times New Roman"/>
          <w:b/>
          <w:bCs/>
          <w:color w:val="auto"/>
          <w:sz w:val="24"/>
          <w:szCs w:val="28"/>
          <w:highlight w:val="none"/>
          <w:u w:val="none"/>
          <w:lang w:val="en-US" w:eastAsia="zh-CN"/>
        </w:rPr>
      </w:pPr>
      <w:r>
        <w:rPr>
          <w:rFonts w:hint="default" w:ascii="Times New Roman" w:hAnsi="Times New Roman" w:eastAsia="仿宋_GB2312" w:cs="Times New Roman"/>
          <w:b/>
          <w:bCs/>
          <w:color w:val="auto"/>
          <w:sz w:val="24"/>
          <w:szCs w:val="28"/>
          <w:highlight w:val="none"/>
          <w:u w:val="none"/>
          <w:lang w:val="en-US" w:eastAsia="zh-CN"/>
        </w:rPr>
        <w:t>11.为加强燃气使用安全,方便售后维保便利性,提高燃气器具适配性,燃气器具要求为同一品牌产品。</w:t>
      </w:r>
    </w:p>
    <w:p w14:paraId="75D6C03B">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12.在施工安装过程中注意现场的保护,不破坏、损坏招标人的其他装修装饰及设备,如若有损毁或破坏,中标人需无条件修复或赔偿,并处以违约金 500元/次。该设备必须保证能正常使用,如发生故障,服务人员未按约定时间到达现场修复的,每延误一天中标人需向招标人支付违约金 500 元/天,逾期两天未安排人员到场维修的,招标人有权聘请第三方机构进行维修,相关费用由中标人承担。</w:t>
      </w:r>
    </w:p>
    <w:p w14:paraId="17DC7F11">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13.合同期限内,中标人各项服务须服从招标人、主管部门以及使用方的监督、管理和指导,所有安装完成需进行调试,不得与原系统冲突,保证达到招标人要求;所有除设备外的施工辅材,包括桥架、各类弱电线、支架、开孔、开关插座等等,无论招标文件中数量多少,中标后数量均不调整,且必须满足招标人要求的布置方案完成工作,因此增加的辅材数量及费用一律包含在投标报价内,中标后不予调整。</w:t>
      </w:r>
    </w:p>
    <w:p w14:paraId="4EE06542">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14.中标人不得以任何方式转包或分包本项目,一经发现招标人有权解除合同,因此产生的一切损失、延误由中标人自行承担。</w:t>
      </w:r>
    </w:p>
    <w:p w14:paraId="4948E47E">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15.合同签订后供货前,中标人须提供其投标文件中证书、业绩、其他证明资料原件供招标人核查,若出现提供不全、提供的资料与投标文件不符、弄虚作假的情况,招标人有权解除合同,并追究相关法律责任。</w:t>
      </w:r>
    </w:p>
    <w:p w14:paraId="40B046EE">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16.中标人交付货物和服务不符合合同规定的,招标人有权拒收,中标人需无条件在 5 日内退换补齐,且承担因此带来的一切损失,包括但不限于律师费、诉讼费等,并处以合同金额 1%的违约金。</w:t>
      </w:r>
    </w:p>
    <w:p w14:paraId="1B741A25">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17.本项目如中标人未按招标人要求做好相应的安装配套服务,发现有遗漏或安装后不满足使用的情况出现,中标人需无条件整改达到可支持全部设备使用的标准,该部分如发生增加的设备量,招标人不予以支付。招标人发出通知后,中标人需立刻响应,并在规定时间内完成整改,逾期不整改需向招标人支付违约金 2000 元/天;该设备必须保证能正常使用,如发生故障,服务人员未按约定时间到达现场修复的,每延误一天中标人需向招标人支付违约金 1000 元/天,逾期两天未安排人员到场维修的,招标人有权聘请第三方机构进行维修,相关费用由中标人承担。</w:t>
      </w:r>
    </w:p>
    <w:p w14:paraId="6467319B">
      <w:pPr>
        <w:numPr>
          <w:ilvl w:val="0"/>
          <w:numId w:val="0"/>
        </w:numPr>
        <w:spacing w:line="360" w:lineRule="auto"/>
        <w:ind w:firstLine="480" w:firstLineChars="200"/>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sz w:val="24"/>
          <w:szCs w:val="28"/>
          <w:highlight w:val="none"/>
          <w:lang w:val="en-US" w:eastAsia="zh-CN"/>
        </w:rPr>
        <w:t>18.所有货物在服务期、质保期内出现质量不合格的现象，招标人有权要求中标人在7日内无条件进行退换，若每延误1天退换中标人需向招标人支付违约金500元/天，逾期5天未安排退换的，招标人有权另行聘请第三方进行更换或维修,相关费用从质保金中扣除,质保金不足以扣除的,招标人有权向中标人追索,包括但不限于违约金、知识产权或人身伤害侵权赔偿金、延迟开业成本费用、加速采购成本、评估费、鉴定费、律师费、诉讼费、差旅费等全部费用。</w:t>
      </w:r>
    </w:p>
    <w:p w14:paraId="31B868E1">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19.如涉及高空作业安装,应注意安全,否则造成的后果由中标人承担。带电作业施工人员必须按主管部门要求持证上岗(包含但不限于电工证),严禁无证操作。</w:t>
      </w:r>
    </w:p>
    <w:p w14:paraId="47ABECC7">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20.中标人需自行复核设备承重,如需出具相关报告,所有费用由中标人自行承担;若发生因设备供货、安装及使用过程中因产品自身原因等导致的安全问题,由中标人承担由此产生的所有的法律责任与经济责任。</w:t>
      </w:r>
    </w:p>
    <w:p w14:paraId="447571F6">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21.清单数量为暂估,招标人有权根据现场情况调整供货数量,实际以招标人确认的供货量为准进行结算,整体结算金额不超过合同额。</w:t>
      </w:r>
    </w:p>
    <w:p w14:paraId="355642C3">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22、中标人须负责货物从运输、仓储、安装至招标人验收完成前的全过程保护,包括:防震包装、仓储防尘、施工区域覆盖保护等,中标人须采取防污染、防划伤措施,因保护缺失导致的损坏由中标人无偿修复或更换。</w:t>
      </w:r>
    </w:p>
    <w:p w14:paraId="6E61886F">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23、安装调试期间水电费(含临时使用)由中标人承担、总包服务费(如有)需综合考虑在报价中。</w:t>
      </w:r>
    </w:p>
    <w:p w14:paraId="738259C3">
      <w:pPr>
        <w:numPr>
          <w:ilvl w:val="0"/>
          <w:numId w:val="0"/>
        </w:numPr>
        <w:spacing w:line="360" w:lineRule="auto"/>
        <w:ind w:firstLine="480" w:firstLineChars="200"/>
        <w:rPr>
          <w:rFonts w:hint="default" w:ascii="Times New Roman" w:hAnsi="Times New Roman" w:eastAsia="仿宋_GB2312" w:cs="Times New Roman"/>
          <w:color w:val="auto"/>
          <w:sz w:val="24"/>
          <w:szCs w:val="28"/>
          <w:highlight w:val="none"/>
          <w:lang w:val="en-US" w:eastAsia="zh-CN"/>
        </w:rPr>
      </w:pPr>
      <w:r>
        <w:rPr>
          <w:rFonts w:hint="default" w:ascii="Times New Roman" w:hAnsi="Times New Roman" w:eastAsia="仿宋_GB2312" w:cs="Times New Roman"/>
          <w:color w:val="auto"/>
          <w:sz w:val="24"/>
          <w:szCs w:val="28"/>
          <w:highlight w:val="none"/>
          <w:lang w:val="en-US" w:eastAsia="zh-CN"/>
        </w:rPr>
        <w:t>24、中标人自行踏勘现场,根据现场实际情况在招标人同意的前提下自行调整尺寸,相关费用不予调整。</w:t>
      </w:r>
    </w:p>
    <w:p w14:paraId="6C5607A8">
      <w:pPr>
        <w:spacing w:line="360" w:lineRule="auto"/>
        <w:ind w:left="437"/>
        <w:rPr>
          <w:rFonts w:hint="default" w:ascii="Times New Roman" w:hAnsi="Times New Roman" w:eastAsia="仿宋_GB2312" w:cs="Times New Roman"/>
          <w:b/>
          <w:bCs/>
          <w:color w:val="auto"/>
          <w:sz w:val="24"/>
          <w:szCs w:val="18"/>
          <w:highlight w:val="none"/>
        </w:rPr>
      </w:pPr>
      <w:r>
        <w:rPr>
          <w:rFonts w:hint="default" w:ascii="Times New Roman" w:hAnsi="Times New Roman" w:eastAsia="仿宋_GB2312" w:cs="Times New Roman"/>
          <w:b/>
          <w:bCs/>
          <w:color w:val="auto"/>
          <w:sz w:val="24"/>
          <w:szCs w:val="18"/>
          <w:highlight w:val="none"/>
        </w:rPr>
        <w:t>三、报价要求</w:t>
      </w:r>
    </w:p>
    <w:p w14:paraId="5F5D0918">
      <w:pPr>
        <w:keepNext w:val="0"/>
        <w:keepLines w:val="0"/>
        <w:pageBreakBefore w:val="0"/>
        <w:widowControl w:val="0"/>
        <w:kinsoku/>
        <w:wordWrap/>
        <w:overflowPunct/>
        <w:topLinePunct w:val="0"/>
        <w:autoSpaceDE/>
        <w:autoSpaceDN/>
        <w:bidi w:val="0"/>
        <w:adjustRightInd/>
        <w:snapToGrid/>
        <w:spacing w:line="360" w:lineRule="auto"/>
        <w:ind w:left="0" w:firstLine="437"/>
        <w:textAlignment w:val="auto"/>
        <w:rPr>
          <w:rFonts w:hint="default" w:ascii="Times New Roman" w:hAnsi="Times New Roman" w:eastAsia="仿宋_GB2312" w:cs="Times New Roman"/>
          <w:color w:val="auto"/>
          <w:sz w:val="24"/>
          <w:szCs w:val="24"/>
          <w:highlight w:val="none"/>
          <w:lang w:eastAsia="zh-CN"/>
        </w:rPr>
      </w:pPr>
      <w:bookmarkStart w:id="29" w:name="_Toc50566848"/>
      <w:bookmarkStart w:id="30" w:name="_Toc501460782"/>
      <w:bookmarkStart w:id="31" w:name="_Toc7286"/>
      <w:r>
        <w:rPr>
          <w:rFonts w:hint="default" w:ascii="Times New Roman" w:hAnsi="Times New Roman" w:eastAsia="仿宋_GB2312" w:cs="Times New Roman"/>
          <w:b/>
          <w:bCs/>
          <w:color w:val="auto"/>
          <w:sz w:val="24"/>
          <w:szCs w:val="24"/>
          <w:highlight w:val="none"/>
          <w:lang w:val="en-US" w:eastAsia="zh-CN"/>
        </w:rPr>
        <w:t>1.本项目采用总价报价和分项报价相结合的方式,最终以总价定标。投标报价总价包含货物及配件提供、施工设备货物费、机械费、设施费、劳务费、基本劳动保险金、检验(报检)费、材料费、安装费、运输费、保险费、临时工程费(包括支顶架)、装修改造费、缺陷修理费、管理费、利润、税金、所有一般风险、责任和业务费用,以及安装调试、培训、技术服务(包括技术资料的提供)、现场自有垃圾清理费及质保期服务的全部费用,中标后不再增加任何费用,投标人须自行考虑风险并进行合理报价。</w:t>
      </w:r>
    </w:p>
    <w:p w14:paraId="66A73E4C">
      <w:pPr>
        <w:keepNext w:val="0"/>
        <w:keepLines w:val="0"/>
        <w:pageBreakBefore w:val="0"/>
        <w:widowControl w:val="0"/>
        <w:kinsoku/>
        <w:wordWrap/>
        <w:overflowPunct/>
        <w:topLinePunct w:val="0"/>
        <w:autoSpaceDE/>
        <w:autoSpaceDN/>
        <w:bidi w:val="0"/>
        <w:adjustRightInd/>
        <w:snapToGrid/>
        <w:spacing w:line="360" w:lineRule="auto"/>
        <w:ind w:left="0" w:firstLine="437"/>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rPr>
        <w:t>本</w:t>
      </w:r>
      <w:r>
        <w:rPr>
          <w:rFonts w:hint="default" w:ascii="Times New Roman" w:hAnsi="Times New Roman" w:eastAsia="仿宋_GB2312" w:cs="Times New Roman"/>
          <w:b/>
          <w:bCs/>
          <w:color w:val="auto"/>
          <w:sz w:val="24"/>
          <w:szCs w:val="24"/>
          <w:highlight w:val="none"/>
        </w:rPr>
        <w:t>项目根据招标人要求可能需要进行二次深化设计，</w:t>
      </w:r>
      <w:r>
        <w:rPr>
          <w:rFonts w:hint="default" w:ascii="Times New Roman" w:hAnsi="Times New Roman" w:eastAsia="仿宋_GB2312" w:cs="Times New Roman"/>
          <w:b/>
          <w:bCs/>
          <w:color w:val="auto"/>
          <w:sz w:val="24"/>
          <w:szCs w:val="24"/>
          <w:highlight w:val="none"/>
          <w:lang w:eastAsia="zh-CN"/>
        </w:rPr>
        <w:t>二次深化设计需经招标人确认后方可实施。</w:t>
      </w:r>
      <w:r>
        <w:rPr>
          <w:rFonts w:hint="default" w:ascii="Times New Roman" w:hAnsi="Times New Roman" w:eastAsia="仿宋_GB2312" w:cs="Times New Roman"/>
          <w:b/>
          <w:bCs/>
          <w:color w:val="auto"/>
          <w:sz w:val="24"/>
          <w:szCs w:val="24"/>
          <w:highlight w:val="none"/>
        </w:rPr>
        <w:t>费用包含在报价内，投标人自行考虑风险</w:t>
      </w:r>
      <w:r>
        <w:rPr>
          <w:rFonts w:hint="default" w:ascii="Times New Roman" w:hAnsi="Times New Roman" w:eastAsia="仿宋_GB2312" w:cs="Times New Roman"/>
          <w:color w:val="auto"/>
          <w:sz w:val="24"/>
          <w:szCs w:val="24"/>
          <w:highlight w:val="none"/>
        </w:rPr>
        <w:t>。</w:t>
      </w:r>
    </w:p>
    <w:p w14:paraId="44344E01">
      <w:pPr>
        <w:spacing w:line="360" w:lineRule="auto"/>
        <w:ind w:left="437"/>
        <w:rPr>
          <w:rFonts w:hint="default" w:ascii="Times New Roman" w:hAnsi="Times New Roman" w:eastAsia="仿宋_GB2312" w:cs="Times New Roman"/>
          <w:b/>
          <w:bCs/>
          <w:color w:val="auto"/>
          <w:sz w:val="24"/>
          <w:szCs w:val="18"/>
          <w:highlight w:val="none"/>
          <w:lang w:val="en-US" w:eastAsia="zh-CN"/>
        </w:rPr>
      </w:pPr>
      <w:r>
        <w:rPr>
          <w:rFonts w:hint="default" w:ascii="Times New Roman" w:hAnsi="Times New Roman" w:eastAsia="仿宋_GB2312" w:cs="Times New Roman"/>
          <w:b/>
          <w:bCs/>
          <w:color w:val="auto"/>
          <w:sz w:val="24"/>
          <w:szCs w:val="18"/>
          <w:highlight w:val="none"/>
          <w:lang w:val="en-US" w:eastAsia="zh-CN"/>
        </w:rPr>
        <w:t>四、履约要求</w:t>
      </w:r>
    </w:p>
    <w:p w14:paraId="7FC2F87A">
      <w:pPr>
        <w:spacing w:line="360" w:lineRule="auto"/>
        <w:ind w:firstLine="480" w:firstLineChars="200"/>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1、中标人必须确保在规定期限内保质保量完成生产、检测、供货、安装及履约验收等全部工作内容，因中标人原因延期的，处以500元/天的违约金，延期超过5天的，招标人有权解除合同，并追究其相关违约责任。其中若因非中标人原因耽误工期的，不追究违约责任。</w:t>
      </w:r>
    </w:p>
    <w:p w14:paraId="5AEA3FA0">
      <w:pPr>
        <w:spacing w:line="360" w:lineRule="auto"/>
        <w:ind w:firstLine="480" w:firstLineChars="200"/>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2、本项目须合理安排人员、材料、机械，保证随时响应招标人的要求，项目所有货物在接收到招标人通知后进场安装。</w:t>
      </w:r>
    </w:p>
    <w:p w14:paraId="28565A32">
      <w:pPr>
        <w:spacing w:line="360" w:lineRule="auto"/>
        <w:ind w:firstLine="480" w:firstLineChars="200"/>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3、本项目根据招标人要求可能需要进行二次深化设计，费用包含在报价内，投标人自行考虑风险。涉及到二次深化设计的（如有），设计完成后效果需提交招标人确认；原则上每次招标人需要深化设计的，不超过24小时提供设计方案；供货到场、深化设计（如有）等期限要求，若由于中标人原因耽误的，每耽误1天，对中标人处以500元/天的违约金，耽误超过3天的，招标人有权聘请第三方单位进行服务，相关费用由中标人承担，并有权单方面解除合同。</w:t>
      </w:r>
    </w:p>
    <w:p w14:paraId="3954B034">
      <w:pPr>
        <w:spacing w:line="360" w:lineRule="auto"/>
        <w:ind w:firstLine="480" w:firstLineChars="200"/>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4、因中标人或产品自身原因等导致的在生产、运输、后期使用过程中出现的安全问题，由中标人承担由此产生的所有的法律责任与经济责任。</w:t>
      </w:r>
    </w:p>
    <w:p w14:paraId="698353FE">
      <w:pPr>
        <w:spacing w:line="360" w:lineRule="auto"/>
        <w:ind w:firstLine="480" w:firstLineChars="200"/>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6、产品样式、颜色、规格、比例需与招标人要求保持一致，不得以规格、颜色调整为由增加费用，如需改动需经过招标人同意，并按招标人要求制作。</w:t>
      </w:r>
    </w:p>
    <w:p w14:paraId="267EF193">
      <w:pPr>
        <w:spacing w:line="360" w:lineRule="auto"/>
        <w:ind w:firstLine="480" w:firstLineChars="200"/>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7、中标人要服从招标人的统一安排，未经招标人的同意不得随意改变招标人已制定的工作计划，遇工作中特殊情况及时与招标人保持沟通。因中标人擅自做主造成招标人的损失及其他影响，中标人要承担相应责任及损失。</w:t>
      </w:r>
    </w:p>
    <w:p w14:paraId="1649F982">
      <w:pPr>
        <w:spacing w:line="360" w:lineRule="auto"/>
        <w:ind w:firstLine="480" w:firstLineChars="200"/>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8、中标人负责供货范围内的安全生产作业管理，严格按照有相关部门的要求，制定规范作业的规章制度和要求，中标人在供货范围内产生的人身伤亡等安全事故由中标人依法承担责任。</w:t>
      </w:r>
    </w:p>
    <w:p w14:paraId="2038BB16">
      <w:pPr>
        <w:spacing w:line="360" w:lineRule="auto"/>
        <w:ind w:firstLine="480" w:firstLineChars="200"/>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9、中标人不得以任何方式转包或分包本项目， 一经发现招标人将有权解除合同。同时，因此产生的一切损失、延误由中标人自行承担。</w:t>
      </w:r>
    </w:p>
    <w:p w14:paraId="4DBC1C09">
      <w:pPr>
        <w:spacing w:line="360" w:lineRule="auto"/>
        <w:ind w:firstLine="480" w:firstLineChars="200"/>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 xml:space="preserve">10、本项目如涉及到多次分批供货，中标人需保证每次的供货质量，如出现大批量质量不合格情况，由此对招标人造成的经济损失和法律责任，由中标人负责，且招标人有权解除合同。分批供货涉及的仓储、运输费、安装调试费、安装过程中的必要耗材费等均包含在总报价内，招标人后期不再追加任何费用。 </w:t>
      </w:r>
    </w:p>
    <w:p w14:paraId="496068F4">
      <w:pPr>
        <w:spacing w:line="360" w:lineRule="auto"/>
        <w:ind w:firstLine="480" w:firstLineChars="200"/>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11、自合同履约期间，中标人应负责做好相应人员工作安排、运输、搬运至招标人指定的各个地点等工作，若发生各类损失、纠纷或安全事故等，一切责任及经济损失均由中标人自行承担，若由此造成招标人任何损失的，中标人应当全额予以赔偿。</w:t>
      </w:r>
    </w:p>
    <w:p w14:paraId="483C2701">
      <w:pPr>
        <w:spacing w:line="360" w:lineRule="auto"/>
        <w:ind w:firstLine="480" w:firstLineChars="200"/>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12、中标人在合同履约期间所发生的有关民事、刑事、安全事故、劳资纠纷等一切责任及经济损失均由中标人自行承担。合同期间因中标人自身原因造成的上访、投诉对招标人造成不良影响的，每发生一次对中标人处以5000元违约金并招标人有权解除合同，不予支付已完成部分的费用。中标人应对其在制作和安装服务中需形成的影像资料和记录留存，且不得删改、扩散。</w:t>
      </w:r>
    </w:p>
    <w:p w14:paraId="57664C97">
      <w:pPr>
        <w:spacing w:line="360" w:lineRule="auto"/>
        <w:ind w:firstLine="480" w:firstLineChars="200"/>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 xml:space="preserve">13、本项目需确保货物满足相关规范要求，达到环保标准。如若因任何质量问题导致的服务群体投诉，中标人需无条件配合检验处理，由此产生的费用由中标人负责。因为该问题造成招标人损失的，中标人应当全额予以赔偿。 </w:t>
      </w:r>
    </w:p>
    <w:p w14:paraId="75A369BA">
      <w:pPr>
        <w:spacing w:line="360" w:lineRule="auto"/>
        <w:ind w:firstLine="480" w:firstLineChars="200"/>
        <w:rPr>
          <w:rFonts w:hint="default" w:ascii="Times New Roman" w:hAnsi="Times New Roman" w:eastAsia="仿宋_GB2312" w:cs="Times New Roman"/>
          <w:b/>
          <w:bCs/>
          <w:color w:val="auto"/>
          <w:sz w:val="24"/>
          <w:szCs w:val="24"/>
          <w:highlight w:val="none"/>
          <w:lang w:val="en-US" w:eastAsia="zh-CN"/>
        </w:rPr>
      </w:pPr>
      <w:bookmarkStart w:id="32" w:name="_Toc50566849"/>
      <w:r>
        <w:rPr>
          <w:rFonts w:hint="default" w:ascii="Times New Roman" w:hAnsi="Times New Roman" w:eastAsia="仿宋_GB2312" w:cs="Times New Roman"/>
          <w:color w:val="auto"/>
          <w:sz w:val="24"/>
          <w:szCs w:val="24"/>
          <w:highlight w:val="none"/>
        </w:rPr>
        <w:t>14</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中标人针对本项目的设计成果知识产权归招标人所有，未经招标人同意，不得擅自使用，且</w:t>
      </w:r>
      <w:r>
        <w:rPr>
          <w:rFonts w:hint="default" w:ascii="Times New Roman" w:hAnsi="Times New Roman" w:eastAsia="仿宋_GB2312" w:cs="Times New Roman"/>
          <w:b w:val="0"/>
          <w:bCs w:val="0"/>
          <w:color w:val="auto"/>
          <w:sz w:val="24"/>
          <w:szCs w:val="24"/>
          <w:highlight w:val="none"/>
          <w:lang w:val="en-US" w:eastAsia="zh-CN"/>
        </w:rPr>
        <w:t>中标人须保证其提供的服务不受任何第三方提出的侵犯其著作权、商标权、专利权等知识产权方面的起诉；如果任何第三方提出侵权指控，那么中标人须与该第三方交涉并承担由此发生的一切责任、费用和赔偿。</w:t>
      </w:r>
    </w:p>
    <w:p w14:paraId="076655C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15、投标人须在响应文件中承诺：</w:t>
      </w:r>
      <w:r>
        <w:rPr>
          <w:rFonts w:hint="default" w:ascii="Times New Roman" w:hAnsi="Times New Roman" w:eastAsia="仿宋_GB2312" w:cs="Times New Roman"/>
          <w:b/>
          <w:bCs/>
          <w:color w:val="auto"/>
          <w:sz w:val="24"/>
          <w:szCs w:val="24"/>
          <w:highlight w:val="none"/>
          <w:lang w:eastAsia="zh-CN"/>
        </w:rPr>
        <w:t>（</w:t>
      </w:r>
      <w:r>
        <w:rPr>
          <w:rFonts w:hint="default" w:ascii="Times New Roman" w:hAnsi="Times New Roman" w:eastAsia="仿宋_GB2312" w:cs="Times New Roman"/>
          <w:b/>
          <w:bCs/>
          <w:color w:val="auto"/>
          <w:sz w:val="24"/>
          <w:szCs w:val="24"/>
          <w:highlight w:val="none"/>
          <w:lang w:val="en-US" w:eastAsia="zh-CN"/>
        </w:rPr>
        <w:t>1</w:t>
      </w:r>
      <w:r>
        <w:rPr>
          <w:rFonts w:hint="default" w:ascii="Times New Roman" w:hAnsi="Times New Roman" w:eastAsia="仿宋_GB2312" w:cs="Times New Roman"/>
          <w:b/>
          <w:bCs/>
          <w:color w:val="auto"/>
          <w:sz w:val="24"/>
          <w:szCs w:val="24"/>
          <w:highlight w:val="none"/>
          <w:lang w:eastAsia="zh-CN"/>
        </w:rPr>
        <w:t>）</w:t>
      </w:r>
      <w:r>
        <w:rPr>
          <w:rFonts w:hint="default" w:ascii="Times New Roman" w:hAnsi="Times New Roman" w:eastAsia="仿宋_GB2312" w:cs="Times New Roman"/>
          <w:b/>
          <w:bCs/>
          <w:color w:val="auto"/>
          <w:sz w:val="24"/>
          <w:szCs w:val="24"/>
          <w:highlight w:val="none"/>
        </w:rPr>
        <w:t>我公司</w:t>
      </w:r>
      <w:r>
        <w:rPr>
          <w:rFonts w:hint="default" w:ascii="Times New Roman" w:hAnsi="Times New Roman" w:eastAsia="仿宋_GB2312" w:cs="Times New Roman"/>
          <w:b/>
          <w:bCs/>
          <w:strike w:val="0"/>
          <w:dstrike w:val="0"/>
          <w:color w:val="auto"/>
          <w:sz w:val="24"/>
          <w:szCs w:val="24"/>
          <w:highlight w:val="none"/>
        </w:rPr>
        <w:t>响应文件中提供的报告</w:t>
      </w:r>
      <w:r>
        <w:rPr>
          <w:rFonts w:hint="default" w:ascii="Times New Roman" w:hAnsi="Times New Roman" w:eastAsia="仿宋_GB2312" w:cs="Times New Roman"/>
          <w:b/>
          <w:bCs/>
          <w:strike w:val="0"/>
          <w:dstrike w:val="0"/>
          <w:color w:val="auto"/>
          <w:sz w:val="24"/>
          <w:szCs w:val="24"/>
          <w:highlight w:val="none"/>
          <w:lang w:val="en-US" w:eastAsia="zh-CN"/>
        </w:rPr>
        <w:t>等材料</w:t>
      </w:r>
      <w:r>
        <w:rPr>
          <w:rFonts w:hint="default" w:ascii="Times New Roman" w:hAnsi="Times New Roman" w:eastAsia="仿宋_GB2312" w:cs="Times New Roman"/>
          <w:b/>
          <w:bCs/>
          <w:strike w:val="0"/>
          <w:dstrike w:val="0"/>
          <w:color w:val="auto"/>
          <w:sz w:val="24"/>
          <w:szCs w:val="24"/>
          <w:highlight w:val="none"/>
        </w:rPr>
        <w:t>真实有效，我公司在合同签订后7个工作</w:t>
      </w:r>
      <w:r>
        <w:rPr>
          <w:rFonts w:hint="default" w:ascii="Times New Roman" w:hAnsi="Times New Roman" w:eastAsia="仿宋_GB2312" w:cs="Times New Roman"/>
          <w:b/>
          <w:bCs/>
          <w:color w:val="auto"/>
          <w:sz w:val="24"/>
          <w:szCs w:val="24"/>
          <w:highlight w:val="none"/>
        </w:rPr>
        <w:t>日内按要求提供检测报告</w:t>
      </w:r>
      <w:r>
        <w:rPr>
          <w:rFonts w:hint="default" w:ascii="Times New Roman" w:hAnsi="Times New Roman" w:eastAsia="仿宋_GB2312" w:cs="Times New Roman"/>
          <w:b/>
          <w:bCs/>
          <w:strike w:val="0"/>
          <w:dstrike w:val="0"/>
          <w:color w:val="auto"/>
          <w:sz w:val="24"/>
          <w:szCs w:val="24"/>
          <w:highlight w:val="none"/>
        </w:rPr>
        <w:t>等</w:t>
      </w:r>
      <w:r>
        <w:rPr>
          <w:rFonts w:hint="default" w:ascii="Times New Roman" w:hAnsi="Times New Roman" w:eastAsia="仿宋_GB2312" w:cs="Times New Roman"/>
          <w:b/>
          <w:bCs/>
          <w:color w:val="auto"/>
          <w:sz w:val="24"/>
          <w:szCs w:val="24"/>
          <w:highlight w:val="none"/>
        </w:rPr>
        <w:t>原件查验，如逾期不能按要求提供或经审查、验证不能通过，我公司承担一切相关责任</w:t>
      </w:r>
      <w:r>
        <w:rPr>
          <w:rFonts w:hint="default" w:ascii="Times New Roman" w:hAnsi="Times New Roman" w:eastAsia="仿宋_GB2312" w:cs="Times New Roman"/>
          <w:b/>
          <w:bCs/>
          <w:color w:val="auto"/>
          <w:sz w:val="24"/>
          <w:szCs w:val="24"/>
          <w:highlight w:val="none"/>
          <w:lang w:val="en-US" w:eastAsia="zh-CN"/>
        </w:rPr>
        <w:t>.（2）</w:t>
      </w:r>
      <w:r>
        <w:rPr>
          <w:rFonts w:hint="default" w:ascii="Times New Roman" w:hAnsi="Times New Roman" w:eastAsia="仿宋_GB2312" w:cs="Times New Roman"/>
          <w:b/>
          <w:bCs/>
          <w:color w:val="auto"/>
          <w:sz w:val="24"/>
          <w:szCs w:val="24"/>
          <w:highlight w:val="none"/>
        </w:rPr>
        <w:t>我公司所提供的产品是正品，非假冒伪劣产品，供货前出具所投产品生产厂商针对本项目的出货证明。</w:t>
      </w:r>
    </w:p>
    <w:p w14:paraId="3A427DF9">
      <w:pPr>
        <w:spacing w:line="360" w:lineRule="auto"/>
        <w:ind w:firstLine="482" w:firstLineChars="200"/>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注：本项为初审项，响应文件中须提供声明，详见响应文件格式六、承诺函，否则响应无效。</w:t>
      </w:r>
      <w:bookmarkEnd w:id="32"/>
    </w:p>
    <w:p w14:paraId="0DEF0804">
      <w:pPr>
        <w:spacing w:line="360" w:lineRule="auto"/>
        <w:ind w:firstLine="480" w:firstLineChars="200"/>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16、在供货安装过程中注意现场的保护，不破坏、损坏其他装修装饰及设备，且货物安装完成后及时清理卫生，如若有损毁或破坏，中标人需无条件修复或赔偿，并处以违约金1000元/次。</w:t>
      </w:r>
    </w:p>
    <w:bookmarkEnd w:id="29"/>
    <w:bookmarkEnd w:id="30"/>
    <w:p w14:paraId="53C31A04">
      <w:pP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28D03CF6">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第四章  评标办法</w:t>
      </w:r>
    </w:p>
    <w:p w14:paraId="7EA436DE">
      <w:pPr>
        <w:shd w:val="clear" w:color="auto" w:fill="auto"/>
        <w:spacing w:line="360" w:lineRule="auto"/>
        <w:ind w:firstLine="437"/>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一、总则</w:t>
      </w:r>
    </w:p>
    <w:p w14:paraId="3D68A6D0">
      <w:pPr>
        <w:shd w:val="clear" w:color="auto" w:fill="auto"/>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本项目将按照招标文件第二章 投标人须知的相关要求及本章的规定评标。</w:t>
      </w:r>
    </w:p>
    <w:p w14:paraId="49A1F963">
      <w:pPr>
        <w:shd w:val="clear" w:color="auto" w:fill="auto"/>
        <w:spacing w:line="360" w:lineRule="auto"/>
        <w:ind w:firstLine="437"/>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二、评标方法</w:t>
      </w:r>
    </w:p>
    <w:p w14:paraId="2E95613E">
      <w:pPr>
        <w:shd w:val="clear" w:color="auto" w:fill="auto"/>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2.1资格审查</w:t>
      </w:r>
    </w:p>
    <w:p w14:paraId="4DC428DB">
      <w:pPr>
        <w:shd w:val="clear" w:color="auto" w:fill="auto"/>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由评标委员会进行资格审查。资格审查表如下：</w:t>
      </w:r>
    </w:p>
    <w:tbl>
      <w:tblPr>
        <w:tblStyle w:val="41"/>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674"/>
        <w:gridCol w:w="13"/>
      </w:tblGrid>
      <w:tr w14:paraId="3575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88" w:type="dxa"/>
            <w:gridSpan w:val="5"/>
            <w:tcBorders>
              <w:bottom w:val="single" w:color="auto" w:sz="4" w:space="0"/>
            </w:tcBorders>
            <w:noWrap w:val="0"/>
            <w:vAlign w:val="center"/>
          </w:tcPr>
          <w:p w14:paraId="0117E215">
            <w:pPr>
              <w:shd w:val="clear" w:color="auto" w:fill="auto"/>
              <w:adjustRightInd w:val="0"/>
              <w:snapToGrid w:val="0"/>
              <w:spacing w:line="360" w:lineRule="auto"/>
              <w:ind w:right="-1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color w:val="auto"/>
                <w:sz w:val="24"/>
                <w:szCs w:val="22"/>
                <w:highlight w:val="none"/>
              </w:rPr>
              <w:t>资格审查表</w:t>
            </w:r>
          </w:p>
        </w:tc>
      </w:tr>
      <w:tr w14:paraId="1AEC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tcBorders>
              <w:bottom w:val="single" w:color="auto" w:sz="4" w:space="0"/>
            </w:tcBorders>
            <w:noWrap w:val="0"/>
            <w:vAlign w:val="center"/>
          </w:tcPr>
          <w:p w14:paraId="5AA62FFD">
            <w:pPr>
              <w:shd w:val="clear" w:color="auto" w:fill="auto"/>
              <w:adjustRightInd w:val="0"/>
              <w:snapToGrid w:val="0"/>
              <w:spacing w:line="360" w:lineRule="auto"/>
              <w:ind w:right="-1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序号</w:t>
            </w:r>
          </w:p>
        </w:tc>
        <w:tc>
          <w:tcPr>
            <w:tcW w:w="1650" w:type="dxa"/>
            <w:tcBorders>
              <w:bottom w:val="single" w:color="auto" w:sz="4" w:space="0"/>
            </w:tcBorders>
            <w:noWrap w:val="0"/>
            <w:vAlign w:val="center"/>
          </w:tcPr>
          <w:p w14:paraId="4743468C">
            <w:pPr>
              <w:pStyle w:val="61"/>
              <w:pBdr>
                <w:bottom w:val="none" w:color="auto" w:sz="0" w:space="0"/>
              </w:pBdr>
              <w:shd w:val="clear" w:color="auto" w:fill="auto"/>
              <w:tabs>
                <w:tab w:val="clear" w:pos="4153"/>
                <w:tab w:val="clear" w:pos="8306"/>
              </w:tabs>
              <w:snapToGrid w:val="0"/>
              <w:spacing w:line="360" w:lineRule="auto"/>
              <w:ind w:right="-10"/>
              <w:jc w:val="center"/>
              <w:textAlignment w:val="auto"/>
              <w:rPr>
                <w:rFonts w:hint="default" w:ascii="Times New Roman" w:hAnsi="Times New Roman" w:eastAsia="仿宋_GB2312" w:cs="Times New Roman"/>
                <w:color w:val="auto"/>
                <w:kern w:val="2"/>
                <w:szCs w:val="24"/>
                <w:highlight w:val="none"/>
              </w:rPr>
            </w:pPr>
            <w:r>
              <w:rPr>
                <w:rFonts w:hint="default" w:ascii="Times New Roman" w:hAnsi="Times New Roman" w:eastAsia="仿宋_GB2312" w:cs="Times New Roman"/>
                <w:color w:val="auto"/>
                <w:kern w:val="2"/>
                <w:szCs w:val="24"/>
                <w:highlight w:val="none"/>
              </w:rPr>
              <w:t>评审指标</w:t>
            </w:r>
          </w:p>
        </w:tc>
        <w:tc>
          <w:tcPr>
            <w:tcW w:w="2192" w:type="dxa"/>
            <w:tcBorders>
              <w:bottom w:val="single" w:color="auto" w:sz="4" w:space="0"/>
            </w:tcBorders>
            <w:noWrap w:val="0"/>
            <w:vAlign w:val="center"/>
          </w:tcPr>
          <w:p w14:paraId="36AFC0B5">
            <w:pPr>
              <w:shd w:val="clear" w:color="auto" w:fill="auto"/>
              <w:adjustRightInd w:val="0"/>
              <w:snapToGrid w:val="0"/>
              <w:spacing w:line="360" w:lineRule="auto"/>
              <w:ind w:right="-1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评审标准</w:t>
            </w:r>
          </w:p>
        </w:tc>
        <w:tc>
          <w:tcPr>
            <w:tcW w:w="4674" w:type="dxa"/>
            <w:tcBorders>
              <w:bottom w:val="single" w:color="auto" w:sz="4" w:space="0"/>
            </w:tcBorders>
            <w:noWrap w:val="0"/>
            <w:vAlign w:val="center"/>
          </w:tcPr>
          <w:p w14:paraId="312CB3C3">
            <w:pPr>
              <w:shd w:val="clear" w:color="auto" w:fill="auto"/>
              <w:adjustRightInd w:val="0"/>
              <w:snapToGrid w:val="0"/>
              <w:spacing w:line="360" w:lineRule="auto"/>
              <w:ind w:right="-1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格式及材料要求</w:t>
            </w:r>
          </w:p>
        </w:tc>
      </w:tr>
      <w:tr w14:paraId="6516F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897" w:hRule="atLeast"/>
          <w:jc w:val="center"/>
        </w:trPr>
        <w:tc>
          <w:tcPr>
            <w:tcW w:w="759" w:type="dxa"/>
            <w:noWrap w:val="0"/>
            <w:vAlign w:val="center"/>
          </w:tcPr>
          <w:p w14:paraId="149CBD9E">
            <w:pPr>
              <w:shd w:val="clear" w:color="auto" w:fill="auto"/>
              <w:adjustRightInd w:val="0"/>
              <w:snapToGrid w:val="0"/>
              <w:spacing w:line="360" w:lineRule="auto"/>
              <w:ind w:right="-1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1650" w:type="dxa"/>
            <w:noWrap w:val="0"/>
            <w:vAlign w:val="center"/>
          </w:tcPr>
          <w:p w14:paraId="4AA86155">
            <w:pPr>
              <w:shd w:val="clear" w:color="auto" w:fill="auto"/>
              <w:spacing w:after="50" w:line="360" w:lineRule="auto"/>
              <w:ind w:right="-10"/>
              <w:jc w:val="center"/>
              <w:rPr>
                <w:rFonts w:hint="default" w:ascii="Times New Roman" w:hAnsi="Times New Roman" w:eastAsia="仿宋_GB2312" w:cs="Times New Roman"/>
                <w:color w:val="auto"/>
                <w:sz w:val="24"/>
                <w:szCs w:val="28"/>
                <w:highlight w:val="none"/>
              </w:rPr>
            </w:pPr>
            <w:r>
              <w:rPr>
                <w:rFonts w:hint="default" w:ascii="Times New Roman" w:hAnsi="Times New Roman" w:eastAsia="仿宋_GB2312" w:cs="Times New Roman"/>
                <w:color w:val="auto"/>
                <w:sz w:val="24"/>
                <w:szCs w:val="28"/>
                <w:highlight w:val="none"/>
              </w:rPr>
              <w:t>营业执照</w:t>
            </w:r>
          </w:p>
        </w:tc>
        <w:tc>
          <w:tcPr>
            <w:tcW w:w="2192" w:type="dxa"/>
            <w:tcBorders>
              <w:bottom w:val="single" w:color="auto" w:sz="4" w:space="0"/>
            </w:tcBorders>
            <w:noWrap w:val="0"/>
            <w:vAlign w:val="center"/>
          </w:tcPr>
          <w:p w14:paraId="288569C9">
            <w:pPr>
              <w:shd w:val="clear" w:color="auto" w:fill="auto"/>
              <w:spacing w:after="50" w:line="360" w:lineRule="auto"/>
              <w:ind w:right="-10"/>
              <w:jc w:val="center"/>
              <w:rPr>
                <w:rFonts w:hint="default" w:ascii="Times New Roman" w:hAnsi="Times New Roman" w:eastAsia="仿宋_GB2312" w:cs="Times New Roman"/>
                <w:color w:val="auto"/>
                <w:sz w:val="24"/>
                <w:szCs w:val="28"/>
                <w:highlight w:val="none"/>
              </w:rPr>
            </w:pPr>
            <w:r>
              <w:rPr>
                <w:rFonts w:hint="default" w:ascii="Times New Roman" w:hAnsi="Times New Roman" w:eastAsia="仿宋_GB2312" w:cs="Times New Roman"/>
                <w:color w:val="auto"/>
                <w:sz w:val="24"/>
                <w:szCs w:val="28"/>
                <w:highlight w:val="none"/>
              </w:rPr>
              <w:t>合法有效</w:t>
            </w:r>
          </w:p>
        </w:tc>
        <w:tc>
          <w:tcPr>
            <w:tcW w:w="4674" w:type="dxa"/>
            <w:noWrap w:val="0"/>
            <w:vAlign w:val="center"/>
          </w:tcPr>
          <w:p w14:paraId="556CBA75">
            <w:pPr>
              <w:shd w:val="clear" w:color="auto" w:fill="auto"/>
              <w:spacing w:line="360" w:lineRule="auto"/>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提供有效的投标人营业执照（或事业单位法人登记证书）复印件，应</w:t>
            </w:r>
            <w:r>
              <w:rPr>
                <w:rFonts w:hint="default" w:ascii="Times New Roman" w:hAnsi="Times New Roman" w:eastAsia="仿宋_GB2312" w:cs="Times New Roman"/>
                <w:color w:val="auto"/>
                <w:sz w:val="24"/>
                <w:highlight w:val="none"/>
                <w:lang w:eastAsia="zh-CN"/>
              </w:rPr>
              <w:t>完整地体现</w:t>
            </w:r>
            <w:r>
              <w:rPr>
                <w:rFonts w:hint="default" w:ascii="Times New Roman" w:hAnsi="Times New Roman" w:eastAsia="仿宋_GB2312" w:cs="Times New Roman"/>
                <w:color w:val="auto"/>
                <w:sz w:val="24"/>
                <w:highlight w:val="none"/>
              </w:rPr>
              <w:t>出营业执照（或事业单位法人登记证书）的全部内容。联合体投标的联合体各方均须提供。</w:t>
            </w:r>
          </w:p>
        </w:tc>
      </w:tr>
      <w:tr w14:paraId="4214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center"/>
          </w:tcPr>
          <w:p w14:paraId="68681BA7">
            <w:pPr>
              <w:shd w:val="clear" w:color="auto" w:fill="auto"/>
              <w:adjustRightInd w:val="0"/>
              <w:snapToGrid w:val="0"/>
              <w:spacing w:line="360" w:lineRule="auto"/>
              <w:ind w:right="-1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1650" w:type="dxa"/>
            <w:noWrap w:val="0"/>
            <w:vAlign w:val="center"/>
          </w:tcPr>
          <w:p w14:paraId="35E32FEC">
            <w:pPr>
              <w:shd w:val="clear" w:color="auto" w:fill="auto"/>
              <w:spacing w:after="50" w:line="360" w:lineRule="auto"/>
              <w:ind w:right="-10"/>
              <w:jc w:val="center"/>
              <w:rPr>
                <w:rFonts w:hint="default" w:ascii="Times New Roman" w:hAnsi="Times New Roman" w:eastAsia="仿宋_GB2312" w:cs="Times New Roman"/>
                <w:color w:val="auto"/>
                <w:sz w:val="24"/>
                <w:szCs w:val="28"/>
                <w:highlight w:val="none"/>
              </w:rPr>
            </w:pPr>
            <w:r>
              <w:rPr>
                <w:rFonts w:hint="default" w:ascii="Times New Roman" w:hAnsi="Times New Roman" w:eastAsia="仿宋_GB2312" w:cs="Times New Roman"/>
                <w:color w:val="auto"/>
                <w:sz w:val="24"/>
                <w:szCs w:val="18"/>
                <w:highlight w:val="none"/>
              </w:rPr>
              <w:t>不良信用记录查询</w:t>
            </w:r>
          </w:p>
        </w:tc>
        <w:tc>
          <w:tcPr>
            <w:tcW w:w="2192" w:type="dxa"/>
            <w:noWrap w:val="0"/>
            <w:vAlign w:val="center"/>
          </w:tcPr>
          <w:p w14:paraId="45A7F59B">
            <w:pPr>
              <w:shd w:val="clear" w:color="auto" w:fill="auto"/>
              <w:spacing w:after="50" w:line="360" w:lineRule="auto"/>
              <w:ind w:right="-10"/>
              <w:jc w:val="center"/>
              <w:rPr>
                <w:rFonts w:hint="default" w:ascii="Times New Roman" w:hAnsi="Times New Roman" w:eastAsia="仿宋_GB2312" w:cs="Times New Roman"/>
                <w:color w:val="auto"/>
                <w:sz w:val="24"/>
                <w:szCs w:val="28"/>
                <w:highlight w:val="none"/>
              </w:rPr>
            </w:pPr>
            <w:r>
              <w:rPr>
                <w:rFonts w:hint="default" w:ascii="Times New Roman" w:hAnsi="Times New Roman" w:eastAsia="仿宋_GB2312" w:cs="Times New Roman"/>
                <w:color w:val="auto"/>
                <w:sz w:val="24"/>
                <w:szCs w:val="28"/>
                <w:highlight w:val="none"/>
              </w:rPr>
              <w:t>投标人不得存在投</w:t>
            </w:r>
          </w:p>
          <w:p w14:paraId="4649F7DB">
            <w:pPr>
              <w:shd w:val="clear" w:color="auto" w:fill="auto"/>
              <w:spacing w:after="50" w:line="360" w:lineRule="auto"/>
              <w:ind w:right="-10"/>
              <w:jc w:val="center"/>
              <w:rPr>
                <w:rFonts w:hint="default" w:ascii="Times New Roman" w:hAnsi="Times New Roman" w:eastAsia="仿宋_GB2312" w:cs="Times New Roman"/>
                <w:color w:val="auto"/>
                <w:sz w:val="24"/>
                <w:szCs w:val="28"/>
                <w:highlight w:val="none"/>
              </w:rPr>
            </w:pPr>
            <w:r>
              <w:rPr>
                <w:rFonts w:hint="default" w:ascii="Times New Roman" w:hAnsi="Times New Roman" w:eastAsia="仿宋_GB2312" w:cs="Times New Roman"/>
                <w:color w:val="auto"/>
                <w:sz w:val="24"/>
                <w:szCs w:val="28"/>
                <w:highlight w:val="none"/>
              </w:rPr>
              <w:t>标人资格中的不良</w:t>
            </w:r>
          </w:p>
          <w:p w14:paraId="330B4380">
            <w:pPr>
              <w:shd w:val="clear" w:color="auto" w:fill="auto"/>
              <w:spacing w:after="50" w:line="360" w:lineRule="auto"/>
              <w:ind w:right="-10"/>
              <w:jc w:val="center"/>
              <w:rPr>
                <w:rFonts w:hint="default" w:ascii="Times New Roman" w:hAnsi="Times New Roman" w:eastAsia="仿宋_GB2312" w:cs="Times New Roman"/>
                <w:color w:val="auto"/>
                <w:sz w:val="24"/>
                <w:szCs w:val="28"/>
                <w:highlight w:val="none"/>
              </w:rPr>
            </w:pPr>
            <w:r>
              <w:rPr>
                <w:rFonts w:hint="default" w:ascii="Times New Roman" w:hAnsi="Times New Roman" w:eastAsia="仿宋_GB2312" w:cs="Times New Roman"/>
                <w:color w:val="auto"/>
                <w:sz w:val="24"/>
                <w:szCs w:val="28"/>
                <w:highlight w:val="none"/>
              </w:rPr>
              <w:t>信用记录情形</w:t>
            </w:r>
          </w:p>
        </w:tc>
        <w:tc>
          <w:tcPr>
            <w:tcW w:w="4674" w:type="dxa"/>
            <w:noWrap w:val="0"/>
            <w:vAlign w:val="center"/>
          </w:tcPr>
          <w:p w14:paraId="3A9C746C">
            <w:pPr>
              <w:shd w:val="clear" w:color="auto" w:fill="auto"/>
              <w:spacing w:after="50" w:line="360" w:lineRule="auto"/>
              <w:ind w:right="-10"/>
              <w:jc w:val="center"/>
              <w:rPr>
                <w:rFonts w:hint="default" w:ascii="Times New Roman" w:hAnsi="Times New Roman" w:eastAsia="仿宋_GB2312" w:cs="Times New Roman"/>
                <w:color w:val="auto"/>
                <w:sz w:val="24"/>
                <w:szCs w:val="28"/>
                <w:highlight w:val="none"/>
              </w:rPr>
            </w:pPr>
          </w:p>
          <w:p w14:paraId="56899FA7">
            <w:pPr>
              <w:shd w:val="clear" w:color="auto" w:fill="auto"/>
              <w:spacing w:after="50" w:line="360" w:lineRule="auto"/>
              <w:ind w:right="-10"/>
              <w:jc w:val="center"/>
              <w:rPr>
                <w:rFonts w:hint="default" w:ascii="Times New Roman" w:hAnsi="Times New Roman" w:eastAsia="仿宋_GB2312" w:cs="Times New Roman"/>
                <w:color w:val="auto"/>
                <w:sz w:val="24"/>
                <w:szCs w:val="28"/>
                <w:highlight w:val="none"/>
                <w:lang w:eastAsia="zh-CN"/>
              </w:rPr>
            </w:pPr>
            <w:r>
              <w:rPr>
                <w:rFonts w:hint="default" w:ascii="Times New Roman" w:hAnsi="Times New Roman" w:eastAsia="仿宋_GB2312" w:cs="Times New Roman"/>
                <w:color w:val="auto"/>
                <w:sz w:val="24"/>
                <w:szCs w:val="28"/>
                <w:highlight w:val="none"/>
              </w:rPr>
              <w:t>详见</w:t>
            </w:r>
            <w:r>
              <w:rPr>
                <w:rFonts w:hint="default" w:ascii="Times New Roman" w:hAnsi="Times New Roman" w:eastAsia="仿宋_GB2312" w:cs="Times New Roman"/>
                <w:color w:val="auto"/>
                <w:sz w:val="24"/>
                <w:szCs w:val="28"/>
                <w:highlight w:val="none"/>
                <w:lang w:eastAsia="zh-CN"/>
              </w:rPr>
              <w:t>招标公告</w:t>
            </w:r>
          </w:p>
          <w:p w14:paraId="5BC7FA18">
            <w:pPr>
              <w:shd w:val="clear" w:color="auto" w:fill="auto"/>
              <w:spacing w:after="50" w:line="360" w:lineRule="auto"/>
              <w:ind w:right="-10"/>
              <w:jc w:val="center"/>
              <w:rPr>
                <w:rFonts w:hint="default" w:ascii="Times New Roman" w:hAnsi="Times New Roman" w:eastAsia="仿宋_GB2312" w:cs="Times New Roman"/>
                <w:color w:val="auto"/>
                <w:sz w:val="24"/>
                <w:szCs w:val="28"/>
                <w:highlight w:val="none"/>
                <w:lang w:eastAsia="zh-CN"/>
              </w:rPr>
            </w:pPr>
          </w:p>
        </w:tc>
      </w:tr>
      <w:tr w14:paraId="0884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center"/>
          </w:tcPr>
          <w:p w14:paraId="3F2B56C9">
            <w:pPr>
              <w:spacing w:line="243" w:lineRule="auto"/>
              <w:jc w:val="center"/>
              <w:rPr>
                <w:rFonts w:hint="default" w:ascii="Times New Roman" w:hAnsi="Times New Roman" w:eastAsia="仿宋_GB2312" w:cs="Times New Roman"/>
                <w:color w:val="auto"/>
                <w:sz w:val="21"/>
                <w:highlight w:val="none"/>
              </w:rPr>
            </w:pPr>
          </w:p>
          <w:p w14:paraId="2229DF3E">
            <w:pPr>
              <w:spacing w:line="244" w:lineRule="auto"/>
              <w:jc w:val="center"/>
              <w:rPr>
                <w:rFonts w:hint="default" w:ascii="Times New Roman" w:hAnsi="Times New Roman" w:eastAsia="仿宋_GB2312" w:cs="Times New Roman"/>
                <w:color w:val="auto"/>
                <w:sz w:val="21"/>
                <w:highlight w:val="none"/>
              </w:rPr>
            </w:pPr>
          </w:p>
          <w:p w14:paraId="74CFAABE">
            <w:pPr>
              <w:spacing w:before="75" w:line="192" w:lineRule="auto"/>
              <w:ind w:left="159" w:leftChars="0"/>
              <w:jc w:val="center"/>
              <w:rPr>
                <w:rFonts w:hint="default" w:ascii="Times New Roman" w:hAnsi="Times New Roman" w:eastAsia="仿宋_GB2312" w:cs="Times New Roman"/>
                <w:color w:val="auto"/>
                <w:kern w:val="2"/>
                <w:sz w:val="23"/>
                <w:szCs w:val="23"/>
                <w:highlight w:val="none"/>
                <w:lang w:val="en-US" w:eastAsia="zh-CN" w:bidi="ar-SA"/>
              </w:rPr>
            </w:pPr>
            <w:r>
              <w:rPr>
                <w:rFonts w:hint="default" w:ascii="Times New Roman" w:hAnsi="Times New Roman" w:eastAsia="仿宋_GB2312" w:cs="Times New Roman"/>
                <w:color w:val="auto"/>
                <w:sz w:val="23"/>
                <w:szCs w:val="23"/>
                <w:highlight w:val="none"/>
                <w:lang w:val="en-US" w:eastAsia="zh-CN"/>
              </w:rPr>
              <w:t>3</w:t>
            </w:r>
          </w:p>
        </w:tc>
        <w:tc>
          <w:tcPr>
            <w:tcW w:w="1650" w:type="dxa"/>
            <w:noWrap w:val="0"/>
            <w:vAlign w:val="center"/>
          </w:tcPr>
          <w:p w14:paraId="767C1FEE">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lang w:val="en-US" w:eastAsia="zh-CN"/>
              </w:rPr>
            </w:pPr>
            <w:r>
              <w:rPr>
                <w:rFonts w:hint="default" w:ascii="Times New Roman" w:hAnsi="Times New Roman" w:eastAsia="仿宋_GB2312" w:cs="Times New Roman"/>
                <w:color w:val="auto"/>
                <w:sz w:val="24"/>
                <w:szCs w:val="18"/>
                <w:highlight w:val="none"/>
              </w:rPr>
              <w:t>无不良信用记录声明函</w:t>
            </w:r>
          </w:p>
        </w:tc>
        <w:tc>
          <w:tcPr>
            <w:tcW w:w="2192" w:type="dxa"/>
            <w:noWrap w:val="0"/>
            <w:vAlign w:val="center"/>
          </w:tcPr>
          <w:p w14:paraId="494CAA66">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lang w:val="en-US" w:eastAsia="zh-CN"/>
              </w:rPr>
            </w:pPr>
            <w:r>
              <w:rPr>
                <w:rFonts w:hint="default" w:ascii="Times New Roman" w:hAnsi="Times New Roman" w:eastAsia="仿宋_GB2312" w:cs="Times New Roman"/>
                <w:color w:val="auto"/>
                <w:sz w:val="24"/>
                <w:szCs w:val="18"/>
                <w:highlight w:val="none"/>
              </w:rPr>
              <w:t>格式、填写要求符合</w:t>
            </w:r>
            <w:r>
              <w:rPr>
                <w:rFonts w:hint="default" w:ascii="Times New Roman" w:hAnsi="Times New Roman" w:eastAsia="仿宋_GB2312" w:cs="Times New Roman"/>
                <w:color w:val="auto"/>
                <w:sz w:val="24"/>
                <w:szCs w:val="18"/>
                <w:highlight w:val="none"/>
                <w:lang w:val="en-US" w:eastAsia="zh-CN"/>
              </w:rPr>
              <w:t>招标</w:t>
            </w:r>
            <w:r>
              <w:rPr>
                <w:rFonts w:hint="default" w:ascii="Times New Roman" w:hAnsi="Times New Roman" w:eastAsia="仿宋_GB2312" w:cs="Times New Roman"/>
                <w:color w:val="auto"/>
                <w:sz w:val="24"/>
                <w:szCs w:val="18"/>
                <w:highlight w:val="none"/>
              </w:rPr>
              <w:t>文件规定并加盖投标人签章</w:t>
            </w:r>
          </w:p>
        </w:tc>
        <w:tc>
          <w:tcPr>
            <w:tcW w:w="4674" w:type="dxa"/>
            <w:noWrap w:val="0"/>
            <w:vAlign w:val="center"/>
          </w:tcPr>
          <w:p w14:paraId="06744366">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rPr>
            </w:pPr>
          </w:p>
          <w:p w14:paraId="4B3887CF">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lang w:val="en-US" w:eastAsia="zh-CN"/>
              </w:rPr>
            </w:pPr>
            <w:r>
              <w:rPr>
                <w:rFonts w:hint="default" w:ascii="Times New Roman" w:hAnsi="Times New Roman" w:eastAsia="仿宋_GB2312" w:cs="Times New Roman"/>
                <w:color w:val="auto"/>
                <w:sz w:val="24"/>
                <w:szCs w:val="18"/>
                <w:highlight w:val="none"/>
              </w:rPr>
              <w:t>详见第六章</w:t>
            </w:r>
            <w:r>
              <w:rPr>
                <w:rFonts w:hint="default" w:ascii="Times New Roman" w:hAnsi="Times New Roman" w:eastAsia="仿宋_GB2312" w:cs="Times New Roman"/>
                <w:color w:val="auto"/>
                <w:sz w:val="24"/>
                <w:szCs w:val="18"/>
                <w:highlight w:val="none"/>
                <w:lang w:val="en-US" w:eastAsia="zh-CN"/>
              </w:rPr>
              <w:t>投标</w:t>
            </w:r>
            <w:r>
              <w:rPr>
                <w:rFonts w:hint="default" w:ascii="Times New Roman" w:hAnsi="Times New Roman" w:eastAsia="仿宋_GB2312" w:cs="Times New Roman"/>
                <w:color w:val="auto"/>
                <w:sz w:val="24"/>
                <w:szCs w:val="18"/>
                <w:highlight w:val="none"/>
              </w:rPr>
              <w:t>文件格式</w:t>
            </w:r>
            <w:r>
              <w:rPr>
                <w:rFonts w:hint="default" w:ascii="Times New Roman" w:hAnsi="Times New Roman" w:eastAsia="仿宋_GB2312" w:cs="Times New Roman"/>
                <w:color w:val="auto"/>
                <w:sz w:val="24"/>
                <w:szCs w:val="18"/>
                <w:highlight w:val="none"/>
                <w:lang w:val="en-US" w:eastAsia="zh-CN"/>
              </w:rPr>
              <w:t>三</w:t>
            </w:r>
          </w:p>
        </w:tc>
      </w:tr>
      <w:tr w14:paraId="1B15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center"/>
          </w:tcPr>
          <w:p w14:paraId="2ED43A2B">
            <w:pPr>
              <w:spacing w:line="246" w:lineRule="auto"/>
              <w:jc w:val="center"/>
              <w:rPr>
                <w:rFonts w:hint="default" w:ascii="Times New Roman" w:hAnsi="Times New Roman" w:eastAsia="仿宋_GB2312" w:cs="Times New Roman"/>
                <w:color w:val="auto"/>
                <w:sz w:val="21"/>
                <w:highlight w:val="none"/>
              </w:rPr>
            </w:pPr>
          </w:p>
          <w:p w14:paraId="19AD6A2A">
            <w:pPr>
              <w:spacing w:line="246" w:lineRule="auto"/>
              <w:jc w:val="center"/>
              <w:rPr>
                <w:rFonts w:hint="default" w:ascii="Times New Roman" w:hAnsi="Times New Roman" w:eastAsia="仿宋_GB2312" w:cs="Times New Roman"/>
                <w:color w:val="auto"/>
                <w:sz w:val="21"/>
                <w:highlight w:val="none"/>
              </w:rPr>
            </w:pPr>
          </w:p>
          <w:p w14:paraId="0E5776AC">
            <w:pPr>
              <w:spacing w:before="75" w:line="189" w:lineRule="auto"/>
              <w:ind w:left="165" w:leftChars="0"/>
              <w:jc w:val="center"/>
              <w:rPr>
                <w:rFonts w:hint="default" w:ascii="Times New Roman" w:hAnsi="Times New Roman" w:eastAsia="仿宋_GB2312" w:cs="Times New Roman"/>
                <w:color w:val="auto"/>
                <w:kern w:val="2"/>
                <w:sz w:val="23"/>
                <w:szCs w:val="23"/>
                <w:highlight w:val="none"/>
                <w:lang w:val="en-US" w:eastAsia="zh-CN" w:bidi="ar-SA"/>
              </w:rPr>
            </w:pPr>
            <w:r>
              <w:rPr>
                <w:rFonts w:hint="default" w:ascii="Times New Roman" w:hAnsi="Times New Roman" w:eastAsia="仿宋_GB2312" w:cs="Times New Roman"/>
                <w:color w:val="auto"/>
                <w:sz w:val="23"/>
                <w:szCs w:val="23"/>
                <w:highlight w:val="none"/>
                <w:lang w:val="en-US" w:eastAsia="zh-CN"/>
              </w:rPr>
              <w:t>4</w:t>
            </w:r>
          </w:p>
        </w:tc>
        <w:tc>
          <w:tcPr>
            <w:tcW w:w="1650" w:type="dxa"/>
            <w:noWrap w:val="0"/>
            <w:vAlign w:val="center"/>
          </w:tcPr>
          <w:p w14:paraId="278AE2AC">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rPr>
            </w:pPr>
          </w:p>
          <w:p w14:paraId="240C291E">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lang w:val="en-US" w:eastAsia="zh-CN"/>
              </w:rPr>
            </w:pPr>
            <w:r>
              <w:rPr>
                <w:rFonts w:hint="default" w:ascii="Times New Roman" w:hAnsi="Times New Roman" w:eastAsia="仿宋_GB2312" w:cs="Times New Roman"/>
                <w:color w:val="auto"/>
                <w:sz w:val="24"/>
                <w:szCs w:val="18"/>
                <w:highlight w:val="none"/>
                <w:lang w:val="en-US" w:eastAsia="zh-CN"/>
              </w:rPr>
              <w:t>投标</w:t>
            </w:r>
            <w:r>
              <w:rPr>
                <w:rFonts w:hint="default" w:ascii="Times New Roman" w:hAnsi="Times New Roman" w:eastAsia="仿宋_GB2312" w:cs="Times New Roman"/>
                <w:color w:val="auto"/>
                <w:sz w:val="24"/>
                <w:szCs w:val="18"/>
                <w:highlight w:val="none"/>
              </w:rPr>
              <w:t>函</w:t>
            </w:r>
          </w:p>
        </w:tc>
        <w:tc>
          <w:tcPr>
            <w:tcW w:w="2192" w:type="dxa"/>
            <w:noWrap w:val="0"/>
            <w:vAlign w:val="center"/>
          </w:tcPr>
          <w:p w14:paraId="56D1B9F2">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lang w:val="en-US" w:eastAsia="zh-CN"/>
              </w:rPr>
            </w:pPr>
            <w:r>
              <w:rPr>
                <w:rFonts w:hint="default" w:ascii="Times New Roman" w:hAnsi="Times New Roman" w:eastAsia="仿宋_GB2312" w:cs="Times New Roman"/>
                <w:color w:val="auto"/>
                <w:sz w:val="24"/>
                <w:szCs w:val="18"/>
                <w:highlight w:val="none"/>
              </w:rPr>
              <w:t>格式、填写要求符合</w:t>
            </w:r>
            <w:r>
              <w:rPr>
                <w:rFonts w:hint="default" w:ascii="Times New Roman" w:hAnsi="Times New Roman" w:eastAsia="仿宋_GB2312" w:cs="Times New Roman"/>
                <w:color w:val="auto"/>
                <w:sz w:val="24"/>
                <w:szCs w:val="18"/>
                <w:highlight w:val="none"/>
                <w:lang w:val="en-US" w:eastAsia="zh-CN"/>
              </w:rPr>
              <w:t>招标</w:t>
            </w:r>
            <w:r>
              <w:rPr>
                <w:rFonts w:hint="default" w:ascii="Times New Roman" w:hAnsi="Times New Roman" w:eastAsia="仿宋_GB2312" w:cs="Times New Roman"/>
                <w:color w:val="auto"/>
                <w:sz w:val="24"/>
                <w:szCs w:val="18"/>
                <w:highlight w:val="none"/>
              </w:rPr>
              <w:t>文件规定并加盖投标人签章</w:t>
            </w:r>
          </w:p>
        </w:tc>
        <w:tc>
          <w:tcPr>
            <w:tcW w:w="4674" w:type="dxa"/>
            <w:noWrap w:val="0"/>
            <w:vAlign w:val="center"/>
          </w:tcPr>
          <w:p w14:paraId="0FE6127A">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rPr>
            </w:pPr>
          </w:p>
          <w:p w14:paraId="777CB8AA">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lang w:val="en-US" w:eastAsia="zh-CN"/>
              </w:rPr>
            </w:pPr>
            <w:r>
              <w:rPr>
                <w:rFonts w:hint="default" w:ascii="Times New Roman" w:hAnsi="Times New Roman" w:eastAsia="仿宋_GB2312" w:cs="Times New Roman"/>
                <w:color w:val="auto"/>
                <w:sz w:val="24"/>
                <w:szCs w:val="18"/>
                <w:highlight w:val="none"/>
              </w:rPr>
              <w:t>详见第六章响应文件格式</w:t>
            </w:r>
            <w:r>
              <w:rPr>
                <w:rFonts w:hint="default" w:ascii="Times New Roman" w:hAnsi="Times New Roman" w:eastAsia="仿宋_GB2312" w:cs="Times New Roman"/>
                <w:color w:val="auto"/>
                <w:sz w:val="24"/>
                <w:szCs w:val="18"/>
                <w:highlight w:val="none"/>
                <w:lang w:val="en-US" w:eastAsia="zh-CN"/>
              </w:rPr>
              <w:t>二</w:t>
            </w:r>
          </w:p>
        </w:tc>
      </w:tr>
      <w:tr w14:paraId="3880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center"/>
          </w:tcPr>
          <w:p w14:paraId="072290FA">
            <w:pPr>
              <w:spacing w:line="245" w:lineRule="auto"/>
              <w:jc w:val="center"/>
              <w:rPr>
                <w:rFonts w:hint="default" w:ascii="Times New Roman" w:hAnsi="Times New Roman" w:eastAsia="仿宋_GB2312" w:cs="Times New Roman"/>
                <w:color w:val="auto"/>
                <w:sz w:val="21"/>
                <w:highlight w:val="none"/>
              </w:rPr>
            </w:pPr>
          </w:p>
          <w:p w14:paraId="7F79832B">
            <w:pPr>
              <w:spacing w:line="245" w:lineRule="auto"/>
              <w:jc w:val="center"/>
              <w:rPr>
                <w:rFonts w:hint="default" w:ascii="Times New Roman" w:hAnsi="Times New Roman" w:eastAsia="仿宋_GB2312" w:cs="Times New Roman"/>
                <w:color w:val="auto"/>
                <w:sz w:val="21"/>
                <w:highlight w:val="none"/>
              </w:rPr>
            </w:pPr>
          </w:p>
          <w:p w14:paraId="0A9B9838">
            <w:pPr>
              <w:spacing w:before="75" w:line="190" w:lineRule="auto"/>
              <w:ind w:left="162" w:leftChars="0"/>
              <w:jc w:val="center"/>
              <w:rPr>
                <w:rFonts w:hint="default" w:ascii="Times New Roman" w:hAnsi="Times New Roman" w:eastAsia="仿宋_GB2312" w:cs="Times New Roman"/>
                <w:color w:val="auto"/>
                <w:kern w:val="2"/>
                <w:sz w:val="23"/>
                <w:szCs w:val="23"/>
                <w:highlight w:val="none"/>
                <w:lang w:val="en-US" w:eastAsia="zh-CN" w:bidi="ar-SA"/>
              </w:rPr>
            </w:pPr>
            <w:r>
              <w:rPr>
                <w:rFonts w:hint="default" w:ascii="Times New Roman" w:hAnsi="Times New Roman" w:eastAsia="仿宋_GB2312" w:cs="Times New Roman"/>
                <w:color w:val="auto"/>
                <w:sz w:val="23"/>
                <w:szCs w:val="23"/>
                <w:highlight w:val="none"/>
                <w:lang w:val="en-US" w:eastAsia="zh-CN"/>
              </w:rPr>
              <w:t>5</w:t>
            </w:r>
          </w:p>
        </w:tc>
        <w:tc>
          <w:tcPr>
            <w:tcW w:w="1650" w:type="dxa"/>
            <w:noWrap w:val="0"/>
            <w:vAlign w:val="center"/>
          </w:tcPr>
          <w:p w14:paraId="1182C7DA">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rPr>
            </w:pPr>
          </w:p>
          <w:p w14:paraId="5B4469FA">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lang w:val="en-US" w:eastAsia="zh-CN"/>
              </w:rPr>
            </w:pPr>
            <w:r>
              <w:rPr>
                <w:rFonts w:hint="default" w:ascii="Times New Roman" w:hAnsi="Times New Roman" w:eastAsia="仿宋_GB2312" w:cs="Times New Roman"/>
                <w:color w:val="auto"/>
                <w:sz w:val="24"/>
                <w:szCs w:val="18"/>
                <w:highlight w:val="none"/>
              </w:rPr>
              <w:t>授权书</w:t>
            </w:r>
          </w:p>
        </w:tc>
        <w:tc>
          <w:tcPr>
            <w:tcW w:w="2192" w:type="dxa"/>
            <w:noWrap w:val="0"/>
            <w:vAlign w:val="center"/>
          </w:tcPr>
          <w:p w14:paraId="1AD0737F">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lang w:val="en-US" w:eastAsia="zh-CN"/>
              </w:rPr>
            </w:pPr>
            <w:r>
              <w:rPr>
                <w:rFonts w:hint="default" w:ascii="Times New Roman" w:hAnsi="Times New Roman" w:eastAsia="仿宋_GB2312" w:cs="Times New Roman"/>
                <w:color w:val="auto"/>
                <w:sz w:val="24"/>
                <w:szCs w:val="18"/>
                <w:highlight w:val="none"/>
              </w:rPr>
              <w:t>格式、填写要求符合</w:t>
            </w:r>
            <w:r>
              <w:rPr>
                <w:rFonts w:hint="default" w:ascii="Times New Roman" w:hAnsi="Times New Roman" w:eastAsia="仿宋_GB2312" w:cs="Times New Roman"/>
                <w:color w:val="auto"/>
                <w:sz w:val="24"/>
                <w:szCs w:val="18"/>
                <w:highlight w:val="none"/>
                <w:lang w:val="en-US" w:eastAsia="zh-CN"/>
              </w:rPr>
              <w:t>招标</w:t>
            </w:r>
            <w:r>
              <w:rPr>
                <w:rFonts w:hint="default" w:ascii="Times New Roman" w:hAnsi="Times New Roman" w:eastAsia="仿宋_GB2312" w:cs="Times New Roman"/>
                <w:color w:val="auto"/>
                <w:sz w:val="24"/>
                <w:szCs w:val="18"/>
                <w:highlight w:val="none"/>
              </w:rPr>
              <w:t>文件规定并加盖投标人签章</w:t>
            </w:r>
          </w:p>
        </w:tc>
        <w:tc>
          <w:tcPr>
            <w:tcW w:w="4674" w:type="dxa"/>
            <w:noWrap w:val="0"/>
            <w:vAlign w:val="center"/>
          </w:tcPr>
          <w:p w14:paraId="221C000F">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lang w:val="en-US" w:eastAsia="zh-CN"/>
              </w:rPr>
            </w:pPr>
            <w:r>
              <w:rPr>
                <w:rFonts w:hint="default" w:ascii="Times New Roman" w:hAnsi="Times New Roman" w:eastAsia="仿宋_GB2312" w:cs="Times New Roman"/>
                <w:color w:val="auto"/>
                <w:sz w:val="24"/>
                <w:szCs w:val="18"/>
                <w:highlight w:val="none"/>
              </w:rPr>
              <w:t>法定代表人参加</w:t>
            </w:r>
            <w:r>
              <w:rPr>
                <w:rFonts w:hint="default" w:ascii="Times New Roman" w:hAnsi="Times New Roman" w:eastAsia="仿宋_GB2312" w:cs="Times New Roman"/>
                <w:color w:val="auto"/>
                <w:sz w:val="24"/>
                <w:szCs w:val="18"/>
                <w:highlight w:val="none"/>
                <w:lang w:val="en-US" w:eastAsia="zh-CN"/>
              </w:rPr>
              <w:t>投标</w:t>
            </w:r>
            <w:r>
              <w:rPr>
                <w:rFonts w:hint="default" w:ascii="Times New Roman" w:hAnsi="Times New Roman" w:eastAsia="仿宋_GB2312" w:cs="Times New Roman"/>
                <w:color w:val="auto"/>
                <w:sz w:val="24"/>
                <w:szCs w:val="18"/>
                <w:highlight w:val="none"/>
              </w:rPr>
              <w:t>的无需此件，提供身份证明即可。详见第六章响应文件格式</w:t>
            </w:r>
            <w:r>
              <w:rPr>
                <w:rFonts w:hint="default" w:ascii="Times New Roman" w:hAnsi="Times New Roman" w:eastAsia="仿宋_GB2312" w:cs="Times New Roman"/>
                <w:color w:val="auto"/>
                <w:sz w:val="24"/>
                <w:szCs w:val="18"/>
                <w:highlight w:val="none"/>
                <w:lang w:val="en-US" w:eastAsia="zh-CN"/>
              </w:rPr>
              <w:t>四</w:t>
            </w:r>
          </w:p>
        </w:tc>
      </w:tr>
      <w:tr w14:paraId="48512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center"/>
          </w:tcPr>
          <w:p w14:paraId="0C675661">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rPr>
            </w:pPr>
          </w:p>
          <w:p w14:paraId="2981447E">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lang w:val="en-US" w:eastAsia="zh-CN"/>
              </w:rPr>
            </w:pPr>
            <w:r>
              <w:rPr>
                <w:rFonts w:hint="default" w:ascii="Times New Roman" w:hAnsi="Times New Roman" w:eastAsia="仿宋_GB2312" w:cs="Times New Roman"/>
                <w:color w:val="auto"/>
                <w:sz w:val="24"/>
                <w:szCs w:val="18"/>
                <w:highlight w:val="none"/>
                <w:lang w:val="en-US" w:eastAsia="zh-CN"/>
              </w:rPr>
              <w:t>6</w:t>
            </w:r>
          </w:p>
        </w:tc>
        <w:tc>
          <w:tcPr>
            <w:tcW w:w="1650" w:type="dxa"/>
            <w:noWrap w:val="0"/>
            <w:vAlign w:val="center"/>
          </w:tcPr>
          <w:p w14:paraId="7B8BEB43">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rPr>
            </w:pPr>
          </w:p>
          <w:p w14:paraId="6172C79E">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lang w:val="en-US" w:eastAsia="zh-CN"/>
              </w:rPr>
            </w:pPr>
            <w:r>
              <w:rPr>
                <w:rFonts w:hint="default" w:ascii="Times New Roman" w:hAnsi="Times New Roman" w:eastAsia="仿宋_GB2312" w:cs="Times New Roman"/>
                <w:color w:val="auto"/>
                <w:sz w:val="24"/>
                <w:szCs w:val="18"/>
                <w:highlight w:val="none"/>
              </w:rPr>
              <w:t>报价</w:t>
            </w:r>
            <w:r>
              <w:rPr>
                <w:rFonts w:hint="default" w:ascii="Times New Roman" w:hAnsi="Times New Roman" w:eastAsia="仿宋_GB2312" w:cs="Times New Roman"/>
                <w:color w:val="auto"/>
                <w:sz w:val="24"/>
                <w:szCs w:val="18"/>
                <w:highlight w:val="none"/>
                <w:lang w:val="en-US" w:eastAsia="zh-CN"/>
              </w:rPr>
              <w:t>表</w:t>
            </w:r>
          </w:p>
        </w:tc>
        <w:tc>
          <w:tcPr>
            <w:tcW w:w="2192" w:type="dxa"/>
            <w:noWrap w:val="0"/>
            <w:vAlign w:val="center"/>
          </w:tcPr>
          <w:p w14:paraId="6A928CFE">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lang w:val="en-US" w:eastAsia="zh-CN"/>
              </w:rPr>
            </w:pPr>
            <w:r>
              <w:rPr>
                <w:rFonts w:hint="default" w:ascii="Times New Roman" w:hAnsi="Times New Roman" w:eastAsia="仿宋_GB2312" w:cs="Times New Roman"/>
                <w:color w:val="auto"/>
                <w:sz w:val="24"/>
                <w:szCs w:val="18"/>
                <w:highlight w:val="none"/>
              </w:rPr>
              <w:t>符合</w:t>
            </w:r>
            <w:r>
              <w:rPr>
                <w:rFonts w:hint="default" w:ascii="Times New Roman" w:hAnsi="Times New Roman" w:eastAsia="仿宋_GB2312" w:cs="Times New Roman"/>
                <w:color w:val="auto"/>
                <w:sz w:val="24"/>
                <w:szCs w:val="18"/>
                <w:highlight w:val="none"/>
                <w:lang w:val="en-US" w:eastAsia="zh-CN"/>
              </w:rPr>
              <w:t>招标</w:t>
            </w:r>
            <w:r>
              <w:rPr>
                <w:rFonts w:hint="default" w:ascii="Times New Roman" w:hAnsi="Times New Roman" w:eastAsia="仿宋_GB2312" w:cs="Times New Roman"/>
                <w:color w:val="auto"/>
                <w:sz w:val="24"/>
                <w:szCs w:val="18"/>
                <w:highlight w:val="none"/>
              </w:rPr>
              <w:t>文件投标 人须知正文第 1</w:t>
            </w:r>
            <w:r>
              <w:rPr>
                <w:rFonts w:hint="default" w:ascii="Times New Roman" w:hAnsi="Times New Roman" w:eastAsia="仿宋_GB2312" w:cs="Times New Roman"/>
                <w:color w:val="auto"/>
                <w:sz w:val="24"/>
                <w:szCs w:val="18"/>
                <w:highlight w:val="none"/>
                <w:lang w:val="en-US" w:eastAsia="zh-CN"/>
              </w:rPr>
              <w:t>1</w:t>
            </w:r>
            <w:r>
              <w:rPr>
                <w:rFonts w:hint="default" w:ascii="Times New Roman" w:hAnsi="Times New Roman" w:eastAsia="仿宋_GB2312" w:cs="Times New Roman"/>
                <w:color w:val="auto"/>
                <w:sz w:val="24"/>
                <w:szCs w:val="18"/>
                <w:highlight w:val="none"/>
              </w:rPr>
              <w:t xml:space="preserve"> 条要求</w:t>
            </w:r>
          </w:p>
        </w:tc>
        <w:tc>
          <w:tcPr>
            <w:tcW w:w="4674" w:type="dxa"/>
            <w:noWrap w:val="0"/>
            <w:vAlign w:val="center"/>
          </w:tcPr>
          <w:p w14:paraId="02F0A415">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rPr>
            </w:pPr>
          </w:p>
          <w:p w14:paraId="41041F72">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lang w:val="en-US" w:eastAsia="zh-CN"/>
              </w:rPr>
            </w:pPr>
            <w:r>
              <w:rPr>
                <w:rFonts w:hint="default" w:ascii="Times New Roman" w:hAnsi="Times New Roman" w:eastAsia="仿宋_GB2312" w:cs="Times New Roman"/>
                <w:color w:val="auto"/>
                <w:sz w:val="24"/>
                <w:szCs w:val="18"/>
                <w:highlight w:val="none"/>
              </w:rPr>
              <w:t>详见第六章响应文件格式一</w:t>
            </w:r>
          </w:p>
        </w:tc>
      </w:tr>
      <w:tr w14:paraId="02975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center"/>
          </w:tcPr>
          <w:p w14:paraId="7B150BB3">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lang w:val="en-US" w:eastAsia="zh-CN"/>
              </w:rPr>
            </w:pPr>
            <w:r>
              <w:rPr>
                <w:rFonts w:hint="default" w:ascii="Times New Roman" w:hAnsi="Times New Roman" w:eastAsia="仿宋_GB2312" w:cs="Times New Roman"/>
                <w:color w:val="auto"/>
                <w:sz w:val="24"/>
                <w:szCs w:val="18"/>
                <w:highlight w:val="none"/>
                <w:lang w:val="en-US" w:eastAsia="zh-CN"/>
              </w:rPr>
              <w:t>7</w:t>
            </w:r>
          </w:p>
        </w:tc>
        <w:tc>
          <w:tcPr>
            <w:tcW w:w="1650" w:type="dxa"/>
            <w:noWrap w:val="0"/>
            <w:vAlign w:val="center"/>
          </w:tcPr>
          <w:p w14:paraId="2E30DD12">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lang w:val="en-US" w:eastAsia="zh-CN"/>
              </w:rPr>
            </w:pPr>
            <w:r>
              <w:rPr>
                <w:rFonts w:hint="default" w:ascii="Times New Roman" w:hAnsi="Times New Roman" w:eastAsia="仿宋_GB2312" w:cs="Times New Roman"/>
                <w:color w:val="auto"/>
                <w:sz w:val="24"/>
                <w:szCs w:val="18"/>
                <w:highlight w:val="none"/>
              </w:rPr>
              <w:t>商务响应情况</w:t>
            </w:r>
          </w:p>
        </w:tc>
        <w:tc>
          <w:tcPr>
            <w:tcW w:w="2192" w:type="dxa"/>
            <w:noWrap w:val="0"/>
            <w:vAlign w:val="center"/>
          </w:tcPr>
          <w:p w14:paraId="533DD24D">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rPr>
            </w:pPr>
            <w:r>
              <w:rPr>
                <w:rFonts w:hint="default" w:ascii="Times New Roman" w:hAnsi="Times New Roman" w:eastAsia="仿宋_GB2312" w:cs="Times New Roman"/>
                <w:color w:val="auto"/>
                <w:sz w:val="24"/>
                <w:szCs w:val="18"/>
                <w:highlight w:val="none"/>
              </w:rPr>
              <w:t>符合</w:t>
            </w:r>
            <w:r>
              <w:rPr>
                <w:rFonts w:hint="default" w:ascii="Times New Roman" w:hAnsi="Times New Roman" w:eastAsia="仿宋_GB2312" w:cs="Times New Roman"/>
                <w:color w:val="auto"/>
                <w:sz w:val="24"/>
                <w:szCs w:val="18"/>
                <w:highlight w:val="none"/>
                <w:lang w:val="en-US" w:eastAsia="zh-CN"/>
              </w:rPr>
              <w:t>招标</w:t>
            </w:r>
            <w:r>
              <w:rPr>
                <w:rFonts w:hint="default" w:ascii="Times New Roman" w:hAnsi="Times New Roman" w:eastAsia="仿宋_GB2312" w:cs="Times New Roman"/>
                <w:color w:val="auto"/>
                <w:sz w:val="24"/>
                <w:szCs w:val="18"/>
                <w:highlight w:val="none"/>
              </w:rPr>
              <w:t>文件招标</w:t>
            </w:r>
          </w:p>
          <w:p w14:paraId="0B44C99F">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lang w:val="en-US" w:eastAsia="zh-CN"/>
              </w:rPr>
            </w:pPr>
            <w:r>
              <w:rPr>
                <w:rFonts w:hint="default" w:ascii="Times New Roman" w:hAnsi="Times New Roman" w:eastAsia="仿宋_GB2312" w:cs="Times New Roman"/>
                <w:color w:val="auto"/>
                <w:sz w:val="24"/>
                <w:szCs w:val="18"/>
                <w:highlight w:val="none"/>
              </w:rPr>
              <w:t>需求中付款方式</w:t>
            </w:r>
            <w:r>
              <w:rPr>
                <w:rFonts w:hint="default" w:ascii="Times New Roman" w:hAnsi="Times New Roman" w:eastAsia="仿宋_GB2312" w:cs="Times New Roman"/>
                <w:color w:val="auto"/>
                <w:sz w:val="24"/>
                <w:szCs w:val="18"/>
                <w:highlight w:val="none"/>
                <w:lang w:eastAsia="zh-CN"/>
              </w:rPr>
              <w:t>、</w:t>
            </w:r>
            <w:r>
              <w:rPr>
                <w:rFonts w:hint="default" w:ascii="Times New Roman" w:hAnsi="Times New Roman" w:eastAsia="仿宋_GB2312" w:cs="Times New Roman"/>
                <w:color w:val="auto"/>
                <w:sz w:val="24"/>
                <w:szCs w:val="18"/>
                <w:highlight w:val="none"/>
                <w:lang w:val="en-US" w:eastAsia="zh-CN"/>
              </w:rPr>
              <w:t>服务</w:t>
            </w:r>
            <w:r>
              <w:rPr>
                <w:rFonts w:hint="default" w:ascii="Times New Roman" w:hAnsi="Times New Roman" w:eastAsia="仿宋_GB2312" w:cs="Times New Roman"/>
                <w:color w:val="auto"/>
                <w:sz w:val="24"/>
                <w:szCs w:val="18"/>
                <w:highlight w:val="none"/>
              </w:rPr>
              <w:t>地点</w:t>
            </w:r>
            <w:r>
              <w:rPr>
                <w:rFonts w:hint="default" w:ascii="Times New Roman" w:hAnsi="Times New Roman" w:eastAsia="仿宋_GB2312" w:cs="Times New Roman"/>
                <w:color w:val="auto"/>
                <w:sz w:val="24"/>
                <w:szCs w:val="18"/>
                <w:highlight w:val="none"/>
                <w:lang w:eastAsia="zh-CN"/>
              </w:rPr>
              <w:t>、</w:t>
            </w:r>
            <w:r>
              <w:rPr>
                <w:rFonts w:hint="default" w:ascii="Times New Roman" w:hAnsi="Times New Roman" w:eastAsia="仿宋_GB2312" w:cs="Times New Roman"/>
                <w:color w:val="auto"/>
                <w:sz w:val="24"/>
                <w:szCs w:val="18"/>
                <w:highlight w:val="none"/>
                <w:lang w:val="en-US" w:eastAsia="zh-CN"/>
              </w:rPr>
              <w:t>服务</w:t>
            </w:r>
            <w:r>
              <w:rPr>
                <w:rFonts w:hint="default" w:ascii="Times New Roman" w:hAnsi="Times New Roman" w:eastAsia="仿宋_GB2312" w:cs="Times New Roman"/>
                <w:color w:val="auto"/>
                <w:sz w:val="24"/>
                <w:szCs w:val="18"/>
                <w:highlight w:val="none"/>
              </w:rPr>
              <w:t>期限的要求</w:t>
            </w:r>
          </w:p>
        </w:tc>
        <w:tc>
          <w:tcPr>
            <w:tcW w:w="4674" w:type="dxa"/>
            <w:noWrap w:val="0"/>
            <w:vAlign w:val="center"/>
          </w:tcPr>
          <w:p w14:paraId="1B79CE96">
            <w:pPr>
              <w:shd w:val="clear" w:color="auto" w:fill="auto"/>
              <w:spacing w:after="50" w:line="360" w:lineRule="auto"/>
              <w:ind w:right="-10"/>
              <w:jc w:val="center"/>
              <w:rPr>
                <w:rFonts w:hint="default" w:ascii="Times New Roman" w:hAnsi="Times New Roman" w:eastAsia="仿宋_GB2312" w:cs="Times New Roman"/>
                <w:color w:val="auto"/>
                <w:sz w:val="24"/>
                <w:szCs w:val="18"/>
                <w:highlight w:val="none"/>
                <w:lang w:val="en-US" w:eastAsia="zh-CN"/>
              </w:rPr>
            </w:pPr>
            <w:r>
              <w:rPr>
                <w:rFonts w:hint="default" w:ascii="Times New Roman" w:hAnsi="Times New Roman" w:eastAsia="仿宋_GB2312" w:cs="Times New Roman"/>
                <w:color w:val="auto"/>
                <w:sz w:val="24"/>
                <w:szCs w:val="18"/>
                <w:highlight w:val="none"/>
              </w:rPr>
              <w:t>详见第六章</w:t>
            </w:r>
            <w:r>
              <w:rPr>
                <w:rFonts w:hint="default" w:ascii="Times New Roman" w:hAnsi="Times New Roman" w:eastAsia="仿宋_GB2312" w:cs="Times New Roman"/>
                <w:color w:val="auto"/>
                <w:sz w:val="24"/>
                <w:szCs w:val="18"/>
                <w:highlight w:val="none"/>
                <w:lang w:val="en-US" w:eastAsia="zh-CN"/>
              </w:rPr>
              <w:t>投标</w:t>
            </w:r>
            <w:r>
              <w:rPr>
                <w:rFonts w:hint="default" w:ascii="Times New Roman" w:hAnsi="Times New Roman" w:eastAsia="仿宋_GB2312" w:cs="Times New Roman"/>
                <w:color w:val="auto"/>
                <w:sz w:val="24"/>
                <w:szCs w:val="18"/>
                <w:highlight w:val="none"/>
              </w:rPr>
              <w:t>文件格式</w:t>
            </w:r>
            <w:r>
              <w:rPr>
                <w:rFonts w:hint="default" w:ascii="Times New Roman" w:hAnsi="Times New Roman" w:eastAsia="仿宋_GB2312" w:cs="Times New Roman"/>
                <w:b/>
                <w:bCs/>
                <w:color w:val="auto"/>
                <w:sz w:val="24"/>
                <w:highlight w:val="none"/>
                <w:lang w:val="en-US" w:eastAsia="zh-CN"/>
              </w:rPr>
              <w:t>七</w:t>
            </w:r>
          </w:p>
        </w:tc>
      </w:tr>
      <w:tr w14:paraId="6B3A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center"/>
          </w:tcPr>
          <w:p w14:paraId="55D6EBEE">
            <w:pPr>
              <w:adjustRightInd w:val="0"/>
              <w:snapToGrid w:val="0"/>
              <w:spacing w:line="360" w:lineRule="auto"/>
              <w:ind w:right="-10" w:rightChars="0"/>
              <w:jc w:val="center"/>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8</w:t>
            </w:r>
          </w:p>
        </w:tc>
        <w:tc>
          <w:tcPr>
            <w:tcW w:w="1650" w:type="dxa"/>
            <w:noWrap w:val="0"/>
            <w:vAlign w:val="center"/>
          </w:tcPr>
          <w:p w14:paraId="0E1F59BE">
            <w:pPr>
              <w:spacing w:after="50" w:line="360" w:lineRule="auto"/>
              <w:ind w:right="-10" w:rightChars="0"/>
              <w:jc w:val="center"/>
              <w:rPr>
                <w:rFonts w:hint="default" w:ascii="Times New Roman" w:hAnsi="Times New Roman" w:eastAsia="仿宋_GB2312" w:cs="Times New Roman"/>
                <w:b w:val="0"/>
                <w:bCs w:val="0"/>
                <w:color w:val="auto"/>
                <w:sz w:val="24"/>
                <w:szCs w:val="28"/>
                <w:highlight w:val="none"/>
              </w:rPr>
            </w:pPr>
            <w:r>
              <w:rPr>
                <w:rFonts w:hint="default" w:ascii="Times New Roman" w:hAnsi="Times New Roman" w:eastAsia="仿宋_GB2312" w:cs="Times New Roman"/>
                <w:b w:val="0"/>
                <w:bCs w:val="0"/>
                <w:color w:val="auto"/>
                <w:sz w:val="24"/>
                <w:szCs w:val="28"/>
                <w:highlight w:val="none"/>
                <w:lang w:val="en-US" w:eastAsia="zh-CN"/>
              </w:rPr>
              <w:t>承诺函</w:t>
            </w:r>
          </w:p>
        </w:tc>
        <w:tc>
          <w:tcPr>
            <w:tcW w:w="2192" w:type="dxa"/>
            <w:noWrap w:val="0"/>
            <w:vAlign w:val="center"/>
          </w:tcPr>
          <w:p w14:paraId="007267A5">
            <w:pPr>
              <w:spacing w:after="50" w:line="360" w:lineRule="auto"/>
              <w:ind w:right="-10"/>
              <w:jc w:val="center"/>
              <w:rPr>
                <w:rFonts w:hint="default" w:ascii="Times New Roman" w:hAnsi="Times New Roman" w:eastAsia="仿宋_GB2312" w:cs="Times New Roman"/>
                <w:b w:val="0"/>
                <w:bCs w:val="0"/>
                <w:color w:val="auto"/>
                <w:sz w:val="24"/>
                <w:szCs w:val="28"/>
                <w:highlight w:val="none"/>
              </w:rPr>
            </w:pPr>
            <w:r>
              <w:rPr>
                <w:rFonts w:hint="default" w:ascii="Times New Roman" w:hAnsi="Times New Roman" w:eastAsia="仿宋_GB2312" w:cs="Times New Roman"/>
                <w:b w:val="0"/>
                <w:bCs w:val="0"/>
                <w:color w:val="auto"/>
                <w:sz w:val="24"/>
                <w:szCs w:val="28"/>
                <w:highlight w:val="none"/>
              </w:rPr>
              <w:t>符合磋商文件采购</w:t>
            </w:r>
          </w:p>
          <w:p w14:paraId="536D9BB6">
            <w:pPr>
              <w:spacing w:after="50" w:line="360" w:lineRule="auto"/>
              <w:ind w:right="-10" w:rightChars="0"/>
              <w:jc w:val="center"/>
              <w:rPr>
                <w:rFonts w:hint="default" w:ascii="Times New Roman" w:hAnsi="Times New Roman" w:eastAsia="仿宋_GB2312" w:cs="Times New Roman"/>
                <w:b w:val="0"/>
                <w:bCs w:val="0"/>
                <w:color w:val="auto"/>
                <w:sz w:val="24"/>
                <w:szCs w:val="28"/>
                <w:highlight w:val="none"/>
              </w:rPr>
            </w:pPr>
            <w:r>
              <w:rPr>
                <w:rFonts w:hint="default" w:ascii="Times New Roman" w:hAnsi="Times New Roman" w:eastAsia="仿宋_GB2312" w:cs="Times New Roman"/>
                <w:b w:val="0"/>
                <w:bCs w:val="0"/>
                <w:color w:val="auto"/>
                <w:sz w:val="24"/>
                <w:szCs w:val="28"/>
                <w:highlight w:val="none"/>
              </w:rPr>
              <w:t>需求中的要求</w:t>
            </w:r>
          </w:p>
        </w:tc>
        <w:tc>
          <w:tcPr>
            <w:tcW w:w="4674" w:type="dxa"/>
            <w:noWrap w:val="0"/>
            <w:vAlign w:val="center"/>
          </w:tcPr>
          <w:p w14:paraId="368069B4">
            <w:pPr>
              <w:adjustRightInd w:val="0"/>
              <w:snapToGrid w:val="0"/>
              <w:spacing w:line="360" w:lineRule="auto"/>
              <w:ind w:right="-10" w:rightChars="0"/>
              <w:jc w:val="center"/>
              <w:rPr>
                <w:rFonts w:hint="default" w:ascii="Times New Roman" w:hAnsi="Times New Roman" w:eastAsia="仿宋_GB2312" w:cs="Times New Roman"/>
                <w:b w:val="0"/>
                <w:bCs w:val="0"/>
                <w:color w:val="auto"/>
                <w:sz w:val="24"/>
                <w:szCs w:val="18"/>
                <w:highlight w:val="none"/>
                <w:vertAlign w:val="baseline"/>
                <w:lang w:val="en-US" w:eastAsia="zh-CN"/>
              </w:rPr>
            </w:pPr>
            <w:r>
              <w:rPr>
                <w:rFonts w:hint="default" w:ascii="Times New Roman" w:hAnsi="Times New Roman" w:eastAsia="仿宋_GB2312" w:cs="Times New Roman"/>
                <w:b w:val="0"/>
                <w:bCs w:val="0"/>
                <w:color w:val="auto"/>
                <w:sz w:val="24"/>
                <w:highlight w:val="none"/>
              </w:rPr>
              <w:t>详见第六章响应文件格式</w:t>
            </w:r>
            <w:r>
              <w:rPr>
                <w:rFonts w:hint="default" w:ascii="Times New Roman" w:hAnsi="Times New Roman" w:eastAsia="仿宋_GB2312" w:cs="Times New Roman"/>
                <w:b w:val="0"/>
                <w:bCs w:val="0"/>
                <w:color w:val="auto"/>
                <w:sz w:val="24"/>
                <w:highlight w:val="none"/>
                <w:lang w:eastAsia="zh-CN"/>
              </w:rPr>
              <w:t>六</w:t>
            </w:r>
          </w:p>
        </w:tc>
      </w:tr>
      <w:tr w14:paraId="3B9A0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tcBorders>
              <w:bottom w:val="single" w:color="auto" w:sz="4" w:space="0"/>
            </w:tcBorders>
            <w:noWrap w:val="0"/>
            <w:vAlign w:val="center"/>
          </w:tcPr>
          <w:p w14:paraId="1ED3E550">
            <w:pPr>
              <w:keepNext w:val="0"/>
              <w:keepLines w:val="0"/>
              <w:suppressLineNumbers w:val="0"/>
              <w:spacing w:before="0" w:beforeAutospacing="0" w:after="50" w:afterAutospacing="0" w:line="360" w:lineRule="auto"/>
              <w:ind w:left="0" w:leftChars="0" w:right="-10" w:rightChars="0"/>
              <w:jc w:val="center"/>
              <w:rPr>
                <w:rFonts w:hint="default" w:ascii="Times New Roman" w:hAnsi="Times New Roman" w:eastAsia="仿宋_GB2312" w:cs="Times New Roman"/>
                <w:color w:val="auto"/>
                <w:sz w:val="24"/>
                <w:szCs w:val="18"/>
                <w:highlight w:val="none"/>
                <w:lang w:val="en-US" w:eastAsia="zh-CN"/>
              </w:rPr>
            </w:pPr>
            <w:r>
              <w:rPr>
                <w:rFonts w:hint="default" w:ascii="Times New Roman" w:hAnsi="Times New Roman" w:eastAsia="仿宋_GB2312" w:cs="Times New Roman"/>
                <w:color w:val="auto"/>
                <w:sz w:val="24"/>
                <w:szCs w:val="18"/>
                <w:highlight w:val="none"/>
                <w:lang w:val="en-US" w:eastAsia="zh-CN"/>
              </w:rPr>
              <w:t>9</w:t>
            </w:r>
          </w:p>
        </w:tc>
        <w:tc>
          <w:tcPr>
            <w:tcW w:w="1650" w:type="dxa"/>
            <w:tcBorders>
              <w:bottom w:val="single" w:color="auto" w:sz="4" w:space="0"/>
            </w:tcBorders>
            <w:noWrap w:val="0"/>
            <w:vAlign w:val="center"/>
          </w:tcPr>
          <w:p w14:paraId="3772D253">
            <w:pPr>
              <w:keepNext w:val="0"/>
              <w:keepLines w:val="0"/>
              <w:suppressLineNumbers w:val="0"/>
              <w:spacing w:before="0" w:beforeAutospacing="0" w:after="50" w:afterAutospacing="0" w:line="360" w:lineRule="auto"/>
              <w:ind w:left="0" w:leftChars="0" w:right="-10" w:rightChars="0"/>
              <w:jc w:val="center"/>
              <w:rPr>
                <w:rFonts w:hint="default" w:ascii="Times New Roman" w:hAnsi="Times New Roman" w:eastAsia="仿宋_GB2312" w:cs="Times New Roman"/>
                <w:b/>
                <w:bCs/>
                <w:color w:val="auto"/>
                <w:sz w:val="24"/>
                <w:szCs w:val="18"/>
                <w:highlight w:val="none"/>
              </w:rPr>
            </w:pPr>
            <w:r>
              <w:rPr>
                <w:rFonts w:hint="default" w:ascii="Times New Roman" w:hAnsi="Times New Roman" w:eastAsia="仿宋_GB2312" w:cs="Times New Roman"/>
                <w:b/>
                <w:bCs/>
                <w:color w:val="auto"/>
                <w:sz w:val="24"/>
                <w:szCs w:val="28"/>
                <w:highlight w:val="none"/>
              </w:rPr>
              <w:t>符合投标人资格中的</w:t>
            </w:r>
            <w:r>
              <w:rPr>
                <w:rFonts w:hint="default" w:ascii="Times New Roman" w:hAnsi="Times New Roman" w:eastAsia="仿宋_GB2312" w:cs="Times New Roman"/>
                <w:b/>
                <w:bCs/>
                <w:color w:val="auto"/>
                <w:sz w:val="24"/>
                <w:szCs w:val="28"/>
                <w:highlight w:val="none"/>
                <w:lang w:eastAsia="zh-CN"/>
              </w:rPr>
              <w:t>业绩</w:t>
            </w:r>
            <w:r>
              <w:rPr>
                <w:rFonts w:hint="default" w:ascii="Times New Roman" w:hAnsi="Times New Roman" w:eastAsia="仿宋_GB2312" w:cs="Times New Roman"/>
                <w:b/>
                <w:bCs/>
                <w:color w:val="auto"/>
                <w:sz w:val="24"/>
                <w:szCs w:val="28"/>
                <w:highlight w:val="none"/>
              </w:rPr>
              <w:t>要求</w:t>
            </w:r>
          </w:p>
        </w:tc>
        <w:tc>
          <w:tcPr>
            <w:tcW w:w="2192" w:type="dxa"/>
            <w:tcBorders>
              <w:bottom w:val="single" w:color="auto" w:sz="4" w:space="0"/>
            </w:tcBorders>
            <w:noWrap w:val="0"/>
            <w:vAlign w:val="center"/>
          </w:tcPr>
          <w:p w14:paraId="3916D58F">
            <w:pPr>
              <w:keepNext w:val="0"/>
              <w:keepLines w:val="0"/>
              <w:suppressLineNumbers w:val="0"/>
              <w:adjustRightInd w:val="0"/>
              <w:snapToGrid w:val="0"/>
              <w:spacing w:before="0" w:beforeAutospacing="0" w:after="0" w:afterAutospacing="0" w:line="360" w:lineRule="auto"/>
              <w:ind w:left="0" w:leftChars="0" w:right="-10" w:rightChars="0"/>
              <w:jc w:val="center"/>
              <w:rPr>
                <w:rFonts w:hint="default" w:ascii="Times New Roman" w:hAnsi="Times New Roman" w:eastAsia="仿宋_GB2312" w:cs="Times New Roman"/>
                <w:b/>
                <w:bCs/>
                <w:color w:val="auto"/>
                <w:sz w:val="24"/>
                <w:szCs w:val="18"/>
                <w:highlight w:val="none"/>
                <w:lang w:eastAsia="zh-CN"/>
              </w:rPr>
            </w:pPr>
            <w:r>
              <w:rPr>
                <w:rFonts w:hint="default" w:ascii="Times New Roman" w:hAnsi="Times New Roman" w:eastAsia="仿宋_GB2312" w:cs="Times New Roman"/>
                <w:b/>
                <w:bCs/>
                <w:color w:val="auto"/>
                <w:sz w:val="24"/>
                <w:szCs w:val="20"/>
                <w:highlight w:val="none"/>
              </w:rPr>
              <w:t>提供</w:t>
            </w:r>
            <w:r>
              <w:rPr>
                <w:rFonts w:hint="default" w:ascii="Times New Roman" w:hAnsi="Times New Roman" w:eastAsia="仿宋_GB2312" w:cs="Times New Roman"/>
                <w:b/>
                <w:bCs/>
                <w:color w:val="auto"/>
                <w:sz w:val="24"/>
                <w:szCs w:val="28"/>
                <w:highlight w:val="none"/>
              </w:rPr>
              <w:t>符合投标人资格中要求的</w:t>
            </w:r>
            <w:r>
              <w:rPr>
                <w:rFonts w:hint="default" w:ascii="Times New Roman" w:hAnsi="Times New Roman" w:eastAsia="仿宋_GB2312" w:cs="Times New Roman"/>
                <w:b/>
                <w:bCs/>
                <w:color w:val="auto"/>
                <w:sz w:val="24"/>
                <w:szCs w:val="28"/>
                <w:highlight w:val="none"/>
                <w:lang w:eastAsia="zh-CN"/>
              </w:rPr>
              <w:t>业绩证明材料</w:t>
            </w:r>
          </w:p>
        </w:tc>
        <w:tc>
          <w:tcPr>
            <w:tcW w:w="4674" w:type="dxa"/>
            <w:tcBorders>
              <w:bottom w:val="single" w:color="auto" w:sz="4" w:space="0"/>
            </w:tcBorders>
            <w:noWrap w:val="0"/>
            <w:vAlign w:val="center"/>
          </w:tcPr>
          <w:p w14:paraId="2C7F4614">
            <w:pPr>
              <w:keepNext w:val="0"/>
              <w:keepLines w:val="0"/>
              <w:suppressLineNumbers w:val="0"/>
              <w:spacing w:before="0" w:beforeAutospacing="0" w:after="50" w:afterAutospacing="0" w:line="360" w:lineRule="auto"/>
              <w:ind w:left="0" w:leftChars="0" w:right="-10" w:rightChars="0"/>
              <w:jc w:val="center"/>
              <w:rPr>
                <w:rFonts w:hint="default" w:ascii="Times New Roman" w:hAnsi="Times New Roman" w:eastAsia="仿宋_GB2312" w:cs="Times New Roman"/>
                <w:b/>
                <w:bCs/>
                <w:color w:val="auto"/>
                <w:kern w:val="2"/>
                <w:sz w:val="21"/>
                <w:highlight w:val="none"/>
                <w:lang w:val="en-US" w:eastAsia="zh-CN" w:bidi="ar-SA"/>
              </w:rPr>
            </w:pPr>
            <w:r>
              <w:rPr>
                <w:rFonts w:hint="default" w:ascii="Times New Roman" w:hAnsi="Times New Roman" w:eastAsia="仿宋_GB2312" w:cs="Times New Roman"/>
                <w:b/>
                <w:bCs/>
                <w:color w:val="auto"/>
                <w:sz w:val="24"/>
                <w:highlight w:val="none"/>
              </w:rPr>
              <w:t>详见第六章响应文件格式</w:t>
            </w:r>
            <w:r>
              <w:rPr>
                <w:rFonts w:hint="default" w:ascii="Times New Roman" w:hAnsi="Times New Roman" w:eastAsia="仿宋_GB2312" w:cs="Times New Roman"/>
                <w:b/>
                <w:bCs/>
                <w:color w:val="auto"/>
                <w:sz w:val="24"/>
                <w:szCs w:val="28"/>
                <w:highlight w:val="none"/>
              </w:rPr>
              <w:t>五</w:t>
            </w:r>
          </w:p>
        </w:tc>
      </w:tr>
    </w:tbl>
    <w:p w14:paraId="47847403">
      <w:pPr>
        <w:shd w:val="clear" w:color="auto" w:fill="auto"/>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rPr>
        <w:t>资格审查指标通过标准：</w:t>
      </w:r>
      <w:r>
        <w:rPr>
          <w:rFonts w:hint="default" w:ascii="Times New Roman" w:hAnsi="Times New Roman" w:eastAsia="宋体" w:cs="Times New Roman"/>
          <w:color w:val="auto"/>
          <w:sz w:val="24"/>
          <w:highlight w:val="none"/>
        </w:rPr>
        <w:t>投标人必须通过资格审查表中的全部评审指标。</w:t>
      </w:r>
    </w:p>
    <w:p w14:paraId="22DC5236">
      <w:pPr>
        <w:pStyle w:val="31"/>
        <w:ind w:firstLine="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2.2 本项目采用</w:t>
      </w:r>
      <w:r>
        <w:rPr>
          <w:rFonts w:hint="default" w:ascii="Times New Roman" w:hAnsi="Times New Roman" w:cs="Times New Roman"/>
          <w:color w:val="auto"/>
          <w:sz w:val="24"/>
          <w:highlight w:val="none"/>
          <w:lang w:val="en-US" w:eastAsia="zh-CN"/>
        </w:rPr>
        <w:t>综合评分法。</w:t>
      </w:r>
    </w:p>
    <w:tbl>
      <w:tblPr>
        <w:tblStyle w:val="41"/>
        <w:tblpPr w:leftFromText="180" w:rightFromText="180" w:vertAnchor="text" w:horzAnchor="page" w:tblpX="1898" w:tblpY="337"/>
        <w:tblOverlap w:val="never"/>
        <w:tblW w:w="80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976"/>
        <w:gridCol w:w="5174"/>
      </w:tblGrid>
      <w:tr w14:paraId="5AA23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3646">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条款</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0606">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评审因素</w:t>
            </w:r>
          </w:p>
        </w:tc>
        <w:tc>
          <w:tcPr>
            <w:tcW w:w="6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56E98">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评审标准</w:t>
            </w:r>
          </w:p>
        </w:tc>
      </w:tr>
      <w:tr w14:paraId="0C2CB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F6800">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商务评分标准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19C4">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认证证书</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858A">
            <w:pPr>
              <w:keepNext w:val="0"/>
              <w:keepLines w:val="0"/>
              <w:widowControl/>
              <w:suppressLineNumbers w:val="0"/>
              <w:jc w:val="both"/>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r>
              <w:rPr>
                <w:rFonts w:hint="eastAsia" w:ascii="Times New Roman" w:hAnsi="Times New Roman" w:cs="Times New Roman"/>
                <w:i w:val="0"/>
                <w:iCs w:val="0"/>
                <w:color w:val="auto"/>
                <w:kern w:val="0"/>
                <w:sz w:val="21"/>
                <w:szCs w:val="21"/>
                <w:highlight w:val="none"/>
                <w:u w:val="none"/>
                <w:lang w:val="en-US" w:eastAsia="zh-CN" w:bidi="ar"/>
              </w:rPr>
              <w:t>9</w:t>
            </w:r>
            <w:r>
              <w:rPr>
                <w:rFonts w:hint="default" w:ascii="Times New Roman" w:hAnsi="Times New Roman" w:eastAsia="仿宋_GB2312" w:cs="Times New Roman"/>
                <w:i w:val="0"/>
                <w:iCs w:val="0"/>
                <w:color w:val="auto"/>
                <w:kern w:val="0"/>
                <w:sz w:val="21"/>
                <w:szCs w:val="21"/>
                <w:highlight w:val="none"/>
                <w:u w:val="none"/>
                <w:lang w:val="en-US" w:eastAsia="zh-CN" w:bidi="ar"/>
              </w:rPr>
              <w:t>分</w:t>
            </w:r>
          </w:p>
        </w:tc>
        <w:tc>
          <w:tcPr>
            <w:tcW w:w="5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986A">
            <w:pPr>
              <w:keepNext w:val="0"/>
              <w:keepLines w:val="0"/>
              <w:widowControl/>
              <w:numPr>
                <w:ilvl w:val="-1"/>
                <w:numId w:val="0"/>
              </w:numPr>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所投产品中“</w:t>
            </w:r>
            <w:r>
              <w:rPr>
                <w:rFonts w:hint="eastAsia" w:ascii="Times New Roman" w:hAnsi="Times New Roman" w:cs="Times New Roman"/>
                <w:color w:val="auto"/>
                <w:kern w:val="0"/>
                <w:szCs w:val="21"/>
                <w:highlight w:val="none"/>
                <w:u w:val="none"/>
                <w:lang w:eastAsia="zh-CN" w:bidi="ar"/>
              </w:rPr>
              <w:t>单头矮汤炉</w:t>
            </w:r>
            <w:r>
              <w:rPr>
                <w:rFonts w:hint="default" w:ascii="Times New Roman" w:hAnsi="Times New Roman" w:eastAsia="仿宋_GB2312" w:cs="Times New Roman"/>
                <w:i w:val="0"/>
                <w:iCs w:val="0"/>
                <w:color w:val="auto"/>
                <w:kern w:val="0"/>
                <w:sz w:val="21"/>
                <w:szCs w:val="21"/>
                <w:highlight w:val="none"/>
                <w:u w:val="none"/>
                <w:lang w:val="en-US" w:eastAsia="zh-CN" w:bidi="ar"/>
              </w:rPr>
              <w:t>”、“</w:t>
            </w:r>
            <w:r>
              <w:rPr>
                <w:rFonts w:hint="eastAsia" w:ascii="Times New Roman" w:hAnsi="Times New Roman" w:cs="Times New Roman"/>
                <w:i w:val="0"/>
                <w:iCs w:val="0"/>
                <w:color w:val="auto"/>
                <w:kern w:val="0"/>
                <w:sz w:val="21"/>
                <w:szCs w:val="21"/>
                <w:highlight w:val="none"/>
                <w:u w:val="none"/>
                <w:lang w:val="en-US" w:eastAsia="zh-CN" w:bidi="ar"/>
              </w:rPr>
              <w:t>单头单尾小炒灶</w:t>
            </w: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 ”、“ </w:t>
            </w:r>
            <w:r>
              <w:rPr>
                <w:rFonts w:hint="eastAsia" w:ascii="Times New Roman" w:hAnsi="Times New Roman" w:cs="Times New Roman"/>
                <w:i w:val="0"/>
                <w:iCs w:val="0"/>
                <w:color w:val="auto"/>
                <w:kern w:val="0"/>
                <w:sz w:val="21"/>
                <w:szCs w:val="21"/>
                <w:highlight w:val="none"/>
                <w:u w:val="none"/>
                <w:lang w:val="en-US" w:eastAsia="zh-CN" w:bidi="ar"/>
              </w:rPr>
              <w:t>炉拼台</w:t>
            </w: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 ”须 获得技术标准为 GB35848-2024《商用燃气燃烧器具》的中国国家强制性产品认证证书。 每提供一个得</w:t>
            </w:r>
            <w:r>
              <w:rPr>
                <w:rFonts w:hint="eastAsia" w:ascii="Times New Roman" w:hAnsi="Times New Roman" w:cs="Times New Roman"/>
                <w:i w:val="0"/>
                <w:iCs w:val="0"/>
                <w:color w:val="auto"/>
                <w:kern w:val="0"/>
                <w:sz w:val="21"/>
                <w:szCs w:val="21"/>
                <w:highlight w:val="none"/>
                <w:u w:val="none"/>
                <w:lang w:val="en-US" w:eastAsia="zh-CN" w:bidi="ar"/>
              </w:rPr>
              <w:t>3</w:t>
            </w:r>
            <w:r>
              <w:rPr>
                <w:rFonts w:hint="default" w:ascii="Times New Roman" w:hAnsi="Times New Roman" w:eastAsia="仿宋_GB2312" w:cs="Times New Roman"/>
                <w:i w:val="0"/>
                <w:iCs w:val="0"/>
                <w:color w:val="auto"/>
                <w:kern w:val="0"/>
                <w:sz w:val="21"/>
                <w:szCs w:val="21"/>
                <w:highlight w:val="none"/>
                <w:u w:val="none"/>
                <w:lang w:val="en-US" w:eastAsia="zh-CN" w:bidi="ar"/>
              </w:rPr>
              <w:t>分，本项满分</w:t>
            </w:r>
            <w:r>
              <w:rPr>
                <w:rFonts w:hint="eastAsia" w:ascii="Times New Roman" w:hAnsi="Times New Roman" w:cs="Times New Roman"/>
                <w:i w:val="0"/>
                <w:iCs w:val="0"/>
                <w:color w:val="auto"/>
                <w:kern w:val="0"/>
                <w:sz w:val="21"/>
                <w:szCs w:val="21"/>
                <w:highlight w:val="none"/>
                <w:u w:val="none"/>
                <w:lang w:val="en-US" w:eastAsia="zh-CN" w:bidi="ar"/>
              </w:rPr>
              <w:t>9</w:t>
            </w:r>
            <w:r>
              <w:rPr>
                <w:rFonts w:hint="default" w:ascii="Times New Roman" w:hAnsi="Times New Roman" w:eastAsia="仿宋_GB2312" w:cs="Times New Roman"/>
                <w:i w:val="0"/>
                <w:iCs w:val="0"/>
                <w:color w:val="auto"/>
                <w:kern w:val="0"/>
                <w:sz w:val="21"/>
                <w:szCs w:val="21"/>
                <w:highlight w:val="none"/>
                <w:u w:val="none"/>
                <w:lang w:val="en-US" w:eastAsia="zh-CN" w:bidi="ar"/>
              </w:rPr>
              <w:t>分。</w:t>
            </w:r>
          </w:p>
          <w:p w14:paraId="4FD76A71">
            <w:pPr>
              <w:keepNext w:val="0"/>
              <w:keepLines w:val="0"/>
              <w:widowControl/>
              <w:numPr>
                <w:ilvl w:val="-1"/>
                <w:numId w:val="0"/>
              </w:numPr>
              <w:textAlignment w:val="center"/>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lang w:eastAsia="zh-CN"/>
              </w:rPr>
              <w:t>注：</w:t>
            </w:r>
            <w:r>
              <w:rPr>
                <w:rFonts w:hint="default" w:ascii="Times New Roman" w:hAnsi="Times New Roman" w:eastAsia="仿宋_GB2312" w:cs="Times New Roman"/>
                <w:color w:val="auto"/>
                <w:highlight w:val="none"/>
              </w:rPr>
              <w:t>投标人提供同样功能、名称不同的上述设备经评标委员会认可可给予对应得分。</w:t>
            </w:r>
          </w:p>
        </w:tc>
      </w:tr>
      <w:tr w14:paraId="50F8C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EE45D">
            <w:pPr>
              <w:jc w:val="center"/>
              <w:rPr>
                <w:rFonts w:hint="default" w:ascii="Times New Roman" w:hAnsi="Times New Roman" w:eastAsia="仿宋_GB2312" w:cs="Times New Roman"/>
                <w:i w:val="0"/>
                <w:iCs w:val="0"/>
                <w:color w:val="auto"/>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8DDA">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产品性能</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DDCF0">
            <w:pPr>
              <w:keepNext w:val="0"/>
              <w:keepLines w:val="0"/>
              <w:widowControl/>
              <w:suppressLineNumbers w:val="0"/>
              <w:jc w:val="both"/>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0-6 分</w:t>
            </w:r>
          </w:p>
        </w:tc>
        <w:tc>
          <w:tcPr>
            <w:tcW w:w="5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66C3">
            <w:pPr>
              <w:keepNext w:val="0"/>
              <w:keepLines w:val="0"/>
              <w:widowControl/>
              <w:suppressLineNumbers w:val="0"/>
              <w:jc w:val="both"/>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所投任意产品被政府部门列入节能、环保、</w:t>
            </w:r>
            <w:r>
              <w:rPr>
                <w:rStyle w:val="196"/>
                <w:rFonts w:hint="default" w:ascii="Times New Roman" w:hAnsi="Times New Roman" w:eastAsia="仿宋_GB2312" w:cs="Times New Roman"/>
                <w:color w:val="auto"/>
                <w:highlight w:val="none"/>
                <w:lang w:val="en-US" w:eastAsia="zh-CN" w:bidi="ar"/>
              </w:rPr>
              <w:t>绿色类产品推荐应用目录的，每提供一种产品得</w:t>
            </w:r>
            <w:r>
              <w:rPr>
                <w:rStyle w:val="195"/>
                <w:rFonts w:hint="default" w:ascii="Times New Roman" w:hAnsi="Times New Roman" w:eastAsia="仿宋_GB2312" w:cs="Times New Roman"/>
                <w:color w:val="auto"/>
                <w:highlight w:val="none"/>
                <w:lang w:val="en-US" w:eastAsia="zh-CN" w:bidi="ar"/>
              </w:rPr>
              <w:t xml:space="preserve"> 3</w:t>
            </w:r>
            <w:r>
              <w:rPr>
                <w:rStyle w:val="196"/>
                <w:rFonts w:hint="default" w:ascii="Times New Roman" w:hAnsi="Times New Roman" w:eastAsia="仿宋_GB2312" w:cs="Times New Roman"/>
                <w:color w:val="auto"/>
                <w:highlight w:val="none"/>
                <w:lang w:val="en-US" w:eastAsia="zh-CN" w:bidi="ar"/>
              </w:rPr>
              <w:t>分，满分</w:t>
            </w:r>
            <w:r>
              <w:rPr>
                <w:rStyle w:val="195"/>
                <w:rFonts w:hint="default" w:ascii="Times New Roman" w:hAnsi="Times New Roman" w:eastAsia="仿宋_GB2312" w:cs="Times New Roman"/>
                <w:color w:val="auto"/>
                <w:highlight w:val="none"/>
                <w:lang w:val="en-US" w:eastAsia="zh-CN" w:bidi="ar"/>
              </w:rPr>
              <w:t xml:space="preserve"> 6 </w:t>
            </w:r>
            <w:r>
              <w:rPr>
                <w:rStyle w:val="196"/>
                <w:rFonts w:hint="default" w:ascii="Times New Roman" w:hAnsi="Times New Roman" w:eastAsia="仿宋_GB2312" w:cs="Times New Roman"/>
                <w:color w:val="auto"/>
                <w:highlight w:val="none"/>
                <w:lang w:val="en-US" w:eastAsia="zh-CN" w:bidi="ar"/>
              </w:rPr>
              <w:t>分。未提供不得分。</w:t>
            </w:r>
            <w:r>
              <w:rPr>
                <w:rStyle w:val="195"/>
                <w:rFonts w:hint="default" w:ascii="Times New Roman" w:hAnsi="Times New Roman" w:eastAsia="仿宋_GB2312" w:cs="Times New Roman"/>
                <w:color w:val="auto"/>
                <w:highlight w:val="none"/>
                <w:lang w:val="en-US" w:eastAsia="zh-CN" w:bidi="ar"/>
              </w:rPr>
              <w:br w:type="textWrapping"/>
            </w:r>
            <w:r>
              <w:rPr>
                <w:rStyle w:val="196"/>
                <w:rFonts w:hint="default" w:ascii="Times New Roman" w:hAnsi="Times New Roman" w:eastAsia="仿宋_GB2312" w:cs="Times New Roman"/>
                <w:color w:val="auto"/>
                <w:highlight w:val="none"/>
                <w:lang w:val="en-US" w:eastAsia="zh-CN" w:bidi="ar"/>
              </w:rPr>
              <w:t>注：投标文件中提供政府部门发布的目录文件或产品目录官网截图证明，所提供的文件或截图须能清楚体现投标人名称和产品，否则不予认可。</w:t>
            </w:r>
            <w:r>
              <w:rPr>
                <w:rFonts w:hint="default" w:ascii="Times New Roman" w:hAnsi="Times New Roman" w:eastAsia="仿宋_GB2312" w:cs="Times New Roman"/>
                <w:color w:val="auto"/>
                <w:highlight w:val="none"/>
              </w:rPr>
              <w:t>投标人提供同样功能、名称不同的上述</w:t>
            </w:r>
            <w:r>
              <w:rPr>
                <w:rFonts w:hint="default" w:ascii="Times New Roman" w:hAnsi="Times New Roman" w:eastAsia="仿宋_GB2312" w:cs="Times New Roman"/>
                <w:color w:val="auto"/>
                <w:highlight w:val="none"/>
                <w:lang w:eastAsia="zh-CN"/>
              </w:rPr>
              <w:t>产品</w:t>
            </w:r>
            <w:r>
              <w:rPr>
                <w:rFonts w:hint="default" w:ascii="Times New Roman" w:hAnsi="Times New Roman" w:eastAsia="仿宋_GB2312" w:cs="Times New Roman"/>
                <w:color w:val="auto"/>
                <w:highlight w:val="none"/>
              </w:rPr>
              <w:t>经评标委员会认可可给予对应得分。</w:t>
            </w:r>
          </w:p>
        </w:tc>
      </w:tr>
      <w:tr w14:paraId="4FFA4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95DE1">
            <w:pPr>
              <w:jc w:val="center"/>
              <w:rPr>
                <w:rFonts w:hint="default" w:ascii="Times New Roman" w:hAnsi="Times New Roman" w:eastAsia="仿宋_GB2312" w:cs="Times New Roman"/>
                <w:i w:val="0"/>
                <w:iCs w:val="0"/>
                <w:color w:val="auto"/>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38EE">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br w:type="textWrapping"/>
            </w:r>
            <w:r>
              <w:rPr>
                <w:rFonts w:hint="default" w:ascii="Times New Roman" w:hAnsi="Times New Roman" w:eastAsia="仿宋_GB2312" w:cs="Times New Roman"/>
                <w:i w:val="0"/>
                <w:iCs w:val="0"/>
                <w:color w:val="auto"/>
                <w:kern w:val="0"/>
                <w:sz w:val="21"/>
                <w:szCs w:val="21"/>
                <w:highlight w:val="none"/>
                <w:u w:val="none"/>
                <w:lang w:val="en-US" w:eastAsia="zh-CN" w:bidi="ar"/>
              </w:rPr>
              <w:t>投标人业绩</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2F5F">
            <w:pPr>
              <w:keepNext w:val="0"/>
              <w:keepLines w:val="0"/>
              <w:widowControl/>
              <w:suppressLineNumbers w:val="0"/>
              <w:jc w:val="both"/>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0-9 分</w:t>
            </w:r>
          </w:p>
        </w:tc>
        <w:tc>
          <w:tcPr>
            <w:tcW w:w="5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FE12">
            <w:pPr>
              <w:keepNext w:val="0"/>
              <w:keepLines w:val="0"/>
              <w:widowControl/>
              <w:suppressLineNumbers w:val="0"/>
              <w:jc w:val="both"/>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除初审业绩外，自 2021 年 1 月 1 日以来（以合同签订时间为准），投标人具有合同金额 不低于10万元的厨房设备供货项目业绩</w:t>
            </w:r>
            <w:r>
              <w:rPr>
                <w:rFonts w:hint="default" w:ascii="Times New Roman" w:hAnsi="Times New Roman" w:eastAsia="仿宋_GB2312" w:cs="Times New Roman"/>
                <w:i w:val="0"/>
                <w:iCs w:val="0"/>
                <w:color w:val="auto"/>
                <w:kern w:val="0"/>
                <w:sz w:val="21"/>
                <w:szCs w:val="21"/>
                <w:highlight w:val="none"/>
                <w:u w:val="none"/>
                <w:lang w:val="en-US" w:eastAsia="zh-CN" w:bidi="ar"/>
              </w:rPr>
              <w:br w:type="textWrapping"/>
            </w:r>
            <w:r>
              <w:rPr>
                <w:rFonts w:hint="default" w:ascii="Times New Roman" w:hAnsi="Times New Roman" w:eastAsia="仿宋_GB2312" w:cs="Times New Roman"/>
                <w:i w:val="0"/>
                <w:iCs w:val="0"/>
                <w:color w:val="auto"/>
                <w:kern w:val="0"/>
                <w:sz w:val="21"/>
                <w:szCs w:val="21"/>
                <w:highlight w:val="none"/>
                <w:u w:val="none"/>
                <w:lang w:val="en-US" w:eastAsia="zh-CN" w:bidi="ar"/>
              </w:rPr>
              <w:t>的，每提供一个得 3 分，本项满分 9 分。未 提供不得分。</w:t>
            </w:r>
            <w:r>
              <w:rPr>
                <w:rFonts w:hint="default" w:ascii="Times New Roman" w:hAnsi="Times New Roman" w:eastAsia="仿宋_GB2312" w:cs="Times New Roman"/>
                <w:i w:val="0"/>
                <w:iCs w:val="0"/>
                <w:color w:val="auto"/>
                <w:kern w:val="0"/>
                <w:sz w:val="21"/>
                <w:szCs w:val="21"/>
                <w:highlight w:val="none"/>
                <w:u w:val="none"/>
                <w:lang w:val="en-US" w:eastAsia="zh-CN" w:bidi="ar"/>
              </w:rPr>
              <w:br w:type="textWrapping"/>
            </w:r>
            <w:r>
              <w:rPr>
                <w:rFonts w:hint="default" w:ascii="Times New Roman" w:hAnsi="Times New Roman" w:eastAsia="仿宋_GB2312" w:cs="Times New Roman"/>
                <w:i w:val="0"/>
                <w:iCs w:val="0"/>
                <w:color w:val="auto"/>
                <w:kern w:val="0"/>
                <w:sz w:val="21"/>
                <w:szCs w:val="21"/>
                <w:highlight w:val="none"/>
                <w:u w:val="none"/>
                <w:lang w:val="en-US" w:eastAsia="zh-CN" w:bidi="ar"/>
              </w:rPr>
              <w:t>注：（1）本项要求为已完成业绩；（2）投标文件中须同时提供以下证明材料扫描件： ①业绩合同；②已完成证明材料。已完成证明材料包括验收报告或业主单位（或合同甲 方）出具的盖章的证明材料。若上述证明材 料中无法体现合同签订时间、投标人名称、 合同总金额、供货内容等关键评审因素，须另附业主单位（或合同甲方）盖章的相关证明材料。</w:t>
            </w:r>
          </w:p>
        </w:tc>
      </w:tr>
      <w:tr w14:paraId="0E165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2252B">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技术评分标准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E4BB">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供货安装方案</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705B">
            <w:pPr>
              <w:keepNext w:val="0"/>
              <w:keepLines w:val="0"/>
              <w:widowControl/>
              <w:suppressLineNumbers w:val="0"/>
              <w:jc w:val="both"/>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0-1</w:t>
            </w:r>
            <w:r>
              <w:rPr>
                <w:rFonts w:hint="eastAsia" w:ascii="Times New Roman" w:hAnsi="Times New Roman" w:cs="Times New Roman"/>
                <w:i w:val="0"/>
                <w:iCs w:val="0"/>
                <w:color w:val="auto"/>
                <w:kern w:val="0"/>
                <w:sz w:val="21"/>
                <w:szCs w:val="21"/>
                <w:highlight w:val="none"/>
                <w:u w:val="none"/>
                <w:lang w:val="en-US" w:eastAsia="zh-CN" w:bidi="ar"/>
              </w:rPr>
              <w:t>1</w:t>
            </w: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 </w:t>
            </w:r>
            <w:r>
              <w:rPr>
                <w:rStyle w:val="196"/>
                <w:rFonts w:hint="default" w:ascii="Times New Roman" w:hAnsi="Times New Roman" w:eastAsia="仿宋_GB2312" w:cs="Times New Roman"/>
                <w:color w:val="auto"/>
                <w:highlight w:val="none"/>
                <w:lang w:val="en-US" w:eastAsia="zh-CN" w:bidi="ar"/>
              </w:rPr>
              <w:t>分</w:t>
            </w:r>
          </w:p>
        </w:tc>
        <w:tc>
          <w:tcPr>
            <w:tcW w:w="5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68AD">
            <w:pPr>
              <w:keepNext w:val="0"/>
              <w:keepLines w:val="0"/>
              <w:widowControl/>
              <w:suppressLineNumbers w:val="0"/>
              <w:jc w:val="both"/>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供货安装方案包括：①供货计划安排；②安装施工方案、试运行调试措施；③安全文明施工、成品保护等。</w:t>
            </w:r>
            <w:r>
              <w:rPr>
                <w:rFonts w:hint="default" w:ascii="Times New Roman" w:hAnsi="Times New Roman" w:eastAsia="仿宋_GB2312" w:cs="Times New Roman"/>
                <w:i w:val="0"/>
                <w:iCs w:val="0"/>
                <w:color w:val="auto"/>
                <w:kern w:val="0"/>
                <w:sz w:val="21"/>
                <w:szCs w:val="21"/>
                <w:highlight w:val="none"/>
                <w:u w:val="none"/>
                <w:lang w:val="en-US" w:eastAsia="zh-CN" w:bidi="ar"/>
              </w:rPr>
              <w:br w:type="textWrapping"/>
            </w:r>
            <w:r>
              <w:rPr>
                <w:rFonts w:hint="default" w:ascii="Times New Roman" w:hAnsi="Times New Roman" w:eastAsia="仿宋_GB2312" w:cs="Times New Roman"/>
                <w:i w:val="0"/>
                <w:iCs w:val="0"/>
                <w:color w:val="auto"/>
                <w:kern w:val="0"/>
                <w:sz w:val="21"/>
                <w:szCs w:val="21"/>
                <w:highlight w:val="none"/>
                <w:u w:val="none"/>
                <w:lang w:val="en-US" w:eastAsia="zh-CN" w:bidi="ar"/>
              </w:rPr>
              <w:t>评标委员会根据招标文件要求及投标人提供的供货安装方案进行评分：</w:t>
            </w:r>
            <w:r>
              <w:rPr>
                <w:rFonts w:hint="default" w:ascii="Times New Roman" w:hAnsi="Times New Roman" w:eastAsia="仿宋_GB2312" w:cs="Times New Roman"/>
                <w:i w:val="0"/>
                <w:iCs w:val="0"/>
                <w:color w:val="auto"/>
                <w:kern w:val="0"/>
                <w:sz w:val="21"/>
                <w:szCs w:val="21"/>
                <w:highlight w:val="none"/>
                <w:u w:val="none"/>
                <w:lang w:val="en-US" w:eastAsia="zh-CN" w:bidi="ar"/>
              </w:rPr>
              <w:br w:type="textWrapping"/>
            </w:r>
            <w:r>
              <w:rPr>
                <w:rFonts w:hint="default" w:ascii="Times New Roman" w:hAnsi="Times New Roman" w:eastAsia="仿宋_GB2312" w:cs="Times New Roman"/>
                <w:i w:val="0"/>
                <w:iCs w:val="0"/>
                <w:color w:val="auto"/>
                <w:kern w:val="0"/>
                <w:sz w:val="21"/>
                <w:szCs w:val="21"/>
                <w:highlight w:val="none"/>
                <w:u w:val="none"/>
                <w:lang w:val="en-US" w:eastAsia="zh-CN" w:bidi="ar"/>
              </w:rPr>
              <w:t>（1）供货方案内容突出全面、科学合理，可操作性强的得 7＜F≤1</w:t>
            </w:r>
            <w:r>
              <w:rPr>
                <w:rFonts w:hint="eastAsia" w:ascii="Times New Roman" w:hAnsi="Times New Roman" w:cs="Times New Roman"/>
                <w:i w:val="0"/>
                <w:iCs w:val="0"/>
                <w:color w:val="auto"/>
                <w:kern w:val="0"/>
                <w:sz w:val="21"/>
                <w:szCs w:val="21"/>
                <w:highlight w:val="none"/>
                <w:u w:val="none"/>
                <w:lang w:val="en-US" w:eastAsia="zh-CN" w:bidi="ar"/>
              </w:rPr>
              <w:t>1</w:t>
            </w: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 分；</w:t>
            </w:r>
            <w:r>
              <w:rPr>
                <w:rFonts w:hint="default" w:ascii="Times New Roman" w:hAnsi="Times New Roman" w:eastAsia="仿宋_GB2312" w:cs="Times New Roman"/>
                <w:i w:val="0"/>
                <w:iCs w:val="0"/>
                <w:color w:val="auto"/>
                <w:kern w:val="0"/>
                <w:sz w:val="21"/>
                <w:szCs w:val="21"/>
                <w:highlight w:val="none"/>
                <w:u w:val="none"/>
                <w:lang w:val="en-US" w:eastAsia="zh-CN" w:bidi="ar"/>
              </w:rPr>
              <w:br w:type="textWrapping"/>
            </w:r>
            <w:r>
              <w:rPr>
                <w:rFonts w:hint="default" w:ascii="Times New Roman" w:hAnsi="Times New Roman" w:eastAsia="仿宋_GB2312" w:cs="Times New Roman"/>
                <w:i w:val="0"/>
                <w:iCs w:val="0"/>
                <w:color w:val="auto"/>
                <w:kern w:val="0"/>
                <w:sz w:val="21"/>
                <w:szCs w:val="21"/>
                <w:highlight w:val="none"/>
                <w:u w:val="none"/>
                <w:lang w:val="en-US" w:eastAsia="zh-CN" w:bidi="ar"/>
              </w:rPr>
              <w:t>（2）供货方案内容一般，可操作性一般的得 3＜F≤7 分；</w:t>
            </w:r>
            <w:r>
              <w:rPr>
                <w:rFonts w:hint="default" w:ascii="Times New Roman" w:hAnsi="Times New Roman" w:eastAsia="仿宋_GB2312" w:cs="Times New Roman"/>
                <w:i w:val="0"/>
                <w:iCs w:val="0"/>
                <w:color w:val="auto"/>
                <w:kern w:val="0"/>
                <w:sz w:val="21"/>
                <w:szCs w:val="21"/>
                <w:highlight w:val="none"/>
                <w:u w:val="none"/>
                <w:lang w:val="en-US" w:eastAsia="zh-CN" w:bidi="ar"/>
              </w:rPr>
              <w:br w:type="textWrapping"/>
            </w:r>
            <w:r>
              <w:rPr>
                <w:rFonts w:hint="default" w:ascii="Times New Roman" w:hAnsi="Times New Roman" w:eastAsia="仿宋_GB2312" w:cs="Times New Roman"/>
                <w:i w:val="0"/>
                <w:iCs w:val="0"/>
                <w:color w:val="auto"/>
                <w:kern w:val="0"/>
                <w:sz w:val="21"/>
                <w:szCs w:val="21"/>
                <w:highlight w:val="none"/>
                <w:u w:val="none"/>
                <w:lang w:val="en-US" w:eastAsia="zh-CN" w:bidi="ar"/>
              </w:rPr>
              <w:t>（3）供货方案内容较差，可操作性较差的得 0＜F≤3 分；</w:t>
            </w:r>
            <w:r>
              <w:rPr>
                <w:rFonts w:hint="default" w:ascii="Times New Roman" w:hAnsi="Times New Roman" w:eastAsia="仿宋_GB2312" w:cs="Times New Roman"/>
                <w:i w:val="0"/>
                <w:iCs w:val="0"/>
                <w:color w:val="auto"/>
                <w:kern w:val="0"/>
                <w:sz w:val="21"/>
                <w:szCs w:val="21"/>
                <w:highlight w:val="none"/>
                <w:u w:val="none"/>
                <w:lang w:val="en-US" w:eastAsia="zh-CN" w:bidi="ar"/>
              </w:rPr>
              <w:br w:type="textWrapping"/>
            </w:r>
            <w:r>
              <w:rPr>
                <w:rFonts w:hint="default" w:ascii="Times New Roman" w:hAnsi="Times New Roman" w:eastAsia="仿宋_GB2312" w:cs="Times New Roman"/>
                <w:i w:val="0"/>
                <w:iCs w:val="0"/>
                <w:color w:val="auto"/>
                <w:kern w:val="0"/>
                <w:sz w:val="21"/>
                <w:szCs w:val="21"/>
                <w:highlight w:val="none"/>
                <w:u w:val="none"/>
                <w:lang w:val="en-US" w:eastAsia="zh-CN" w:bidi="ar"/>
              </w:rPr>
              <w:t>（4）未提供的或提供不符合要求的不得分。</w:t>
            </w:r>
            <w:r>
              <w:rPr>
                <w:rFonts w:hint="default" w:ascii="Times New Roman" w:hAnsi="Times New Roman" w:eastAsia="仿宋_GB2312" w:cs="Times New Roman"/>
                <w:i w:val="0"/>
                <w:iCs w:val="0"/>
                <w:color w:val="auto"/>
                <w:kern w:val="0"/>
                <w:sz w:val="21"/>
                <w:szCs w:val="21"/>
                <w:highlight w:val="none"/>
                <w:u w:val="none"/>
                <w:lang w:val="en-US" w:eastAsia="zh-CN" w:bidi="ar"/>
              </w:rPr>
              <w:br w:type="textWrapping"/>
            </w:r>
            <w:r>
              <w:rPr>
                <w:rFonts w:hint="default" w:ascii="Times New Roman" w:hAnsi="Times New Roman" w:eastAsia="仿宋_GB2312" w:cs="Times New Roman"/>
                <w:i w:val="0"/>
                <w:iCs w:val="0"/>
                <w:color w:val="auto"/>
                <w:kern w:val="0"/>
                <w:sz w:val="21"/>
                <w:szCs w:val="21"/>
                <w:highlight w:val="none"/>
                <w:u w:val="none"/>
                <w:lang w:val="en-US" w:eastAsia="zh-CN" w:bidi="ar"/>
              </w:rPr>
              <w:t>注：F 为投标人本项得分。</w:t>
            </w:r>
          </w:p>
        </w:tc>
      </w:tr>
      <w:tr w14:paraId="4A5E5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F1D61">
            <w:pPr>
              <w:jc w:val="center"/>
              <w:rPr>
                <w:rFonts w:hint="default" w:ascii="Times New Roman" w:hAnsi="Times New Roman" w:eastAsia="仿宋_GB2312" w:cs="Times New Roman"/>
                <w:i w:val="0"/>
                <w:iCs w:val="0"/>
                <w:color w:val="auto"/>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1287">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售后服务方案</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57CD">
            <w:pPr>
              <w:keepNext w:val="0"/>
              <w:keepLines w:val="0"/>
              <w:widowControl/>
              <w:suppressLineNumbers w:val="0"/>
              <w:jc w:val="both"/>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 xml:space="preserve">0-15 </w:t>
            </w:r>
            <w:r>
              <w:rPr>
                <w:rStyle w:val="196"/>
                <w:rFonts w:hint="default" w:ascii="Times New Roman" w:hAnsi="Times New Roman" w:eastAsia="仿宋_GB2312" w:cs="Times New Roman"/>
                <w:color w:val="auto"/>
                <w:highlight w:val="none"/>
                <w:lang w:val="en-US" w:eastAsia="zh-CN" w:bidi="ar"/>
              </w:rPr>
              <w:t>分</w:t>
            </w:r>
          </w:p>
        </w:tc>
        <w:tc>
          <w:tcPr>
            <w:tcW w:w="5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7C91">
            <w:pPr>
              <w:keepNext w:val="0"/>
              <w:keepLines w:val="0"/>
              <w:widowControl/>
              <w:suppressLineNumbers w:val="0"/>
              <w:jc w:val="both"/>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售后服务方案包括：①售后服务人员配备②维保响应速度；③技术培训方案、设备巡检维保方案。</w:t>
            </w:r>
            <w:r>
              <w:rPr>
                <w:rFonts w:hint="default" w:ascii="Times New Roman" w:hAnsi="Times New Roman" w:eastAsia="仿宋_GB2312" w:cs="Times New Roman"/>
                <w:i w:val="0"/>
                <w:iCs w:val="0"/>
                <w:color w:val="auto"/>
                <w:kern w:val="0"/>
                <w:sz w:val="21"/>
                <w:szCs w:val="21"/>
                <w:highlight w:val="none"/>
                <w:u w:val="none"/>
                <w:lang w:val="en-US" w:eastAsia="zh-CN" w:bidi="ar"/>
              </w:rPr>
              <w:br w:type="textWrapping"/>
            </w:r>
            <w:r>
              <w:rPr>
                <w:rFonts w:hint="default" w:ascii="Times New Roman" w:hAnsi="Times New Roman" w:eastAsia="仿宋_GB2312" w:cs="Times New Roman"/>
                <w:i w:val="0"/>
                <w:iCs w:val="0"/>
                <w:color w:val="auto"/>
                <w:kern w:val="0"/>
                <w:sz w:val="21"/>
                <w:szCs w:val="21"/>
                <w:highlight w:val="none"/>
                <w:u w:val="none"/>
                <w:lang w:val="en-US" w:eastAsia="zh-CN" w:bidi="ar"/>
              </w:rPr>
              <w:t>评标委员会根据招标文件要求及投标人提供的售后服务方案进行评分：</w:t>
            </w:r>
            <w:r>
              <w:rPr>
                <w:rFonts w:hint="default" w:ascii="Times New Roman" w:hAnsi="Times New Roman" w:eastAsia="仿宋_GB2312" w:cs="Times New Roman"/>
                <w:i w:val="0"/>
                <w:iCs w:val="0"/>
                <w:color w:val="auto"/>
                <w:kern w:val="0"/>
                <w:sz w:val="21"/>
                <w:szCs w:val="21"/>
                <w:highlight w:val="none"/>
                <w:u w:val="none"/>
                <w:lang w:val="en-US" w:eastAsia="zh-CN" w:bidi="ar"/>
              </w:rPr>
              <w:br w:type="textWrapping"/>
            </w:r>
            <w:r>
              <w:rPr>
                <w:rFonts w:hint="default" w:ascii="Times New Roman" w:hAnsi="Times New Roman" w:eastAsia="仿宋_GB2312" w:cs="Times New Roman"/>
                <w:i w:val="0"/>
                <w:iCs w:val="0"/>
                <w:color w:val="auto"/>
                <w:kern w:val="0"/>
                <w:sz w:val="21"/>
                <w:szCs w:val="21"/>
                <w:highlight w:val="none"/>
                <w:u w:val="none"/>
                <w:lang w:val="en-US" w:eastAsia="zh-CN" w:bidi="ar"/>
              </w:rPr>
              <w:t>（1）售后服务方案内容合理完整，可行性和可操作性强，满足采购需求的，得10＜F≤15分；</w:t>
            </w:r>
            <w:r>
              <w:rPr>
                <w:rFonts w:hint="default" w:ascii="Times New Roman" w:hAnsi="Times New Roman" w:eastAsia="仿宋_GB2312" w:cs="Times New Roman"/>
                <w:i w:val="0"/>
                <w:iCs w:val="0"/>
                <w:color w:val="auto"/>
                <w:kern w:val="0"/>
                <w:sz w:val="21"/>
                <w:szCs w:val="21"/>
                <w:highlight w:val="none"/>
                <w:u w:val="none"/>
                <w:lang w:val="en-US" w:eastAsia="zh-CN" w:bidi="ar"/>
              </w:rPr>
              <w:br w:type="textWrapping"/>
            </w:r>
            <w:r>
              <w:rPr>
                <w:rFonts w:hint="default" w:ascii="Times New Roman" w:hAnsi="Times New Roman" w:eastAsia="仿宋_GB2312" w:cs="Times New Roman"/>
                <w:i w:val="0"/>
                <w:iCs w:val="0"/>
                <w:color w:val="auto"/>
                <w:kern w:val="0"/>
                <w:sz w:val="21"/>
                <w:szCs w:val="21"/>
                <w:highlight w:val="none"/>
                <w:u w:val="none"/>
                <w:lang w:val="en-US" w:eastAsia="zh-CN" w:bidi="ar"/>
              </w:rPr>
              <w:t>（2）售后服务方案内容较合理完整，可行性 和可操作性较强，较满足采购需求的，得 5＜F≤10 分；</w:t>
            </w:r>
            <w:r>
              <w:rPr>
                <w:rFonts w:hint="default" w:ascii="Times New Roman" w:hAnsi="Times New Roman" w:eastAsia="仿宋_GB2312" w:cs="Times New Roman"/>
                <w:i w:val="0"/>
                <w:iCs w:val="0"/>
                <w:color w:val="auto"/>
                <w:kern w:val="0"/>
                <w:sz w:val="21"/>
                <w:szCs w:val="21"/>
                <w:highlight w:val="none"/>
                <w:u w:val="none"/>
                <w:lang w:val="en-US" w:eastAsia="zh-CN" w:bidi="ar"/>
              </w:rPr>
              <w:br w:type="textWrapping"/>
            </w:r>
            <w:r>
              <w:rPr>
                <w:rFonts w:hint="default" w:ascii="Times New Roman" w:hAnsi="Times New Roman" w:eastAsia="仿宋_GB2312" w:cs="Times New Roman"/>
                <w:i w:val="0"/>
                <w:iCs w:val="0"/>
                <w:color w:val="auto"/>
                <w:kern w:val="0"/>
                <w:sz w:val="21"/>
                <w:szCs w:val="21"/>
                <w:highlight w:val="none"/>
                <w:u w:val="none"/>
                <w:lang w:val="en-US" w:eastAsia="zh-CN" w:bidi="ar"/>
              </w:rPr>
              <w:t>（3）售后服务方案内容合理性、完整性、可行性、可操作性一般的，得 0＜F≤5分；</w:t>
            </w:r>
          </w:p>
        </w:tc>
      </w:tr>
      <w:tr w14:paraId="6B929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10340">
            <w:pPr>
              <w:jc w:val="center"/>
              <w:rPr>
                <w:rFonts w:hint="default" w:ascii="Times New Roman" w:hAnsi="Times New Roman" w:eastAsia="仿宋_GB2312" w:cs="Times New Roman"/>
                <w:i w:val="0"/>
                <w:iCs w:val="0"/>
                <w:color w:val="auto"/>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C8B7">
            <w:pPr>
              <w:keepNext w:val="0"/>
              <w:keepLines w:val="0"/>
              <w:widowControl/>
              <w:suppressLineNumbers w:val="0"/>
              <w:jc w:val="both"/>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项目保障措施</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E2E0">
            <w:pPr>
              <w:keepNext w:val="0"/>
              <w:keepLines w:val="0"/>
              <w:widowControl/>
              <w:suppressLineNumbers w:val="0"/>
              <w:jc w:val="both"/>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0-10 分</w:t>
            </w:r>
          </w:p>
        </w:tc>
        <w:tc>
          <w:tcPr>
            <w:tcW w:w="5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7FE4">
            <w:pPr>
              <w:keepNext w:val="0"/>
              <w:keepLines w:val="0"/>
              <w:widowControl/>
              <w:suppressLineNumbers w:val="0"/>
              <w:jc w:val="both"/>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项目保障措施包含：①技术保障措施；②项目回访；③保障修复时间。</w:t>
            </w:r>
            <w:r>
              <w:rPr>
                <w:rFonts w:hint="default" w:ascii="Times New Roman" w:hAnsi="Times New Roman" w:eastAsia="仿宋_GB2312" w:cs="Times New Roman"/>
                <w:i w:val="0"/>
                <w:iCs w:val="0"/>
                <w:color w:val="auto"/>
                <w:kern w:val="0"/>
                <w:sz w:val="21"/>
                <w:szCs w:val="21"/>
                <w:highlight w:val="none"/>
                <w:u w:val="none"/>
                <w:lang w:val="en-US" w:eastAsia="zh-CN" w:bidi="ar"/>
              </w:rPr>
              <w:br w:type="textWrapping"/>
            </w:r>
            <w:r>
              <w:rPr>
                <w:rFonts w:hint="default" w:ascii="Times New Roman" w:hAnsi="Times New Roman" w:eastAsia="仿宋_GB2312" w:cs="Times New Roman"/>
                <w:i w:val="0"/>
                <w:iCs w:val="0"/>
                <w:color w:val="auto"/>
                <w:kern w:val="0"/>
                <w:sz w:val="21"/>
                <w:szCs w:val="21"/>
                <w:highlight w:val="none"/>
                <w:u w:val="none"/>
                <w:lang w:val="en-US" w:eastAsia="zh-CN" w:bidi="ar"/>
              </w:rPr>
              <w:t>评标委员会根据招标文件要求及投标人提供的项目保障措施进行评分：</w:t>
            </w:r>
            <w:r>
              <w:rPr>
                <w:rFonts w:hint="default" w:ascii="Times New Roman" w:hAnsi="Times New Roman" w:eastAsia="仿宋_GB2312" w:cs="Times New Roman"/>
                <w:i w:val="0"/>
                <w:iCs w:val="0"/>
                <w:color w:val="auto"/>
                <w:kern w:val="0"/>
                <w:sz w:val="21"/>
                <w:szCs w:val="21"/>
                <w:highlight w:val="none"/>
                <w:u w:val="none"/>
                <w:lang w:val="en-US" w:eastAsia="zh-CN" w:bidi="ar"/>
              </w:rPr>
              <w:br w:type="textWrapping"/>
            </w:r>
            <w:r>
              <w:rPr>
                <w:rFonts w:hint="default" w:ascii="Times New Roman" w:hAnsi="Times New Roman" w:eastAsia="仿宋_GB2312" w:cs="Times New Roman"/>
                <w:i w:val="0"/>
                <w:iCs w:val="0"/>
                <w:color w:val="auto"/>
                <w:kern w:val="0"/>
                <w:sz w:val="21"/>
                <w:szCs w:val="21"/>
                <w:highlight w:val="none"/>
                <w:u w:val="none"/>
                <w:lang w:val="en-US" w:eastAsia="zh-CN" w:bidi="ar"/>
              </w:rPr>
              <w:t>（1）项目保障措施内容合理完整，保障措施 严谨、保障有力、可行性和可操作性强，满 足项目需求的，得 7＜F≤10 分；</w:t>
            </w:r>
            <w:r>
              <w:rPr>
                <w:rFonts w:hint="default" w:ascii="Times New Roman" w:hAnsi="Times New Roman" w:eastAsia="仿宋_GB2312" w:cs="Times New Roman"/>
                <w:i w:val="0"/>
                <w:iCs w:val="0"/>
                <w:color w:val="auto"/>
                <w:kern w:val="0"/>
                <w:sz w:val="21"/>
                <w:szCs w:val="21"/>
                <w:highlight w:val="none"/>
                <w:u w:val="none"/>
                <w:lang w:val="en-US" w:eastAsia="zh-CN" w:bidi="ar"/>
              </w:rPr>
              <w:br w:type="textWrapping"/>
            </w:r>
            <w:r>
              <w:rPr>
                <w:rFonts w:hint="default" w:ascii="Times New Roman" w:hAnsi="Times New Roman" w:eastAsia="仿宋_GB2312" w:cs="Times New Roman"/>
                <w:i w:val="0"/>
                <w:iCs w:val="0"/>
                <w:color w:val="auto"/>
                <w:kern w:val="0"/>
                <w:sz w:val="21"/>
                <w:szCs w:val="21"/>
                <w:highlight w:val="none"/>
                <w:u w:val="none"/>
                <w:lang w:val="en-US" w:eastAsia="zh-CN" w:bidi="ar"/>
              </w:rPr>
              <w:t>（2）项目保障措施内容较合理完整，可行性 和可操作性较强，有保障措施的，较满足项目需求的，得 3＜F≤7 分；</w:t>
            </w:r>
            <w:r>
              <w:rPr>
                <w:rFonts w:hint="default" w:ascii="Times New Roman" w:hAnsi="Times New Roman" w:eastAsia="仿宋_GB2312" w:cs="Times New Roman"/>
                <w:i w:val="0"/>
                <w:iCs w:val="0"/>
                <w:color w:val="auto"/>
                <w:kern w:val="0"/>
                <w:sz w:val="21"/>
                <w:szCs w:val="21"/>
                <w:highlight w:val="none"/>
                <w:u w:val="none"/>
                <w:lang w:val="en-US" w:eastAsia="zh-CN" w:bidi="ar"/>
              </w:rPr>
              <w:br w:type="textWrapping"/>
            </w:r>
            <w:r>
              <w:rPr>
                <w:rFonts w:hint="default" w:ascii="Times New Roman" w:hAnsi="Times New Roman" w:eastAsia="仿宋_GB2312" w:cs="Times New Roman"/>
                <w:i w:val="0"/>
                <w:iCs w:val="0"/>
                <w:color w:val="auto"/>
                <w:kern w:val="0"/>
                <w:sz w:val="21"/>
                <w:szCs w:val="21"/>
                <w:highlight w:val="none"/>
                <w:u w:val="none"/>
                <w:lang w:val="en-US" w:eastAsia="zh-CN" w:bidi="ar"/>
              </w:rPr>
              <w:t>（3）项目保障措施内容合理性、完整性、可行性、可操作性一般的，得 0＜F≤3 分；</w:t>
            </w:r>
            <w:r>
              <w:rPr>
                <w:rFonts w:hint="default" w:ascii="Times New Roman" w:hAnsi="Times New Roman" w:eastAsia="仿宋_GB2312" w:cs="Times New Roman"/>
                <w:i w:val="0"/>
                <w:iCs w:val="0"/>
                <w:color w:val="auto"/>
                <w:kern w:val="0"/>
                <w:sz w:val="21"/>
                <w:szCs w:val="21"/>
                <w:highlight w:val="none"/>
                <w:u w:val="none"/>
                <w:lang w:val="en-US" w:eastAsia="zh-CN" w:bidi="ar"/>
              </w:rPr>
              <w:br w:type="textWrapping"/>
            </w:r>
            <w:r>
              <w:rPr>
                <w:rFonts w:hint="default" w:ascii="Times New Roman" w:hAnsi="Times New Roman" w:eastAsia="仿宋_GB2312" w:cs="Times New Roman"/>
                <w:i w:val="0"/>
                <w:iCs w:val="0"/>
                <w:color w:val="auto"/>
                <w:kern w:val="0"/>
                <w:sz w:val="21"/>
                <w:szCs w:val="21"/>
                <w:highlight w:val="none"/>
                <w:u w:val="none"/>
                <w:lang w:val="en-US" w:eastAsia="zh-CN" w:bidi="ar"/>
              </w:rPr>
              <w:t>（4）未提供的或提供不符合要求的不得分。</w:t>
            </w:r>
            <w:r>
              <w:rPr>
                <w:rFonts w:hint="default" w:ascii="Times New Roman" w:hAnsi="Times New Roman" w:eastAsia="仿宋_GB2312" w:cs="Times New Roman"/>
                <w:i w:val="0"/>
                <w:iCs w:val="0"/>
                <w:color w:val="auto"/>
                <w:kern w:val="0"/>
                <w:sz w:val="21"/>
                <w:szCs w:val="21"/>
                <w:highlight w:val="none"/>
                <w:u w:val="none"/>
                <w:lang w:val="en-US" w:eastAsia="zh-CN" w:bidi="ar"/>
              </w:rPr>
              <w:br w:type="textWrapping"/>
            </w:r>
            <w:r>
              <w:rPr>
                <w:rFonts w:hint="default" w:ascii="Times New Roman" w:hAnsi="Times New Roman" w:eastAsia="仿宋_GB2312" w:cs="Times New Roman"/>
                <w:i w:val="0"/>
                <w:iCs w:val="0"/>
                <w:color w:val="auto"/>
                <w:kern w:val="0"/>
                <w:sz w:val="21"/>
                <w:szCs w:val="21"/>
                <w:highlight w:val="none"/>
                <w:u w:val="none"/>
                <w:lang w:val="en-US" w:eastAsia="zh-CN" w:bidi="ar"/>
              </w:rPr>
              <w:t>注：F 为投标人本项得分。</w:t>
            </w:r>
          </w:p>
        </w:tc>
      </w:tr>
      <w:tr w14:paraId="5F7D3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00D28">
            <w:pPr>
              <w:jc w:val="center"/>
              <w:rPr>
                <w:rFonts w:hint="default" w:ascii="Times New Roman" w:hAnsi="Times New Roman" w:eastAsia="仿宋_GB2312" w:cs="Times New Roman"/>
                <w:i w:val="0"/>
                <w:iCs w:val="0"/>
                <w:color w:val="auto"/>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EDB9">
            <w:pPr>
              <w:keepNext w:val="0"/>
              <w:keepLines w:val="0"/>
              <w:widowControl/>
              <w:suppressLineNumbers w:val="0"/>
              <w:jc w:val="center"/>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经验性建议及合理化方案</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8FCA">
            <w:pPr>
              <w:keepNext w:val="0"/>
              <w:keepLines w:val="0"/>
              <w:widowControl/>
              <w:suppressLineNumbers w:val="0"/>
              <w:jc w:val="both"/>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0-10 分</w:t>
            </w:r>
          </w:p>
        </w:tc>
        <w:tc>
          <w:tcPr>
            <w:tcW w:w="5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96BD">
            <w:pPr>
              <w:keepNext w:val="0"/>
              <w:keepLines w:val="0"/>
              <w:widowControl/>
              <w:suppressLineNumbers w:val="0"/>
              <w:jc w:val="both"/>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投标人针对项目的特点，对厨房的平面设计、设备配置、装饰装修、水电安装等方面的重要事项提出经验性建议以及合理化方案,包含：①方案内容合理性；②可行性和可操作性；③是否满足或优于实际需求。</w:t>
            </w:r>
            <w:r>
              <w:rPr>
                <w:rFonts w:hint="default" w:ascii="Times New Roman" w:hAnsi="Times New Roman" w:eastAsia="仿宋_GB2312" w:cs="Times New Roman"/>
                <w:i w:val="0"/>
                <w:iCs w:val="0"/>
                <w:color w:val="auto"/>
                <w:kern w:val="0"/>
                <w:sz w:val="21"/>
                <w:szCs w:val="21"/>
                <w:highlight w:val="none"/>
                <w:u w:val="none"/>
                <w:lang w:val="en-US" w:eastAsia="zh-CN" w:bidi="ar"/>
              </w:rPr>
              <w:br w:type="textWrapping"/>
            </w:r>
            <w:r>
              <w:rPr>
                <w:rFonts w:hint="default" w:ascii="Times New Roman" w:hAnsi="Times New Roman" w:eastAsia="仿宋_GB2312" w:cs="Times New Roman"/>
                <w:i w:val="0"/>
                <w:iCs w:val="0"/>
                <w:color w:val="auto"/>
                <w:kern w:val="0"/>
                <w:sz w:val="21"/>
                <w:szCs w:val="21"/>
                <w:highlight w:val="none"/>
                <w:u w:val="none"/>
                <w:lang w:val="en-US" w:eastAsia="zh-CN" w:bidi="ar"/>
              </w:rPr>
              <w:t>评标委员会根据招标文件要求及投标人提供的经验性建议及合理化方案进行评分：</w:t>
            </w:r>
            <w:r>
              <w:rPr>
                <w:rFonts w:hint="default" w:ascii="Times New Roman" w:hAnsi="Times New Roman" w:eastAsia="仿宋_GB2312" w:cs="Times New Roman"/>
                <w:i w:val="0"/>
                <w:iCs w:val="0"/>
                <w:color w:val="auto"/>
                <w:kern w:val="0"/>
                <w:sz w:val="21"/>
                <w:szCs w:val="21"/>
                <w:highlight w:val="none"/>
                <w:u w:val="none"/>
                <w:lang w:val="en-US" w:eastAsia="zh-CN" w:bidi="ar"/>
              </w:rPr>
              <w:br w:type="textWrapping"/>
            </w:r>
            <w:r>
              <w:rPr>
                <w:rFonts w:hint="default" w:ascii="Times New Roman" w:hAnsi="Times New Roman" w:eastAsia="仿宋_GB2312" w:cs="Times New Roman"/>
                <w:i w:val="0"/>
                <w:iCs w:val="0"/>
                <w:color w:val="auto"/>
                <w:kern w:val="0"/>
                <w:sz w:val="21"/>
                <w:szCs w:val="21"/>
                <w:highlight w:val="none"/>
                <w:u w:val="none"/>
                <w:lang w:val="en-US" w:eastAsia="zh-CN" w:bidi="ar"/>
              </w:rPr>
              <w:t>（1）经验性建议及合理化方案内容合理完  整，可行性和可操作性强，满足采购需求的，得 7＜F≤10 分；</w:t>
            </w:r>
            <w:r>
              <w:rPr>
                <w:rFonts w:hint="default" w:ascii="Times New Roman" w:hAnsi="Times New Roman" w:eastAsia="仿宋_GB2312" w:cs="Times New Roman"/>
                <w:i w:val="0"/>
                <w:iCs w:val="0"/>
                <w:color w:val="auto"/>
                <w:kern w:val="0"/>
                <w:sz w:val="21"/>
                <w:szCs w:val="21"/>
                <w:highlight w:val="none"/>
                <w:u w:val="none"/>
                <w:lang w:val="en-US" w:eastAsia="zh-CN" w:bidi="ar"/>
              </w:rPr>
              <w:br w:type="textWrapping"/>
            </w:r>
            <w:r>
              <w:rPr>
                <w:rFonts w:hint="default" w:ascii="Times New Roman" w:hAnsi="Times New Roman" w:eastAsia="仿宋_GB2312" w:cs="Times New Roman"/>
                <w:i w:val="0"/>
                <w:iCs w:val="0"/>
                <w:color w:val="auto"/>
                <w:kern w:val="0"/>
                <w:sz w:val="21"/>
                <w:szCs w:val="21"/>
                <w:highlight w:val="none"/>
                <w:u w:val="none"/>
                <w:lang w:val="en-US" w:eastAsia="zh-CN" w:bidi="ar"/>
              </w:rPr>
              <w:t>（2）经验性建议及合理化方案内容较合理完整，可行性和可操作性较强，较满足采购需求的，得 3＜F≤7 分；</w:t>
            </w:r>
          </w:p>
        </w:tc>
      </w:tr>
      <w:tr w14:paraId="76299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920" w:type="dxa"/>
            <w:gridSpan w:val="2"/>
            <w:vMerge w:val="restart"/>
            <w:tcBorders>
              <w:top w:val="nil"/>
              <w:left w:val="single" w:color="000000" w:sz="8" w:space="0"/>
              <w:bottom w:val="single" w:color="000000" w:sz="8" w:space="0"/>
              <w:right w:val="single" w:color="000000" w:sz="8" w:space="0"/>
            </w:tcBorders>
            <w:shd w:val="clear" w:color="auto" w:fill="auto"/>
            <w:vAlign w:val="center"/>
          </w:tcPr>
          <w:p w14:paraId="0D319211">
            <w:pPr>
              <w:keepNext w:val="0"/>
              <w:keepLines w:val="0"/>
              <w:widowControl/>
              <w:suppressLineNumbers w:val="0"/>
              <w:jc w:val="both"/>
              <w:textAlignment w:val="center"/>
              <w:rPr>
                <w:rFonts w:hint="default" w:ascii="Times New Roman" w:hAnsi="Times New Roman" w:eastAsia="仿宋_GB2312"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价格分</w:t>
            </w:r>
          </w:p>
        </w:tc>
        <w:tc>
          <w:tcPr>
            <w:tcW w:w="976" w:type="dxa"/>
            <w:vMerge w:val="restart"/>
            <w:tcBorders>
              <w:top w:val="nil"/>
              <w:left w:val="single" w:color="000000" w:sz="8" w:space="0"/>
              <w:bottom w:val="single" w:color="000000" w:sz="8" w:space="0"/>
              <w:right w:val="single" w:color="000000" w:sz="8" w:space="0"/>
            </w:tcBorders>
            <w:shd w:val="clear" w:color="auto" w:fill="auto"/>
            <w:vAlign w:val="center"/>
          </w:tcPr>
          <w:p w14:paraId="397D0C91">
            <w:pPr>
              <w:keepNext w:val="0"/>
              <w:keepLines w:val="0"/>
              <w:widowControl/>
              <w:suppressLineNumbers w:val="0"/>
              <w:jc w:val="both"/>
              <w:textAlignment w:val="center"/>
              <w:rPr>
                <w:rFonts w:hint="default" w:ascii="Times New Roman" w:hAnsi="Times New Roman" w:eastAsia="仿宋_GB2312" w:cs="Times New Roman"/>
                <w:b/>
                <w:bCs/>
                <w:i w:val="0"/>
                <w:iCs w:val="0"/>
                <w:color w:val="auto"/>
                <w:kern w:val="0"/>
                <w:sz w:val="21"/>
                <w:szCs w:val="21"/>
                <w:highlight w:val="none"/>
                <w:u w:val="none"/>
                <w:lang w:val="en-US" w:eastAsia="zh-CN" w:bidi="ar"/>
              </w:rPr>
            </w:pPr>
            <w:r>
              <w:rPr>
                <w:rFonts w:hint="eastAsia" w:ascii="Times New Roman" w:hAnsi="Times New Roman" w:cs="Times New Roman"/>
                <w:b/>
                <w:bCs/>
                <w:i w:val="0"/>
                <w:iCs w:val="0"/>
                <w:color w:val="auto"/>
                <w:kern w:val="0"/>
                <w:sz w:val="21"/>
                <w:szCs w:val="21"/>
                <w:highlight w:val="none"/>
                <w:u w:val="none"/>
                <w:lang w:val="en-US" w:eastAsia="zh-CN" w:bidi="ar"/>
              </w:rPr>
              <w:t>30分</w:t>
            </w:r>
          </w:p>
        </w:tc>
        <w:tc>
          <w:tcPr>
            <w:tcW w:w="5174" w:type="dxa"/>
            <w:tcBorders>
              <w:top w:val="nil"/>
              <w:left w:val="nil"/>
              <w:bottom w:val="nil"/>
              <w:right w:val="single" w:color="000000" w:sz="8" w:space="0"/>
            </w:tcBorders>
            <w:shd w:val="clear" w:color="auto" w:fill="auto"/>
            <w:vAlign w:val="center"/>
          </w:tcPr>
          <w:p w14:paraId="686D0512">
            <w:pPr>
              <w:keepNext w:val="0"/>
              <w:keepLines w:val="0"/>
              <w:widowControl/>
              <w:suppressLineNumbers w:val="0"/>
              <w:jc w:val="both"/>
              <w:textAlignment w:val="center"/>
              <w:rPr>
                <w:rFonts w:hint="default" w:ascii="Times New Roman" w:hAnsi="Times New Roman" w:eastAsia="仿宋_GB2312"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价格分采用低价优先法，即满足磋商文件要求且投标人价格最低的报价为评标基准价，价格分满分3</w:t>
            </w:r>
            <w:r>
              <w:rPr>
                <w:rFonts w:hint="eastAsia" w:ascii="Times New Roman" w:hAnsi="Times New Roman" w:cs="Times New Roman"/>
                <w:b/>
                <w:bCs/>
                <w:i w:val="0"/>
                <w:iCs w:val="0"/>
                <w:color w:val="auto"/>
                <w:kern w:val="0"/>
                <w:sz w:val="21"/>
                <w:szCs w:val="21"/>
                <w:highlight w:val="none"/>
                <w:u w:val="none"/>
                <w:lang w:val="en-US" w:eastAsia="zh-CN" w:bidi="ar"/>
              </w:rPr>
              <w:t>0</w:t>
            </w:r>
            <w:r>
              <w:rPr>
                <w:rFonts w:hint="default" w:ascii="Times New Roman" w:hAnsi="Times New Roman" w:eastAsia="仿宋_GB2312" w:cs="Times New Roman"/>
                <w:b/>
                <w:bCs/>
                <w:i w:val="0"/>
                <w:iCs w:val="0"/>
                <w:color w:val="auto"/>
                <w:kern w:val="0"/>
                <w:sz w:val="21"/>
                <w:szCs w:val="21"/>
                <w:highlight w:val="none"/>
                <w:u w:val="none"/>
                <w:lang w:val="en-US" w:eastAsia="zh-CN" w:bidi="ar"/>
              </w:rPr>
              <w:t>分。</w:t>
            </w:r>
          </w:p>
        </w:tc>
      </w:tr>
      <w:tr w14:paraId="7B6F6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920"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47D94D33">
            <w:pPr>
              <w:jc w:val="both"/>
              <w:rPr>
                <w:rFonts w:hint="default" w:ascii="Times New Roman" w:hAnsi="Times New Roman" w:eastAsia="仿宋_GB2312" w:cs="Times New Roman"/>
                <w:b/>
                <w:bCs/>
                <w:i w:val="0"/>
                <w:iCs w:val="0"/>
                <w:color w:val="auto"/>
                <w:sz w:val="21"/>
                <w:szCs w:val="21"/>
                <w:highlight w:val="none"/>
                <w:u w:val="none"/>
              </w:rPr>
            </w:pPr>
          </w:p>
        </w:tc>
        <w:tc>
          <w:tcPr>
            <w:tcW w:w="976" w:type="dxa"/>
            <w:vMerge w:val="continue"/>
            <w:tcBorders>
              <w:top w:val="nil"/>
              <w:left w:val="single" w:color="000000" w:sz="8" w:space="0"/>
              <w:bottom w:val="single" w:color="000000" w:sz="8" w:space="0"/>
              <w:right w:val="single" w:color="000000" w:sz="8" w:space="0"/>
            </w:tcBorders>
            <w:shd w:val="clear" w:color="auto" w:fill="auto"/>
            <w:vAlign w:val="center"/>
          </w:tcPr>
          <w:p w14:paraId="62569519">
            <w:pPr>
              <w:jc w:val="both"/>
              <w:rPr>
                <w:rFonts w:hint="default" w:ascii="Times New Roman" w:hAnsi="Times New Roman" w:eastAsia="仿宋_GB2312" w:cs="Times New Roman"/>
                <w:b/>
                <w:bCs/>
                <w:i w:val="0"/>
                <w:iCs w:val="0"/>
                <w:color w:val="auto"/>
                <w:sz w:val="21"/>
                <w:szCs w:val="21"/>
                <w:highlight w:val="none"/>
                <w:u w:val="none"/>
              </w:rPr>
            </w:pPr>
          </w:p>
        </w:tc>
        <w:tc>
          <w:tcPr>
            <w:tcW w:w="5174" w:type="dxa"/>
            <w:tcBorders>
              <w:top w:val="nil"/>
              <w:left w:val="nil"/>
              <w:bottom w:val="nil"/>
              <w:right w:val="single" w:color="000000" w:sz="8" w:space="0"/>
            </w:tcBorders>
            <w:shd w:val="clear" w:color="auto" w:fill="auto"/>
            <w:vAlign w:val="center"/>
          </w:tcPr>
          <w:p w14:paraId="7234830E">
            <w:pPr>
              <w:keepNext w:val="0"/>
              <w:keepLines w:val="0"/>
              <w:widowControl/>
              <w:suppressLineNumbers w:val="0"/>
              <w:jc w:val="both"/>
              <w:textAlignment w:val="center"/>
              <w:rPr>
                <w:rFonts w:hint="default" w:ascii="Times New Roman" w:hAnsi="Times New Roman" w:eastAsia="仿宋_GB2312"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其他投标人的价格分统一按照下列公式计算:</w:t>
            </w:r>
          </w:p>
        </w:tc>
      </w:tr>
      <w:tr w14:paraId="6EA81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22E169DB">
            <w:pPr>
              <w:jc w:val="both"/>
              <w:rPr>
                <w:rFonts w:hint="default" w:ascii="Times New Roman" w:hAnsi="Times New Roman" w:eastAsia="仿宋_GB2312" w:cs="Times New Roman"/>
                <w:b/>
                <w:bCs/>
                <w:i w:val="0"/>
                <w:iCs w:val="0"/>
                <w:color w:val="auto"/>
                <w:sz w:val="21"/>
                <w:szCs w:val="21"/>
                <w:highlight w:val="none"/>
                <w:u w:val="none"/>
              </w:rPr>
            </w:pPr>
          </w:p>
        </w:tc>
        <w:tc>
          <w:tcPr>
            <w:tcW w:w="976" w:type="dxa"/>
            <w:vMerge w:val="continue"/>
            <w:tcBorders>
              <w:top w:val="nil"/>
              <w:left w:val="single" w:color="000000" w:sz="8" w:space="0"/>
              <w:bottom w:val="single" w:color="000000" w:sz="8" w:space="0"/>
              <w:right w:val="single" w:color="000000" w:sz="8" w:space="0"/>
            </w:tcBorders>
            <w:shd w:val="clear" w:color="auto" w:fill="auto"/>
            <w:vAlign w:val="center"/>
          </w:tcPr>
          <w:p w14:paraId="5F89C71B">
            <w:pPr>
              <w:jc w:val="both"/>
              <w:rPr>
                <w:rFonts w:hint="default" w:ascii="Times New Roman" w:hAnsi="Times New Roman" w:eastAsia="仿宋_GB2312" w:cs="Times New Roman"/>
                <w:b/>
                <w:bCs/>
                <w:i w:val="0"/>
                <w:iCs w:val="0"/>
                <w:color w:val="auto"/>
                <w:sz w:val="21"/>
                <w:szCs w:val="21"/>
                <w:highlight w:val="none"/>
                <w:u w:val="none"/>
              </w:rPr>
            </w:pPr>
          </w:p>
        </w:tc>
        <w:tc>
          <w:tcPr>
            <w:tcW w:w="5174" w:type="dxa"/>
            <w:tcBorders>
              <w:top w:val="nil"/>
              <w:left w:val="nil"/>
              <w:bottom w:val="single" w:color="000000" w:sz="8" w:space="0"/>
              <w:right w:val="single" w:color="000000" w:sz="8" w:space="0"/>
            </w:tcBorders>
            <w:shd w:val="clear" w:color="auto" w:fill="auto"/>
            <w:vAlign w:val="center"/>
          </w:tcPr>
          <w:p w14:paraId="6A462A8C">
            <w:pPr>
              <w:keepNext w:val="0"/>
              <w:keepLines w:val="0"/>
              <w:widowControl/>
              <w:suppressLineNumbers w:val="0"/>
              <w:jc w:val="both"/>
              <w:textAlignment w:val="center"/>
              <w:rPr>
                <w:rFonts w:hint="default" w:ascii="Times New Roman" w:hAnsi="Times New Roman" w:eastAsia="仿宋_GB2312"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最后报价得分=(评标基准价/最后报价)× 3</w:t>
            </w:r>
            <w:r>
              <w:rPr>
                <w:rFonts w:hint="eastAsia" w:ascii="Times New Roman" w:hAnsi="Times New Roman" w:cs="Times New Roman"/>
                <w:b/>
                <w:bCs/>
                <w:i w:val="0"/>
                <w:iCs w:val="0"/>
                <w:color w:val="auto"/>
                <w:kern w:val="0"/>
                <w:sz w:val="21"/>
                <w:szCs w:val="21"/>
                <w:highlight w:val="none"/>
                <w:u w:val="none"/>
                <w:lang w:val="en-US" w:eastAsia="zh-CN" w:bidi="ar"/>
              </w:rPr>
              <w:t>0</w:t>
            </w:r>
            <w:r>
              <w:rPr>
                <w:rFonts w:hint="default" w:ascii="Times New Roman" w:hAnsi="Times New Roman" w:eastAsia="仿宋_GB2312" w:cs="Times New Roman"/>
                <w:b/>
                <w:bCs/>
                <w:i w:val="0"/>
                <w:iCs w:val="0"/>
                <w:color w:val="auto"/>
                <w:kern w:val="0"/>
                <w:sz w:val="21"/>
                <w:szCs w:val="21"/>
                <w:highlight w:val="none"/>
                <w:u w:val="none"/>
                <w:lang w:val="en-US" w:eastAsia="zh-CN" w:bidi="ar"/>
              </w:rPr>
              <w:t>（保留小数点后2位）</w:t>
            </w:r>
          </w:p>
        </w:tc>
      </w:tr>
    </w:tbl>
    <w:p w14:paraId="758F417C">
      <w:pPr>
        <w:pStyle w:val="31"/>
        <w:ind w:left="0" w:leftChars="0" w:firstLine="0" w:firstLineChars="0"/>
        <w:rPr>
          <w:rFonts w:hint="default" w:ascii="Times New Roman" w:hAnsi="Times New Roman" w:cs="Times New Roman"/>
          <w:color w:val="auto"/>
          <w:sz w:val="24"/>
          <w:highlight w:val="none"/>
          <w:lang w:val="en-US" w:eastAsia="zh-CN"/>
        </w:rPr>
      </w:pPr>
      <w:bookmarkStart w:id="33" w:name="_Toc66363490"/>
    </w:p>
    <w:p w14:paraId="3029BA03">
      <w:pPr>
        <w:jc w:val="both"/>
        <w:rPr>
          <w:rFonts w:hint="default" w:ascii="Times New Roman" w:hAnsi="Times New Roman" w:cs="Times New Roman"/>
          <w:b/>
          <w:color w:val="auto"/>
          <w:sz w:val="28"/>
          <w:highlight w:val="none"/>
        </w:rPr>
      </w:pPr>
    </w:p>
    <w:p w14:paraId="34AEF3A5">
      <w:pPr>
        <w:rPr>
          <w:rFonts w:hint="default" w:ascii="Times New Roman" w:hAnsi="Times New Roman" w:cs="Times New Roman"/>
          <w:b/>
          <w:color w:val="auto"/>
          <w:sz w:val="28"/>
          <w:highlight w:val="none"/>
        </w:rPr>
      </w:pPr>
    </w:p>
    <w:p w14:paraId="2D0B14D1">
      <w:pPr>
        <w:rPr>
          <w:rFonts w:hint="default" w:ascii="Times New Roman" w:hAnsi="Times New Roman" w:cs="Times New Roman"/>
          <w:b/>
          <w:color w:val="auto"/>
          <w:sz w:val="28"/>
          <w:highlight w:val="none"/>
        </w:rPr>
      </w:pPr>
    </w:p>
    <w:p w14:paraId="54488909">
      <w:pPr>
        <w:rPr>
          <w:rFonts w:hint="default" w:ascii="Times New Roman" w:hAnsi="Times New Roman" w:cs="Times New Roman"/>
          <w:b/>
          <w:color w:val="auto"/>
          <w:sz w:val="28"/>
          <w:highlight w:val="none"/>
        </w:rPr>
      </w:pPr>
    </w:p>
    <w:p w14:paraId="32B4B87D">
      <w:pPr>
        <w:rPr>
          <w:rFonts w:hint="default" w:ascii="Times New Roman" w:hAnsi="Times New Roman" w:cs="Times New Roman"/>
          <w:b/>
          <w:color w:val="auto"/>
          <w:sz w:val="28"/>
          <w:highlight w:val="none"/>
        </w:rPr>
      </w:pPr>
    </w:p>
    <w:p w14:paraId="72E721A9">
      <w:pPr>
        <w:rPr>
          <w:rFonts w:hint="default" w:ascii="Times New Roman" w:hAnsi="Times New Roman" w:cs="Times New Roman"/>
          <w:b/>
          <w:color w:val="auto"/>
          <w:sz w:val="28"/>
          <w:highlight w:val="none"/>
        </w:rPr>
      </w:pPr>
    </w:p>
    <w:p w14:paraId="1A14C56F">
      <w:pPr>
        <w:rPr>
          <w:rFonts w:hint="default" w:ascii="Times New Roman" w:hAnsi="Times New Roman" w:cs="Times New Roman"/>
          <w:b/>
          <w:color w:val="auto"/>
          <w:sz w:val="28"/>
          <w:highlight w:val="none"/>
        </w:rPr>
      </w:pPr>
    </w:p>
    <w:p w14:paraId="01BD9BD6">
      <w:pPr>
        <w:rPr>
          <w:rFonts w:hint="default" w:ascii="Times New Roman" w:hAnsi="Times New Roman" w:cs="Times New Roman"/>
          <w:b/>
          <w:color w:val="auto"/>
          <w:sz w:val="28"/>
          <w:highlight w:val="none"/>
        </w:rPr>
      </w:pPr>
    </w:p>
    <w:p w14:paraId="0C18A41E">
      <w:pPr>
        <w:pStyle w:val="4"/>
        <w:rPr>
          <w:rFonts w:hint="default" w:ascii="Times New Roman" w:hAnsi="Times New Roman" w:cs="Times New Roman"/>
          <w:b/>
          <w:color w:val="auto"/>
          <w:sz w:val="28"/>
          <w:highlight w:val="none"/>
        </w:rPr>
      </w:pPr>
    </w:p>
    <w:p w14:paraId="1E59BAB6">
      <w:pPr>
        <w:jc w:val="both"/>
        <w:rPr>
          <w:rFonts w:hint="default" w:ascii="Times New Roman" w:hAnsi="Times New Roman" w:cs="Times New Roman"/>
          <w:b/>
          <w:color w:val="auto"/>
          <w:sz w:val="28"/>
          <w:highlight w:val="none"/>
        </w:rPr>
      </w:pPr>
    </w:p>
    <w:p w14:paraId="6D48BFCA">
      <w:pP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4F600C98">
      <w:pPr>
        <w:jc w:val="center"/>
        <w:rPr>
          <w:rFonts w:hint="default" w:ascii="Times New Roman" w:hAnsi="Times New Roman" w:eastAsia="黑体" w:cs="Times New Roman"/>
          <w:bCs/>
          <w:color w:val="auto"/>
          <w:highlight w:val="none"/>
        </w:rPr>
      </w:pPr>
      <w:r>
        <w:rPr>
          <w:rFonts w:hint="default" w:ascii="Times New Roman" w:hAnsi="Times New Roman" w:cs="Times New Roman"/>
          <w:b/>
          <w:color w:val="auto"/>
          <w:sz w:val="28"/>
          <w:highlight w:val="none"/>
        </w:rPr>
        <w:t>第五章  合同条款及格式</w:t>
      </w:r>
      <w:bookmarkEnd w:id="33"/>
    </w:p>
    <w:p w14:paraId="482E278E">
      <w:pPr>
        <w:spacing w:line="360" w:lineRule="auto"/>
        <w:rPr>
          <w:rFonts w:hint="default" w:ascii="Times New Roman" w:hAnsi="Times New Roman" w:cs="Times New Roman"/>
          <w:color w:val="auto"/>
          <w:szCs w:val="21"/>
          <w:highlight w:val="none"/>
          <w:lang w:bidi="ar"/>
        </w:rPr>
      </w:pPr>
    </w:p>
    <w:p w14:paraId="176F65FC">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合同参考范本</w:t>
      </w:r>
    </w:p>
    <w:p w14:paraId="58132622">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（货物类）</w:t>
      </w:r>
    </w:p>
    <w:p w14:paraId="71DE4795">
      <w:pPr>
        <w:spacing w:line="480" w:lineRule="auto"/>
        <w:jc w:val="center"/>
        <w:rPr>
          <w:rFonts w:hint="default" w:ascii="Times New Roman" w:hAnsi="Times New Roman" w:cs="Times New Roman"/>
          <w:b/>
          <w:color w:val="auto"/>
          <w:sz w:val="24"/>
          <w:highlight w:val="none"/>
        </w:rPr>
      </w:pPr>
    </w:p>
    <w:p w14:paraId="75255655">
      <w:pPr>
        <w:spacing w:line="480" w:lineRule="auto"/>
        <w:jc w:val="center"/>
        <w:rPr>
          <w:rFonts w:hint="default" w:ascii="Times New Roman" w:hAnsi="Times New Roman" w:cs="Times New Roman"/>
          <w:b/>
          <w:color w:val="auto"/>
          <w:sz w:val="24"/>
          <w:highlight w:val="none"/>
        </w:rPr>
      </w:pPr>
    </w:p>
    <w:p w14:paraId="4B9A7E5B">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第一部分 合同书</w:t>
      </w:r>
    </w:p>
    <w:p w14:paraId="6D3CE891">
      <w:pPr>
        <w:spacing w:line="480" w:lineRule="auto"/>
        <w:rPr>
          <w:rFonts w:hint="default" w:ascii="Times New Roman" w:hAnsi="Times New Roman" w:cs="Times New Roman"/>
          <w:b/>
          <w:color w:val="auto"/>
          <w:sz w:val="24"/>
          <w:highlight w:val="none"/>
        </w:rPr>
      </w:pPr>
    </w:p>
    <w:p w14:paraId="516C56E6">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常青街道邻里坊厨房设备采购及安装项目</w:t>
      </w:r>
      <w:r>
        <w:rPr>
          <w:rFonts w:hint="default" w:ascii="Times New Roman" w:hAnsi="Times New Roman" w:eastAsia="宋体" w:cs="Times New Roman"/>
          <w:color w:val="auto"/>
          <w:sz w:val="24"/>
          <w:highlight w:val="none"/>
          <w:u w:val="single"/>
          <w:lang w:eastAsia="zh-CN"/>
        </w:rPr>
        <w:t xml:space="preserve"> </w:t>
      </w:r>
      <w:r>
        <w:rPr>
          <w:rFonts w:hint="default" w:ascii="Times New Roman" w:hAnsi="Times New Roman" w:cs="Times New Roman"/>
          <w:color w:val="auto"/>
          <w:sz w:val="24"/>
          <w:highlight w:val="none"/>
          <w:u w:val="single"/>
        </w:rPr>
        <w:t xml:space="preserve"> </w:t>
      </w:r>
    </w:p>
    <w:p w14:paraId="3C6B5C1F">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项目编号：</w:t>
      </w:r>
      <w:r>
        <w:rPr>
          <w:rFonts w:hint="default"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u w:val="single"/>
          <w:lang w:val="en-US" w:eastAsia="zh-CN"/>
        </w:rPr>
        <w:t>BHSG-ZTB-2025-44</w:t>
      </w:r>
      <w:r>
        <w:rPr>
          <w:rFonts w:hint="default" w:ascii="Times New Roman" w:hAnsi="Times New Roman" w:cs="Times New Roman"/>
          <w:color w:val="auto"/>
          <w:sz w:val="24"/>
          <w:highlight w:val="none"/>
          <w:u w:val="single"/>
        </w:rPr>
        <w:t xml:space="preserve"> </w:t>
      </w:r>
    </w:p>
    <w:p w14:paraId="49337E93">
      <w:pPr>
        <w:tabs>
          <w:tab w:val="left" w:pos="2410"/>
        </w:tabs>
        <w:autoSpaceDE w:val="0"/>
        <w:autoSpaceDN w:val="0"/>
        <w:adjustRightInd w:val="0"/>
        <w:snapToGrid w:val="0"/>
        <w:spacing w:line="360" w:lineRule="auto"/>
        <w:ind w:firstLine="960" w:firstLineChars="400"/>
        <w:rPr>
          <w:rFonts w:hint="default" w:ascii="Times New Roman" w:hAnsi="Times New Roman" w:eastAsia="宋体" w:cs="Times New Roman"/>
          <w:color w:val="auto"/>
          <w:sz w:val="24"/>
          <w:highlight w:val="none"/>
          <w:u w:val="single"/>
          <w:lang w:eastAsia="zh-CN"/>
        </w:rPr>
      </w:pPr>
      <w:r>
        <w:rPr>
          <w:rFonts w:hint="default" w:ascii="Times New Roman" w:hAnsi="Times New Roman" w:cs="Times New Roman"/>
          <w:color w:val="auto"/>
          <w:sz w:val="24"/>
          <w:highlight w:val="none"/>
        </w:rPr>
        <w:t>甲方（招标人）：</w:t>
      </w:r>
      <w:r>
        <w:rPr>
          <w:rFonts w:hint="default" w:ascii="Times New Roman" w:hAnsi="Times New Roman" w:cs="Times New Roman"/>
          <w:color w:val="auto"/>
          <w:sz w:val="24"/>
          <w:highlight w:val="none"/>
          <w:u w:val="single"/>
          <w:lang w:eastAsia="zh-CN"/>
        </w:rPr>
        <w:t>合肥滨湖时光空间运营管理有限公司</w:t>
      </w:r>
    </w:p>
    <w:p w14:paraId="4D1E24BD">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乙方（中标人）：</w:t>
      </w:r>
      <w:r>
        <w:rPr>
          <w:rFonts w:hint="default" w:ascii="Times New Roman" w:hAnsi="Times New Roman" w:cs="Times New Roman"/>
          <w:color w:val="auto"/>
          <w:sz w:val="24"/>
          <w:highlight w:val="none"/>
          <w:u w:val="single"/>
        </w:rPr>
        <w:t xml:space="preserve">                              </w:t>
      </w:r>
    </w:p>
    <w:p w14:paraId="289AA5AD">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签订地：</w:t>
      </w:r>
      <w:r>
        <w:rPr>
          <w:rFonts w:hint="default" w:ascii="Times New Roman" w:hAnsi="Times New Roman" w:cs="Times New Roman"/>
          <w:color w:val="auto"/>
          <w:sz w:val="24"/>
          <w:highlight w:val="none"/>
          <w:u w:val="single"/>
        </w:rPr>
        <w:t xml:space="preserve">                                     </w:t>
      </w:r>
    </w:p>
    <w:p w14:paraId="2E4C25D1">
      <w:pPr>
        <w:snapToGrid w:val="0"/>
        <w:spacing w:line="360" w:lineRule="auto"/>
        <w:ind w:firstLine="960" w:firstLineChars="400"/>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cs="Times New Roman"/>
          <w:color w:val="auto"/>
          <w:sz w:val="24"/>
          <w:highlight w:val="none"/>
        </w:rPr>
        <w:t>签订日期：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p>
    <w:p w14:paraId="7E7314A1">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15A2C720">
      <w:pPr>
        <w:autoSpaceDE w:val="0"/>
        <w:autoSpaceDN w:val="0"/>
        <w:adjustRightInd w:val="0"/>
        <w:spacing w:line="600" w:lineRule="exact"/>
        <w:ind w:firstLine="640"/>
        <w:jc w:val="center"/>
        <w:rPr>
          <w:rFonts w:hint="default" w:ascii="Times New Roman" w:hAnsi="Times New Roman" w:cs="Times New Roman"/>
          <w:color w:val="auto"/>
          <w:sz w:val="24"/>
          <w:highlight w:val="none"/>
        </w:rPr>
        <w:sectPr>
          <w:footerReference r:id="rId5" w:type="default"/>
          <w:pgSz w:w="11907" w:h="16840"/>
          <w:pgMar w:top="1474" w:right="1814" w:bottom="1474" w:left="1814" w:header="851" w:footer="992" w:gutter="0"/>
          <w:pgNumType w:start="46"/>
          <w:cols w:space="720" w:num="1"/>
          <w:docGrid w:linePitch="462" w:charSpace="0"/>
        </w:sectPr>
      </w:pPr>
    </w:p>
    <w:p w14:paraId="7CDA6EF5">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30BA3126">
      <w:pPr>
        <w:spacing w:line="360" w:lineRule="auto"/>
        <w:ind w:firstLine="437"/>
        <w:outlineLvl w:val="3"/>
        <w:rPr>
          <w:rFonts w:hint="default" w:ascii="Times New Roman" w:hAnsi="Times New Roman" w:cs="Times New Roman"/>
          <w:b/>
          <w:bCs/>
          <w:color w:val="auto"/>
          <w:sz w:val="24"/>
          <w:highlight w:val="none"/>
          <w:lang w:val="zh-CN"/>
        </w:rPr>
      </w:pPr>
      <w:bookmarkStart w:id="34" w:name="_Toc3029"/>
      <w:bookmarkStart w:id="35" w:name="_Toc24059"/>
      <w:bookmarkStart w:id="36" w:name="_Toc2232"/>
      <w:r>
        <w:rPr>
          <w:rFonts w:hint="default" w:ascii="Times New Roman" w:hAnsi="Times New Roman" w:cs="Times New Roman"/>
          <w:b/>
          <w:bCs/>
          <w:color w:val="auto"/>
          <w:sz w:val="24"/>
          <w:highlight w:val="none"/>
          <w:lang w:val="zh-CN"/>
        </w:rPr>
        <w:t>1.1 合同组成部分</w:t>
      </w:r>
      <w:bookmarkEnd w:id="34"/>
      <w:bookmarkEnd w:id="35"/>
      <w:bookmarkEnd w:id="36"/>
    </w:p>
    <w:p w14:paraId="1C8856FA">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33B01D9F">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1.1.1本合同及其补充合同、变更协议；</w:t>
      </w:r>
    </w:p>
    <w:p w14:paraId="1A088D62">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1.1.2中标通知书；</w:t>
      </w:r>
    </w:p>
    <w:p w14:paraId="6BA195F2">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1.1.3</w:t>
      </w:r>
      <w:r>
        <w:rPr>
          <w:rFonts w:hint="default" w:ascii="Times New Roman" w:hAnsi="Times New Roman" w:cs="Times New Roman"/>
          <w:color w:val="auto"/>
          <w:sz w:val="24"/>
          <w:highlight w:val="none"/>
        </w:rPr>
        <w:t>投标</w:t>
      </w:r>
      <w:r>
        <w:rPr>
          <w:rFonts w:hint="default" w:ascii="Times New Roman" w:hAnsi="Times New Roman" w:cs="Times New Roman"/>
          <w:color w:val="auto"/>
          <w:sz w:val="24"/>
          <w:highlight w:val="none"/>
          <w:lang w:val="zh-CN"/>
        </w:rPr>
        <w:t>文件（含澄清或者说明文件）；</w:t>
      </w:r>
    </w:p>
    <w:p w14:paraId="5787B3AA">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1.1.4</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highlight w:val="none"/>
          <w:lang w:val="zh-CN"/>
        </w:rPr>
        <w:t>文件（含澄清或者修改文件）；</w:t>
      </w:r>
    </w:p>
    <w:p w14:paraId="18A5803A">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1.1.5其他相关采购文件。</w:t>
      </w:r>
    </w:p>
    <w:p w14:paraId="5267FF05">
      <w:pPr>
        <w:spacing w:line="360" w:lineRule="auto"/>
        <w:ind w:firstLine="437"/>
        <w:outlineLvl w:val="3"/>
        <w:rPr>
          <w:rFonts w:hint="default" w:ascii="Times New Roman" w:hAnsi="Times New Roman" w:cs="Times New Roman"/>
          <w:b/>
          <w:bCs/>
          <w:color w:val="auto"/>
          <w:sz w:val="24"/>
          <w:highlight w:val="none"/>
          <w:lang w:val="zh-CN"/>
        </w:rPr>
      </w:pPr>
      <w:bookmarkStart w:id="37" w:name="_Toc21295"/>
      <w:bookmarkStart w:id="38" w:name="_Toc27126"/>
      <w:bookmarkStart w:id="39" w:name="_Toc24300"/>
      <w:r>
        <w:rPr>
          <w:rFonts w:hint="default" w:ascii="Times New Roman" w:hAnsi="Times New Roman" w:cs="Times New Roman"/>
          <w:b/>
          <w:bCs/>
          <w:color w:val="auto"/>
          <w:sz w:val="24"/>
          <w:highlight w:val="none"/>
          <w:lang w:val="zh-CN"/>
        </w:rPr>
        <w:t>1.2 货物</w:t>
      </w:r>
      <w:bookmarkEnd w:id="37"/>
      <w:bookmarkEnd w:id="38"/>
      <w:bookmarkEnd w:id="39"/>
      <w:r>
        <w:rPr>
          <w:rFonts w:hint="default" w:ascii="Times New Roman" w:hAnsi="Times New Roman" w:cs="Times New Roman"/>
          <w:b/>
          <w:bCs/>
          <w:color w:val="auto"/>
          <w:sz w:val="24"/>
          <w:highlight w:val="none"/>
          <w:lang w:val="zh-CN"/>
        </w:rPr>
        <w:t>（格式供参考）</w:t>
      </w:r>
    </w:p>
    <w:tbl>
      <w:tblPr>
        <w:tblStyle w:val="41"/>
        <w:tblW w:w="842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5"/>
        <w:gridCol w:w="587"/>
        <w:gridCol w:w="1413"/>
        <w:gridCol w:w="2014"/>
        <w:gridCol w:w="568"/>
        <w:gridCol w:w="515"/>
        <w:gridCol w:w="786"/>
        <w:gridCol w:w="713"/>
        <w:gridCol w:w="800"/>
        <w:gridCol w:w="515"/>
      </w:tblGrid>
      <w:tr w14:paraId="68B0E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426"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B323">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6"/>
                <w:szCs w:val="26"/>
                <w:highlight w:val="none"/>
                <w:u w:val="none"/>
              </w:rPr>
            </w:pPr>
            <w:r>
              <w:rPr>
                <w:rFonts w:hint="default" w:ascii="Times New Roman" w:hAnsi="Times New Roman" w:eastAsia="仿宋_GB2312" w:cs="Times New Roman"/>
                <w:b/>
                <w:bCs/>
                <w:i w:val="0"/>
                <w:iCs w:val="0"/>
                <w:color w:val="auto"/>
                <w:kern w:val="0"/>
                <w:sz w:val="26"/>
                <w:szCs w:val="26"/>
                <w:highlight w:val="none"/>
                <w:u w:val="none"/>
                <w:lang w:val="en-US" w:eastAsia="zh-CN" w:bidi="ar"/>
              </w:rPr>
              <w:t>厨房设备清单</w:t>
            </w:r>
          </w:p>
        </w:tc>
      </w:tr>
      <w:tr w14:paraId="5F180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E4A9">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highlight w:val="none"/>
                <w:u w:val="none"/>
              </w:rPr>
            </w:pPr>
            <w:r>
              <w:rPr>
                <w:rFonts w:hint="default" w:ascii="Times New Roman" w:hAnsi="Times New Roman" w:eastAsia="仿宋_GB2312" w:cs="Times New Roman"/>
                <w:b/>
                <w:bCs/>
                <w:i w:val="0"/>
                <w:iCs w:val="0"/>
                <w:color w:val="auto"/>
                <w:kern w:val="0"/>
                <w:sz w:val="20"/>
                <w:szCs w:val="20"/>
                <w:highlight w:val="none"/>
                <w:u w:val="none"/>
                <w:lang w:val="en-US" w:eastAsia="zh-CN" w:bidi="ar"/>
              </w:rPr>
              <w:t>序号</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E642">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highlight w:val="none"/>
                <w:u w:val="none"/>
              </w:rPr>
            </w:pPr>
            <w:r>
              <w:rPr>
                <w:rFonts w:hint="default" w:ascii="Times New Roman" w:hAnsi="Times New Roman" w:eastAsia="仿宋_GB2312" w:cs="Times New Roman"/>
                <w:b/>
                <w:bCs/>
                <w:i w:val="0"/>
                <w:iCs w:val="0"/>
                <w:color w:val="auto"/>
                <w:kern w:val="0"/>
                <w:sz w:val="20"/>
                <w:szCs w:val="20"/>
                <w:highlight w:val="none"/>
                <w:u w:val="none"/>
                <w:lang w:val="en-US" w:eastAsia="zh-CN" w:bidi="ar"/>
              </w:rPr>
              <w:t>设备名称</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593A">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highlight w:val="none"/>
                <w:u w:val="none"/>
              </w:rPr>
            </w:pPr>
            <w:r>
              <w:rPr>
                <w:rFonts w:hint="default" w:ascii="Times New Roman" w:hAnsi="Times New Roman" w:eastAsia="仿宋_GB2312" w:cs="Times New Roman"/>
                <w:b/>
                <w:bCs/>
                <w:i w:val="0"/>
                <w:iCs w:val="0"/>
                <w:color w:val="auto"/>
                <w:kern w:val="0"/>
                <w:sz w:val="20"/>
                <w:szCs w:val="20"/>
                <w:highlight w:val="none"/>
                <w:u w:val="none"/>
                <w:lang w:val="en-US" w:eastAsia="zh-CN" w:bidi="ar"/>
              </w:rPr>
              <w:t>规格尺寸</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6008">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highlight w:val="none"/>
                <w:u w:val="none"/>
              </w:rPr>
            </w:pPr>
            <w:r>
              <w:rPr>
                <w:rFonts w:hint="default" w:ascii="Times New Roman" w:hAnsi="Times New Roman" w:eastAsia="仿宋_GB2312" w:cs="Times New Roman"/>
                <w:b/>
                <w:bCs/>
                <w:i w:val="0"/>
                <w:iCs w:val="0"/>
                <w:color w:val="auto"/>
                <w:kern w:val="0"/>
                <w:sz w:val="20"/>
                <w:szCs w:val="20"/>
                <w:highlight w:val="none"/>
                <w:u w:val="none"/>
                <w:lang w:val="en-US" w:eastAsia="zh-CN" w:bidi="ar"/>
              </w:rPr>
              <w:t>技术参数</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C446">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highlight w:val="none"/>
                <w:u w:val="none"/>
              </w:rPr>
            </w:pPr>
            <w:r>
              <w:rPr>
                <w:rFonts w:hint="default" w:ascii="Times New Roman" w:hAnsi="Times New Roman" w:eastAsia="仿宋_GB2312" w:cs="Times New Roman"/>
                <w:b/>
                <w:bCs/>
                <w:i w:val="0"/>
                <w:iCs w:val="0"/>
                <w:color w:val="auto"/>
                <w:kern w:val="0"/>
                <w:sz w:val="20"/>
                <w:szCs w:val="20"/>
                <w:highlight w:val="none"/>
                <w:u w:val="none"/>
                <w:lang w:val="en-US" w:eastAsia="zh-CN" w:bidi="ar"/>
              </w:rPr>
              <w:t>数量</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BCB23">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highlight w:val="none"/>
                <w:u w:val="none"/>
              </w:rPr>
            </w:pPr>
            <w:r>
              <w:rPr>
                <w:rFonts w:hint="default" w:ascii="Times New Roman" w:hAnsi="Times New Roman" w:eastAsia="仿宋_GB2312" w:cs="Times New Roman"/>
                <w:b/>
                <w:bCs/>
                <w:i w:val="0"/>
                <w:iCs w:val="0"/>
                <w:color w:val="auto"/>
                <w:kern w:val="0"/>
                <w:sz w:val="20"/>
                <w:szCs w:val="20"/>
                <w:highlight w:val="none"/>
                <w:u w:val="none"/>
                <w:lang w:val="en-US" w:eastAsia="zh-CN" w:bidi="ar"/>
              </w:rPr>
              <w:t>单位</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B44F">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highlight w:val="none"/>
                <w:u w:val="none"/>
              </w:rPr>
            </w:pPr>
            <w:r>
              <w:rPr>
                <w:rFonts w:hint="default" w:ascii="Times New Roman" w:hAnsi="Times New Roman" w:eastAsia="仿宋_GB2312" w:cs="Times New Roman"/>
                <w:b/>
                <w:bCs/>
                <w:i w:val="0"/>
                <w:iCs w:val="0"/>
                <w:color w:val="auto"/>
                <w:kern w:val="0"/>
                <w:sz w:val="20"/>
                <w:szCs w:val="20"/>
                <w:highlight w:val="none"/>
                <w:u w:val="none"/>
                <w:lang w:val="en-US" w:eastAsia="zh-CN" w:bidi="ar"/>
              </w:rPr>
              <w:t>单价</w:t>
            </w:r>
            <w:r>
              <w:rPr>
                <w:rFonts w:hint="default" w:ascii="Times New Roman" w:hAnsi="Times New Roman" w:eastAsia="仿宋_GB2312"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b/>
                <w:bCs/>
                <w:i w:val="0"/>
                <w:iCs w:val="0"/>
                <w:color w:val="auto"/>
                <w:kern w:val="0"/>
                <w:sz w:val="20"/>
                <w:szCs w:val="20"/>
                <w:highlight w:val="none"/>
                <w:u w:val="none"/>
                <w:lang w:val="en-US" w:eastAsia="zh-CN" w:bidi="ar"/>
              </w:rPr>
              <w:t>（含税）</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5ADC">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highlight w:val="none"/>
                <w:u w:val="none"/>
              </w:rPr>
            </w:pPr>
            <w:r>
              <w:rPr>
                <w:rFonts w:hint="default" w:ascii="Times New Roman" w:hAnsi="Times New Roman" w:eastAsia="仿宋_GB2312" w:cs="Times New Roman"/>
                <w:b/>
                <w:bCs/>
                <w:i w:val="0"/>
                <w:iCs w:val="0"/>
                <w:color w:val="auto"/>
                <w:kern w:val="0"/>
                <w:sz w:val="20"/>
                <w:szCs w:val="20"/>
                <w:highlight w:val="none"/>
                <w:u w:val="none"/>
                <w:lang w:val="en-US" w:eastAsia="zh-CN" w:bidi="ar"/>
              </w:rPr>
              <w:t>小计</w:t>
            </w:r>
            <w:r>
              <w:rPr>
                <w:rFonts w:hint="default" w:ascii="Times New Roman" w:hAnsi="Times New Roman" w:eastAsia="仿宋_GB2312"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b/>
                <w:bCs/>
                <w:i w:val="0"/>
                <w:iCs w:val="0"/>
                <w:color w:val="auto"/>
                <w:kern w:val="0"/>
                <w:sz w:val="20"/>
                <w:szCs w:val="20"/>
                <w:highlight w:val="none"/>
                <w:u w:val="none"/>
                <w:lang w:val="en-US" w:eastAsia="zh-CN" w:bidi="ar"/>
              </w:rPr>
              <w:t>（含税）</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99CDD">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highlight w:val="none"/>
                <w:u w:val="none"/>
              </w:rPr>
            </w:pPr>
            <w:r>
              <w:rPr>
                <w:rFonts w:hint="default" w:ascii="Times New Roman" w:hAnsi="Times New Roman" w:eastAsia="仿宋_GB2312" w:cs="Times New Roman"/>
                <w:b/>
                <w:bCs/>
                <w:i w:val="0"/>
                <w:iCs w:val="0"/>
                <w:color w:val="auto"/>
                <w:kern w:val="0"/>
                <w:sz w:val="20"/>
                <w:szCs w:val="20"/>
                <w:highlight w:val="none"/>
                <w:u w:val="none"/>
                <w:lang w:val="en-US" w:eastAsia="zh-CN" w:bidi="ar"/>
              </w:rPr>
              <w:t>品牌</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525E1">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highlight w:val="none"/>
                <w:u w:val="none"/>
              </w:rPr>
            </w:pPr>
            <w:r>
              <w:rPr>
                <w:rFonts w:hint="default" w:ascii="Times New Roman" w:hAnsi="Times New Roman" w:eastAsia="仿宋_GB2312" w:cs="Times New Roman"/>
                <w:b/>
                <w:bCs/>
                <w:i w:val="0"/>
                <w:iCs w:val="0"/>
                <w:color w:val="auto"/>
                <w:kern w:val="0"/>
                <w:sz w:val="20"/>
                <w:szCs w:val="20"/>
                <w:highlight w:val="none"/>
                <w:u w:val="none"/>
                <w:lang w:val="en-US" w:eastAsia="zh-CN" w:bidi="ar"/>
              </w:rPr>
              <w:t>备注</w:t>
            </w:r>
          </w:p>
        </w:tc>
      </w:tr>
      <w:tr w14:paraId="1550F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3FADC">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lang w:val="en-US" w:eastAsia="zh-CN"/>
              </w:rPr>
            </w:pPr>
            <w:r>
              <w:rPr>
                <w:rFonts w:hint="default" w:ascii="Times New Roman" w:hAnsi="Times New Roman" w:eastAsia="仿宋_GB2312" w:cs="Times New Roman"/>
                <w:i w:val="0"/>
                <w:iCs w:val="0"/>
                <w:color w:val="auto"/>
                <w:sz w:val="20"/>
                <w:szCs w:val="20"/>
                <w:highlight w:val="none"/>
                <w:u w:val="none"/>
                <w:lang w:val="en-US" w:eastAsia="zh-CN"/>
              </w:rPr>
              <w:t>1</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BB73">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554D">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CD81">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D1A3">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28C6">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52CE">
            <w:pPr>
              <w:jc w:val="center"/>
              <w:rPr>
                <w:rFonts w:hint="default" w:ascii="Times New Roman" w:hAnsi="Times New Roman" w:eastAsia="仿宋_GB2312" w:cs="Times New Roman"/>
                <w:i w:val="0"/>
                <w:iCs w:val="0"/>
                <w:color w:val="auto"/>
                <w:sz w:val="20"/>
                <w:szCs w:val="20"/>
                <w:highlight w:val="none"/>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5DE4">
            <w:pPr>
              <w:jc w:val="center"/>
              <w:rPr>
                <w:rFonts w:hint="default" w:ascii="Times New Roman" w:hAnsi="Times New Roman" w:eastAsia="仿宋_GB2312" w:cs="Times New Roman"/>
                <w:i w:val="0"/>
                <w:iCs w:val="0"/>
                <w:color w:val="auto"/>
                <w:sz w:val="20"/>
                <w:szCs w:val="20"/>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295C">
            <w:pPr>
              <w:jc w:val="center"/>
              <w:rPr>
                <w:rFonts w:hint="default" w:ascii="Times New Roman" w:hAnsi="Times New Roman" w:eastAsia="仿宋_GB2312" w:cs="Times New Roman"/>
                <w:i w:val="0"/>
                <w:iCs w:val="0"/>
                <w:color w:val="auto"/>
                <w:sz w:val="20"/>
                <w:szCs w:val="20"/>
                <w:highlight w:val="none"/>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ECC30">
            <w:pPr>
              <w:jc w:val="center"/>
              <w:rPr>
                <w:rFonts w:hint="default" w:ascii="Times New Roman" w:hAnsi="Times New Roman" w:eastAsia="仿宋_GB2312" w:cs="Times New Roman"/>
                <w:i w:val="0"/>
                <w:iCs w:val="0"/>
                <w:color w:val="auto"/>
                <w:sz w:val="20"/>
                <w:szCs w:val="20"/>
                <w:highlight w:val="none"/>
                <w:u w:val="none"/>
              </w:rPr>
            </w:pPr>
          </w:p>
        </w:tc>
      </w:tr>
      <w:tr w14:paraId="79C93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EBC26">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lang w:val="en-US" w:eastAsia="zh-CN"/>
              </w:rPr>
            </w:pPr>
            <w:r>
              <w:rPr>
                <w:rFonts w:hint="default" w:ascii="Times New Roman" w:hAnsi="Times New Roman" w:eastAsia="仿宋_GB2312" w:cs="Times New Roman"/>
                <w:i w:val="0"/>
                <w:iCs w:val="0"/>
                <w:color w:val="auto"/>
                <w:sz w:val="20"/>
                <w:szCs w:val="20"/>
                <w:highlight w:val="none"/>
                <w:u w:val="none"/>
                <w:lang w:val="en-US" w:eastAsia="zh-CN"/>
              </w:rPr>
              <w:t>2</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2D1E">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C620">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519E">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6DAC">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A7EBF">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D690">
            <w:pPr>
              <w:jc w:val="center"/>
              <w:rPr>
                <w:rFonts w:hint="default" w:ascii="Times New Roman" w:hAnsi="Times New Roman" w:eastAsia="仿宋_GB2312" w:cs="Times New Roman"/>
                <w:i w:val="0"/>
                <w:iCs w:val="0"/>
                <w:color w:val="auto"/>
                <w:sz w:val="20"/>
                <w:szCs w:val="20"/>
                <w:highlight w:val="none"/>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8EB6">
            <w:pPr>
              <w:jc w:val="center"/>
              <w:rPr>
                <w:rFonts w:hint="default" w:ascii="Times New Roman" w:hAnsi="Times New Roman" w:eastAsia="仿宋_GB2312" w:cs="Times New Roman"/>
                <w:i w:val="0"/>
                <w:iCs w:val="0"/>
                <w:color w:val="auto"/>
                <w:sz w:val="20"/>
                <w:szCs w:val="20"/>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E82F">
            <w:pPr>
              <w:jc w:val="center"/>
              <w:rPr>
                <w:rFonts w:hint="default" w:ascii="Times New Roman" w:hAnsi="Times New Roman" w:eastAsia="仿宋_GB2312" w:cs="Times New Roman"/>
                <w:i w:val="0"/>
                <w:iCs w:val="0"/>
                <w:color w:val="auto"/>
                <w:sz w:val="20"/>
                <w:szCs w:val="20"/>
                <w:highlight w:val="none"/>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5B4F">
            <w:pPr>
              <w:jc w:val="center"/>
              <w:rPr>
                <w:rFonts w:hint="default" w:ascii="Times New Roman" w:hAnsi="Times New Roman" w:eastAsia="仿宋_GB2312" w:cs="Times New Roman"/>
                <w:i w:val="0"/>
                <w:iCs w:val="0"/>
                <w:color w:val="auto"/>
                <w:sz w:val="20"/>
                <w:szCs w:val="20"/>
                <w:highlight w:val="none"/>
                <w:u w:val="none"/>
              </w:rPr>
            </w:pPr>
          </w:p>
        </w:tc>
      </w:tr>
      <w:tr w14:paraId="0E5A6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BB5D">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lang w:val="en-US" w:eastAsia="zh-CN"/>
              </w:rPr>
            </w:pPr>
            <w:r>
              <w:rPr>
                <w:rFonts w:hint="default" w:ascii="Times New Roman" w:hAnsi="Times New Roman" w:eastAsia="仿宋_GB2312" w:cs="Times New Roman"/>
                <w:i w:val="0"/>
                <w:iCs w:val="0"/>
                <w:color w:val="auto"/>
                <w:sz w:val="20"/>
                <w:szCs w:val="20"/>
                <w:highlight w:val="none"/>
                <w:u w:val="none"/>
                <w:lang w:val="en-US" w:eastAsia="zh-CN"/>
              </w:rPr>
              <w:t>...</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5A82">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199C">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B51B">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highlight w:val="none"/>
                <w:u w:val="none"/>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900F">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FFAF">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6E09">
            <w:pPr>
              <w:jc w:val="center"/>
              <w:rPr>
                <w:rFonts w:hint="default" w:ascii="Times New Roman" w:hAnsi="Times New Roman" w:eastAsia="仿宋_GB2312" w:cs="Times New Roman"/>
                <w:i w:val="0"/>
                <w:iCs w:val="0"/>
                <w:color w:val="auto"/>
                <w:sz w:val="20"/>
                <w:szCs w:val="20"/>
                <w:highlight w:val="none"/>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0403">
            <w:pPr>
              <w:jc w:val="center"/>
              <w:rPr>
                <w:rFonts w:hint="default" w:ascii="Times New Roman" w:hAnsi="Times New Roman" w:eastAsia="仿宋_GB2312" w:cs="Times New Roman"/>
                <w:i w:val="0"/>
                <w:iCs w:val="0"/>
                <w:color w:val="auto"/>
                <w:sz w:val="20"/>
                <w:szCs w:val="20"/>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D4A3">
            <w:pPr>
              <w:jc w:val="center"/>
              <w:rPr>
                <w:rFonts w:hint="default" w:ascii="Times New Roman" w:hAnsi="Times New Roman" w:eastAsia="仿宋_GB2312" w:cs="Times New Roman"/>
                <w:i w:val="0"/>
                <w:iCs w:val="0"/>
                <w:color w:val="auto"/>
                <w:sz w:val="20"/>
                <w:szCs w:val="20"/>
                <w:highlight w:val="none"/>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A8C14">
            <w:pPr>
              <w:jc w:val="center"/>
              <w:rPr>
                <w:rFonts w:hint="default" w:ascii="Times New Roman" w:hAnsi="Times New Roman" w:eastAsia="仿宋_GB2312" w:cs="Times New Roman"/>
                <w:i w:val="0"/>
                <w:iCs w:val="0"/>
                <w:color w:val="auto"/>
                <w:sz w:val="20"/>
                <w:szCs w:val="20"/>
                <w:highlight w:val="none"/>
                <w:u w:val="none"/>
              </w:rPr>
            </w:pPr>
          </w:p>
        </w:tc>
      </w:tr>
    </w:tbl>
    <w:p w14:paraId="5448EDB3">
      <w:pPr>
        <w:spacing w:line="360" w:lineRule="auto"/>
        <w:ind w:firstLine="437"/>
        <w:outlineLvl w:val="3"/>
        <w:rPr>
          <w:rFonts w:hint="default" w:ascii="Times New Roman" w:hAnsi="Times New Roman" w:cs="Times New Roman"/>
          <w:b/>
          <w:bCs/>
          <w:color w:val="auto"/>
          <w:sz w:val="24"/>
          <w:highlight w:val="none"/>
          <w:lang w:val="zh-CN"/>
        </w:rPr>
      </w:pPr>
    </w:p>
    <w:p w14:paraId="1E6B3FBA">
      <w:pPr>
        <w:spacing w:line="360" w:lineRule="auto"/>
        <w:ind w:firstLine="437"/>
        <w:outlineLvl w:val="3"/>
        <w:rPr>
          <w:rFonts w:hint="default" w:ascii="Times New Roman" w:hAnsi="Times New Roman" w:cs="Times New Roman"/>
          <w:b/>
          <w:bCs/>
          <w:color w:val="auto"/>
          <w:sz w:val="24"/>
          <w:highlight w:val="none"/>
          <w:lang w:val="zh-CN"/>
        </w:rPr>
      </w:pPr>
      <w:bookmarkStart w:id="40" w:name="_Toc21551"/>
      <w:bookmarkStart w:id="41" w:name="_Toc21631"/>
      <w:bookmarkStart w:id="42" w:name="_Toc23292"/>
      <w:r>
        <w:rPr>
          <w:rFonts w:hint="default" w:ascii="Times New Roman" w:hAnsi="Times New Roman" w:cs="Times New Roman"/>
          <w:b/>
          <w:bCs/>
          <w:color w:val="auto"/>
          <w:sz w:val="24"/>
          <w:highlight w:val="none"/>
          <w:lang w:val="zh-CN"/>
        </w:rPr>
        <w:t>1.3 价款</w:t>
      </w:r>
      <w:bookmarkEnd w:id="40"/>
      <w:bookmarkEnd w:id="41"/>
      <w:bookmarkEnd w:id="42"/>
    </w:p>
    <w:p w14:paraId="106682C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本合同总价为：￥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元（大写：人民币</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w:t>
      </w:r>
    </w:p>
    <w:p w14:paraId="52EE91D8">
      <w:pPr>
        <w:spacing w:line="360" w:lineRule="auto"/>
        <w:ind w:firstLine="437"/>
        <w:outlineLvl w:val="3"/>
        <w:rPr>
          <w:rFonts w:hint="default" w:ascii="Times New Roman" w:hAnsi="Times New Roman" w:cs="Times New Roman"/>
          <w:b/>
          <w:bCs/>
          <w:color w:val="auto"/>
          <w:sz w:val="24"/>
          <w:highlight w:val="none"/>
          <w:lang w:val="zh-CN"/>
        </w:rPr>
      </w:pPr>
      <w:bookmarkStart w:id="43" w:name="_Toc22618"/>
      <w:bookmarkStart w:id="44" w:name="_Toc1814"/>
      <w:bookmarkStart w:id="45" w:name="_Toc10340"/>
      <w:r>
        <w:rPr>
          <w:rFonts w:hint="default" w:ascii="Times New Roman" w:hAnsi="Times New Roman" w:cs="Times New Roman"/>
          <w:b/>
          <w:bCs/>
          <w:color w:val="auto"/>
          <w:sz w:val="24"/>
          <w:highlight w:val="none"/>
          <w:lang w:val="zh-CN"/>
        </w:rPr>
        <w:t>1.4 付款和发票</w:t>
      </w:r>
      <w:bookmarkEnd w:id="43"/>
      <w:bookmarkEnd w:id="44"/>
      <w:bookmarkEnd w:id="45"/>
    </w:p>
    <w:p w14:paraId="44A2F3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1.4.1付款方式：</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10DBE27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1.4.2发票类型：</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149FD66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1.4.3发票开具方式：</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46B39176">
      <w:pPr>
        <w:spacing w:line="360" w:lineRule="auto"/>
        <w:ind w:firstLine="437"/>
        <w:outlineLvl w:val="3"/>
        <w:rPr>
          <w:rFonts w:hint="default" w:ascii="Times New Roman" w:hAnsi="Times New Roman" w:cs="Times New Roman"/>
          <w:b/>
          <w:bCs/>
          <w:color w:val="auto"/>
          <w:sz w:val="24"/>
          <w:highlight w:val="none"/>
          <w:lang w:val="zh-CN"/>
        </w:rPr>
      </w:pPr>
      <w:bookmarkStart w:id="46" w:name="_Toc2846"/>
      <w:bookmarkStart w:id="47" w:name="_Toc19304"/>
      <w:bookmarkStart w:id="48" w:name="_Toc32071"/>
      <w:r>
        <w:rPr>
          <w:rFonts w:hint="default" w:ascii="Times New Roman" w:hAnsi="Times New Roman" w:cs="Times New Roman"/>
          <w:b/>
          <w:bCs/>
          <w:color w:val="auto"/>
          <w:sz w:val="24"/>
          <w:highlight w:val="none"/>
          <w:lang w:val="zh-CN"/>
        </w:rPr>
        <w:t>1.5 货物交付期限、地点和方式</w:t>
      </w:r>
      <w:bookmarkEnd w:id="46"/>
      <w:bookmarkEnd w:id="47"/>
      <w:bookmarkEnd w:id="48"/>
    </w:p>
    <w:p w14:paraId="74364620">
      <w:pPr>
        <w:spacing w:line="360" w:lineRule="auto"/>
        <w:ind w:firstLine="435"/>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1.5.1交付期限：</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465804A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1.5.2交付地点：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587A3A1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1.5.3交付方式：</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68AA7AE1">
      <w:pPr>
        <w:spacing w:line="360" w:lineRule="auto"/>
        <w:ind w:firstLine="437"/>
        <w:outlineLvl w:val="3"/>
        <w:rPr>
          <w:rFonts w:hint="default" w:ascii="Times New Roman" w:hAnsi="Times New Roman" w:cs="Times New Roman"/>
          <w:b/>
          <w:bCs/>
          <w:color w:val="auto"/>
          <w:sz w:val="24"/>
          <w:highlight w:val="none"/>
          <w:lang w:val="zh-CN"/>
        </w:rPr>
      </w:pPr>
      <w:bookmarkStart w:id="49" w:name="_Toc19554"/>
      <w:bookmarkStart w:id="50" w:name="_Toc27250"/>
      <w:bookmarkStart w:id="51" w:name="_Toc21423"/>
      <w:r>
        <w:rPr>
          <w:rFonts w:hint="default" w:ascii="Times New Roman" w:hAnsi="Times New Roman" w:cs="Times New Roman"/>
          <w:b/>
          <w:bCs/>
          <w:color w:val="auto"/>
          <w:sz w:val="24"/>
          <w:highlight w:val="none"/>
          <w:lang w:val="zh-CN"/>
        </w:rPr>
        <w:t>1.6 违约责任</w:t>
      </w:r>
      <w:bookmarkEnd w:id="49"/>
      <w:bookmarkEnd w:id="50"/>
      <w:bookmarkEnd w:id="51"/>
    </w:p>
    <w:p w14:paraId="66781D9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1.6.1除不可抗力外，如果乙方没有按照本合同约定的期限、地点和方式交付货物，那么甲方可要求乙方支付违约金，违约金按每迟延交付货物一日的应交付而未交付货物价格的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%计算，最高限额为本合同总价的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%；迟延交付货物的违约金计算数额达到前述最高限额之日起，甲方有权在要求乙方支付违约金的同时，书面通知乙方解除本合同；</w:t>
      </w:r>
    </w:p>
    <w:p w14:paraId="3E4DB02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1.6.2除不可抗力外，如果甲方没有按照本合同约定的付款方式付款，那么乙方可要求甲方支付违约金，违约金按每迟延付款一日的应付而未付款的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%计算，最高限额为本合同总价的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%；迟延付款的违约金计算数额达到前述最高限额之日起，乙方有权在要求甲方支付违约金的同时，书面通知甲方解除本合同；</w:t>
      </w:r>
    </w:p>
    <w:p w14:paraId="4FB1290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082645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399CF4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899379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1.6.6如果出现招标投标监督管理部门在处理投诉事项期间，书面通知甲方暂停招标活动的情形，或者询问或异议事项可能影响中标结果的，导致甲方中止履行合同的情形，均不视为甲方违约。</w:t>
      </w:r>
    </w:p>
    <w:p w14:paraId="40BDAB94">
      <w:pPr>
        <w:spacing w:line="360" w:lineRule="auto"/>
        <w:ind w:firstLine="437"/>
        <w:outlineLvl w:val="3"/>
        <w:rPr>
          <w:rFonts w:hint="default" w:ascii="Times New Roman" w:hAnsi="Times New Roman" w:cs="Times New Roman"/>
          <w:b/>
          <w:bCs/>
          <w:color w:val="auto"/>
          <w:sz w:val="24"/>
          <w:highlight w:val="none"/>
          <w:lang w:val="zh-CN"/>
        </w:rPr>
      </w:pPr>
      <w:bookmarkStart w:id="52" w:name="_Toc28375"/>
      <w:bookmarkStart w:id="53" w:name="_Toc16021"/>
      <w:bookmarkStart w:id="54" w:name="_Toc15583"/>
      <w:r>
        <w:rPr>
          <w:rFonts w:hint="default" w:ascii="Times New Roman" w:hAnsi="Times New Roman" w:cs="Times New Roman"/>
          <w:b/>
          <w:bCs/>
          <w:color w:val="auto"/>
          <w:sz w:val="24"/>
          <w:highlight w:val="none"/>
          <w:lang w:val="zh-CN"/>
        </w:rPr>
        <w:t>1.7 合同争议的解决</w:t>
      </w:r>
      <w:bookmarkEnd w:id="52"/>
      <w:bookmarkEnd w:id="53"/>
      <w:bookmarkEnd w:id="54"/>
    </w:p>
    <w:p w14:paraId="4E7903B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本合同履行过程中发生的任何争议，双方当事人均可通过和解或者调解解决；不愿和解、调解或者和解、调解不成的，可以选择下列第</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2</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种方式解决：</w:t>
      </w:r>
    </w:p>
    <w:p w14:paraId="0A5F3C7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1.7.1将争议提交</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仲裁委员会依申请仲裁时其现行有效的仲裁规则裁决；</w:t>
      </w:r>
    </w:p>
    <w:p w14:paraId="2FCB57F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1.7.2向</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eastAsia="zh-CN"/>
        </w:rPr>
        <w:t>合肥市包河区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人民法院起诉。</w:t>
      </w:r>
    </w:p>
    <w:p w14:paraId="4922D538">
      <w:pPr>
        <w:spacing w:line="360" w:lineRule="auto"/>
        <w:ind w:firstLine="437"/>
        <w:outlineLvl w:val="3"/>
        <w:rPr>
          <w:rFonts w:hint="default" w:ascii="Times New Roman" w:hAnsi="Times New Roman" w:cs="Times New Roman"/>
          <w:b/>
          <w:bCs/>
          <w:color w:val="auto"/>
          <w:sz w:val="24"/>
          <w:highlight w:val="none"/>
          <w:lang w:val="zh-CN"/>
        </w:rPr>
      </w:pPr>
      <w:bookmarkStart w:id="55" w:name="_Toc15322"/>
      <w:bookmarkStart w:id="56" w:name="_Toc11173"/>
      <w:bookmarkStart w:id="57" w:name="_Toc7245"/>
      <w:r>
        <w:rPr>
          <w:rFonts w:hint="default" w:ascii="Times New Roman" w:hAnsi="Times New Roman" w:cs="Times New Roman"/>
          <w:b/>
          <w:bCs/>
          <w:color w:val="auto"/>
          <w:sz w:val="24"/>
          <w:highlight w:val="none"/>
          <w:lang w:val="zh-CN"/>
        </w:rPr>
        <w:t>1.8 合同生效</w:t>
      </w:r>
      <w:bookmarkEnd w:id="55"/>
      <w:bookmarkEnd w:id="56"/>
      <w:bookmarkEnd w:id="57"/>
    </w:p>
    <w:p w14:paraId="425B807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本合同自双方当事人盖章时生效。</w:t>
      </w:r>
    </w:p>
    <w:p w14:paraId="47E8CF2F">
      <w:pPr>
        <w:autoSpaceDE w:val="0"/>
        <w:autoSpaceDN w:val="0"/>
        <w:adjustRightInd w:val="0"/>
        <w:spacing w:line="560" w:lineRule="exact"/>
        <w:rPr>
          <w:rFonts w:hint="default" w:ascii="Times New Roman" w:hAnsi="Times New Roman" w:cs="Times New Roman"/>
          <w:color w:val="auto"/>
          <w:sz w:val="24"/>
          <w:highlight w:val="none"/>
          <w:lang w:val="zh-CN"/>
        </w:rPr>
      </w:pPr>
    </w:p>
    <w:p w14:paraId="76E34C61">
      <w:pPr>
        <w:autoSpaceDE w:val="0"/>
        <w:autoSpaceDN w:val="0"/>
        <w:adjustRightInd w:val="0"/>
        <w:spacing w:line="560" w:lineRule="exact"/>
        <w:rPr>
          <w:rFonts w:hint="default" w:ascii="Times New Roman" w:hAnsi="Times New Roman" w:cs="Times New Roman"/>
          <w:color w:val="auto"/>
          <w:sz w:val="24"/>
          <w:highlight w:val="none"/>
          <w:lang w:val="zh-CN"/>
        </w:rPr>
      </w:pPr>
    </w:p>
    <w:p w14:paraId="16B13459">
      <w:pPr>
        <w:autoSpaceDE w:val="0"/>
        <w:autoSpaceDN w:val="0"/>
        <w:adjustRightInd w:val="0"/>
        <w:spacing w:line="560" w:lineRule="exact"/>
        <w:rPr>
          <w:rFonts w:hint="default" w:ascii="Times New Roman" w:hAnsi="Times New Roman" w:cs="Times New Roman"/>
          <w:color w:val="auto"/>
          <w:sz w:val="24"/>
          <w:highlight w:val="none"/>
          <w:lang w:val="zh-CN"/>
        </w:rPr>
      </w:pPr>
    </w:p>
    <w:p w14:paraId="2F71E59B">
      <w:pPr>
        <w:autoSpaceDE w:val="0"/>
        <w:autoSpaceDN w:val="0"/>
        <w:adjustRightInd w:val="0"/>
        <w:spacing w:line="560" w:lineRule="exact"/>
        <w:rPr>
          <w:rFonts w:hint="default" w:ascii="Times New Roman" w:hAnsi="Times New Roman" w:cs="Times New Roman"/>
          <w:bCs/>
          <w:color w:val="auto"/>
          <w:sz w:val="24"/>
          <w:highlight w:val="none"/>
          <w:lang w:val="zh-CN"/>
        </w:rPr>
      </w:pPr>
      <w:r>
        <w:rPr>
          <w:rFonts w:hint="default" w:ascii="Times New Roman" w:hAnsi="Times New Roman" w:cs="Times New Roman"/>
          <w:bCs/>
          <w:color w:val="auto"/>
          <w:sz w:val="24"/>
          <w:highlight w:val="none"/>
          <w:lang w:val="zh-CN"/>
        </w:rPr>
        <w:t>甲    方：</w:t>
      </w:r>
      <w:r>
        <w:rPr>
          <w:rFonts w:hint="default" w:ascii="Times New Roman" w:hAnsi="Times New Roman" w:cs="Times New Roman"/>
          <w:bCs/>
          <w:color w:val="auto"/>
          <w:sz w:val="24"/>
          <w:highlight w:val="none"/>
          <w:u w:val="single"/>
          <w:lang w:val="zh-CN"/>
        </w:rPr>
        <w:t xml:space="preserve">    （单位盖章）     </w:t>
      </w:r>
      <w:r>
        <w:rPr>
          <w:rFonts w:hint="default" w:ascii="Times New Roman" w:hAnsi="Times New Roman" w:cs="Times New Roman"/>
          <w:bCs/>
          <w:color w:val="auto"/>
          <w:sz w:val="24"/>
          <w:highlight w:val="none"/>
          <w:lang w:val="zh-CN"/>
        </w:rPr>
        <w:t xml:space="preserve">          乙方：</w:t>
      </w:r>
      <w:r>
        <w:rPr>
          <w:rFonts w:hint="default" w:ascii="Times New Roman" w:hAnsi="Times New Roman" w:cs="Times New Roman"/>
          <w:bCs/>
          <w:color w:val="auto"/>
          <w:sz w:val="24"/>
          <w:highlight w:val="none"/>
          <w:u w:val="single"/>
          <w:lang w:val="zh-CN"/>
        </w:rPr>
        <w:t xml:space="preserve">    （单位盖章）     </w:t>
      </w:r>
    </w:p>
    <w:p w14:paraId="016171E0">
      <w:pPr>
        <w:autoSpaceDE w:val="0"/>
        <w:autoSpaceDN w:val="0"/>
        <w:adjustRightInd w:val="0"/>
        <w:spacing w:line="560" w:lineRule="exact"/>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法定代表人                               法定代表人</w:t>
      </w:r>
    </w:p>
    <w:p w14:paraId="35DD5961">
      <w:pPr>
        <w:autoSpaceDE w:val="0"/>
        <w:autoSpaceDN w:val="0"/>
        <w:adjustRightInd w:val="0"/>
        <w:spacing w:line="560" w:lineRule="exact"/>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或授权代表（签字）：                      或授权代表（签字）：</w:t>
      </w:r>
    </w:p>
    <w:p w14:paraId="4B7635D3">
      <w:pPr>
        <w:widowControl/>
        <w:spacing w:line="560" w:lineRule="exact"/>
        <w:jc w:val="left"/>
        <w:rPr>
          <w:rFonts w:hint="default" w:ascii="Times New Roman" w:hAnsi="Times New Roman" w:cs="Times New Roman"/>
          <w:bCs/>
          <w:color w:val="auto"/>
          <w:sz w:val="24"/>
          <w:highlight w:val="none"/>
        </w:rPr>
      </w:pPr>
      <w:bookmarkStart w:id="58" w:name="_Toc331685783"/>
      <w:r>
        <w:rPr>
          <w:rFonts w:hint="default" w:ascii="Times New Roman" w:hAnsi="Times New Roman" w:cs="Times New Roman"/>
          <w:bCs/>
          <w:color w:val="auto"/>
          <w:sz w:val="24"/>
          <w:highlight w:val="none"/>
        </w:rPr>
        <w:t>时间：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               时间：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w:t>
      </w:r>
    </w:p>
    <w:p w14:paraId="4D5CA790">
      <w:pPr>
        <w:widowControl/>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br w:type="page"/>
      </w:r>
    </w:p>
    <w:p w14:paraId="1D780D0B">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第二部分 合同一般条款</w:t>
      </w:r>
      <w:bookmarkEnd w:id="58"/>
    </w:p>
    <w:p w14:paraId="1B043DFC">
      <w:pPr>
        <w:spacing w:line="360" w:lineRule="auto"/>
        <w:ind w:firstLine="437"/>
        <w:outlineLvl w:val="3"/>
        <w:rPr>
          <w:rFonts w:hint="default" w:ascii="Times New Roman" w:hAnsi="Times New Roman" w:cs="Times New Roman"/>
          <w:b/>
          <w:bCs/>
          <w:color w:val="auto"/>
          <w:sz w:val="24"/>
          <w:highlight w:val="none"/>
          <w:lang w:val="zh-CN"/>
        </w:rPr>
      </w:pPr>
      <w:bookmarkStart w:id="59" w:name="_Ref467378404"/>
      <w:bookmarkStart w:id="60" w:name="_Ref467379205"/>
      <w:bookmarkStart w:id="61" w:name="_Toc16917"/>
      <w:bookmarkStart w:id="62" w:name="_Ref467379195"/>
      <w:bookmarkStart w:id="63" w:name="_Ref467378463"/>
      <w:bookmarkStart w:id="64" w:name="_Ref467379214"/>
      <w:bookmarkStart w:id="65" w:name="_Toc28763"/>
      <w:bookmarkStart w:id="66" w:name="_Ref467379094"/>
      <w:bookmarkStart w:id="67" w:name="_Toc19614"/>
      <w:bookmarkStart w:id="68" w:name="_Ref467379101"/>
      <w:bookmarkStart w:id="69" w:name="_Toc259093669"/>
      <w:bookmarkStart w:id="70" w:name="_Ref467379109"/>
      <w:bookmarkStart w:id="71" w:name="_Toc487900349"/>
      <w:bookmarkStart w:id="72" w:name="_Ref467379225"/>
      <w:bookmarkStart w:id="73" w:name="_Toc279701240"/>
      <w:bookmarkStart w:id="74" w:name="_Ref467378499"/>
      <w:r>
        <w:rPr>
          <w:rFonts w:hint="default" w:ascii="Times New Roman" w:hAnsi="Times New Roman" w:cs="Times New Roman"/>
          <w:b/>
          <w:bCs/>
          <w:color w:val="auto"/>
          <w:sz w:val="24"/>
          <w:highlight w:val="none"/>
          <w:lang w:val="zh-CN"/>
        </w:rPr>
        <w:t>2.1 定义</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620BA50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本合同中的下列词语应按以下内容进行解释：</w:t>
      </w:r>
    </w:p>
    <w:p w14:paraId="3AC8DEB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2.1.1“合同”系指招标人和中标人签订的载明双方当事人所达成的协议，并包括所有的附件、附录和构成合同的其他文件。</w:t>
      </w:r>
    </w:p>
    <w:p w14:paraId="2F07FEC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2.1.2“合同价”系指根据合同约定，中标人在完全履行合同义务后，招标人应支付给中标人的价格。</w:t>
      </w:r>
    </w:p>
    <w:p w14:paraId="616AD9D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2.1.3“货物”系指中标人根据合同约定应向招标人交付的一切各种形态和种类的物品，包括原材料、燃料、设备、机械、仪表、备件、计算机软件、产品等，并包括工具、手册等其他相关资料。</w:t>
      </w:r>
    </w:p>
    <w:p w14:paraId="67201D1C">
      <w:pPr>
        <w:spacing w:line="360" w:lineRule="auto"/>
        <w:ind w:firstLine="435"/>
        <w:rPr>
          <w:rFonts w:hint="default" w:ascii="Times New Roman" w:hAnsi="Times New Roman" w:cs="Times New Roman"/>
          <w:color w:val="auto"/>
          <w:sz w:val="24"/>
          <w:highlight w:val="none"/>
        </w:rPr>
      </w:pPr>
      <w:bookmarkStart w:id="75" w:name="_Ref467378840"/>
      <w:r>
        <w:rPr>
          <w:rFonts w:hint="default" w:ascii="Times New Roman" w:hAnsi="Times New Roman" w:cs="Times New Roman"/>
          <w:color w:val="auto"/>
          <w:sz w:val="24"/>
          <w:highlight w:val="none"/>
        </w:rPr>
        <w:t>2.1.4“甲方”系指与中标人签署合同的招标人</w:t>
      </w:r>
      <w:bookmarkEnd w:id="75"/>
      <w:r>
        <w:rPr>
          <w:rFonts w:hint="default" w:ascii="Times New Roman" w:hAnsi="Times New Roman" w:cs="Times New Roman"/>
          <w:color w:val="auto"/>
          <w:sz w:val="24"/>
          <w:highlight w:val="none"/>
        </w:rPr>
        <w:t>；招标人委托招标代理机构代表其与乙方签订合同的，招标人的授权委托书作为合同附件。</w:t>
      </w:r>
    </w:p>
    <w:p w14:paraId="1973B5F0">
      <w:pPr>
        <w:spacing w:line="360" w:lineRule="auto"/>
        <w:ind w:firstLine="435"/>
        <w:rPr>
          <w:rFonts w:hint="default" w:ascii="Times New Roman" w:hAnsi="Times New Roman" w:cs="Times New Roman"/>
          <w:color w:val="auto"/>
          <w:sz w:val="24"/>
          <w:highlight w:val="none"/>
        </w:rPr>
      </w:pPr>
      <w:bookmarkStart w:id="76" w:name="_Ref467379400"/>
      <w:r>
        <w:rPr>
          <w:rFonts w:hint="default" w:ascii="Times New Roman" w:hAnsi="Times New Roman" w:cs="Times New Roman"/>
          <w:color w:val="auto"/>
          <w:sz w:val="24"/>
          <w:highlight w:val="none"/>
        </w:rPr>
        <w:t>2.1.5“乙方”系指根据合同约定交付货物的中标人</w:t>
      </w:r>
      <w:bookmarkEnd w:id="76"/>
      <w:r>
        <w:rPr>
          <w:rFonts w:hint="default" w:ascii="Times New Roman" w:hAnsi="Times New Roman" w:cs="Times New Roman"/>
          <w:color w:val="auto"/>
          <w:sz w:val="24"/>
          <w:highlight w:val="none"/>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685DA598">
      <w:pPr>
        <w:spacing w:line="360" w:lineRule="auto"/>
        <w:ind w:firstLine="435"/>
        <w:rPr>
          <w:rFonts w:hint="default" w:ascii="Times New Roman" w:hAnsi="Times New Roman" w:cs="Times New Roman"/>
          <w:color w:val="auto"/>
          <w:sz w:val="24"/>
          <w:highlight w:val="none"/>
        </w:rPr>
      </w:pPr>
      <w:bookmarkStart w:id="77" w:name="_Ref467379436"/>
      <w:r>
        <w:rPr>
          <w:rFonts w:hint="default" w:ascii="Times New Roman" w:hAnsi="Times New Roman" w:cs="Times New Roman"/>
          <w:color w:val="auto"/>
          <w:sz w:val="24"/>
          <w:highlight w:val="none"/>
        </w:rPr>
        <w:t>2.1.6“现场”系指合同约定货物将要运至或者安装的地点。</w:t>
      </w:r>
      <w:bookmarkEnd w:id="77"/>
    </w:p>
    <w:p w14:paraId="17C0AED3">
      <w:pPr>
        <w:spacing w:line="360" w:lineRule="auto"/>
        <w:ind w:firstLine="437"/>
        <w:outlineLvl w:val="3"/>
        <w:rPr>
          <w:rFonts w:hint="default" w:ascii="Times New Roman" w:hAnsi="Times New Roman" w:cs="Times New Roman"/>
          <w:b/>
          <w:bCs/>
          <w:color w:val="auto"/>
          <w:sz w:val="24"/>
          <w:highlight w:val="none"/>
          <w:lang w:val="zh-CN"/>
        </w:rPr>
      </w:pPr>
      <w:bookmarkStart w:id="78" w:name="_Toc279701241"/>
      <w:bookmarkStart w:id="79" w:name="_Toc13336"/>
      <w:bookmarkStart w:id="80" w:name="_Toc32504"/>
      <w:bookmarkStart w:id="81" w:name="_Toc27635"/>
      <w:bookmarkStart w:id="82" w:name="_Toc487900350"/>
      <w:bookmarkStart w:id="83" w:name="_Toc259093670"/>
      <w:r>
        <w:rPr>
          <w:rFonts w:hint="default" w:ascii="Times New Roman" w:hAnsi="Times New Roman" w:cs="Times New Roman"/>
          <w:b/>
          <w:bCs/>
          <w:color w:val="auto"/>
          <w:sz w:val="24"/>
          <w:highlight w:val="none"/>
          <w:lang w:val="zh-CN"/>
        </w:rPr>
        <w:t>2.2 技术规范</w:t>
      </w:r>
      <w:bookmarkEnd w:id="78"/>
      <w:bookmarkEnd w:id="79"/>
      <w:bookmarkEnd w:id="80"/>
      <w:bookmarkEnd w:id="81"/>
      <w:bookmarkEnd w:id="82"/>
      <w:bookmarkEnd w:id="83"/>
    </w:p>
    <w:p w14:paraId="0707D0B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CE82C2C">
      <w:pPr>
        <w:spacing w:line="360" w:lineRule="auto"/>
        <w:ind w:firstLine="437"/>
        <w:outlineLvl w:val="3"/>
        <w:rPr>
          <w:rFonts w:hint="default" w:ascii="Times New Roman" w:hAnsi="Times New Roman" w:cs="Times New Roman"/>
          <w:b/>
          <w:bCs/>
          <w:color w:val="auto"/>
          <w:sz w:val="24"/>
          <w:highlight w:val="none"/>
          <w:lang w:val="zh-CN"/>
        </w:rPr>
      </w:pPr>
      <w:bookmarkStart w:id="84" w:name="_Toc279701242"/>
      <w:bookmarkStart w:id="85" w:name="_Toc9829"/>
      <w:bookmarkStart w:id="86" w:name="_Toc27853"/>
      <w:bookmarkStart w:id="87" w:name="_Toc259093671"/>
      <w:bookmarkStart w:id="88" w:name="_Toc31634"/>
      <w:bookmarkStart w:id="89" w:name="_Toc487900351"/>
      <w:r>
        <w:rPr>
          <w:rFonts w:hint="default" w:ascii="Times New Roman" w:hAnsi="Times New Roman" w:cs="Times New Roman"/>
          <w:b/>
          <w:bCs/>
          <w:color w:val="auto"/>
          <w:sz w:val="24"/>
          <w:highlight w:val="none"/>
          <w:lang w:val="zh-CN"/>
        </w:rPr>
        <w:t>2.3 知识产权</w:t>
      </w:r>
      <w:bookmarkEnd w:id="84"/>
      <w:bookmarkEnd w:id="85"/>
      <w:bookmarkEnd w:id="86"/>
      <w:bookmarkEnd w:id="87"/>
      <w:bookmarkEnd w:id="88"/>
      <w:bookmarkEnd w:id="89"/>
    </w:p>
    <w:p w14:paraId="6123897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2.3.1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354ADC6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2.3.2具有知识产权的计算机软件等货物的知识产权归属，详见</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w:t>
      </w:r>
    </w:p>
    <w:p w14:paraId="5A1E108F">
      <w:pPr>
        <w:spacing w:line="360" w:lineRule="auto"/>
        <w:ind w:firstLine="437"/>
        <w:outlineLvl w:val="3"/>
        <w:rPr>
          <w:rFonts w:hint="default" w:ascii="Times New Roman" w:hAnsi="Times New Roman" w:cs="Times New Roman"/>
          <w:b/>
          <w:color w:val="auto"/>
          <w:sz w:val="24"/>
          <w:highlight w:val="none"/>
        </w:rPr>
      </w:pPr>
      <w:bookmarkStart w:id="90" w:name="_Toc29149"/>
      <w:bookmarkStart w:id="91" w:name="_Toc4194"/>
      <w:bookmarkStart w:id="92" w:name="_Toc11932"/>
      <w:r>
        <w:rPr>
          <w:rFonts w:hint="default" w:ascii="Times New Roman" w:hAnsi="Times New Roman" w:cs="Times New Roman"/>
          <w:b/>
          <w:bCs/>
          <w:color w:val="auto"/>
          <w:sz w:val="24"/>
          <w:highlight w:val="none"/>
          <w:lang w:val="zh-CN"/>
        </w:rPr>
        <w:t>2.4 包装和装运</w:t>
      </w:r>
      <w:bookmarkEnd w:id="90"/>
      <w:bookmarkEnd w:id="91"/>
      <w:bookmarkEnd w:id="92"/>
    </w:p>
    <w:p w14:paraId="28ED989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2.4.1除</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3FE4E22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2.4.2装运货物的要求和通知，详见</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w:t>
      </w:r>
    </w:p>
    <w:p w14:paraId="1F724CF8">
      <w:pPr>
        <w:spacing w:line="360" w:lineRule="auto"/>
        <w:ind w:firstLine="437"/>
        <w:outlineLvl w:val="3"/>
        <w:rPr>
          <w:rFonts w:hint="default" w:ascii="Times New Roman" w:hAnsi="Times New Roman" w:cs="Times New Roman"/>
          <w:b/>
          <w:bCs/>
          <w:color w:val="auto"/>
          <w:sz w:val="24"/>
          <w:highlight w:val="none"/>
          <w:lang w:val="zh-CN"/>
        </w:rPr>
      </w:pPr>
      <w:bookmarkStart w:id="93" w:name="_Ref467379536"/>
      <w:bookmarkStart w:id="94" w:name="_Ref467378591"/>
      <w:bookmarkStart w:id="95" w:name="_Ref467378541"/>
      <w:bookmarkStart w:id="96" w:name="_Ref467379542"/>
      <w:bookmarkStart w:id="97" w:name="_Toc279701245"/>
      <w:bookmarkStart w:id="98" w:name="_Toc259093674"/>
      <w:bookmarkStart w:id="99" w:name="_Ref467379527"/>
      <w:bookmarkStart w:id="100" w:name="_Toc487900354"/>
      <w:bookmarkStart w:id="101" w:name="_Toc26182"/>
      <w:bookmarkStart w:id="102" w:name="_Toc30272"/>
      <w:bookmarkStart w:id="103" w:name="_Toc19074"/>
      <w:r>
        <w:rPr>
          <w:rFonts w:hint="default" w:ascii="Times New Roman" w:hAnsi="Times New Roman" w:cs="Times New Roman"/>
          <w:b/>
          <w:bCs/>
          <w:color w:val="auto"/>
          <w:sz w:val="24"/>
          <w:highlight w:val="none"/>
          <w:lang w:val="zh-CN"/>
        </w:rPr>
        <w:t>2.</w:t>
      </w:r>
      <w:bookmarkEnd w:id="93"/>
      <w:bookmarkEnd w:id="94"/>
      <w:bookmarkEnd w:id="95"/>
      <w:bookmarkEnd w:id="96"/>
      <w:bookmarkEnd w:id="97"/>
      <w:bookmarkEnd w:id="98"/>
      <w:bookmarkEnd w:id="99"/>
      <w:bookmarkEnd w:id="100"/>
      <w:r>
        <w:rPr>
          <w:rFonts w:hint="default" w:ascii="Times New Roman" w:hAnsi="Times New Roman" w:cs="Times New Roman"/>
          <w:b/>
          <w:bCs/>
          <w:color w:val="auto"/>
          <w:sz w:val="24"/>
          <w:highlight w:val="none"/>
          <w:lang w:val="zh-CN"/>
        </w:rPr>
        <w:t>5 履约检查和问题反馈</w:t>
      </w:r>
      <w:bookmarkEnd w:id="101"/>
      <w:bookmarkEnd w:id="102"/>
      <w:bookmarkEnd w:id="103"/>
    </w:p>
    <w:p w14:paraId="3E1378BF">
      <w:pPr>
        <w:spacing w:line="360" w:lineRule="auto"/>
        <w:ind w:firstLine="435"/>
        <w:rPr>
          <w:rFonts w:hint="default" w:ascii="Times New Roman" w:hAnsi="Times New Roman" w:cs="Times New Roman"/>
          <w:color w:val="auto"/>
          <w:sz w:val="24"/>
          <w:highlight w:val="none"/>
        </w:rPr>
      </w:pPr>
      <w:bookmarkStart w:id="104" w:name="_Ref467379657"/>
      <w:r>
        <w:rPr>
          <w:rFonts w:hint="default" w:ascii="Times New Roman" w:hAnsi="Times New Roman" w:cs="Times New Roman"/>
          <w:color w:val="auto"/>
          <w:sz w:val="24"/>
          <w:highlight w:val="none"/>
        </w:rPr>
        <w:t>2.5.1</w:t>
      </w:r>
      <w:bookmarkEnd w:id="104"/>
      <w:bookmarkStart w:id="105" w:name="_Toc186431854"/>
      <w:bookmarkStart w:id="106" w:name="_Toc259093676"/>
      <w:bookmarkStart w:id="107" w:name="_Toc279701247"/>
      <w:bookmarkStart w:id="108" w:name="_Toc487900357"/>
      <w:bookmarkStart w:id="109" w:name="_Ref467379793"/>
      <w:bookmarkStart w:id="110" w:name="_Ref467379807"/>
      <w:r>
        <w:rPr>
          <w:rFonts w:hint="default" w:ascii="Times New Roman" w:hAnsi="Times New Roman" w:cs="Times New Roman"/>
          <w:color w:val="auto"/>
          <w:sz w:val="24"/>
          <w:highlight w:val="none"/>
        </w:rPr>
        <w:t>甲方有权在其认为必要时，对乙方是否能够按照合同约定交付货物进行履约检查，以确保乙方所交付的货物能够依约满足甲方项目需求，但不得因履约检查妨碍乙方的正常工作，乙方应予积极配合；</w:t>
      </w:r>
    </w:p>
    <w:p w14:paraId="3A9400D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2.5.2合同履行期间，甲方有权将履行过程中出现的问题反馈给乙方，双方当事人应以书面形式约定需要完善和改进的内容</w:t>
      </w:r>
      <w:bookmarkEnd w:id="105"/>
      <w:bookmarkStart w:id="111" w:name="_Toc186431855"/>
      <w:r>
        <w:rPr>
          <w:rFonts w:hint="default" w:ascii="Times New Roman" w:hAnsi="Times New Roman" w:cs="Times New Roman"/>
          <w:color w:val="auto"/>
          <w:sz w:val="24"/>
          <w:highlight w:val="none"/>
        </w:rPr>
        <w:t>。</w:t>
      </w:r>
    </w:p>
    <w:bookmarkEnd w:id="111"/>
    <w:p w14:paraId="38763DE8">
      <w:pPr>
        <w:spacing w:line="360" w:lineRule="auto"/>
        <w:ind w:firstLine="437"/>
        <w:outlineLvl w:val="3"/>
        <w:rPr>
          <w:rFonts w:hint="default" w:ascii="Times New Roman" w:hAnsi="Times New Roman" w:cs="Times New Roman"/>
          <w:b/>
          <w:bCs/>
          <w:color w:val="auto"/>
          <w:sz w:val="24"/>
          <w:highlight w:val="none"/>
          <w:lang w:val="zh-CN"/>
        </w:rPr>
      </w:pPr>
      <w:bookmarkStart w:id="112" w:name="_Toc28451"/>
      <w:bookmarkStart w:id="113" w:name="_Toc19219"/>
      <w:bookmarkStart w:id="114" w:name="_Toc7836"/>
      <w:r>
        <w:rPr>
          <w:rFonts w:hint="default" w:ascii="Times New Roman" w:hAnsi="Times New Roman" w:cs="Times New Roman"/>
          <w:b/>
          <w:bCs/>
          <w:color w:val="auto"/>
          <w:sz w:val="24"/>
          <w:highlight w:val="none"/>
          <w:lang w:val="zh-CN"/>
        </w:rPr>
        <w:t>2.6 结算方式和付款条件</w:t>
      </w:r>
      <w:bookmarkEnd w:id="106"/>
      <w:bookmarkEnd w:id="107"/>
      <w:bookmarkEnd w:id="108"/>
      <w:bookmarkEnd w:id="109"/>
      <w:bookmarkEnd w:id="110"/>
      <w:bookmarkEnd w:id="112"/>
      <w:bookmarkEnd w:id="113"/>
      <w:bookmarkEnd w:id="114"/>
    </w:p>
    <w:p w14:paraId="146E528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w:t>
      </w:r>
    </w:p>
    <w:p w14:paraId="1DABA900">
      <w:pPr>
        <w:spacing w:line="360" w:lineRule="auto"/>
        <w:ind w:firstLine="437"/>
        <w:outlineLvl w:val="3"/>
        <w:rPr>
          <w:rFonts w:hint="default" w:ascii="Times New Roman" w:hAnsi="Times New Roman" w:cs="Times New Roman"/>
          <w:b/>
          <w:bCs/>
          <w:color w:val="auto"/>
          <w:sz w:val="24"/>
          <w:highlight w:val="none"/>
          <w:lang w:val="zh-CN"/>
        </w:rPr>
      </w:pPr>
      <w:bookmarkStart w:id="115" w:name="_Ref467379852"/>
      <w:bookmarkStart w:id="116" w:name="_Toc279701248"/>
      <w:bookmarkStart w:id="117" w:name="_Toc487900358"/>
      <w:bookmarkStart w:id="118" w:name="_Toc259093677"/>
      <w:bookmarkStart w:id="119" w:name="_Ref467379863"/>
      <w:bookmarkStart w:id="120" w:name="_Ref467379923"/>
      <w:bookmarkStart w:id="121" w:name="_Toc3225"/>
      <w:bookmarkStart w:id="122" w:name="_Toc774"/>
      <w:bookmarkStart w:id="123" w:name="_Toc16110"/>
      <w:r>
        <w:rPr>
          <w:rFonts w:hint="default" w:ascii="Times New Roman" w:hAnsi="Times New Roman" w:cs="Times New Roman"/>
          <w:b/>
          <w:bCs/>
          <w:color w:val="auto"/>
          <w:sz w:val="24"/>
          <w:highlight w:val="none"/>
          <w:lang w:val="zh-CN"/>
        </w:rPr>
        <w:t>2.7 技术资料</w:t>
      </w:r>
      <w:bookmarkEnd w:id="115"/>
      <w:bookmarkEnd w:id="116"/>
      <w:bookmarkEnd w:id="117"/>
      <w:bookmarkEnd w:id="118"/>
      <w:bookmarkEnd w:id="119"/>
      <w:bookmarkEnd w:id="120"/>
      <w:r>
        <w:rPr>
          <w:rFonts w:hint="default" w:ascii="Times New Roman" w:hAnsi="Times New Roman" w:cs="Times New Roman"/>
          <w:b/>
          <w:bCs/>
          <w:color w:val="auto"/>
          <w:sz w:val="24"/>
          <w:highlight w:val="none"/>
          <w:lang w:val="zh-CN"/>
        </w:rPr>
        <w:t>和保密义务</w:t>
      </w:r>
      <w:bookmarkEnd w:id="121"/>
      <w:bookmarkEnd w:id="122"/>
      <w:bookmarkEnd w:id="123"/>
    </w:p>
    <w:p w14:paraId="559E93D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2.7.1乙方有权依据合同约定和项目需要，向甲方了解有关情况，调阅有关资料等，甲方应予积极配合；</w:t>
      </w:r>
    </w:p>
    <w:p w14:paraId="4D7EFA8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2.7.2乙方有义务妥善保管和保护由甲方提供的前款信息和资料等；</w:t>
      </w:r>
    </w:p>
    <w:p w14:paraId="6A82144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2.7.3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01B164C">
      <w:pPr>
        <w:spacing w:line="360" w:lineRule="auto"/>
        <w:ind w:firstLine="437"/>
        <w:outlineLvl w:val="3"/>
        <w:rPr>
          <w:rFonts w:hint="default" w:ascii="Times New Roman" w:hAnsi="Times New Roman" w:cs="Times New Roman"/>
          <w:b/>
          <w:bCs/>
          <w:color w:val="auto"/>
          <w:sz w:val="24"/>
          <w:highlight w:val="none"/>
          <w:lang w:val="zh-CN"/>
        </w:rPr>
      </w:pPr>
      <w:bookmarkStart w:id="124" w:name="_Toc7860"/>
      <w:r>
        <w:rPr>
          <w:rFonts w:hint="default" w:ascii="Times New Roman" w:hAnsi="Times New Roman" w:cs="Times New Roman"/>
          <w:b/>
          <w:bCs/>
          <w:color w:val="auto"/>
          <w:sz w:val="24"/>
          <w:highlight w:val="none"/>
          <w:lang w:val="zh-CN"/>
        </w:rPr>
        <w:t>2.8 质量保证</w:t>
      </w:r>
      <w:bookmarkEnd w:id="124"/>
    </w:p>
    <w:p w14:paraId="54C5E79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2.8.1乙方应建立和完善履行合同的内部质量保证体系，并提供相关内部规章制度给甲方，以便甲方进行监督检查；</w:t>
      </w:r>
    </w:p>
    <w:p w14:paraId="383CAB8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2.8.2乙方应保证履行合同的人员数量和素质、软件和硬件设备的配置、场地、环境和设施等满足全面履行合同的要求，并应接受甲方的监督检查。</w:t>
      </w:r>
    </w:p>
    <w:p w14:paraId="21DE6E82">
      <w:pPr>
        <w:spacing w:line="360" w:lineRule="auto"/>
        <w:ind w:firstLine="437"/>
        <w:outlineLvl w:val="3"/>
        <w:rPr>
          <w:rFonts w:hint="default" w:ascii="Times New Roman" w:hAnsi="Times New Roman" w:cs="Times New Roman"/>
          <w:b/>
          <w:bCs/>
          <w:color w:val="auto"/>
          <w:sz w:val="24"/>
          <w:highlight w:val="none"/>
          <w:lang w:val="zh-CN"/>
        </w:rPr>
      </w:pPr>
      <w:bookmarkStart w:id="125" w:name="_Toc17244"/>
      <w:bookmarkStart w:id="126" w:name="_Toc259093681"/>
      <w:bookmarkStart w:id="127" w:name="_Toc487900362"/>
      <w:bookmarkStart w:id="128" w:name="_Toc279701252"/>
      <w:r>
        <w:rPr>
          <w:rFonts w:hint="default" w:ascii="Times New Roman" w:hAnsi="Times New Roman" w:cs="Times New Roman"/>
          <w:b/>
          <w:bCs/>
          <w:color w:val="auto"/>
          <w:sz w:val="24"/>
          <w:highlight w:val="none"/>
          <w:lang w:val="zh-CN"/>
        </w:rPr>
        <w:t>2.9 货物的风险负担</w:t>
      </w:r>
      <w:bookmarkEnd w:id="125"/>
    </w:p>
    <w:p w14:paraId="2805C0DE">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货物或者在途货物或者交付给第一承运人后的货物毁损、灭失的风险负担详见</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w:t>
      </w:r>
    </w:p>
    <w:p w14:paraId="1BAF1783">
      <w:pPr>
        <w:spacing w:line="360" w:lineRule="auto"/>
        <w:ind w:firstLine="437"/>
        <w:outlineLvl w:val="3"/>
        <w:rPr>
          <w:rFonts w:hint="default" w:ascii="Times New Roman" w:hAnsi="Times New Roman" w:cs="Times New Roman"/>
          <w:b/>
          <w:bCs/>
          <w:color w:val="auto"/>
          <w:sz w:val="24"/>
          <w:highlight w:val="none"/>
          <w:lang w:val="zh-CN"/>
        </w:rPr>
      </w:pPr>
      <w:bookmarkStart w:id="129" w:name="_Toc14055"/>
      <w:r>
        <w:rPr>
          <w:rFonts w:hint="default" w:ascii="Times New Roman" w:hAnsi="Times New Roman" w:cs="Times New Roman"/>
          <w:b/>
          <w:bCs/>
          <w:color w:val="auto"/>
          <w:sz w:val="24"/>
          <w:highlight w:val="none"/>
          <w:lang w:val="zh-CN"/>
        </w:rPr>
        <w:t>2.10 延迟交货</w:t>
      </w:r>
      <w:bookmarkEnd w:id="126"/>
      <w:bookmarkEnd w:id="127"/>
      <w:bookmarkEnd w:id="128"/>
      <w:bookmarkEnd w:id="129"/>
    </w:p>
    <w:p w14:paraId="4941B56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3F37DE13">
      <w:pPr>
        <w:spacing w:line="360" w:lineRule="auto"/>
        <w:ind w:firstLine="437"/>
        <w:outlineLvl w:val="3"/>
        <w:rPr>
          <w:rFonts w:hint="default" w:ascii="Times New Roman" w:hAnsi="Times New Roman" w:cs="Times New Roman"/>
          <w:b/>
          <w:bCs/>
          <w:color w:val="auto"/>
          <w:sz w:val="24"/>
          <w:highlight w:val="none"/>
          <w:lang w:val="zh-CN"/>
        </w:rPr>
      </w:pPr>
      <w:bookmarkStart w:id="130" w:name="_Toc7502"/>
      <w:bookmarkStart w:id="131" w:name="_Toc259093683"/>
      <w:bookmarkStart w:id="132" w:name="_Ref467378121"/>
      <w:bookmarkStart w:id="133" w:name="_Toc487900364"/>
      <w:bookmarkStart w:id="134" w:name="_Toc279701254"/>
      <w:r>
        <w:rPr>
          <w:rFonts w:hint="default" w:ascii="Times New Roman" w:hAnsi="Times New Roman" w:cs="Times New Roman"/>
          <w:b/>
          <w:bCs/>
          <w:color w:val="auto"/>
          <w:sz w:val="24"/>
          <w:highlight w:val="none"/>
          <w:lang w:val="zh-CN"/>
        </w:rPr>
        <w:t>2.11 合同变更</w:t>
      </w:r>
      <w:bookmarkEnd w:id="130"/>
    </w:p>
    <w:p w14:paraId="08F35EF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2.11.1双方当事人协商一致，可以签订书面补充合同的形式变更合同，但不得违背采购文件确定的事项；</w:t>
      </w:r>
    </w:p>
    <w:p w14:paraId="4A1B91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2.11.2合同继续履行将损害国家利益和社会公共利益的，双方当事人应当以书面形式变更合同。有过错的一方应当承担赔偿责任，双方当事人都有过错的，各自承担相应的责任。</w:t>
      </w:r>
      <w:bookmarkStart w:id="135" w:name="_Toc259093688"/>
      <w:bookmarkStart w:id="136" w:name="_Toc487900369"/>
      <w:bookmarkStart w:id="137" w:name="_Toc279701259"/>
    </w:p>
    <w:p w14:paraId="232189B7">
      <w:pPr>
        <w:spacing w:line="360" w:lineRule="auto"/>
        <w:ind w:firstLine="437"/>
        <w:outlineLvl w:val="3"/>
        <w:rPr>
          <w:rFonts w:hint="default" w:ascii="Times New Roman" w:hAnsi="Times New Roman" w:cs="Times New Roman"/>
          <w:b/>
          <w:bCs/>
          <w:color w:val="auto"/>
          <w:sz w:val="24"/>
          <w:highlight w:val="none"/>
          <w:lang w:val="zh-CN"/>
        </w:rPr>
      </w:pPr>
      <w:bookmarkStart w:id="138" w:name="_Toc22955"/>
      <w:bookmarkStart w:id="139" w:name="_Toc15237"/>
      <w:bookmarkStart w:id="140" w:name="_Toc10366"/>
      <w:r>
        <w:rPr>
          <w:rFonts w:hint="default" w:ascii="Times New Roman" w:hAnsi="Times New Roman" w:cs="Times New Roman"/>
          <w:b/>
          <w:bCs/>
          <w:color w:val="auto"/>
          <w:sz w:val="24"/>
          <w:highlight w:val="none"/>
          <w:lang w:val="zh-CN"/>
        </w:rPr>
        <w:t>2.12 合同转让</w:t>
      </w:r>
      <w:bookmarkEnd w:id="135"/>
      <w:bookmarkEnd w:id="136"/>
      <w:bookmarkEnd w:id="137"/>
      <w:r>
        <w:rPr>
          <w:rFonts w:hint="default" w:ascii="Times New Roman" w:hAnsi="Times New Roman" w:cs="Times New Roman"/>
          <w:b/>
          <w:bCs/>
          <w:color w:val="auto"/>
          <w:sz w:val="24"/>
          <w:highlight w:val="none"/>
          <w:lang w:val="zh-CN"/>
        </w:rPr>
        <w:t>和分包</w:t>
      </w:r>
      <w:bookmarkEnd w:id="138"/>
      <w:bookmarkEnd w:id="139"/>
      <w:bookmarkEnd w:id="140"/>
    </w:p>
    <w:p w14:paraId="5906F18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投标人就分包项目向甲方承担连带责任。</w:t>
      </w:r>
    </w:p>
    <w:p w14:paraId="07BC5C63">
      <w:pPr>
        <w:spacing w:line="360" w:lineRule="auto"/>
        <w:ind w:firstLine="437"/>
        <w:outlineLvl w:val="3"/>
        <w:rPr>
          <w:rFonts w:hint="default" w:ascii="Times New Roman" w:hAnsi="Times New Roman" w:cs="Times New Roman"/>
          <w:b/>
          <w:bCs/>
          <w:color w:val="auto"/>
          <w:sz w:val="24"/>
          <w:highlight w:val="none"/>
          <w:lang w:val="zh-CN"/>
        </w:rPr>
      </w:pPr>
      <w:bookmarkStart w:id="141" w:name="_Toc13566"/>
      <w:bookmarkStart w:id="142" w:name="_Toc16508"/>
      <w:bookmarkStart w:id="143" w:name="_Toc14066"/>
      <w:r>
        <w:rPr>
          <w:rFonts w:hint="default" w:ascii="Times New Roman" w:hAnsi="Times New Roman" w:cs="Times New Roman"/>
          <w:b/>
          <w:bCs/>
          <w:color w:val="auto"/>
          <w:sz w:val="24"/>
          <w:highlight w:val="none"/>
          <w:lang w:val="zh-CN"/>
        </w:rPr>
        <w:t>2.13 不可抗力</w:t>
      </w:r>
      <w:bookmarkEnd w:id="141"/>
      <w:bookmarkEnd w:id="142"/>
      <w:bookmarkEnd w:id="143"/>
    </w:p>
    <w:p w14:paraId="196021A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2.13.1如果任何一方遭遇法律规定的不可抗力，致使合同履行受阻时，履行合同的期限应予延长，延长的期限应相当于不可抗力所影响的时间；</w:t>
      </w:r>
    </w:p>
    <w:p w14:paraId="1D9B08B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2.13.2因不可抗力致使不能实现合同目的的，当事人可以解除合同；</w:t>
      </w:r>
    </w:p>
    <w:p w14:paraId="0622D25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2.13.3因不可抗力致使合同有变更必要的，双方当事人应在</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约定时间内以书面形式变更合同；</w:t>
      </w:r>
    </w:p>
    <w:p w14:paraId="6FE97F0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2.13.4受不可抗力影响的一方在不可抗力发生后，应在</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约定时间内以书面形式通知对方当事人，并在</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约定时间内，将有关部门出具的证明文件送达对方当事人。</w:t>
      </w:r>
    </w:p>
    <w:p w14:paraId="714EEC34">
      <w:pPr>
        <w:spacing w:line="360" w:lineRule="auto"/>
        <w:ind w:firstLine="437"/>
        <w:outlineLvl w:val="3"/>
        <w:rPr>
          <w:rFonts w:hint="default" w:ascii="Times New Roman" w:hAnsi="Times New Roman" w:cs="Times New Roman"/>
          <w:b/>
          <w:bCs/>
          <w:color w:val="auto"/>
          <w:sz w:val="24"/>
          <w:highlight w:val="none"/>
          <w:lang w:val="zh-CN"/>
        </w:rPr>
      </w:pPr>
      <w:bookmarkStart w:id="144" w:name="_Toc6969"/>
      <w:bookmarkStart w:id="145" w:name="_Toc30676"/>
      <w:bookmarkStart w:id="146" w:name="_Toc279701255"/>
      <w:bookmarkStart w:id="147" w:name="_Toc689"/>
      <w:bookmarkStart w:id="148" w:name="_Toc487900365"/>
      <w:bookmarkStart w:id="149" w:name="_Toc259093684"/>
      <w:r>
        <w:rPr>
          <w:rFonts w:hint="default" w:ascii="Times New Roman" w:hAnsi="Times New Roman" w:cs="Times New Roman"/>
          <w:b/>
          <w:bCs/>
          <w:color w:val="auto"/>
          <w:sz w:val="24"/>
          <w:highlight w:val="none"/>
          <w:lang w:val="zh-CN"/>
        </w:rPr>
        <w:t>2.14 税费</w:t>
      </w:r>
      <w:bookmarkEnd w:id="144"/>
      <w:bookmarkEnd w:id="145"/>
      <w:bookmarkEnd w:id="146"/>
      <w:bookmarkEnd w:id="147"/>
      <w:bookmarkEnd w:id="148"/>
      <w:bookmarkEnd w:id="149"/>
    </w:p>
    <w:p w14:paraId="7A74E58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与合同有关的一切税费，均按照中华人民共和国法律的相关规定缴纳。</w:t>
      </w:r>
    </w:p>
    <w:p w14:paraId="60414510">
      <w:pPr>
        <w:spacing w:line="360" w:lineRule="auto"/>
        <w:ind w:firstLine="437"/>
        <w:outlineLvl w:val="3"/>
        <w:rPr>
          <w:rFonts w:hint="default" w:ascii="Times New Roman" w:hAnsi="Times New Roman" w:cs="Times New Roman"/>
          <w:b/>
          <w:bCs/>
          <w:color w:val="auto"/>
          <w:sz w:val="24"/>
          <w:highlight w:val="none"/>
          <w:lang w:val="zh-CN"/>
        </w:rPr>
      </w:pPr>
      <w:bookmarkStart w:id="150" w:name="_Toc259093687"/>
      <w:bookmarkStart w:id="151" w:name="_Toc279701258"/>
      <w:bookmarkStart w:id="152" w:name="_Toc8298"/>
      <w:bookmarkStart w:id="153" w:name="_Toc487900368"/>
      <w:bookmarkStart w:id="154" w:name="_Toc16959"/>
      <w:bookmarkStart w:id="155" w:name="_Toc7102"/>
      <w:r>
        <w:rPr>
          <w:rFonts w:hint="default" w:ascii="Times New Roman" w:hAnsi="Times New Roman" w:cs="Times New Roman"/>
          <w:b/>
          <w:bCs/>
          <w:color w:val="auto"/>
          <w:sz w:val="24"/>
          <w:highlight w:val="none"/>
          <w:lang w:val="zh-CN"/>
        </w:rPr>
        <w:t>2.15 乙方破产</w:t>
      </w:r>
      <w:bookmarkEnd w:id="150"/>
      <w:bookmarkEnd w:id="151"/>
      <w:bookmarkEnd w:id="152"/>
      <w:bookmarkEnd w:id="153"/>
      <w:bookmarkEnd w:id="154"/>
      <w:bookmarkEnd w:id="155"/>
    </w:p>
    <w:p w14:paraId="1928FE4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748C25F">
      <w:pPr>
        <w:spacing w:line="360" w:lineRule="auto"/>
        <w:ind w:firstLine="437"/>
        <w:outlineLvl w:val="3"/>
        <w:rPr>
          <w:rFonts w:hint="default" w:ascii="Times New Roman" w:hAnsi="Times New Roman" w:cs="Times New Roman"/>
          <w:b/>
          <w:color w:val="auto"/>
          <w:sz w:val="24"/>
          <w:highlight w:val="none"/>
        </w:rPr>
      </w:pPr>
      <w:bookmarkStart w:id="156" w:name="_Toc29333"/>
      <w:bookmarkStart w:id="157" w:name="_Toc6134"/>
      <w:bookmarkStart w:id="158" w:name="_Toc15387"/>
      <w:r>
        <w:rPr>
          <w:rFonts w:hint="default" w:ascii="Times New Roman" w:hAnsi="Times New Roman" w:cs="Times New Roman"/>
          <w:b/>
          <w:bCs/>
          <w:color w:val="auto"/>
          <w:sz w:val="24"/>
          <w:highlight w:val="none"/>
          <w:lang w:val="zh-CN"/>
        </w:rPr>
        <w:t>2.16 合同中止、终止</w:t>
      </w:r>
      <w:bookmarkEnd w:id="156"/>
      <w:bookmarkEnd w:id="157"/>
      <w:bookmarkEnd w:id="158"/>
    </w:p>
    <w:p w14:paraId="17E7E34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2.16.1双方当事人不得擅自中止或者终止合同；</w:t>
      </w:r>
    </w:p>
    <w:p w14:paraId="2C3A8CA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6A16FDF0">
      <w:pPr>
        <w:spacing w:line="360" w:lineRule="auto"/>
        <w:ind w:firstLine="437"/>
        <w:outlineLvl w:val="3"/>
        <w:rPr>
          <w:rFonts w:hint="default" w:ascii="Times New Roman" w:hAnsi="Times New Roman" w:cs="Times New Roman"/>
          <w:b/>
          <w:bCs/>
          <w:color w:val="auto"/>
          <w:sz w:val="24"/>
          <w:highlight w:val="none"/>
          <w:lang w:val="zh-CN"/>
        </w:rPr>
      </w:pPr>
      <w:bookmarkStart w:id="159" w:name="_Toc6596"/>
      <w:bookmarkStart w:id="160" w:name="_Toc14563"/>
      <w:bookmarkStart w:id="161" w:name="_Toc1125"/>
      <w:r>
        <w:rPr>
          <w:rFonts w:hint="default" w:ascii="Times New Roman" w:hAnsi="Times New Roman" w:cs="Times New Roman"/>
          <w:b/>
          <w:bCs/>
          <w:color w:val="auto"/>
          <w:sz w:val="24"/>
          <w:highlight w:val="none"/>
          <w:lang w:val="zh-CN"/>
        </w:rPr>
        <w:t>2.17 检验和验收</w:t>
      </w:r>
      <w:bookmarkEnd w:id="159"/>
      <w:bookmarkEnd w:id="160"/>
      <w:bookmarkEnd w:id="161"/>
    </w:p>
    <w:p w14:paraId="061345F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2.17.1货物交付前，乙方应对货物的质量、数量等方面进行详细、全面的检验，并向甲方出具证明货物符合合同约定的文件；货物交付时，乙方在</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约定时间内组织验收，并可依法邀请相关方参加，验收应出具验收书。</w:t>
      </w:r>
    </w:p>
    <w:p w14:paraId="4A55BDA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407524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2.17.3检验和验收标准、程序等具体内容以及前述验收书的效力详见</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i/>
          <w:color w:val="auto"/>
          <w:sz w:val="24"/>
          <w:highlight w:val="none"/>
        </w:rPr>
        <w:t>。</w:t>
      </w:r>
    </w:p>
    <w:bookmarkEnd w:id="131"/>
    <w:bookmarkEnd w:id="132"/>
    <w:bookmarkEnd w:id="133"/>
    <w:bookmarkEnd w:id="134"/>
    <w:p w14:paraId="6D6D99A9">
      <w:pPr>
        <w:spacing w:line="360" w:lineRule="auto"/>
        <w:ind w:firstLine="437"/>
        <w:outlineLvl w:val="3"/>
        <w:rPr>
          <w:rFonts w:hint="default" w:ascii="Times New Roman" w:hAnsi="Times New Roman" w:cs="Times New Roman"/>
          <w:b/>
          <w:color w:val="auto"/>
          <w:sz w:val="24"/>
          <w:highlight w:val="none"/>
        </w:rPr>
      </w:pPr>
      <w:bookmarkStart w:id="162" w:name="_Toc279701262"/>
      <w:bookmarkStart w:id="163" w:name="_Toc30599"/>
      <w:bookmarkStart w:id="164" w:name="_Toc18540"/>
      <w:bookmarkStart w:id="165" w:name="_Toc259093691"/>
      <w:bookmarkStart w:id="166" w:name="_Toc4355"/>
      <w:bookmarkStart w:id="167" w:name="_Toc487900372"/>
      <w:r>
        <w:rPr>
          <w:rFonts w:hint="default" w:ascii="Times New Roman" w:hAnsi="Times New Roman" w:cs="Times New Roman"/>
          <w:b/>
          <w:bCs/>
          <w:color w:val="auto"/>
          <w:sz w:val="24"/>
          <w:highlight w:val="none"/>
          <w:lang w:val="zh-CN"/>
        </w:rPr>
        <w:t>2.18 计量单位</w:t>
      </w:r>
      <w:bookmarkEnd w:id="162"/>
      <w:bookmarkEnd w:id="163"/>
      <w:bookmarkEnd w:id="164"/>
      <w:bookmarkEnd w:id="165"/>
      <w:bookmarkEnd w:id="166"/>
      <w:bookmarkEnd w:id="167"/>
    </w:p>
    <w:p w14:paraId="07F33D2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除技术规范中另有规定外,合同的计量单位均使用国家法定计量单位。</w:t>
      </w:r>
    </w:p>
    <w:p w14:paraId="5B284AE7">
      <w:pPr>
        <w:spacing w:line="360" w:lineRule="auto"/>
        <w:ind w:firstLine="437"/>
        <w:outlineLvl w:val="3"/>
        <w:rPr>
          <w:rFonts w:hint="default" w:ascii="Times New Roman" w:hAnsi="Times New Roman" w:cs="Times New Roman"/>
          <w:b/>
          <w:bCs/>
          <w:color w:val="auto"/>
          <w:sz w:val="24"/>
          <w:highlight w:val="none"/>
        </w:rPr>
      </w:pPr>
      <w:bookmarkStart w:id="168" w:name="_Toc279701263"/>
      <w:bookmarkStart w:id="169" w:name="_Toc259093692"/>
      <w:bookmarkStart w:id="170" w:name="_Toc12773"/>
      <w:bookmarkStart w:id="171" w:name="_Toc10330"/>
      <w:bookmarkStart w:id="172" w:name="_Toc487900373"/>
      <w:bookmarkStart w:id="173" w:name="_Toc18567"/>
      <w:r>
        <w:rPr>
          <w:rFonts w:hint="default" w:ascii="Times New Roman" w:hAnsi="Times New Roman" w:cs="Times New Roman"/>
          <w:b/>
          <w:bCs/>
          <w:color w:val="auto"/>
          <w:sz w:val="24"/>
          <w:highlight w:val="none"/>
        </w:rPr>
        <w:t xml:space="preserve">2.19 </w:t>
      </w:r>
      <w:r>
        <w:rPr>
          <w:rFonts w:hint="default" w:ascii="Times New Roman" w:hAnsi="Times New Roman" w:cs="Times New Roman"/>
          <w:b/>
          <w:bCs/>
          <w:color w:val="auto"/>
          <w:sz w:val="24"/>
          <w:highlight w:val="none"/>
          <w:lang w:val="zh-CN"/>
        </w:rPr>
        <w:t>合同使用的文字和适用的法律</w:t>
      </w:r>
      <w:bookmarkEnd w:id="168"/>
      <w:bookmarkEnd w:id="169"/>
      <w:bookmarkEnd w:id="170"/>
      <w:bookmarkEnd w:id="171"/>
      <w:bookmarkEnd w:id="172"/>
      <w:bookmarkEnd w:id="173"/>
    </w:p>
    <w:p w14:paraId="138032E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2.19.1合同使用汉语书就、变更和解释；</w:t>
      </w:r>
    </w:p>
    <w:p w14:paraId="7B76228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2.19.2合同适用中华人民共和国法律。</w:t>
      </w:r>
    </w:p>
    <w:p w14:paraId="117D401A">
      <w:pPr>
        <w:spacing w:line="360" w:lineRule="auto"/>
        <w:ind w:firstLine="437"/>
        <w:outlineLvl w:val="3"/>
        <w:rPr>
          <w:rFonts w:hint="default" w:ascii="Times New Roman" w:hAnsi="Times New Roman" w:cs="Times New Roman"/>
          <w:b/>
          <w:color w:val="auto"/>
          <w:sz w:val="24"/>
          <w:highlight w:val="none"/>
        </w:rPr>
      </w:pPr>
      <w:bookmarkStart w:id="174" w:name="_Toc3148"/>
      <w:bookmarkStart w:id="175" w:name="_Toc16673"/>
      <w:bookmarkStart w:id="176" w:name="_Toc279701264"/>
      <w:bookmarkStart w:id="177" w:name="_Toc12004"/>
      <w:bookmarkStart w:id="178" w:name="_Toc259093693"/>
      <w:bookmarkStart w:id="179" w:name="_Toc487900374"/>
      <w:r>
        <w:rPr>
          <w:rFonts w:hint="default" w:ascii="Times New Roman" w:hAnsi="Times New Roman" w:cs="Times New Roman"/>
          <w:b/>
          <w:bCs/>
          <w:color w:val="auto"/>
          <w:sz w:val="24"/>
          <w:highlight w:val="none"/>
          <w:lang w:val="zh-CN"/>
        </w:rPr>
        <w:t>2.20 履约保证金</w:t>
      </w:r>
      <w:bookmarkEnd w:id="174"/>
      <w:bookmarkEnd w:id="175"/>
      <w:bookmarkEnd w:id="176"/>
      <w:bookmarkEnd w:id="177"/>
      <w:bookmarkEnd w:id="178"/>
    </w:p>
    <w:p w14:paraId="0BFAA77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2.20.1招标文件要求乙方提交履约保证金的，乙方应按</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约定的方式，以支票、汇票、本票或者金融机构、担保机构出具的保函等非现金形式，提交不超过合同价10%的履约保证金；</w:t>
      </w:r>
    </w:p>
    <w:p w14:paraId="2C51C3C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2.20.2履约保证金在</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约定期间内或者货物质量保证期内不予退还或者应完全有效，前述约定期间届满或者货物质量保证期届满之日起</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个工作日内，甲方应将履约保证金退还乙方；</w:t>
      </w:r>
    </w:p>
    <w:p w14:paraId="016C1BE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2.20.3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79"/>
    <w:p w14:paraId="078DEFD3">
      <w:pPr>
        <w:spacing w:line="360" w:lineRule="auto"/>
        <w:ind w:firstLine="437"/>
        <w:outlineLvl w:val="3"/>
        <w:rPr>
          <w:rFonts w:hint="default" w:ascii="Times New Roman" w:hAnsi="Times New Roman" w:cs="Times New Roman"/>
          <w:b/>
          <w:color w:val="auto"/>
          <w:sz w:val="24"/>
          <w:highlight w:val="none"/>
        </w:rPr>
      </w:pPr>
      <w:bookmarkStart w:id="180" w:name="_Toc19890"/>
      <w:bookmarkStart w:id="181" w:name="_Toc6885"/>
      <w:bookmarkStart w:id="182" w:name="_Toc14001"/>
      <w:r>
        <w:rPr>
          <w:rFonts w:hint="default" w:ascii="Times New Roman" w:hAnsi="Times New Roman" w:cs="Times New Roman"/>
          <w:b/>
          <w:bCs/>
          <w:color w:val="auto"/>
          <w:sz w:val="24"/>
          <w:highlight w:val="none"/>
          <w:lang w:val="zh-CN"/>
        </w:rPr>
        <w:t>2.21 合同份数</w:t>
      </w:r>
      <w:bookmarkEnd w:id="180"/>
      <w:bookmarkEnd w:id="181"/>
      <w:bookmarkEnd w:id="182"/>
    </w:p>
    <w:p w14:paraId="6FD2E97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合同份数按</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规定，每份均具有同等法律效力。</w:t>
      </w:r>
    </w:p>
    <w:p w14:paraId="76518190">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br w:type="page"/>
      </w:r>
      <w:bookmarkStart w:id="183" w:name="_Toc331685784"/>
      <w:r>
        <w:rPr>
          <w:rFonts w:hint="default" w:ascii="Times New Roman" w:hAnsi="Times New Roman" w:cs="Times New Roman"/>
          <w:b/>
          <w:color w:val="auto"/>
          <w:sz w:val="24"/>
          <w:highlight w:val="none"/>
        </w:rPr>
        <w:t>第三部分 合同专用条款</w:t>
      </w:r>
      <w:bookmarkEnd w:id="183"/>
    </w:p>
    <w:p w14:paraId="01859E6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1"/>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4815D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3B325637">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条款号</w:t>
            </w:r>
          </w:p>
        </w:tc>
        <w:tc>
          <w:tcPr>
            <w:tcW w:w="7568" w:type="dxa"/>
            <w:vAlign w:val="center"/>
          </w:tcPr>
          <w:p w14:paraId="275CDFED">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约定内容</w:t>
            </w:r>
          </w:p>
        </w:tc>
      </w:tr>
      <w:tr w14:paraId="33E9C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0D2859D7">
            <w:pPr>
              <w:spacing w:line="560" w:lineRule="exact"/>
              <w:rPr>
                <w:rFonts w:hint="default" w:ascii="Times New Roman" w:hAnsi="Times New Roman" w:cs="Times New Roman"/>
                <w:color w:val="auto"/>
                <w:sz w:val="24"/>
                <w:highlight w:val="none"/>
              </w:rPr>
            </w:pPr>
          </w:p>
        </w:tc>
        <w:tc>
          <w:tcPr>
            <w:tcW w:w="7568" w:type="dxa"/>
            <w:vAlign w:val="center"/>
          </w:tcPr>
          <w:p w14:paraId="4B5B471B">
            <w:pPr>
              <w:spacing w:line="560" w:lineRule="exact"/>
              <w:rPr>
                <w:rFonts w:hint="default" w:ascii="Times New Roman" w:hAnsi="Times New Roman" w:cs="Times New Roman"/>
                <w:color w:val="auto"/>
                <w:sz w:val="24"/>
                <w:highlight w:val="none"/>
              </w:rPr>
            </w:pPr>
          </w:p>
        </w:tc>
      </w:tr>
      <w:tr w14:paraId="45823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025F9FE">
            <w:pPr>
              <w:spacing w:line="560" w:lineRule="exact"/>
              <w:rPr>
                <w:rFonts w:hint="default" w:ascii="Times New Roman" w:hAnsi="Times New Roman" w:cs="Times New Roman"/>
                <w:color w:val="auto"/>
                <w:sz w:val="24"/>
                <w:highlight w:val="none"/>
              </w:rPr>
            </w:pPr>
          </w:p>
        </w:tc>
        <w:tc>
          <w:tcPr>
            <w:tcW w:w="7568" w:type="dxa"/>
            <w:vAlign w:val="center"/>
          </w:tcPr>
          <w:p w14:paraId="12762838">
            <w:pPr>
              <w:spacing w:line="560" w:lineRule="exact"/>
              <w:rPr>
                <w:rFonts w:hint="default" w:ascii="Times New Roman" w:hAnsi="Times New Roman" w:cs="Times New Roman"/>
                <w:color w:val="auto"/>
                <w:sz w:val="24"/>
                <w:highlight w:val="none"/>
              </w:rPr>
            </w:pPr>
          </w:p>
        </w:tc>
      </w:tr>
      <w:tr w14:paraId="5286B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3B78F2B">
            <w:pPr>
              <w:spacing w:line="560" w:lineRule="exact"/>
              <w:rPr>
                <w:rFonts w:hint="default" w:ascii="Times New Roman" w:hAnsi="Times New Roman" w:cs="Times New Roman"/>
                <w:color w:val="auto"/>
                <w:sz w:val="24"/>
                <w:highlight w:val="none"/>
              </w:rPr>
            </w:pPr>
          </w:p>
        </w:tc>
        <w:tc>
          <w:tcPr>
            <w:tcW w:w="7568" w:type="dxa"/>
            <w:vAlign w:val="center"/>
          </w:tcPr>
          <w:p w14:paraId="0A61BD03">
            <w:pPr>
              <w:spacing w:line="560" w:lineRule="exact"/>
              <w:rPr>
                <w:rFonts w:hint="default" w:ascii="Times New Roman" w:hAnsi="Times New Roman" w:cs="Times New Roman"/>
                <w:color w:val="auto"/>
                <w:sz w:val="24"/>
                <w:highlight w:val="none"/>
              </w:rPr>
            </w:pPr>
          </w:p>
        </w:tc>
      </w:tr>
      <w:tr w14:paraId="73CDC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E909A8B">
            <w:pPr>
              <w:spacing w:line="560" w:lineRule="exact"/>
              <w:rPr>
                <w:rFonts w:hint="default" w:ascii="Times New Roman" w:hAnsi="Times New Roman" w:cs="Times New Roman"/>
                <w:color w:val="auto"/>
                <w:sz w:val="24"/>
                <w:highlight w:val="none"/>
              </w:rPr>
            </w:pPr>
          </w:p>
        </w:tc>
        <w:tc>
          <w:tcPr>
            <w:tcW w:w="7568" w:type="dxa"/>
            <w:vAlign w:val="center"/>
          </w:tcPr>
          <w:p w14:paraId="672A863B">
            <w:pPr>
              <w:spacing w:line="560" w:lineRule="exact"/>
              <w:rPr>
                <w:rFonts w:hint="default" w:ascii="Times New Roman" w:hAnsi="Times New Roman" w:cs="Times New Roman"/>
                <w:color w:val="auto"/>
                <w:sz w:val="24"/>
                <w:highlight w:val="none"/>
              </w:rPr>
            </w:pPr>
          </w:p>
        </w:tc>
      </w:tr>
      <w:tr w14:paraId="49DF5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794" w:type="dxa"/>
            <w:tcBorders>
              <w:left w:val="single" w:color="auto" w:sz="4" w:space="0"/>
            </w:tcBorders>
            <w:vAlign w:val="center"/>
          </w:tcPr>
          <w:p w14:paraId="50E3F369">
            <w:pPr>
              <w:spacing w:line="560" w:lineRule="exact"/>
              <w:rPr>
                <w:rFonts w:hint="default" w:ascii="Times New Roman" w:hAnsi="Times New Roman" w:cs="Times New Roman"/>
                <w:color w:val="auto"/>
                <w:sz w:val="24"/>
                <w:highlight w:val="none"/>
              </w:rPr>
            </w:pPr>
          </w:p>
        </w:tc>
        <w:tc>
          <w:tcPr>
            <w:tcW w:w="7568" w:type="dxa"/>
            <w:vAlign w:val="center"/>
          </w:tcPr>
          <w:p w14:paraId="0AD3C276">
            <w:pPr>
              <w:spacing w:line="560" w:lineRule="exact"/>
              <w:rPr>
                <w:rFonts w:hint="default" w:ascii="Times New Roman" w:hAnsi="Times New Roman" w:cs="Times New Roman"/>
                <w:color w:val="auto"/>
                <w:sz w:val="24"/>
                <w:highlight w:val="none"/>
                <w:u w:val="single"/>
              </w:rPr>
            </w:pPr>
          </w:p>
        </w:tc>
      </w:tr>
      <w:tr w14:paraId="47358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B3EABDF">
            <w:pPr>
              <w:spacing w:line="560" w:lineRule="exact"/>
              <w:rPr>
                <w:rFonts w:hint="default" w:ascii="Times New Roman" w:hAnsi="Times New Roman" w:cs="Times New Roman"/>
                <w:color w:val="auto"/>
                <w:sz w:val="24"/>
                <w:highlight w:val="none"/>
              </w:rPr>
            </w:pPr>
          </w:p>
        </w:tc>
        <w:tc>
          <w:tcPr>
            <w:tcW w:w="7568" w:type="dxa"/>
            <w:vAlign w:val="center"/>
          </w:tcPr>
          <w:p w14:paraId="2CA776C0">
            <w:pPr>
              <w:spacing w:line="560" w:lineRule="exact"/>
              <w:rPr>
                <w:rFonts w:hint="default" w:ascii="Times New Roman" w:hAnsi="Times New Roman" w:cs="Times New Roman"/>
                <w:color w:val="auto"/>
                <w:sz w:val="24"/>
                <w:highlight w:val="none"/>
              </w:rPr>
            </w:pPr>
          </w:p>
        </w:tc>
      </w:tr>
      <w:tr w14:paraId="0FFF7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3BF4BD6">
            <w:pPr>
              <w:spacing w:line="560" w:lineRule="exact"/>
              <w:rPr>
                <w:rFonts w:hint="default" w:ascii="Times New Roman" w:hAnsi="Times New Roman" w:cs="Times New Roman"/>
                <w:color w:val="auto"/>
                <w:sz w:val="24"/>
                <w:highlight w:val="none"/>
              </w:rPr>
            </w:pPr>
          </w:p>
        </w:tc>
        <w:tc>
          <w:tcPr>
            <w:tcW w:w="7568" w:type="dxa"/>
            <w:vAlign w:val="center"/>
          </w:tcPr>
          <w:p w14:paraId="59A8865D">
            <w:pPr>
              <w:spacing w:line="560" w:lineRule="exact"/>
              <w:rPr>
                <w:rFonts w:hint="default" w:ascii="Times New Roman" w:hAnsi="Times New Roman" w:cs="Times New Roman"/>
                <w:color w:val="auto"/>
                <w:sz w:val="24"/>
                <w:highlight w:val="none"/>
                <w:u w:val="single"/>
              </w:rPr>
            </w:pPr>
          </w:p>
        </w:tc>
      </w:tr>
      <w:tr w14:paraId="1310C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29E8A15">
            <w:pPr>
              <w:spacing w:line="560" w:lineRule="exact"/>
              <w:rPr>
                <w:rFonts w:hint="default" w:ascii="Times New Roman" w:hAnsi="Times New Roman" w:cs="Times New Roman"/>
                <w:color w:val="auto"/>
                <w:sz w:val="24"/>
                <w:highlight w:val="none"/>
              </w:rPr>
            </w:pPr>
          </w:p>
        </w:tc>
        <w:tc>
          <w:tcPr>
            <w:tcW w:w="7568" w:type="dxa"/>
            <w:vAlign w:val="center"/>
          </w:tcPr>
          <w:p w14:paraId="1126E52C">
            <w:pPr>
              <w:spacing w:line="560" w:lineRule="exact"/>
              <w:rPr>
                <w:rFonts w:hint="default" w:ascii="Times New Roman" w:hAnsi="Times New Roman" w:cs="Times New Roman"/>
                <w:color w:val="auto"/>
                <w:sz w:val="24"/>
                <w:highlight w:val="none"/>
              </w:rPr>
            </w:pPr>
          </w:p>
        </w:tc>
      </w:tr>
      <w:tr w14:paraId="1FEF6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53FF3B2">
            <w:pPr>
              <w:spacing w:line="560" w:lineRule="exact"/>
              <w:rPr>
                <w:rFonts w:hint="default" w:ascii="Times New Roman" w:hAnsi="Times New Roman" w:cs="Times New Roman"/>
                <w:color w:val="auto"/>
                <w:sz w:val="24"/>
                <w:highlight w:val="none"/>
              </w:rPr>
            </w:pPr>
          </w:p>
        </w:tc>
        <w:tc>
          <w:tcPr>
            <w:tcW w:w="7568" w:type="dxa"/>
            <w:vAlign w:val="center"/>
          </w:tcPr>
          <w:p w14:paraId="55B389A1">
            <w:pPr>
              <w:spacing w:line="560" w:lineRule="exact"/>
              <w:rPr>
                <w:rFonts w:hint="default" w:ascii="Times New Roman" w:hAnsi="Times New Roman" w:cs="Times New Roman"/>
                <w:color w:val="auto"/>
                <w:sz w:val="24"/>
                <w:highlight w:val="none"/>
              </w:rPr>
            </w:pPr>
          </w:p>
        </w:tc>
      </w:tr>
      <w:tr w14:paraId="0626C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7CB07F4">
            <w:pPr>
              <w:spacing w:line="560" w:lineRule="exact"/>
              <w:rPr>
                <w:rFonts w:hint="default" w:ascii="Times New Roman" w:hAnsi="Times New Roman" w:cs="Times New Roman"/>
                <w:color w:val="auto"/>
                <w:sz w:val="24"/>
                <w:highlight w:val="none"/>
              </w:rPr>
            </w:pPr>
          </w:p>
        </w:tc>
        <w:tc>
          <w:tcPr>
            <w:tcW w:w="7568" w:type="dxa"/>
            <w:vAlign w:val="center"/>
          </w:tcPr>
          <w:p w14:paraId="5ACC5138">
            <w:pPr>
              <w:spacing w:line="560" w:lineRule="exact"/>
              <w:rPr>
                <w:rFonts w:hint="default" w:ascii="Times New Roman" w:hAnsi="Times New Roman" w:cs="Times New Roman"/>
                <w:color w:val="auto"/>
                <w:sz w:val="24"/>
                <w:highlight w:val="none"/>
              </w:rPr>
            </w:pPr>
          </w:p>
        </w:tc>
      </w:tr>
      <w:tr w14:paraId="5AEB0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3FB85247">
            <w:pPr>
              <w:spacing w:line="560" w:lineRule="exact"/>
              <w:rPr>
                <w:rFonts w:hint="default" w:ascii="Times New Roman" w:hAnsi="Times New Roman" w:cs="Times New Roman"/>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59BA4D62">
            <w:pPr>
              <w:spacing w:line="560" w:lineRule="exact"/>
              <w:rPr>
                <w:rFonts w:hint="default" w:ascii="Times New Roman" w:hAnsi="Times New Roman" w:cs="Times New Roman"/>
                <w:color w:val="auto"/>
                <w:sz w:val="24"/>
                <w:highlight w:val="none"/>
              </w:rPr>
            </w:pPr>
          </w:p>
        </w:tc>
      </w:tr>
      <w:tr w14:paraId="71B0B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3A696E18">
            <w:pPr>
              <w:spacing w:line="560" w:lineRule="exact"/>
              <w:rPr>
                <w:rFonts w:hint="default" w:ascii="Times New Roman" w:hAnsi="Times New Roman" w:cs="Times New Roman"/>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4864FF52">
            <w:pPr>
              <w:spacing w:line="560" w:lineRule="exact"/>
              <w:rPr>
                <w:rFonts w:hint="default" w:ascii="Times New Roman" w:hAnsi="Times New Roman" w:cs="Times New Roman"/>
                <w:color w:val="auto"/>
                <w:sz w:val="24"/>
                <w:highlight w:val="none"/>
              </w:rPr>
            </w:pPr>
          </w:p>
        </w:tc>
      </w:tr>
    </w:tbl>
    <w:p w14:paraId="002F9AEF">
      <w:pPr>
        <w:widowControl/>
        <w:jc w:val="left"/>
        <w:rPr>
          <w:rFonts w:hint="default" w:ascii="Times New Roman" w:hAnsi="Times New Roman" w:cs="Times New Roman"/>
          <w:color w:val="auto"/>
          <w:sz w:val="24"/>
          <w:highlight w:val="none"/>
        </w:rPr>
      </w:pPr>
    </w:p>
    <w:p w14:paraId="0EB22013">
      <w:pPr>
        <w:spacing w:line="360" w:lineRule="auto"/>
        <w:ind w:firstLine="435"/>
        <w:rPr>
          <w:rFonts w:hint="default" w:ascii="Times New Roman" w:hAnsi="Times New Roman" w:cs="Times New Roman"/>
          <w:color w:val="auto"/>
          <w:sz w:val="24"/>
          <w:highlight w:val="none"/>
        </w:rPr>
      </w:pPr>
    </w:p>
    <w:p w14:paraId="5C79B53E">
      <w:pPr>
        <w:widowControl/>
        <w:tabs>
          <w:tab w:val="left" w:pos="993"/>
        </w:tabs>
        <w:adjustRightInd w:val="0"/>
        <w:snapToGrid w:val="0"/>
        <w:spacing w:line="360" w:lineRule="auto"/>
        <w:outlineLvl w:val="1"/>
        <w:rPr>
          <w:rFonts w:hint="default" w:ascii="Times New Roman" w:hAnsi="Times New Roman" w:cs="Times New Roman"/>
          <w:color w:val="auto"/>
          <w:highlight w:val="none"/>
        </w:rPr>
      </w:pPr>
      <w:bookmarkStart w:id="184" w:name="_Toc247527799"/>
      <w:bookmarkStart w:id="185" w:name="_Toc247514198"/>
      <w:bookmarkStart w:id="186" w:name="_Toc300835200"/>
      <w:bookmarkStart w:id="187" w:name="_Toc26646056"/>
      <w:bookmarkStart w:id="188" w:name="_Toc184635123"/>
    </w:p>
    <w:p w14:paraId="6ED7285B">
      <w:pPr>
        <w:pStyle w:val="40"/>
        <w:rPr>
          <w:rFonts w:hint="default" w:ascii="Times New Roman" w:hAnsi="Times New Roman" w:cs="Times New Roman"/>
          <w:color w:val="auto"/>
          <w:highlight w:val="none"/>
        </w:rPr>
      </w:pPr>
    </w:p>
    <w:p w14:paraId="4B7D1588">
      <w:pPr>
        <w:pStyle w:val="17"/>
        <w:ind w:right="-21" w:firstLine="630"/>
        <w:rPr>
          <w:rFonts w:hint="default" w:ascii="Times New Roman" w:hAnsi="Times New Roman" w:cs="Times New Roman"/>
          <w:color w:val="auto"/>
          <w:highlight w:val="none"/>
        </w:rPr>
      </w:pPr>
    </w:p>
    <w:p w14:paraId="1C468FC6">
      <w:pPr>
        <w:rPr>
          <w:rFonts w:hint="default" w:ascii="Times New Roman" w:hAnsi="Times New Roman" w:cs="Times New Roman"/>
          <w:color w:val="auto"/>
          <w:highlight w:val="none"/>
        </w:rPr>
      </w:pPr>
    </w:p>
    <w:bookmarkEnd w:id="31"/>
    <w:bookmarkEnd w:id="184"/>
    <w:bookmarkEnd w:id="185"/>
    <w:bookmarkEnd w:id="186"/>
    <w:bookmarkEnd w:id="187"/>
    <w:bookmarkEnd w:id="188"/>
    <w:p w14:paraId="54AFD8EB">
      <w:pPr>
        <w:rPr>
          <w:rFonts w:hint="default" w:ascii="Times New Roman" w:hAnsi="Times New Roman" w:cs="Times New Roman"/>
          <w:b/>
          <w:color w:val="auto"/>
          <w:sz w:val="28"/>
          <w:highlight w:val="none"/>
        </w:rPr>
      </w:pPr>
      <w:bookmarkStart w:id="189" w:name="_Toc29760"/>
      <w:bookmarkStart w:id="190" w:name="_Toc10441"/>
      <w:r>
        <w:rPr>
          <w:rFonts w:hint="default" w:ascii="Times New Roman" w:hAnsi="Times New Roman" w:cs="Times New Roman"/>
          <w:b/>
          <w:color w:val="auto"/>
          <w:sz w:val="28"/>
          <w:highlight w:val="none"/>
        </w:rPr>
        <w:br w:type="page"/>
      </w:r>
    </w:p>
    <w:p w14:paraId="26BA9E9B">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第六章  投标文件格式</w:t>
      </w:r>
      <w:bookmarkEnd w:id="189"/>
      <w:bookmarkEnd w:id="190"/>
    </w:p>
    <w:p w14:paraId="7ECA25F4">
      <w:pPr>
        <w:spacing w:line="500" w:lineRule="exact"/>
        <w:jc w:val="right"/>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【正/副本】</w:t>
      </w:r>
    </w:p>
    <w:p w14:paraId="45731E3A">
      <w:pPr>
        <w:spacing w:line="500" w:lineRule="exact"/>
        <w:jc w:val="center"/>
        <w:rPr>
          <w:rFonts w:hint="default" w:ascii="Times New Roman" w:hAnsi="Times New Roman" w:cs="Times New Roman"/>
          <w:b/>
          <w:color w:val="auto"/>
          <w:sz w:val="32"/>
          <w:highlight w:val="none"/>
        </w:rPr>
      </w:pPr>
    </w:p>
    <w:p w14:paraId="5F3CAD1A">
      <w:pPr>
        <w:spacing w:line="500" w:lineRule="exact"/>
        <w:jc w:val="center"/>
        <w:rPr>
          <w:rFonts w:hint="default" w:ascii="Times New Roman" w:hAnsi="Times New Roman" w:cs="Times New Roman"/>
          <w:b/>
          <w:color w:val="auto"/>
          <w:sz w:val="32"/>
          <w:highlight w:val="none"/>
        </w:rPr>
      </w:pPr>
    </w:p>
    <w:p w14:paraId="2EA2714C">
      <w:pPr>
        <w:pStyle w:val="40"/>
        <w:rPr>
          <w:rFonts w:hint="default" w:ascii="Times New Roman" w:hAnsi="Times New Roman" w:cs="Times New Roman"/>
          <w:color w:val="auto"/>
          <w:highlight w:val="none"/>
        </w:rPr>
      </w:pPr>
    </w:p>
    <w:p w14:paraId="5987DC2A">
      <w:pPr>
        <w:spacing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（项目编号：</w:t>
      </w:r>
      <w:r>
        <w:rPr>
          <w:rFonts w:hint="default" w:ascii="Times New Roman" w:hAnsi="Times New Roman" w:cs="Times New Roman"/>
          <w:b/>
          <w:color w:val="auto"/>
          <w:spacing w:val="20"/>
          <w:kern w:val="0"/>
          <w:sz w:val="32"/>
          <w:szCs w:val="32"/>
          <w:highlight w:val="none"/>
          <w:u w:val="single"/>
        </w:rPr>
        <w:t xml:space="preserve"> </w:t>
      </w:r>
      <w:r>
        <w:rPr>
          <w:rFonts w:hint="eastAsia" w:ascii="Times New Roman" w:hAnsi="Times New Roman" w:cs="Times New Roman"/>
          <w:b/>
          <w:color w:val="auto"/>
          <w:spacing w:val="20"/>
          <w:kern w:val="0"/>
          <w:sz w:val="32"/>
          <w:szCs w:val="32"/>
          <w:highlight w:val="none"/>
          <w:u w:val="single"/>
          <w:lang w:eastAsia="zh-CN"/>
        </w:rPr>
        <w:t>BHSG-ZTB-2025-44</w:t>
      </w:r>
      <w:r>
        <w:rPr>
          <w:rFonts w:hint="default" w:ascii="Times New Roman" w:hAnsi="Times New Roman" w:cs="Times New Roman"/>
          <w:b/>
          <w:color w:val="auto"/>
          <w:spacing w:val="20"/>
          <w:kern w:val="0"/>
          <w:sz w:val="32"/>
          <w:szCs w:val="32"/>
          <w:highlight w:val="none"/>
          <w:u w:val="single"/>
        </w:rPr>
        <w:t xml:space="preserve"> </w:t>
      </w:r>
      <w:r>
        <w:rPr>
          <w:rFonts w:hint="default" w:ascii="Times New Roman" w:hAnsi="Times New Roman" w:cs="Times New Roman"/>
          <w:b/>
          <w:color w:val="auto"/>
          <w:sz w:val="32"/>
          <w:highlight w:val="none"/>
        </w:rPr>
        <w:t xml:space="preserve"> ）</w:t>
      </w:r>
    </w:p>
    <w:p w14:paraId="644E2C9C">
      <w:pPr>
        <w:spacing w:line="900" w:lineRule="exact"/>
        <w:jc w:val="center"/>
        <w:rPr>
          <w:rFonts w:hint="default" w:ascii="Times New Roman" w:hAnsi="Times New Roman" w:cs="Times New Roman"/>
          <w:b/>
          <w:color w:val="auto"/>
          <w:sz w:val="72"/>
          <w:highlight w:val="none"/>
        </w:rPr>
      </w:pPr>
    </w:p>
    <w:p w14:paraId="6227EE8F">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投</w:t>
      </w:r>
    </w:p>
    <w:p w14:paraId="486EC7EA">
      <w:pPr>
        <w:spacing w:line="900" w:lineRule="exact"/>
        <w:jc w:val="center"/>
        <w:rPr>
          <w:rFonts w:hint="default" w:ascii="Times New Roman" w:hAnsi="Times New Roman" w:cs="Times New Roman"/>
          <w:b/>
          <w:color w:val="auto"/>
          <w:sz w:val="72"/>
          <w:highlight w:val="none"/>
        </w:rPr>
      </w:pPr>
    </w:p>
    <w:p w14:paraId="109E430A">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标</w:t>
      </w:r>
    </w:p>
    <w:p w14:paraId="48D2F0A9">
      <w:pPr>
        <w:spacing w:line="900" w:lineRule="exact"/>
        <w:jc w:val="center"/>
        <w:rPr>
          <w:rFonts w:hint="default" w:ascii="Times New Roman" w:hAnsi="Times New Roman" w:cs="Times New Roman"/>
          <w:b/>
          <w:color w:val="auto"/>
          <w:sz w:val="72"/>
          <w:highlight w:val="none"/>
        </w:rPr>
      </w:pPr>
    </w:p>
    <w:p w14:paraId="3BAE5C63">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文</w:t>
      </w:r>
    </w:p>
    <w:p w14:paraId="439A6B8D">
      <w:pPr>
        <w:spacing w:line="900" w:lineRule="exact"/>
        <w:jc w:val="center"/>
        <w:rPr>
          <w:rFonts w:hint="default" w:ascii="Times New Roman" w:hAnsi="Times New Roman" w:cs="Times New Roman"/>
          <w:b/>
          <w:color w:val="auto"/>
          <w:sz w:val="72"/>
          <w:highlight w:val="none"/>
        </w:rPr>
      </w:pPr>
    </w:p>
    <w:p w14:paraId="075069E9">
      <w:pPr>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件</w:t>
      </w:r>
    </w:p>
    <w:p w14:paraId="79230C28">
      <w:pPr>
        <w:spacing w:after="156" w:afterLines="50" w:line="500" w:lineRule="exact"/>
        <w:jc w:val="center"/>
        <w:rPr>
          <w:rFonts w:hint="default" w:ascii="Times New Roman" w:hAnsi="Times New Roman" w:cs="Times New Roman"/>
          <w:b/>
          <w:color w:val="auto"/>
          <w:sz w:val="72"/>
          <w:highlight w:val="none"/>
        </w:rPr>
      </w:pPr>
    </w:p>
    <w:p w14:paraId="04E73B80">
      <w:pPr>
        <w:spacing w:after="156" w:afterLines="50" w:line="500" w:lineRule="exact"/>
        <w:jc w:val="center"/>
        <w:rPr>
          <w:rFonts w:hint="default" w:ascii="Times New Roman" w:hAnsi="Times New Roman" w:cs="Times New Roman"/>
          <w:b/>
          <w:color w:val="auto"/>
          <w:sz w:val="32"/>
          <w:highlight w:val="none"/>
          <w:u w:val="single"/>
        </w:rPr>
      </w:pPr>
      <w:r>
        <w:rPr>
          <w:rFonts w:hint="default" w:ascii="Times New Roman" w:hAnsi="Times New Roman" w:cs="Times New Roman"/>
          <w:b/>
          <w:color w:val="auto"/>
          <w:sz w:val="32"/>
          <w:highlight w:val="none"/>
        </w:rPr>
        <w:t>投标人：</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（加盖投标人公章）</w:t>
      </w:r>
    </w:p>
    <w:p w14:paraId="3EB16BDF">
      <w:pPr>
        <w:spacing w:after="156" w:afterLines="50" w:line="500" w:lineRule="exact"/>
        <w:ind w:firstLine="2291" w:firstLineChars="713"/>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年</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月</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日</w:t>
      </w:r>
    </w:p>
    <w:p w14:paraId="1EC0CB74">
      <w:pPr>
        <w:widowControl/>
        <w:jc w:val="left"/>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2C34EB8B">
      <w:pPr>
        <w:spacing w:line="360" w:lineRule="auto"/>
        <w:jc w:val="center"/>
        <w:outlineLvl w:val="2"/>
        <w:rPr>
          <w:rFonts w:hint="default" w:ascii="Times New Roman" w:hAnsi="Times New Roman" w:cs="Times New Roman"/>
          <w:b/>
          <w:color w:val="auto"/>
          <w:sz w:val="24"/>
          <w:highlight w:val="none"/>
        </w:rPr>
      </w:pPr>
      <w:bookmarkStart w:id="191" w:name="_Toc461053086"/>
      <w:bookmarkStart w:id="192" w:name="_Toc461056631"/>
      <w:bookmarkStart w:id="193" w:name="_Toc520983587"/>
      <w:r>
        <w:rPr>
          <w:rFonts w:hint="default" w:ascii="Times New Roman" w:hAnsi="Times New Roman" w:cs="Times New Roman"/>
          <w:b/>
          <w:color w:val="auto"/>
          <w:sz w:val="24"/>
          <w:highlight w:val="none"/>
        </w:rPr>
        <w:t>一</w:t>
      </w:r>
      <w:bookmarkEnd w:id="191"/>
      <w:bookmarkEnd w:id="192"/>
      <w:r>
        <w:rPr>
          <w:rFonts w:hint="default" w:ascii="Times New Roman" w:hAnsi="Times New Roman" w:cs="Times New Roman"/>
          <w:b/>
          <w:color w:val="auto"/>
          <w:sz w:val="24"/>
          <w:highlight w:val="none"/>
        </w:rPr>
        <w:t>、报价表格式</w:t>
      </w:r>
      <w:bookmarkEnd w:id="193"/>
    </w:p>
    <w:p w14:paraId="1DFFAD56">
      <w:pPr>
        <w:spacing w:before="156" w:beforeLines="50" w:after="156" w:afterLines="50" w:line="360" w:lineRule="auto"/>
        <w:jc w:val="left"/>
        <w:rPr>
          <w:rFonts w:hint="default" w:ascii="Times New Roman" w:hAnsi="Times New Roman" w:cs="Times New Roman"/>
          <w:b/>
          <w:color w:val="auto"/>
          <w:sz w:val="24"/>
          <w:szCs w:val="28"/>
          <w:highlight w:val="none"/>
        </w:rPr>
      </w:pPr>
      <w:r>
        <w:rPr>
          <w:rFonts w:hint="default" w:ascii="Times New Roman" w:hAnsi="Times New Roman" w:cs="Times New Roman"/>
          <w:b/>
          <w:color w:val="auto"/>
          <w:sz w:val="24"/>
          <w:szCs w:val="28"/>
          <w:highlight w:val="none"/>
        </w:rPr>
        <w:t>1-1 报价表</w:t>
      </w:r>
    </w:p>
    <w:p w14:paraId="6B0ED0E6">
      <w:pPr>
        <w:snapToGrid w:val="0"/>
        <w:spacing w:line="360" w:lineRule="auto"/>
        <w:jc w:val="left"/>
        <w:rPr>
          <w:rFonts w:hint="default" w:ascii="Times New Roman" w:hAnsi="Times New Roman" w:cs="Times New Roman"/>
          <w:b/>
          <w:color w:val="auto"/>
          <w:sz w:val="24"/>
          <w:szCs w:val="28"/>
          <w:highlight w:val="none"/>
        </w:rPr>
      </w:pPr>
      <w:r>
        <w:rPr>
          <w:rFonts w:hint="default" w:ascii="Times New Roman" w:hAnsi="Times New Roman" w:cs="Times New Roman"/>
          <w:b/>
          <w:color w:val="auto"/>
          <w:sz w:val="24"/>
          <w:szCs w:val="28"/>
          <w:highlight w:val="none"/>
        </w:rPr>
        <w:t>项目名称：</w:t>
      </w:r>
      <w:r>
        <w:rPr>
          <w:rFonts w:hint="default" w:ascii="Times New Roman" w:hAnsi="Times New Roman" w:cs="Times New Roman"/>
          <w:b/>
          <w:color w:val="auto"/>
          <w:sz w:val="24"/>
          <w:szCs w:val="28"/>
          <w:highlight w:val="none"/>
          <w:u w:val="single"/>
        </w:rPr>
        <w:t xml:space="preserve">                   </w:t>
      </w:r>
    </w:p>
    <w:p w14:paraId="79A38D82">
      <w:pPr>
        <w:snapToGrid w:val="0"/>
        <w:spacing w:after="156" w:afterLines="50" w:line="360" w:lineRule="auto"/>
        <w:jc w:val="left"/>
        <w:rPr>
          <w:rFonts w:hint="default" w:ascii="Times New Roman" w:hAnsi="Times New Roman" w:cs="Times New Roman"/>
          <w:b/>
          <w:bCs/>
          <w:color w:val="auto"/>
          <w:sz w:val="24"/>
          <w:szCs w:val="28"/>
          <w:highlight w:val="none"/>
          <w:u w:val="single"/>
        </w:rPr>
      </w:pPr>
      <w:r>
        <w:rPr>
          <w:rFonts w:hint="default" w:ascii="Times New Roman" w:hAnsi="Times New Roman" w:cs="Times New Roman"/>
          <w:b/>
          <w:color w:val="auto"/>
          <w:sz w:val="24"/>
          <w:szCs w:val="28"/>
          <w:highlight w:val="none"/>
        </w:rPr>
        <w:t>项目编号：</w:t>
      </w:r>
      <w:r>
        <w:rPr>
          <w:rFonts w:hint="default" w:ascii="Times New Roman" w:hAnsi="Times New Roman" w:cs="Times New Roman"/>
          <w:b/>
          <w:color w:val="auto"/>
          <w:sz w:val="24"/>
          <w:szCs w:val="28"/>
          <w:highlight w:val="none"/>
          <w:u w:val="single"/>
        </w:rPr>
        <w:t xml:space="preserve">                   </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10C2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10D8E7A5">
            <w:pPr>
              <w:spacing w:line="360" w:lineRule="auto"/>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投标人名称</w:t>
            </w:r>
          </w:p>
        </w:tc>
        <w:tc>
          <w:tcPr>
            <w:tcW w:w="6063" w:type="dxa"/>
            <w:tcBorders>
              <w:left w:val="single" w:color="auto" w:sz="4" w:space="0"/>
            </w:tcBorders>
          </w:tcPr>
          <w:p w14:paraId="1D5465D2">
            <w:pPr>
              <w:spacing w:line="360" w:lineRule="auto"/>
              <w:rPr>
                <w:rFonts w:hint="default" w:ascii="Times New Roman" w:hAnsi="Times New Roman" w:cs="Times New Roman"/>
                <w:b/>
                <w:color w:val="auto"/>
                <w:sz w:val="24"/>
                <w:highlight w:val="none"/>
              </w:rPr>
            </w:pPr>
          </w:p>
        </w:tc>
      </w:tr>
      <w:tr w14:paraId="1E7E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0F386EB7">
            <w:pPr>
              <w:spacing w:line="360" w:lineRule="exact"/>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招标范围</w:t>
            </w:r>
          </w:p>
        </w:tc>
        <w:tc>
          <w:tcPr>
            <w:tcW w:w="6063" w:type="dxa"/>
            <w:tcBorders>
              <w:left w:val="single" w:color="auto" w:sz="4" w:space="0"/>
            </w:tcBorders>
            <w:vAlign w:val="center"/>
          </w:tcPr>
          <w:p w14:paraId="0055AA0A">
            <w:pPr>
              <w:widowControl/>
              <w:spacing w:line="360" w:lineRule="exact"/>
              <w:rPr>
                <w:rFonts w:hint="default" w:ascii="Times New Roman" w:hAnsi="Times New Roman" w:cs="Times New Roman"/>
                <w:b/>
                <w:color w:val="auto"/>
                <w:sz w:val="24"/>
                <w:highlight w:val="none"/>
              </w:rPr>
            </w:pPr>
            <w:r>
              <w:rPr>
                <w:rFonts w:hint="default" w:ascii="Times New Roman" w:hAnsi="Times New Roman" w:cs="Times New Roman"/>
                <w:color w:val="auto"/>
                <w:sz w:val="24"/>
                <w:szCs w:val="28"/>
                <w:highlight w:val="none"/>
              </w:rPr>
              <w:t xml:space="preserve">全部 </w:t>
            </w:r>
          </w:p>
        </w:tc>
      </w:tr>
      <w:tr w14:paraId="20FD0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29A2CBFF">
            <w:pPr>
              <w:spacing w:line="360" w:lineRule="auto"/>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报价</w:t>
            </w:r>
          </w:p>
          <w:p w14:paraId="1463585F">
            <w:pPr>
              <w:spacing w:line="360" w:lineRule="auto"/>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（详见备注说明）</w:t>
            </w:r>
          </w:p>
        </w:tc>
        <w:tc>
          <w:tcPr>
            <w:tcW w:w="6063" w:type="dxa"/>
            <w:vAlign w:val="center"/>
          </w:tcPr>
          <w:p w14:paraId="40EF20E1">
            <w:pPr>
              <w:snapToGrid w:val="0"/>
              <w:spacing w:line="360" w:lineRule="auto"/>
              <w:rPr>
                <w:rFonts w:hint="default" w:ascii="Times New Roman" w:hAnsi="Times New Roman" w:cs="Times New Roman"/>
                <w:color w:val="auto"/>
                <w:sz w:val="24"/>
                <w:szCs w:val="28"/>
                <w:highlight w:val="none"/>
              </w:rPr>
            </w:pPr>
          </w:p>
          <w:p w14:paraId="78B20667">
            <w:pPr>
              <w:snapToGrid w:val="0"/>
              <w:spacing w:line="360" w:lineRule="auto"/>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人民币大写：</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元</w:t>
            </w:r>
          </w:p>
          <w:p w14:paraId="78466719">
            <w:pPr>
              <w:snapToGrid w:val="0"/>
              <w:spacing w:line="360" w:lineRule="auto"/>
              <w:rPr>
                <w:rFonts w:hint="default" w:ascii="Times New Roman" w:hAnsi="Times New Roman" w:cs="Times New Roman"/>
                <w:b/>
                <w:color w:val="auto"/>
                <w:sz w:val="24"/>
                <w:highlight w:val="none"/>
              </w:rPr>
            </w:pPr>
          </w:p>
        </w:tc>
      </w:tr>
      <w:tr w14:paraId="080F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vAlign w:val="center"/>
          </w:tcPr>
          <w:p w14:paraId="576C4ACF">
            <w:pPr>
              <w:spacing w:line="360" w:lineRule="auto"/>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备注说明</w:t>
            </w:r>
          </w:p>
        </w:tc>
        <w:tc>
          <w:tcPr>
            <w:tcW w:w="6063" w:type="dxa"/>
          </w:tcPr>
          <w:p w14:paraId="49B6B996">
            <w:pPr>
              <w:spacing w:line="360" w:lineRule="auto"/>
              <w:rPr>
                <w:rFonts w:hint="default" w:ascii="Times New Roman" w:hAnsi="Times New Roman" w:cs="Times New Roman"/>
                <w:b/>
                <w:color w:val="auto"/>
                <w:sz w:val="24"/>
                <w:highlight w:val="none"/>
              </w:rPr>
            </w:pPr>
          </w:p>
        </w:tc>
      </w:tr>
    </w:tbl>
    <w:p w14:paraId="35B077B9">
      <w:pPr>
        <w:spacing w:line="360" w:lineRule="auto"/>
        <w:ind w:firstLine="4560" w:firstLineChars="19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投标人签章：</w:t>
      </w:r>
      <w:r>
        <w:rPr>
          <w:rFonts w:hint="default" w:ascii="Times New Roman" w:hAnsi="Times New Roman" w:cs="Times New Roman"/>
          <w:color w:val="auto"/>
          <w:sz w:val="24"/>
          <w:highlight w:val="none"/>
          <w:u w:val="single"/>
        </w:rPr>
        <w:t xml:space="preserve">                </w:t>
      </w:r>
    </w:p>
    <w:p w14:paraId="72AAFD65">
      <w:pPr>
        <w:spacing w:line="360" w:lineRule="auto"/>
        <w:ind w:firstLine="4560" w:firstLineChars="19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日    期：</w:t>
      </w:r>
      <w:r>
        <w:rPr>
          <w:rFonts w:hint="default" w:ascii="Times New Roman" w:hAnsi="Times New Roman" w:cs="Times New Roman"/>
          <w:color w:val="auto"/>
          <w:sz w:val="24"/>
          <w:highlight w:val="none"/>
          <w:u w:val="single"/>
        </w:rPr>
        <w:t xml:space="preserve">                      </w:t>
      </w:r>
    </w:p>
    <w:p w14:paraId="124E67D5">
      <w:pPr>
        <w:adjustRightInd w:val="0"/>
        <w:snapToGrid w:val="0"/>
        <w:spacing w:line="360" w:lineRule="auto"/>
        <w:rPr>
          <w:rFonts w:hint="default" w:ascii="Times New Roman" w:hAnsi="Times New Roman" w:cs="Times New Roman"/>
          <w:b/>
          <w:bCs/>
          <w:color w:val="auto"/>
          <w:sz w:val="24"/>
          <w:szCs w:val="28"/>
          <w:highlight w:val="none"/>
        </w:rPr>
      </w:pPr>
      <w:r>
        <w:rPr>
          <w:rFonts w:hint="default" w:ascii="Times New Roman" w:hAnsi="Times New Roman" w:cs="Times New Roman"/>
          <w:b/>
          <w:bCs/>
          <w:color w:val="auto"/>
          <w:sz w:val="24"/>
          <w:szCs w:val="28"/>
          <w:highlight w:val="none"/>
        </w:rPr>
        <w:t>注：</w:t>
      </w:r>
    </w:p>
    <w:p w14:paraId="6C194C39">
      <w:pPr>
        <w:numPr>
          <w:ilvl w:val="0"/>
          <w:numId w:val="5"/>
        </w:numPr>
        <w:adjustRightInd w:val="0"/>
        <w:snapToGrid w:val="0"/>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此表用于开标唱标之用。</w:t>
      </w:r>
    </w:p>
    <w:p w14:paraId="5E18DBA8">
      <w:pPr>
        <w:numPr>
          <w:ilvl w:val="0"/>
          <w:numId w:val="5"/>
        </w:numPr>
        <w:adjustRightInd w:val="0"/>
        <w:snapToGrid w:val="0"/>
        <w:spacing w:line="360" w:lineRule="auto"/>
        <w:ind w:firstLine="482" w:firstLineChars="200"/>
        <w:rPr>
          <w:rFonts w:hint="default" w:ascii="Times New Roman" w:hAnsi="Times New Roman" w:cs="Times New Roman"/>
          <w:color w:val="auto"/>
          <w:sz w:val="24"/>
          <w:highlight w:val="none"/>
        </w:rPr>
      </w:pPr>
      <w:r>
        <w:rPr>
          <w:rFonts w:hint="default" w:ascii="Times New Roman" w:hAnsi="Times New Roman" w:cs="Times New Roman"/>
          <w:b/>
          <w:bCs/>
          <w:color w:val="auto"/>
          <w:sz w:val="24"/>
          <w:szCs w:val="28"/>
          <w:highlight w:val="none"/>
        </w:rPr>
        <w:t>本表内容根据招标文件要求包括了服务及其配套的设计、采购、制造、检测、试验、运输、保险、仓储、税费以及现场落地、安装及安装耗损、调试、验收、培训、技术服务（包括技术资料、图纸的提供）质保期内的售后服务保障等所有费用。</w:t>
      </w:r>
    </w:p>
    <w:p w14:paraId="0C4D385B">
      <w:pPr>
        <w:adjustRightInd w:val="0"/>
        <w:snapToGrid w:val="0"/>
        <w:spacing w:line="360" w:lineRule="auto"/>
        <w:ind w:firstLine="482" w:firstLineChars="200"/>
        <w:rPr>
          <w:rFonts w:hint="default" w:ascii="Times New Roman" w:hAnsi="Times New Roman" w:cs="Times New Roman"/>
          <w:b/>
          <w:bCs/>
          <w:color w:val="auto"/>
          <w:sz w:val="24"/>
          <w:szCs w:val="28"/>
          <w:highlight w:val="none"/>
        </w:rPr>
      </w:pPr>
      <w:r>
        <w:rPr>
          <w:rFonts w:hint="default" w:ascii="Times New Roman" w:hAnsi="Times New Roman" w:cs="Times New Roman"/>
          <w:b/>
          <w:bCs/>
          <w:color w:val="auto"/>
          <w:sz w:val="24"/>
          <w:szCs w:val="28"/>
          <w:highlight w:val="none"/>
        </w:rPr>
        <w:t>3.特殊事项在备注中注明。</w:t>
      </w:r>
    </w:p>
    <w:p w14:paraId="119983E7">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br w:type="page"/>
      </w:r>
    </w:p>
    <w:p w14:paraId="6322585D">
      <w:pPr>
        <w:spacing w:before="156" w:beforeLines="50" w:after="156" w:afterLines="50" w:line="360" w:lineRule="auto"/>
        <w:jc w:val="left"/>
        <w:rPr>
          <w:rFonts w:hint="default" w:ascii="Times New Roman" w:hAnsi="Times New Roman" w:cs="Times New Roman"/>
          <w:b/>
          <w:color w:val="auto"/>
          <w:sz w:val="24"/>
          <w:szCs w:val="28"/>
          <w:highlight w:val="none"/>
        </w:rPr>
      </w:pPr>
      <w:r>
        <w:rPr>
          <w:rFonts w:hint="default" w:ascii="Times New Roman" w:hAnsi="Times New Roman" w:cs="Times New Roman"/>
          <w:b/>
          <w:color w:val="auto"/>
          <w:sz w:val="24"/>
          <w:szCs w:val="28"/>
          <w:highlight w:val="none"/>
        </w:rPr>
        <w:t>1-2 分项报价明细表</w:t>
      </w:r>
    </w:p>
    <w:tbl>
      <w:tblPr>
        <w:tblStyle w:val="41"/>
        <w:tblW w:w="842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5"/>
        <w:gridCol w:w="587"/>
        <w:gridCol w:w="1413"/>
        <w:gridCol w:w="2014"/>
        <w:gridCol w:w="568"/>
        <w:gridCol w:w="515"/>
        <w:gridCol w:w="786"/>
        <w:gridCol w:w="713"/>
        <w:gridCol w:w="800"/>
        <w:gridCol w:w="515"/>
      </w:tblGrid>
      <w:tr w14:paraId="24339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426"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AFE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6"/>
                <w:szCs w:val="26"/>
                <w:highlight w:val="none"/>
                <w:u w:val="none"/>
              </w:rPr>
            </w:pPr>
            <w:r>
              <w:rPr>
                <w:rFonts w:hint="default" w:ascii="Times New Roman" w:hAnsi="Times New Roman" w:eastAsia="宋体" w:cs="Times New Roman"/>
                <w:b/>
                <w:bCs/>
                <w:i w:val="0"/>
                <w:iCs w:val="0"/>
                <w:color w:val="auto"/>
                <w:kern w:val="0"/>
                <w:sz w:val="26"/>
                <w:szCs w:val="26"/>
                <w:highlight w:val="none"/>
                <w:u w:val="none"/>
                <w:lang w:val="en-US" w:eastAsia="zh-CN" w:bidi="ar"/>
              </w:rPr>
              <w:t>厨房设备清单</w:t>
            </w:r>
          </w:p>
        </w:tc>
      </w:tr>
      <w:tr w14:paraId="4CD02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8DE1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序号</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D55E">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设备名称</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45B5">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规格尺寸</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9E841">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技术参数</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DA03">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数量</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C665">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单位</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1C3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单价</w:t>
            </w:r>
            <w:r>
              <w:rPr>
                <w:rFonts w:hint="default" w:ascii="Times New Roman" w:hAnsi="Times New Roman" w:eastAsia="宋体"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宋体" w:cs="Times New Roman"/>
                <w:b/>
                <w:bCs/>
                <w:i w:val="0"/>
                <w:iCs w:val="0"/>
                <w:color w:val="auto"/>
                <w:kern w:val="0"/>
                <w:sz w:val="20"/>
                <w:szCs w:val="20"/>
                <w:highlight w:val="none"/>
                <w:u w:val="none"/>
                <w:lang w:val="en-US" w:eastAsia="zh-CN" w:bidi="ar"/>
              </w:rPr>
              <w:t>（含税）</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3E7A">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小计</w:t>
            </w:r>
            <w:r>
              <w:rPr>
                <w:rFonts w:hint="default" w:ascii="Times New Roman" w:hAnsi="Times New Roman" w:eastAsia="宋体" w:cs="Times New Roman"/>
                <w:b/>
                <w:bCs/>
                <w:i w:val="0"/>
                <w:iCs w:val="0"/>
                <w:color w:val="auto"/>
                <w:kern w:val="0"/>
                <w:sz w:val="20"/>
                <w:szCs w:val="20"/>
                <w:highlight w:val="none"/>
                <w:u w:val="none"/>
                <w:lang w:val="en-US" w:eastAsia="zh-CN" w:bidi="ar"/>
              </w:rPr>
              <w:br w:type="textWrapping"/>
            </w:r>
            <w:r>
              <w:rPr>
                <w:rFonts w:hint="default" w:ascii="Times New Roman" w:hAnsi="Times New Roman" w:eastAsia="宋体" w:cs="Times New Roman"/>
                <w:b/>
                <w:bCs/>
                <w:i w:val="0"/>
                <w:iCs w:val="0"/>
                <w:color w:val="auto"/>
                <w:kern w:val="0"/>
                <w:sz w:val="20"/>
                <w:szCs w:val="20"/>
                <w:highlight w:val="none"/>
                <w:u w:val="none"/>
                <w:lang w:val="en-US" w:eastAsia="zh-CN" w:bidi="ar"/>
              </w:rPr>
              <w:t>（含税）</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EFC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品牌</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9ADE">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备注</w:t>
            </w:r>
          </w:p>
        </w:tc>
      </w:tr>
      <w:tr w14:paraId="2527D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4ECB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lang w:val="en-US" w:eastAsia="zh-CN"/>
              </w:rPr>
            </w:pPr>
            <w:r>
              <w:rPr>
                <w:rFonts w:hint="default" w:ascii="Times New Roman" w:hAnsi="Times New Roman" w:eastAsia="宋体" w:cs="Times New Roman"/>
                <w:i w:val="0"/>
                <w:iCs w:val="0"/>
                <w:color w:val="auto"/>
                <w:sz w:val="20"/>
                <w:szCs w:val="20"/>
                <w:highlight w:val="none"/>
                <w:u w:val="none"/>
                <w:lang w:val="en-US" w:eastAsia="zh-CN"/>
              </w:rPr>
              <w:t>1</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5B1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46B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A173">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highlight w:val="none"/>
                <w:u w:val="none"/>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F5D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3D2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3702">
            <w:pPr>
              <w:jc w:val="center"/>
              <w:rPr>
                <w:rFonts w:hint="default" w:ascii="Times New Roman" w:hAnsi="Times New Roman" w:eastAsia="宋体" w:cs="Times New Roman"/>
                <w:i w:val="0"/>
                <w:iCs w:val="0"/>
                <w:color w:val="auto"/>
                <w:sz w:val="20"/>
                <w:szCs w:val="20"/>
                <w:highlight w:val="none"/>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22371">
            <w:pPr>
              <w:jc w:val="center"/>
              <w:rPr>
                <w:rFonts w:hint="default" w:ascii="Times New Roman" w:hAnsi="Times New Roman" w:eastAsia="宋体" w:cs="Times New Roman"/>
                <w:i w:val="0"/>
                <w:iCs w:val="0"/>
                <w:color w:val="auto"/>
                <w:sz w:val="20"/>
                <w:szCs w:val="20"/>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A077">
            <w:pPr>
              <w:jc w:val="center"/>
              <w:rPr>
                <w:rFonts w:hint="default" w:ascii="Times New Roman" w:hAnsi="Times New Roman" w:eastAsia="宋体" w:cs="Times New Roman"/>
                <w:i w:val="0"/>
                <w:iCs w:val="0"/>
                <w:color w:val="auto"/>
                <w:sz w:val="20"/>
                <w:szCs w:val="20"/>
                <w:highlight w:val="none"/>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08DA">
            <w:pPr>
              <w:jc w:val="center"/>
              <w:rPr>
                <w:rFonts w:hint="default" w:ascii="Times New Roman" w:hAnsi="Times New Roman" w:eastAsia="宋体" w:cs="Times New Roman"/>
                <w:i w:val="0"/>
                <w:iCs w:val="0"/>
                <w:color w:val="auto"/>
                <w:sz w:val="20"/>
                <w:szCs w:val="20"/>
                <w:highlight w:val="none"/>
                <w:u w:val="none"/>
              </w:rPr>
            </w:pPr>
          </w:p>
        </w:tc>
      </w:tr>
      <w:tr w14:paraId="25323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C1E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lang w:val="en-US" w:eastAsia="zh-CN"/>
              </w:rPr>
            </w:pPr>
            <w:r>
              <w:rPr>
                <w:rFonts w:hint="default" w:ascii="Times New Roman" w:hAnsi="Times New Roman" w:eastAsia="宋体" w:cs="Times New Roman"/>
                <w:i w:val="0"/>
                <w:iCs w:val="0"/>
                <w:color w:val="auto"/>
                <w:sz w:val="20"/>
                <w:szCs w:val="20"/>
                <w:highlight w:val="none"/>
                <w:u w:val="none"/>
                <w:lang w:val="en-US" w:eastAsia="zh-CN"/>
              </w:rPr>
              <w:t>2</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19A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510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6ABB">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highlight w:val="none"/>
                <w:u w:val="none"/>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350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C79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3845">
            <w:pPr>
              <w:jc w:val="center"/>
              <w:rPr>
                <w:rFonts w:hint="default" w:ascii="Times New Roman" w:hAnsi="Times New Roman" w:eastAsia="宋体" w:cs="Times New Roman"/>
                <w:i w:val="0"/>
                <w:iCs w:val="0"/>
                <w:color w:val="auto"/>
                <w:sz w:val="20"/>
                <w:szCs w:val="20"/>
                <w:highlight w:val="none"/>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828AB">
            <w:pPr>
              <w:jc w:val="center"/>
              <w:rPr>
                <w:rFonts w:hint="default" w:ascii="Times New Roman" w:hAnsi="Times New Roman" w:eastAsia="宋体" w:cs="Times New Roman"/>
                <w:i w:val="0"/>
                <w:iCs w:val="0"/>
                <w:color w:val="auto"/>
                <w:sz w:val="20"/>
                <w:szCs w:val="20"/>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C0F30">
            <w:pPr>
              <w:jc w:val="center"/>
              <w:rPr>
                <w:rFonts w:hint="default" w:ascii="Times New Roman" w:hAnsi="Times New Roman" w:eastAsia="宋体" w:cs="Times New Roman"/>
                <w:i w:val="0"/>
                <w:iCs w:val="0"/>
                <w:color w:val="auto"/>
                <w:sz w:val="20"/>
                <w:szCs w:val="20"/>
                <w:highlight w:val="none"/>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303B">
            <w:pPr>
              <w:jc w:val="center"/>
              <w:rPr>
                <w:rFonts w:hint="default" w:ascii="Times New Roman" w:hAnsi="Times New Roman" w:eastAsia="宋体" w:cs="Times New Roman"/>
                <w:i w:val="0"/>
                <w:iCs w:val="0"/>
                <w:color w:val="auto"/>
                <w:sz w:val="20"/>
                <w:szCs w:val="20"/>
                <w:highlight w:val="none"/>
                <w:u w:val="none"/>
              </w:rPr>
            </w:pPr>
          </w:p>
        </w:tc>
      </w:tr>
      <w:tr w14:paraId="39B7F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F1EB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lang w:val="en-US" w:eastAsia="zh-CN"/>
              </w:rPr>
            </w:pPr>
            <w:r>
              <w:rPr>
                <w:rFonts w:hint="default" w:ascii="Times New Roman" w:hAnsi="Times New Roman" w:eastAsia="宋体" w:cs="Times New Roman"/>
                <w:i w:val="0"/>
                <w:iCs w:val="0"/>
                <w:color w:val="auto"/>
                <w:sz w:val="20"/>
                <w:szCs w:val="20"/>
                <w:highlight w:val="none"/>
                <w:u w:val="none"/>
                <w:lang w:val="en-US" w:eastAsia="zh-CN"/>
              </w:rPr>
              <w:t>...</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A51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77E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EFA7">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highlight w:val="none"/>
                <w:u w:val="none"/>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B521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073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19BC">
            <w:pPr>
              <w:jc w:val="center"/>
              <w:rPr>
                <w:rFonts w:hint="default" w:ascii="Times New Roman" w:hAnsi="Times New Roman" w:eastAsia="宋体" w:cs="Times New Roman"/>
                <w:i w:val="0"/>
                <w:iCs w:val="0"/>
                <w:color w:val="auto"/>
                <w:sz w:val="20"/>
                <w:szCs w:val="20"/>
                <w:highlight w:val="none"/>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52B58">
            <w:pPr>
              <w:jc w:val="center"/>
              <w:rPr>
                <w:rFonts w:hint="default" w:ascii="Times New Roman" w:hAnsi="Times New Roman" w:eastAsia="宋体" w:cs="Times New Roman"/>
                <w:i w:val="0"/>
                <w:iCs w:val="0"/>
                <w:color w:val="auto"/>
                <w:sz w:val="20"/>
                <w:szCs w:val="20"/>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BE11">
            <w:pPr>
              <w:jc w:val="center"/>
              <w:rPr>
                <w:rFonts w:hint="default" w:ascii="Times New Roman" w:hAnsi="Times New Roman" w:eastAsia="宋体" w:cs="Times New Roman"/>
                <w:i w:val="0"/>
                <w:iCs w:val="0"/>
                <w:color w:val="auto"/>
                <w:sz w:val="20"/>
                <w:szCs w:val="20"/>
                <w:highlight w:val="none"/>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B054">
            <w:pPr>
              <w:jc w:val="center"/>
              <w:rPr>
                <w:rFonts w:hint="default" w:ascii="Times New Roman" w:hAnsi="Times New Roman" w:eastAsia="宋体" w:cs="Times New Roman"/>
                <w:i w:val="0"/>
                <w:iCs w:val="0"/>
                <w:color w:val="auto"/>
                <w:sz w:val="20"/>
                <w:szCs w:val="20"/>
                <w:highlight w:val="none"/>
                <w:u w:val="none"/>
              </w:rPr>
            </w:pPr>
          </w:p>
        </w:tc>
      </w:tr>
    </w:tbl>
    <w:p w14:paraId="6564BD3D">
      <w:pPr>
        <w:spacing w:before="156" w:beforeLines="50" w:after="156" w:afterLines="50" w:line="360" w:lineRule="auto"/>
        <w:jc w:val="left"/>
        <w:rPr>
          <w:rFonts w:hint="default" w:ascii="Times New Roman" w:hAnsi="Times New Roman" w:cs="Times New Roman"/>
          <w:b/>
          <w:color w:val="auto"/>
          <w:sz w:val="24"/>
          <w:szCs w:val="28"/>
          <w:highlight w:val="none"/>
        </w:rPr>
      </w:pPr>
    </w:p>
    <w:p w14:paraId="3D3DDF08">
      <w:pPr>
        <w:spacing w:line="360" w:lineRule="auto"/>
        <w:ind w:firstLine="4560" w:firstLineChars="19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投标人签章：</w:t>
      </w:r>
      <w:r>
        <w:rPr>
          <w:rFonts w:hint="default" w:ascii="Times New Roman" w:hAnsi="Times New Roman" w:cs="Times New Roman"/>
          <w:color w:val="auto"/>
          <w:sz w:val="24"/>
          <w:highlight w:val="none"/>
          <w:u w:val="single"/>
        </w:rPr>
        <w:t xml:space="preserve">                </w:t>
      </w:r>
    </w:p>
    <w:p w14:paraId="5328B381">
      <w:pPr>
        <w:spacing w:line="360" w:lineRule="auto"/>
        <w:ind w:firstLine="4560" w:firstLineChars="19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日    期：</w:t>
      </w:r>
      <w:r>
        <w:rPr>
          <w:rFonts w:hint="default" w:ascii="Times New Roman" w:hAnsi="Times New Roman" w:cs="Times New Roman"/>
          <w:color w:val="auto"/>
          <w:sz w:val="24"/>
          <w:highlight w:val="none"/>
          <w:u w:val="single"/>
        </w:rPr>
        <w:t xml:space="preserve">                      </w:t>
      </w:r>
    </w:p>
    <w:p w14:paraId="1B408411">
      <w:pPr>
        <w:adjustRightInd w:val="0"/>
        <w:snapToGrid w:val="0"/>
        <w:spacing w:line="360" w:lineRule="auto"/>
        <w:rPr>
          <w:rFonts w:hint="default" w:ascii="Times New Roman" w:hAnsi="Times New Roman" w:cs="Times New Roman"/>
          <w:b/>
          <w:bCs/>
          <w:color w:val="auto"/>
          <w:sz w:val="24"/>
          <w:szCs w:val="28"/>
          <w:highlight w:val="none"/>
        </w:rPr>
      </w:pPr>
      <w:r>
        <w:rPr>
          <w:rFonts w:hint="default" w:ascii="Times New Roman" w:hAnsi="Times New Roman" w:cs="Times New Roman"/>
          <w:b/>
          <w:bCs/>
          <w:color w:val="auto"/>
          <w:sz w:val="24"/>
          <w:szCs w:val="28"/>
          <w:highlight w:val="none"/>
        </w:rPr>
        <w:t>备注：</w:t>
      </w:r>
    </w:p>
    <w:p w14:paraId="5B453EFE">
      <w:pPr>
        <w:numPr>
          <w:ilvl w:val="0"/>
          <w:numId w:val="6"/>
        </w:num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表中所列货物为对应本项目需求的全部货物及所需附件购置费、包装费、运输费、人工费、保险费、安装调试费、各种税费、资料费、售后服务费</w:t>
      </w:r>
      <w:r>
        <w:rPr>
          <w:rFonts w:hint="default" w:ascii="Times New Roman" w:hAnsi="Times New Roman" w:cs="Times New Roman"/>
          <w:color w:val="auto"/>
          <w:sz w:val="24"/>
          <w:highlight w:val="none"/>
          <w:lang w:eastAsia="zh-CN"/>
        </w:rPr>
        <w:t>、</w:t>
      </w:r>
      <w:r>
        <w:rPr>
          <w:rFonts w:hint="default" w:ascii="Times New Roman" w:hAnsi="Times New Roman" w:eastAsia="宋体" w:cs="Times New Roman"/>
          <w:b w:val="0"/>
          <w:bCs w:val="0"/>
          <w:color w:val="auto"/>
          <w:sz w:val="24"/>
          <w:szCs w:val="24"/>
          <w:highlight w:val="none"/>
          <w:lang w:val="en-US" w:eastAsia="zh-CN"/>
        </w:rPr>
        <w:t>现场自有垃圾清理费、质保期服务</w:t>
      </w:r>
      <w:r>
        <w:rPr>
          <w:rFonts w:hint="default" w:ascii="Times New Roman" w:hAnsi="Times New Roman" w:cs="Times New Roman"/>
          <w:color w:val="auto"/>
          <w:sz w:val="24"/>
          <w:highlight w:val="none"/>
        </w:rPr>
        <w:t>及完成项目应有的全部费用。如有漏项或缺项，投标人承担全部责任。</w:t>
      </w:r>
    </w:p>
    <w:p w14:paraId="3ED1E69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2.表中须明确列出所投产品的货物名称、品牌、型号</w:t>
      </w:r>
      <w:r>
        <w:rPr>
          <w:rFonts w:hint="default" w:ascii="Times New Roman" w:hAnsi="Times New Roman" w:cs="Times New Roman"/>
          <w:color w:val="auto"/>
          <w:sz w:val="24"/>
          <w:highlight w:val="none"/>
          <w:lang w:eastAsia="zh-CN"/>
        </w:rPr>
        <w:t>规格</w:t>
      </w:r>
      <w:r>
        <w:rPr>
          <w:rFonts w:hint="default" w:ascii="Times New Roman" w:hAnsi="Times New Roman" w:cs="Times New Roman"/>
          <w:color w:val="auto"/>
          <w:sz w:val="24"/>
          <w:highlight w:val="none"/>
        </w:rPr>
        <w:t>、原产地及生产厂商，否则可能导致</w:t>
      </w:r>
      <w:r>
        <w:rPr>
          <w:rFonts w:hint="default" w:ascii="Times New Roman" w:hAnsi="Times New Roman" w:cs="Times New Roman"/>
          <w:b/>
          <w:bCs/>
          <w:color w:val="auto"/>
          <w:sz w:val="24"/>
          <w:highlight w:val="none"/>
        </w:rPr>
        <w:t>投标无效</w:t>
      </w:r>
      <w:r>
        <w:rPr>
          <w:rFonts w:hint="default" w:ascii="Times New Roman" w:hAnsi="Times New Roman" w:cs="Times New Roman"/>
          <w:color w:val="auto"/>
          <w:sz w:val="24"/>
          <w:highlight w:val="none"/>
        </w:rPr>
        <w:t>。</w:t>
      </w:r>
      <w:bookmarkStart w:id="194" w:name="_Toc461053087"/>
      <w:bookmarkStart w:id="195" w:name="_Toc461056632"/>
      <w:bookmarkStart w:id="196" w:name="_Toc520983588"/>
    </w:p>
    <w:p w14:paraId="5E6010B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br w:type="page"/>
      </w:r>
    </w:p>
    <w:bookmarkEnd w:id="194"/>
    <w:bookmarkEnd w:id="195"/>
    <w:bookmarkEnd w:id="196"/>
    <w:p w14:paraId="14C55B30">
      <w:pPr>
        <w:spacing w:line="360" w:lineRule="auto"/>
        <w:jc w:val="center"/>
        <w:outlineLvl w:val="2"/>
        <w:rPr>
          <w:rFonts w:hint="default" w:ascii="Times New Roman" w:hAnsi="Times New Roman" w:cs="Times New Roman"/>
          <w:b/>
          <w:color w:val="auto"/>
          <w:sz w:val="24"/>
          <w:szCs w:val="24"/>
          <w:highlight w:val="none"/>
        </w:rPr>
      </w:pPr>
      <w:bookmarkStart w:id="197" w:name="_Toc520983591"/>
      <w:r>
        <w:rPr>
          <w:rFonts w:hint="default" w:ascii="Times New Roman" w:hAnsi="Times New Roman" w:cs="Times New Roman"/>
          <w:b/>
          <w:color w:val="auto"/>
          <w:sz w:val="24"/>
          <w:szCs w:val="24"/>
          <w:highlight w:val="none"/>
        </w:rPr>
        <w:t>二、投标函</w:t>
      </w:r>
    </w:p>
    <w:p w14:paraId="013BF7D0">
      <w:pPr>
        <w:pStyle w:val="23"/>
        <w:spacing w:line="360" w:lineRule="auto"/>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cs="Times New Roman"/>
          <w:color w:val="auto"/>
          <w:sz w:val="24"/>
          <w:szCs w:val="24"/>
          <w:highlight w:val="none"/>
        </w:rPr>
        <w:t>致：</w:t>
      </w:r>
      <w:r>
        <w:rPr>
          <w:rFonts w:hint="default" w:ascii="Times New Roman" w:hAnsi="Times New Roman" w:cs="Times New Roman"/>
          <w:color w:val="auto"/>
          <w:sz w:val="24"/>
          <w:szCs w:val="24"/>
          <w:highlight w:val="none"/>
          <w:u w:val="single"/>
          <w:lang w:eastAsia="zh-CN"/>
        </w:rPr>
        <w:t>合肥滨湖时光空间运营管理有限公司</w:t>
      </w:r>
    </w:p>
    <w:p w14:paraId="1179E958">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根据贵方的招标公告和投标邀请，我方兹宣布同意如下：</w:t>
      </w:r>
    </w:p>
    <w:p w14:paraId="04A1FF55">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1.按招标文件规定提供相应服务，如我方中标，我方承诺愿意按招标文件规定缴纳履约保证金和中标服务费。</w:t>
      </w:r>
    </w:p>
    <w:p w14:paraId="7C796B54">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2.我方根据招标文件的规定，严格履行合同的责任和义务。</w:t>
      </w:r>
    </w:p>
    <w:p w14:paraId="6667D1C3">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3.我方承诺报价按照招标文件要求。</w:t>
      </w:r>
    </w:p>
    <w:p w14:paraId="19A8F1F8">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53431E04">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5.我方同意从招标文件规定的开标日期起遵循本招标文件，并在招标文件规定的投标有效期之前均具有约束力。</w:t>
      </w:r>
    </w:p>
    <w:p w14:paraId="57B414EE">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57C59C24">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7.我方完全理解贵方不一定接受最低报价的投标。</w:t>
      </w:r>
    </w:p>
    <w:p w14:paraId="553A046B">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8.我方对投标文件中所提供资料、文件、证书及证件的真实性和有效性负责。</w:t>
      </w:r>
    </w:p>
    <w:p w14:paraId="2542BB1C">
      <w:pPr>
        <w:spacing w:line="360" w:lineRule="auto"/>
        <w:ind w:firstLine="435"/>
        <w:rPr>
          <w:rFonts w:hint="default" w:ascii="Times New Roman" w:hAnsi="Times New Roman" w:cs="Times New Roman"/>
          <w:color w:val="auto"/>
          <w:sz w:val="24"/>
          <w:szCs w:val="24"/>
          <w:highlight w:val="none"/>
        </w:rPr>
      </w:pPr>
    </w:p>
    <w:p w14:paraId="4AFC952E">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投标人公章：</w:t>
      </w:r>
      <w:r>
        <w:rPr>
          <w:rFonts w:hint="default" w:ascii="Times New Roman" w:hAnsi="Times New Roman" w:cs="Times New Roman"/>
          <w:color w:val="auto"/>
          <w:sz w:val="24"/>
          <w:szCs w:val="24"/>
          <w:highlight w:val="none"/>
          <w:u w:val="single"/>
        </w:rPr>
        <w:t xml:space="preserve">                     </w:t>
      </w:r>
    </w:p>
    <w:p w14:paraId="1ED797F1">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p>
    <w:p w14:paraId="77971795">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br w:type="page"/>
      </w:r>
    </w:p>
    <w:p w14:paraId="3889E101">
      <w:pPr>
        <w:widowControl/>
        <w:jc w:val="center"/>
        <w:outlineLvl w:val="2"/>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三、无重大违法记录声明函、无不良信用记录声明函</w:t>
      </w:r>
    </w:p>
    <w:p w14:paraId="0551E302">
      <w:pPr>
        <w:pStyle w:val="34"/>
        <w:rPr>
          <w:rFonts w:hint="default" w:ascii="Times New Roman" w:hAnsi="Times New Roman" w:cs="Times New Roman"/>
          <w:color w:val="auto"/>
          <w:sz w:val="24"/>
          <w:szCs w:val="24"/>
          <w:highlight w:val="none"/>
        </w:rPr>
      </w:pPr>
    </w:p>
    <w:p w14:paraId="5824DE29">
      <w:pPr>
        <w:spacing w:line="360" w:lineRule="auto"/>
        <w:jc w:val="center"/>
        <w:rPr>
          <w:rFonts w:hint="default" w:ascii="Times New Roman" w:hAnsi="Times New Roman" w:cs="Times New Roman"/>
          <w:i/>
          <w:color w:val="auto"/>
          <w:sz w:val="24"/>
          <w:szCs w:val="24"/>
          <w:highlight w:val="none"/>
        </w:rPr>
      </w:pPr>
      <w:r>
        <w:rPr>
          <w:rFonts w:hint="default" w:ascii="Times New Roman" w:hAnsi="Times New Roman" w:cs="Times New Roman"/>
          <w:i/>
          <w:color w:val="auto"/>
          <w:sz w:val="24"/>
          <w:szCs w:val="24"/>
          <w:highlight w:val="none"/>
        </w:rPr>
        <w:t>（联合体参加投标的，联合体各方均须提供）</w:t>
      </w:r>
    </w:p>
    <w:p w14:paraId="5ED20FFA">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单位郑重声明，参加采购活动前三年内，本单位在经营活动中没有重大违法记录，没有因违法经营受到刑事处罚或者责令停产停业、吊销许可证或者执照、较大数额罚款等行政处罚，且未在被禁止参加采购活动的处罚期限内。</w:t>
      </w:r>
    </w:p>
    <w:p w14:paraId="10A03D89">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2.本单位郑重声明，我单位无以下不良信用记录情形：</w:t>
      </w:r>
    </w:p>
    <w:p w14:paraId="37FCD996">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（1）被人民法院列入失信被执行人；</w:t>
      </w:r>
    </w:p>
    <w:p w14:paraId="3AD4A109">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（2）被税务部门列入重大税收违法案件当事人名单。</w:t>
      </w:r>
    </w:p>
    <w:p w14:paraId="7DC7ADD8">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w:t>
      </w:r>
    </w:p>
    <w:p w14:paraId="2382CFD9">
      <w:pPr>
        <w:spacing w:line="360" w:lineRule="auto"/>
        <w:ind w:firstLine="435"/>
        <w:rPr>
          <w:rFonts w:hint="default" w:ascii="Times New Roman" w:hAnsi="Times New Roman" w:cs="Times New Roman"/>
          <w:color w:val="auto"/>
          <w:sz w:val="24"/>
          <w:szCs w:val="24"/>
          <w:highlight w:val="none"/>
        </w:rPr>
      </w:pPr>
    </w:p>
    <w:p w14:paraId="6E7C7178">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本单位对上述声明的真实性负责。如有虚假，将依法承担相应责任。</w:t>
      </w:r>
    </w:p>
    <w:p w14:paraId="2586CD70">
      <w:pPr>
        <w:spacing w:line="360" w:lineRule="auto"/>
        <w:ind w:firstLine="4800" w:firstLineChars="20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投标人公章：</w:t>
      </w:r>
      <w:r>
        <w:rPr>
          <w:rFonts w:hint="default" w:ascii="Times New Roman" w:hAnsi="Times New Roman" w:cs="Times New Roman"/>
          <w:color w:val="auto"/>
          <w:sz w:val="24"/>
          <w:szCs w:val="24"/>
          <w:highlight w:val="none"/>
          <w:u w:val="single"/>
        </w:rPr>
        <w:t xml:space="preserve">             </w:t>
      </w:r>
    </w:p>
    <w:p w14:paraId="2B361518">
      <w:pPr>
        <w:spacing w:line="360" w:lineRule="auto"/>
        <w:ind w:firstLine="4800" w:firstLineChars="20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rPr>
        <w:br w:type="page"/>
      </w:r>
    </w:p>
    <w:p w14:paraId="37DE964D">
      <w:pPr>
        <w:spacing w:line="360" w:lineRule="auto"/>
        <w:jc w:val="center"/>
        <w:outlineLvl w:val="2"/>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四、授权书</w:t>
      </w:r>
    </w:p>
    <w:p w14:paraId="488DC830">
      <w:pPr>
        <w:pStyle w:val="21"/>
        <w:snapToGrid w:val="0"/>
        <w:spacing w:line="360" w:lineRule="auto"/>
        <w:ind w:firstLine="480" w:firstLineChars="200"/>
        <w:jc w:val="left"/>
        <w:rPr>
          <w:rFonts w:hint="default" w:ascii="Times New Roman" w:hAnsi="Times New Roman" w:cs="Times New Roman"/>
          <w:color w:val="auto"/>
          <w:sz w:val="24"/>
          <w:szCs w:val="24"/>
          <w:highlight w:val="none"/>
        </w:rPr>
      </w:pPr>
    </w:p>
    <w:p w14:paraId="26AC2C2D">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本授权书声明：</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（投标人名称）授权</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（投标人授权代表姓名、职务）代表我方参加本项目</w:t>
      </w:r>
      <w:r>
        <w:rPr>
          <w:rFonts w:hint="default" w:ascii="Times New Roman" w:hAnsi="Times New Roman" w:cs="Times New Roman"/>
          <w:bCs/>
          <w:color w:val="auto"/>
          <w:sz w:val="24"/>
          <w:szCs w:val="24"/>
          <w:highlight w:val="none"/>
        </w:rPr>
        <w:t>投标</w:t>
      </w:r>
      <w:r>
        <w:rPr>
          <w:rFonts w:hint="default" w:ascii="Times New Roman" w:hAnsi="Times New Roman" w:cs="Times New Roman"/>
          <w:color w:val="auto"/>
          <w:sz w:val="24"/>
          <w:szCs w:val="24"/>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1814F556">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本授权书自出具之日起生效。</w:t>
      </w:r>
    </w:p>
    <w:p w14:paraId="37D752B5">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授权代表身份证明复印件或影印件：</w:t>
      </w:r>
    </w:p>
    <w:p w14:paraId="54041981">
      <w:pPr>
        <w:spacing w:line="360" w:lineRule="auto"/>
        <w:ind w:firstLine="435"/>
        <w:rPr>
          <w:rFonts w:hint="default" w:ascii="Times New Roman" w:hAnsi="Times New Roman" w:cs="Times New Roman"/>
          <w:color w:val="auto"/>
          <w:sz w:val="24"/>
          <w:szCs w:val="24"/>
          <w:highlight w:val="none"/>
        </w:rPr>
      </w:pPr>
    </w:p>
    <w:p w14:paraId="6921DB15">
      <w:pPr>
        <w:spacing w:line="360" w:lineRule="auto"/>
        <w:ind w:firstLine="435"/>
        <w:rPr>
          <w:rFonts w:hint="default" w:ascii="Times New Roman" w:hAnsi="Times New Roman" w:cs="Times New Roman"/>
          <w:color w:val="auto"/>
          <w:sz w:val="24"/>
          <w:szCs w:val="24"/>
          <w:highlight w:val="none"/>
        </w:rPr>
      </w:pPr>
    </w:p>
    <w:p w14:paraId="711C5D6C">
      <w:pPr>
        <w:spacing w:line="360" w:lineRule="auto"/>
        <w:ind w:firstLine="435"/>
        <w:rPr>
          <w:rFonts w:hint="default" w:ascii="Times New Roman" w:hAnsi="Times New Roman" w:cs="Times New Roman"/>
          <w:color w:val="auto"/>
          <w:sz w:val="24"/>
          <w:szCs w:val="24"/>
          <w:highlight w:val="none"/>
        </w:rPr>
      </w:pPr>
    </w:p>
    <w:p w14:paraId="15B7B251">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授权代表联系方式：</w:t>
      </w:r>
      <w:r>
        <w:rPr>
          <w:rFonts w:hint="default" w:ascii="Times New Roman" w:hAnsi="Times New Roman" w:cs="Times New Roman"/>
          <w:color w:val="auto"/>
          <w:sz w:val="24"/>
          <w:szCs w:val="24"/>
          <w:highlight w:val="none"/>
          <w:u w:val="single"/>
        </w:rPr>
        <w:t xml:space="preserve">          （请填写手机号码）</w:t>
      </w:r>
    </w:p>
    <w:p w14:paraId="2EFCA74C">
      <w:pPr>
        <w:spacing w:line="360" w:lineRule="auto"/>
        <w:ind w:firstLine="435"/>
        <w:rPr>
          <w:rFonts w:hint="default" w:ascii="Times New Roman" w:hAnsi="Times New Roman" w:cs="Times New Roman"/>
          <w:color w:val="auto"/>
          <w:sz w:val="24"/>
          <w:szCs w:val="24"/>
          <w:highlight w:val="none"/>
        </w:rPr>
      </w:pPr>
    </w:p>
    <w:p w14:paraId="0385F068">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特此声明。</w:t>
      </w:r>
    </w:p>
    <w:p w14:paraId="457CC5EA">
      <w:pPr>
        <w:spacing w:line="360" w:lineRule="auto"/>
        <w:ind w:firstLine="435"/>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投标人公章：</w:t>
      </w:r>
      <w:r>
        <w:rPr>
          <w:rFonts w:hint="default" w:ascii="Times New Roman" w:hAnsi="Times New Roman" w:cs="Times New Roman"/>
          <w:bCs/>
          <w:color w:val="auto"/>
          <w:sz w:val="24"/>
          <w:szCs w:val="24"/>
          <w:highlight w:val="none"/>
          <w:u w:val="single"/>
        </w:rPr>
        <w:t xml:space="preserve">                    </w:t>
      </w:r>
    </w:p>
    <w:p w14:paraId="1EB03037">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日      期：</w:t>
      </w:r>
      <w:r>
        <w:rPr>
          <w:rFonts w:hint="default" w:ascii="Times New Roman" w:hAnsi="Times New Roman" w:cs="Times New Roman"/>
          <w:b/>
          <w:bCs/>
          <w:color w:val="auto"/>
          <w:sz w:val="24"/>
          <w:szCs w:val="24"/>
          <w:highlight w:val="none"/>
          <w:u w:val="single"/>
        </w:rPr>
        <w:t xml:space="preserve">                    </w:t>
      </w:r>
    </w:p>
    <w:p w14:paraId="2F71A15D">
      <w:pPr>
        <w:spacing w:line="360" w:lineRule="auto"/>
        <w:rPr>
          <w:rFonts w:hint="default" w:ascii="Times New Roman" w:hAnsi="Times New Roman" w:cs="Times New Roman"/>
          <w:color w:val="auto"/>
          <w:sz w:val="24"/>
          <w:szCs w:val="24"/>
          <w:highlight w:val="none"/>
        </w:rPr>
      </w:pPr>
    </w:p>
    <w:p w14:paraId="0E2FA5ED">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w:t>
      </w:r>
    </w:p>
    <w:p w14:paraId="20B29F88">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1.本项目只允许有唯一的投标人授权代表，提供身份证明复印件；</w:t>
      </w:r>
    </w:p>
    <w:p w14:paraId="679D29EC">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2.法定代表人参加投标的无需提供授权书，提供身份证明复印件。</w:t>
      </w:r>
    </w:p>
    <w:bookmarkEnd w:id="197"/>
    <w:p w14:paraId="778D4E87">
      <w:pPr>
        <w:rPr>
          <w:rFonts w:hint="default" w:ascii="Times New Roman" w:hAnsi="Times New Roman" w:cs="Times New Roman"/>
          <w:b/>
          <w:bCs/>
          <w:color w:val="auto"/>
          <w:sz w:val="24"/>
          <w:szCs w:val="24"/>
          <w:highlight w:val="none"/>
        </w:rPr>
      </w:pPr>
      <w:bookmarkStart w:id="198" w:name="_Toc507694553"/>
      <w:r>
        <w:rPr>
          <w:rFonts w:hint="default" w:ascii="Times New Roman" w:hAnsi="Times New Roman" w:cs="Times New Roman"/>
          <w:b/>
          <w:bCs/>
          <w:color w:val="auto"/>
          <w:sz w:val="24"/>
          <w:szCs w:val="24"/>
          <w:highlight w:val="none"/>
        </w:rPr>
        <w:br w:type="page"/>
      </w:r>
    </w:p>
    <w:p w14:paraId="215B0550">
      <w:pPr>
        <w:widowControl/>
        <w:jc w:val="center"/>
        <w:outlineLvl w:val="2"/>
        <w:rPr>
          <w:rFonts w:hint="default" w:ascii="Times New Roman" w:hAnsi="Times New Roman" w:cs="Times New Roman"/>
          <w:color w:val="auto"/>
          <w:sz w:val="24"/>
          <w:szCs w:val="24"/>
          <w:highlight w:val="none"/>
        </w:rPr>
      </w:pPr>
      <w:r>
        <w:rPr>
          <w:rFonts w:hint="default" w:ascii="Times New Roman" w:hAnsi="Times New Roman" w:cs="Times New Roman"/>
          <w:b/>
          <w:bCs/>
          <w:color w:val="auto"/>
          <w:sz w:val="24"/>
          <w:szCs w:val="24"/>
          <w:highlight w:val="none"/>
        </w:rPr>
        <w:t>五、投标业绩承诺函</w:t>
      </w:r>
      <w:bookmarkEnd w:id="198"/>
    </w:p>
    <w:p w14:paraId="5B3672E6">
      <w:pPr>
        <w:widowControl/>
        <w:spacing w:line="360" w:lineRule="auto"/>
        <w:jc w:val="left"/>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rPr>
        <w:t>致：</w:t>
      </w:r>
      <w:r>
        <w:rPr>
          <w:rFonts w:hint="default" w:ascii="Times New Roman" w:hAnsi="Times New Roman" w:cs="Times New Roman"/>
          <w:color w:val="auto"/>
          <w:sz w:val="24"/>
          <w:szCs w:val="24"/>
          <w:highlight w:val="none"/>
          <w:lang w:eastAsia="zh-CN"/>
        </w:rPr>
        <w:t>合肥滨湖时光空间运营管理有限公司</w:t>
      </w:r>
    </w:p>
    <w:p w14:paraId="1F9EA1DF">
      <w:pPr>
        <w:widowControl/>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我公司承诺：本投标文件中提供的业绩均真实有效。若有异议，我公司承诺会在3个工作日内可就以下业绩信息提供（如合同、对应的发票、验收报告或用户评价意见）原件供贵方核对。若被发现存在任何虚假、隐瞒情况，我公司承担由此产生的一切后果。</w:t>
      </w:r>
    </w:p>
    <w:p w14:paraId="26010D78">
      <w:pPr>
        <w:widowControl/>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投标人签章：                     </w:t>
      </w:r>
    </w:p>
    <w:p w14:paraId="69453FC3">
      <w:pPr>
        <w:widowControl/>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日          期：                      </w:t>
      </w:r>
    </w:p>
    <w:tbl>
      <w:tblPr>
        <w:tblStyle w:val="41"/>
        <w:tblpPr w:leftFromText="180" w:rightFromText="180" w:vertAnchor="text" w:horzAnchor="page" w:tblpX="1492" w:tblpY="2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1701"/>
        <w:gridCol w:w="1134"/>
      </w:tblGrid>
      <w:tr w14:paraId="6DB4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Align w:val="center"/>
          </w:tcPr>
          <w:p w14:paraId="37D3F4D5">
            <w:pPr>
              <w:widowControl/>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序号</w:t>
            </w:r>
          </w:p>
        </w:tc>
        <w:tc>
          <w:tcPr>
            <w:tcW w:w="1559" w:type="dxa"/>
            <w:vAlign w:val="center"/>
          </w:tcPr>
          <w:p w14:paraId="58032F3E">
            <w:pPr>
              <w:widowControl/>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项目名称</w:t>
            </w:r>
          </w:p>
        </w:tc>
        <w:tc>
          <w:tcPr>
            <w:tcW w:w="2410" w:type="dxa"/>
            <w:vAlign w:val="center"/>
          </w:tcPr>
          <w:p w14:paraId="354C57E1">
            <w:pPr>
              <w:widowControl/>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服务内容</w:t>
            </w:r>
          </w:p>
        </w:tc>
        <w:tc>
          <w:tcPr>
            <w:tcW w:w="1559" w:type="dxa"/>
            <w:vAlign w:val="center"/>
          </w:tcPr>
          <w:p w14:paraId="00E77512">
            <w:pPr>
              <w:widowControl/>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合同总金额</w:t>
            </w:r>
          </w:p>
        </w:tc>
        <w:tc>
          <w:tcPr>
            <w:tcW w:w="1701" w:type="dxa"/>
            <w:vAlign w:val="center"/>
          </w:tcPr>
          <w:p w14:paraId="6E4F56B5">
            <w:pPr>
              <w:widowControl/>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业主单位</w:t>
            </w:r>
          </w:p>
          <w:p w14:paraId="1A6527C1">
            <w:pPr>
              <w:widowControl/>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及联系电话</w:t>
            </w:r>
          </w:p>
        </w:tc>
        <w:tc>
          <w:tcPr>
            <w:tcW w:w="1134" w:type="dxa"/>
            <w:vAlign w:val="center"/>
          </w:tcPr>
          <w:p w14:paraId="2B28208B">
            <w:pPr>
              <w:widowControl/>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备注</w:t>
            </w:r>
          </w:p>
        </w:tc>
      </w:tr>
      <w:tr w14:paraId="3AD2D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9" w:type="dxa"/>
            <w:gridSpan w:val="6"/>
            <w:vAlign w:val="center"/>
          </w:tcPr>
          <w:p w14:paraId="5E6FFF2A">
            <w:pPr>
              <w:widowControl/>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评审业绩（打分业绩）</w:t>
            </w:r>
          </w:p>
        </w:tc>
      </w:tr>
      <w:tr w14:paraId="2F34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90DEC5B">
            <w:pPr>
              <w:widowControl/>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p>
        </w:tc>
        <w:tc>
          <w:tcPr>
            <w:tcW w:w="1559" w:type="dxa"/>
            <w:vAlign w:val="center"/>
          </w:tcPr>
          <w:p w14:paraId="376FA611">
            <w:pPr>
              <w:widowControl/>
              <w:jc w:val="left"/>
              <w:rPr>
                <w:rFonts w:hint="default" w:ascii="Times New Roman" w:hAnsi="Times New Roman" w:cs="Times New Roman"/>
                <w:color w:val="auto"/>
                <w:sz w:val="24"/>
                <w:szCs w:val="24"/>
                <w:highlight w:val="none"/>
              </w:rPr>
            </w:pPr>
          </w:p>
        </w:tc>
        <w:tc>
          <w:tcPr>
            <w:tcW w:w="2410" w:type="dxa"/>
            <w:vAlign w:val="center"/>
          </w:tcPr>
          <w:p w14:paraId="357D109A">
            <w:pPr>
              <w:widowControl/>
              <w:jc w:val="left"/>
              <w:rPr>
                <w:rFonts w:hint="default" w:ascii="Times New Roman" w:hAnsi="Times New Roman" w:cs="Times New Roman"/>
                <w:color w:val="auto"/>
                <w:sz w:val="24"/>
                <w:szCs w:val="24"/>
                <w:highlight w:val="none"/>
              </w:rPr>
            </w:pPr>
          </w:p>
        </w:tc>
        <w:tc>
          <w:tcPr>
            <w:tcW w:w="1559" w:type="dxa"/>
            <w:vAlign w:val="center"/>
          </w:tcPr>
          <w:p w14:paraId="2E78CE3F">
            <w:pPr>
              <w:widowControl/>
              <w:jc w:val="left"/>
              <w:rPr>
                <w:rFonts w:hint="default" w:ascii="Times New Roman" w:hAnsi="Times New Roman" w:cs="Times New Roman"/>
                <w:color w:val="auto"/>
                <w:sz w:val="24"/>
                <w:szCs w:val="24"/>
                <w:highlight w:val="none"/>
              </w:rPr>
            </w:pPr>
          </w:p>
        </w:tc>
        <w:tc>
          <w:tcPr>
            <w:tcW w:w="1701" w:type="dxa"/>
            <w:vAlign w:val="center"/>
          </w:tcPr>
          <w:p w14:paraId="524B656A">
            <w:pPr>
              <w:widowControl/>
              <w:jc w:val="left"/>
              <w:rPr>
                <w:rFonts w:hint="default" w:ascii="Times New Roman" w:hAnsi="Times New Roman" w:cs="Times New Roman"/>
                <w:color w:val="auto"/>
                <w:sz w:val="24"/>
                <w:szCs w:val="24"/>
                <w:highlight w:val="none"/>
              </w:rPr>
            </w:pPr>
          </w:p>
        </w:tc>
        <w:tc>
          <w:tcPr>
            <w:tcW w:w="1134" w:type="dxa"/>
            <w:vAlign w:val="center"/>
          </w:tcPr>
          <w:p w14:paraId="7F5BA9C7">
            <w:pPr>
              <w:widowControl/>
              <w:jc w:val="left"/>
              <w:rPr>
                <w:rFonts w:hint="default" w:ascii="Times New Roman" w:hAnsi="Times New Roman" w:cs="Times New Roman"/>
                <w:color w:val="auto"/>
                <w:sz w:val="24"/>
                <w:szCs w:val="24"/>
                <w:highlight w:val="none"/>
              </w:rPr>
            </w:pPr>
          </w:p>
        </w:tc>
      </w:tr>
      <w:tr w14:paraId="376C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022BABD">
            <w:pPr>
              <w:widowControl/>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w:t>
            </w:r>
          </w:p>
        </w:tc>
        <w:tc>
          <w:tcPr>
            <w:tcW w:w="1559" w:type="dxa"/>
            <w:vAlign w:val="center"/>
          </w:tcPr>
          <w:p w14:paraId="3B7B847E">
            <w:pPr>
              <w:widowControl/>
              <w:jc w:val="left"/>
              <w:rPr>
                <w:rFonts w:hint="default" w:ascii="Times New Roman" w:hAnsi="Times New Roman" w:cs="Times New Roman"/>
                <w:color w:val="auto"/>
                <w:sz w:val="24"/>
                <w:szCs w:val="24"/>
                <w:highlight w:val="none"/>
              </w:rPr>
            </w:pPr>
          </w:p>
        </w:tc>
        <w:tc>
          <w:tcPr>
            <w:tcW w:w="2410" w:type="dxa"/>
            <w:vAlign w:val="center"/>
          </w:tcPr>
          <w:p w14:paraId="7EAE4D30">
            <w:pPr>
              <w:widowControl/>
              <w:jc w:val="left"/>
              <w:rPr>
                <w:rFonts w:hint="default" w:ascii="Times New Roman" w:hAnsi="Times New Roman" w:cs="Times New Roman"/>
                <w:color w:val="auto"/>
                <w:sz w:val="24"/>
                <w:szCs w:val="24"/>
                <w:highlight w:val="none"/>
              </w:rPr>
            </w:pPr>
          </w:p>
        </w:tc>
        <w:tc>
          <w:tcPr>
            <w:tcW w:w="1559" w:type="dxa"/>
            <w:vAlign w:val="center"/>
          </w:tcPr>
          <w:p w14:paraId="3579461B">
            <w:pPr>
              <w:widowControl/>
              <w:jc w:val="left"/>
              <w:rPr>
                <w:rFonts w:hint="default" w:ascii="Times New Roman" w:hAnsi="Times New Roman" w:cs="Times New Roman"/>
                <w:color w:val="auto"/>
                <w:sz w:val="24"/>
                <w:szCs w:val="24"/>
                <w:highlight w:val="none"/>
              </w:rPr>
            </w:pPr>
          </w:p>
        </w:tc>
        <w:tc>
          <w:tcPr>
            <w:tcW w:w="1701" w:type="dxa"/>
            <w:vAlign w:val="center"/>
          </w:tcPr>
          <w:p w14:paraId="3C703F9B">
            <w:pPr>
              <w:widowControl/>
              <w:jc w:val="left"/>
              <w:rPr>
                <w:rFonts w:hint="default" w:ascii="Times New Roman" w:hAnsi="Times New Roman" w:cs="Times New Roman"/>
                <w:color w:val="auto"/>
                <w:sz w:val="24"/>
                <w:szCs w:val="24"/>
                <w:highlight w:val="none"/>
              </w:rPr>
            </w:pPr>
          </w:p>
        </w:tc>
        <w:tc>
          <w:tcPr>
            <w:tcW w:w="1134" w:type="dxa"/>
            <w:vAlign w:val="center"/>
          </w:tcPr>
          <w:p w14:paraId="499DD935">
            <w:pPr>
              <w:widowControl/>
              <w:jc w:val="left"/>
              <w:rPr>
                <w:rFonts w:hint="default" w:ascii="Times New Roman" w:hAnsi="Times New Roman" w:cs="Times New Roman"/>
                <w:color w:val="auto"/>
                <w:sz w:val="24"/>
                <w:szCs w:val="24"/>
                <w:highlight w:val="none"/>
              </w:rPr>
            </w:pPr>
          </w:p>
        </w:tc>
      </w:tr>
      <w:tr w14:paraId="6D92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C4DD020">
            <w:pPr>
              <w:widowControl/>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w:t>
            </w:r>
          </w:p>
        </w:tc>
        <w:tc>
          <w:tcPr>
            <w:tcW w:w="1559" w:type="dxa"/>
            <w:vAlign w:val="center"/>
          </w:tcPr>
          <w:p w14:paraId="1494386B">
            <w:pPr>
              <w:widowControl/>
              <w:jc w:val="left"/>
              <w:rPr>
                <w:rFonts w:hint="default" w:ascii="Times New Roman" w:hAnsi="Times New Roman" w:cs="Times New Roman"/>
                <w:color w:val="auto"/>
                <w:sz w:val="24"/>
                <w:szCs w:val="24"/>
                <w:highlight w:val="none"/>
              </w:rPr>
            </w:pPr>
          </w:p>
        </w:tc>
        <w:tc>
          <w:tcPr>
            <w:tcW w:w="2410" w:type="dxa"/>
            <w:vAlign w:val="center"/>
          </w:tcPr>
          <w:p w14:paraId="52ADFF46">
            <w:pPr>
              <w:widowControl/>
              <w:jc w:val="left"/>
              <w:rPr>
                <w:rFonts w:hint="default" w:ascii="Times New Roman" w:hAnsi="Times New Roman" w:cs="Times New Roman"/>
                <w:color w:val="auto"/>
                <w:sz w:val="24"/>
                <w:szCs w:val="24"/>
                <w:highlight w:val="none"/>
              </w:rPr>
            </w:pPr>
          </w:p>
        </w:tc>
        <w:tc>
          <w:tcPr>
            <w:tcW w:w="1559" w:type="dxa"/>
            <w:vAlign w:val="center"/>
          </w:tcPr>
          <w:p w14:paraId="5B32C522">
            <w:pPr>
              <w:widowControl/>
              <w:jc w:val="left"/>
              <w:rPr>
                <w:rFonts w:hint="default" w:ascii="Times New Roman" w:hAnsi="Times New Roman" w:cs="Times New Roman"/>
                <w:color w:val="auto"/>
                <w:sz w:val="24"/>
                <w:szCs w:val="24"/>
                <w:highlight w:val="none"/>
              </w:rPr>
            </w:pPr>
          </w:p>
        </w:tc>
        <w:tc>
          <w:tcPr>
            <w:tcW w:w="1701" w:type="dxa"/>
            <w:vAlign w:val="center"/>
          </w:tcPr>
          <w:p w14:paraId="211C9C2C">
            <w:pPr>
              <w:widowControl/>
              <w:jc w:val="left"/>
              <w:rPr>
                <w:rFonts w:hint="default" w:ascii="Times New Roman" w:hAnsi="Times New Roman" w:cs="Times New Roman"/>
                <w:color w:val="auto"/>
                <w:sz w:val="24"/>
                <w:szCs w:val="24"/>
                <w:highlight w:val="none"/>
              </w:rPr>
            </w:pPr>
          </w:p>
        </w:tc>
        <w:tc>
          <w:tcPr>
            <w:tcW w:w="1134" w:type="dxa"/>
            <w:vAlign w:val="center"/>
          </w:tcPr>
          <w:p w14:paraId="0EB2BE66">
            <w:pPr>
              <w:widowControl/>
              <w:jc w:val="left"/>
              <w:rPr>
                <w:rFonts w:hint="default" w:ascii="Times New Roman" w:hAnsi="Times New Roman" w:cs="Times New Roman"/>
                <w:color w:val="auto"/>
                <w:sz w:val="24"/>
                <w:szCs w:val="24"/>
                <w:highlight w:val="none"/>
              </w:rPr>
            </w:pPr>
          </w:p>
        </w:tc>
      </w:tr>
    </w:tbl>
    <w:p w14:paraId="73800EE5">
      <w:pPr>
        <w:widowControl/>
        <w:jc w:val="left"/>
        <w:rPr>
          <w:rFonts w:hint="default" w:ascii="Times New Roman" w:hAnsi="Times New Roman" w:cs="Times New Roman"/>
          <w:color w:val="auto"/>
          <w:sz w:val="24"/>
          <w:szCs w:val="24"/>
          <w:highlight w:val="none"/>
        </w:rPr>
      </w:pPr>
    </w:p>
    <w:p w14:paraId="55AE7329">
      <w:pPr>
        <w:widowControl/>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备注：</w:t>
      </w:r>
    </w:p>
    <w:p w14:paraId="7473B888">
      <w:pPr>
        <w:widowControl/>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1.表中所列业绩应为投标人满足本招标文件要求（包括评审业绩）并一一对应的业绩，如投标文件中实际提供证明材料的业绩在表中未填写或与表中填写业绩不匹配，可能导致业绩评审不得分；</w:t>
      </w:r>
    </w:p>
    <w:p w14:paraId="0BE434F8">
      <w:pPr>
        <w:widowControl/>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.中标候选人提供的以上业绩情况（含项目名称、合同总金额），如招标文件《投标人须知前附表》有约定的，将按约定随评审结果公告。</w:t>
      </w:r>
    </w:p>
    <w:p w14:paraId="6C5BE1E4">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br w:type="page"/>
      </w:r>
    </w:p>
    <w:p w14:paraId="118CB455">
      <w:pPr>
        <w:rPr>
          <w:rFonts w:hint="default" w:ascii="Times New Roman" w:hAnsi="Times New Roman" w:cs="Times New Roman"/>
          <w:b/>
          <w:bCs/>
          <w:color w:val="auto"/>
          <w:sz w:val="24"/>
          <w:highlight w:val="none"/>
        </w:rPr>
      </w:pPr>
    </w:p>
    <w:p w14:paraId="53DCBDF9">
      <w:pPr>
        <w:jc w:val="center"/>
        <w:outlineLvl w:val="2"/>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六、承诺函</w:t>
      </w:r>
    </w:p>
    <w:p w14:paraId="2E3A3814">
      <w:pPr>
        <w:pStyle w:val="40"/>
        <w:spacing w:line="360" w:lineRule="auto"/>
        <w:ind w:left="0" w:leftChars="0" w:firstLine="0" w:firstLineChars="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我公司承诺：</w:t>
      </w:r>
    </w:p>
    <w:p w14:paraId="5955E236">
      <w:pPr>
        <w:pStyle w:val="17"/>
        <w:spacing w:line="360" w:lineRule="auto"/>
        <w:ind w:right="-21" w:firstLine="482" w:firstLineChars="200"/>
        <w:rPr>
          <w:rFonts w:hint="default" w:ascii="Times New Roman" w:hAnsi="Times New Roman" w:cs="Times New Roman"/>
          <w:b/>
          <w:color w:val="auto"/>
          <w:highlight w:val="none"/>
        </w:rPr>
      </w:pPr>
      <w:r>
        <w:rPr>
          <w:rFonts w:hint="default" w:ascii="Times New Roman" w:hAnsi="Times New Roman" w:eastAsia="宋体" w:cs="Times New Roman"/>
          <w:b/>
          <w:color w:val="auto"/>
          <w:sz w:val="24"/>
          <w:highlight w:val="none"/>
        </w:rPr>
        <w:t>我公司投标文件中提供的检测报告、认证证书、资质证书等均真实有效，承诺合同签订后7个工作日内按要求提供检测报告与资质证书等原件查验，如逾期不能按要求提供或经审查、验证不能通过，我公司承担一切相关责任，我公司所提供的产品是正品，非假冒伪劣产品，供货时出具所投产品生产厂商针对本项目的出货证明。</w:t>
      </w:r>
    </w:p>
    <w:p w14:paraId="71052786">
      <w:pPr>
        <w:spacing w:line="360" w:lineRule="auto"/>
        <w:ind w:firstLine="5060" w:firstLineChars="2100"/>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投标人签章：</w:t>
      </w:r>
    </w:p>
    <w:p w14:paraId="65F6DF8F">
      <w:pPr>
        <w:spacing w:line="360" w:lineRule="auto"/>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 xml:space="preserve">                                           日  期：</w:t>
      </w:r>
    </w:p>
    <w:p w14:paraId="1AD89417">
      <w:pP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br w:type="page"/>
      </w:r>
    </w:p>
    <w:p w14:paraId="55F72CB3">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七、投标响应表</w:t>
      </w:r>
    </w:p>
    <w:p w14:paraId="7D873149">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7.1商务响应表</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201"/>
        <w:gridCol w:w="4046"/>
        <w:gridCol w:w="1741"/>
        <w:gridCol w:w="810"/>
      </w:tblGrid>
      <w:tr w14:paraId="1A1E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4C7BE267">
            <w:pPr>
              <w:pStyle w:val="21"/>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序号</w:t>
            </w:r>
          </w:p>
        </w:tc>
        <w:tc>
          <w:tcPr>
            <w:tcW w:w="1201" w:type="dxa"/>
            <w:vAlign w:val="center"/>
          </w:tcPr>
          <w:p w14:paraId="4F8ED516">
            <w:pPr>
              <w:pStyle w:val="21"/>
              <w:jc w:val="center"/>
              <w:rPr>
                <w:rFonts w:hint="default" w:ascii="Times New Roman" w:hAnsi="Times New Roman" w:cs="Times New Roman"/>
                <w:b/>
                <w:color w:val="auto"/>
                <w:sz w:val="24"/>
                <w:highlight w:val="none"/>
              </w:rPr>
            </w:pPr>
            <w:r>
              <w:rPr>
                <w:rFonts w:hint="default" w:ascii="Times New Roman" w:hAnsi="Times New Roman" w:cs="Times New Roman"/>
                <w:b/>
                <w:bCs/>
                <w:color w:val="auto"/>
                <w:sz w:val="24"/>
                <w:szCs w:val="24"/>
                <w:highlight w:val="none"/>
              </w:rPr>
              <w:t>商务条款</w:t>
            </w:r>
          </w:p>
        </w:tc>
        <w:tc>
          <w:tcPr>
            <w:tcW w:w="4046" w:type="dxa"/>
            <w:vAlign w:val="center"/>
          </w:tcPr>
          <w:p w14:paraId="7D86420D">
            <w:pPr>
              <w:pStyle w:val="21"/>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招标文件要求</w:t>
            </w:r>
          </w:p>
        </w:tc>
        <w:tc>
          <w:tcPr>
            <w:tcW w:w="1741" w:type="dxa"/>
            <w:vAlign w:val="center"/>
          </w:tcPr>
          <w:p w14:paraId="1ABAEEED">
            <w:pPr>
              <w:pStyle w:val="21"/>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投标人承诺</w:t>
            </w:r>
          </w:p>
        </w:tc>
        <w:tc>
          <w:tcPr>
            <w:tcW w:w="810" w:type="dxa"/>
            <w:vAlign w:val="center"/>
          </w:tcPr>
          <w:p w14:paraId="340EB85F">
            <w:pPr>
              <w:pStyle w:val="21"/>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偏离说明</w:t>
            </w:r>
          </w:p>
        </w:tc>
      </w:tr>
      <w:tr w14:paraId="4F3C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7DC5051">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1201" w:type="dxa"/>
            <w:vAlign w:val="center"/>
          </w:tcPr>
          <w:p w14:paraId="5F46E8E0">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付款方式</w:t>
            </w:r>
          </w:p>
        </w:tc>
        <w:tc>
          <w:tcPr>
            <w:tcW w:w="4046" w:type="dxa"/>
            <w:vAlign w:val="center"/>
          </w:tcPr>
          <w:p w14:paraId="4A742359">
            <w:pPr>
              <w:spacing w:line="360" w:lineRule="auto"/>
              <w:rPr>
                <w:rFonts w:hint="eastAsia" w:ascii="仿宋_GB2312" w:hAnsi="仿宋_GB2312" w:eastAsia="仿宋_GB2312" w:cs="仿宋_GB2312"/>
                <w:i w:val="0"/>
                <w:iCs w:val="0"/>
                <w:color w:val="auto"/>
                <w:sz w:val="24"/>
                <w:szCs w:val="18"/>
                <w:highlight w:val="none"/>
              </w:rPr>
            </w:pPr>
            <w:r>
              <w:rPr>
                <w:rFonts w:hint="eastAsia" w:ascii="仿宋_GB2312" w:hAnsi="仿宋_GB2312" w:eastAsia="仿宋_GB2312" w:cs="仿宋_GB2312"/>
                <w:i w:val="0"/>
                <w:iCs w:val="0"/>
                <w:color w:val="auto"/>
                <w:sz w:val="24"/>
                <w:szCs w:val="18"/>
                <w:highlight w:val="none"/>
              </w:rPr>
              <w:t>所有货物安装调试完成且验收合格后三个月内支付  至已完成供货价款的9</w:t>
            </w:r>
            <w:r>
              <w:rPr>
                <w:rFonts w:hint="eastAsia" w:ascii="仿宋_GB2312" w:hAnsi="仿宋_GB2312" w:eastAsia="仿宋_GB2312" w:cs="仿宋_GB2312"/>
                <w:i w:val="0"/>
                <w:iCs w:val="0"/>
                <w:color w:val="auto"/>
                <w:sz w:val="24"/>
                <w:szCs w:val="18"/>
                <w:highlight w:val="none"/>
                <w:lang w:val="en-US" w:eastAsia="zh-CN"/>
              </w:rPr>
              <w:t>7</w:t>
            </w:r>
            <w:r>
              <w:rPr>
                <w:rFonts w:hint="eastAsia" w:ascii="仿宋_GB2312" w:hAnsi="仿宋_GB2312" w:eastAsia="仿宋_GB2312" w:cs="仿宋_GB2312"/>
                <w:i w:val="0"/>
                <w:iCs w:val="0"/>
                <w:color w:val="auto"/>
                <w:sz w:val="24"/>
                <w:szCs w:val="18"/>
                <w:highlight w:val="none"/>
              </w:rPr>
              <w:t>%，余款3%作为质量保证金，质保期满后三个月内一次性付清。(中标人须提供足额的增值税发票，如未按约定开具增值税发票或实际开具的增值税发票税率低于约定税率的，中标人应向招标人支付无法抵扣的部分税款金额。)</w:t>
            </w:r>
          </w:p>
          <w:p w14:paraId="38880735">
            <w:pPr>
              <w:pStyle w:val="186"/>
              <w:spacing w:before="0" w:after="0" w:line="360" w:lineRule="auto"/>
              <w:jc w:val="left"/>
              <w:rPr>
                <w:rFonts w:hint="default" w:ascii="Times New Roman" w:hAnsi="Times New Roman" w:eastAsia="宋体" w:cs="Times New Roman"/>
                <w:color w:val="auto"/>
                <w:sz w:val="24"/>
                <w:highlight w:val="none"/>
              </w:rPr>
            </w:pPr>
            <w:r>
              <w:rPr>
                <w:rFonts w:hint="eastAsia" w:ascii="仿宋_GB2312" w:hAnsi="仿宋_GB2312" w:eastAsia="仿宋_GB2312" w:cs="仿宋_GB2312"/>
                <w:b w:val="0"/>
                <w:bCs w:val="0"/>
                <w:color w:val="auto"/>
                <w:sz w:val="24"/>
                <w:szCs w:val="18"/>
                <w:highlight w:val="none"/>
                <w:lang w:eastAsia="zh-CN"/>
              </w:rPr>
              <w:t>备注：如</w:t>
            </w:r>
            <w:r>
              <w:rPr>
                <w:rFonts w:hint="eastAsia" w:ascii="仿宋_GB2312" w:hAnsi="仿宋_GB2312" w:eastAsia="仿宋_GB2312" w:cs="仿宋_GB2312"/>
                <w:b w:val="0"/>
                <w:bCs w:val="0"/>
                <w:color w:val="auto"/>
                <w:sz w:val="24"/>
                <w:szCs w:val="18"/>
                <w:highlight w:val="none"/>
                <w:lang w:val="en-US" w:eastAsia="zh-CN"/>
              </w:rPr>
              <w:t>中标</w:t>
            </w:r>
            <w:r>
              <w:rPr>
                <w:rFonts w:hint="eastAsia" w:ascii="仿宋_GB2312" w:hAnsi="仿宋_GB2312" w:eastAsia="仿宋_GB2312" w:cs="仿宋_GB2312"/>
                <w:b w:val="0"/>
                <w:bCs w:val="0"/>
                <w:color w:val="auto"/>
                <w:sz w:val="24"/>
                <w:szCs w:val="18"/>
                <w:highlight w:val="none"/>
                <w:lang w:eastAsia="zh-CN"/>
              </w:rPr>
              <w:t>人采用“银行保函或保证保险等方式”提交等额质量保证金（保函的期限须与质保期一致），则在现场货物移交使用且</w:t>
            </w:r>
            <w:r>
              <w:rPr>
                <w:rFonts w:hint="eastAsia" w:ascii="仿宋_GB2312" w:hAnsi="仿宋_GB2312" w:eastAsia="仿宋_GB2312" w:cs="仿宋_GB2312"/>
                <w:b w:val="0"/>
                <w:bCs w:val="0"/>
                <w:color w:val="auto"/>
                <w:sz w:val="24"/>
                <w:szCs w:val="18"/>
                <w:highlight w:val="none"/>
                <w:lang w:val="en-US" w:eastAsia="zh-CN"/>
              </w:rPr>
              <w:t>验收合格</w:t>
            </w:r>
            <w:r>
              <w:rPr>
                <w:rFonts w:hint="eastAsia" w:ascii="仿宋_GB2312" w:hAnsi="仿宋_GB2312" w:eastAsia="仿宋_GB2312" w:cs="仿宋_GB2312"/>
                <w:b w:val="0"/>
                <w:bCs w:val="0"/>
                <w:color w:val="auto"/>
                <w:sz w:val="24"/>
                <w:szCs w:val="18"/>
                <w:highlight w:val="none"/>
                <w:lang w:eastAsia="zh-CN"/>
              </w:rPr>
              <w:t>后付至最终</w:t>
            </w:r>
            <w:r>
              <w:rPr>
                <w:rFonts w:hint="eastAsia" w:ascii="仿宋_GB2312" w:hAnsi="仿宋_GB2312" w:eastAsia="仿宋_GB2312" w:cs="仿宋_GB2312"/>
                <w:b w:val="0"/>
                <w:bCs w:val="0"/>
                <w:color w:val="auto"/>
                <w:sz w:val="24"/>
                <w:szCs w:val="18"/>
                <w:highlight w:val="none"/>
                <w:lang w:val="en-US" w:eastAsia="zh-CN"/>
              </w:rPr>
              <w:t>已完成货款</w:t>
            </w:r>
            <w:r>
              <w:rPr>
                <w:rFonts w:hint="eastAsia" w:ascii="仿宋_GB2312" w:hAnsi="仿宋_GB2312" w:eastAsia="仿宋_GB2312" w:cs="仿宋_GB2312"/>
                <w:b w:val="0"/>
                <w:bCs w:val="0"/>
                <w:color w:val="auto"/>
                <w:sz w:val="24"/>
                <w:szCs w:val="18"/>
                <w:highlight w:val="none"/>
                <w:lang w:eastAsia="zh-CN"/>
              </w:rPr>
              <w:t>的100%。</w:t>
            </w:r>
          </w:p>
        </w:tc>
        <w:tc>
          <w:tcPr>
            <w:tcW w:w="1741" w:type="dxa"/>
            <w:vAlign w:val="center"/>
          </w:tcPr>
          <w:p w14:paraId="54CA36DB">
            <w:pPr>
              <w:jc w:val="center"/>
              <w:rPr>
                <w:rFonts w:hint="default" w:ascii="Times New Roman" w:hAnsi="Times New Roman" w:cs="Times New Roman"/>
                <w:color w:val="auto"/>
                <w:sz w:val="24"/>
                <w:highlight w:val="none"/>
              </w:rPr>
            </w:pPr>
          </w:p>
        </w:tc>
        <w:tc>
          <w:tcPr>
            <w:tcW w:w="810" w:type="dxa"/>
            <w:vAlign w:val="center"/>
          </w:tcPr>
          <w:p w14:paraId="16016C95">
            <w:pPr>
              <w:jc w:val="center"/>
              <w:rPr>
                <w:rFonts w:hint="default" w:ascii="Times New Roman" w:hAnsi="Times New Roman" w:cs="Times New Roman"/>
                <w:color w:val="auto"/>
                <w:sz w:val="24"/>
                <w:highlight w:val="none"/>
              </w:rPr>
            </w:pPr>
          </w:p>
        </w:tc>
      </w:tr>
      <w:tr w14:paraId="4781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E6E0D46">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1201" w:type="dxa"/>
            <w:vAlign w:val="center"/>
          </w:tcPr>
          <w:p w14:paraId="7498A9DD">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供货及安装地点</w:t>
            </w:r>
          </w:p>
        </w:tc>
        <w:tc>
          <w:tcPr>
            <w:tcW w:w="4046" w:type="dxa"/>
            <w:vAlign w:val="center"/>
          </w:tcPr>
          <w:p w14:paraId="16AEFCD8">
            <w:pPr>
              <w:pStyle w:val="186"/>
              <w:spacing w:before="0" w:after="0" w:line="360" w:lineRule="auto"/>
              <w:jc w:val="left"/>
              <w:rPr>
                <w:rFonts w:hint="default" w:ascii="Times New Roman" w:hAnsi="Times New Roman" w:eastAsia="宋体" w:cs="Times New Roman"/>
                <w:color w:val="auto"/>
                <w:sz w:val="24"/>
                <w:highlight w:val="none"/>
              </w:rPr>
            </w:pPr>
            <w:r>
              <w:rPr>
                <w:rStyle w:val="103"/>
                <w:rFonts w:hint="default" w:ascii="Times New Roman" w:hAnsi="Times New Roman" w:cs="Times New Roman"/>
                <w:b w:val="0"/>
                <w:color w:val="auto"/>
                <w:kern w:val="0"/>
                <w:sz w:val="24"/>
                <w:highlight w:val="none"/>
              </w:rPr>
              <w:t>合肥市包河区，招标人指定地点。</w:t>
            </w:r>
          </w:p>
        </w:tc>
        <w:tc>
          <w:tcPr>
            <w:tcW w:w="1741" w:type="dxa"/>
            <w:vAlign w:val="center"/>
          </w:tcPr>
          <w:p w14:paraId="303FA1ED">
            <w:pPr>
              <w:jc w:val="center"/>
              <w:rPr>
                <w:rFonts w:hint="default" w:ascii="Times New Roman" w:hAnsi="Times New Roman" w:cs="Times New Roman"/>
                <w:color w:val="auto"/>
                <w:sz w:val="24"/>
                <w:highlight w:val="none"/>
              </w:rPr>
            </w:pPr>
          </w:p>
        </w:tc>
        <w:tc>
          <w:tcPr>
            <w:tcW w:w="810" w:type="dxa"/>
            <w:vAlign w:val="center"/>
          </w:tcPr>
          <w:p w14:paraId="636109B9">
            <w:pPr>
              <w:jc w:val="center"/>
              <w:rPr>
                <w:rFonts w:hint="default" w:ascii="Times New Roman" w:hAnsi="Times New Roman" w:cs="Times New Roman"/>
                <w:color w:val="auto"/>
                <w:sz w:val="24"/>
                <w:highlight w:val="none"/>
              </w:rPr>
            </w:pPr>
          </w:p>
        </w:tc>
      </w:tr>
      <w:tr w14:paraId="2B79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3FD369C">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tc>
        <w:tc>
          <w:tcPr>
            <w:tcW w:w="1201" w:type="dxa"/>
            <w:vAlign w:val="center"/>
          </w:tcPr>
          <w:p w14:paraId="4C18FD81">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供货及安装期限</w:t>
            </w:r>
          </w:p>
        </w:tc>
        <w:tc>
          <w:tcPr>
            <w:tcW w:w="4046" w:type="dxa"/>
            <w:vAlign w:val="center"/>
          </w:tcPr>
          <w:p w14:paraId="5135C9C1">
            <w:pPr>
              <w:pStyle w:val="187"/>
              <w:widowControl/>
              <w:spacing w:line="360" w:lineRule="auto"/>
              <w:rPr>
                <w:rFonts w:hint="default" w:ascii="Times New Roman" w:hAnsi="Times New Roman" w:eastAsia="宋体" w:cs="Times New Roman"/>
                <w:color w:val="auto"/>
                <w:sz w:val="24"/>
                <w:highlight w:val="none"/>
              </w:rPr>
            </w:pPr>
            <w:r>
              <w:rPr>
                <w:rStyle w:val="103"/>
                <w:rFonts w:hint="default" w:ascii="Times New Roman" w:hAnsi="Times New Roman" w:cs="Times New Roman"/>
                <w:bCs/>
                <w:color w:val="auto"/>
                <w:kern w:val="0"/>
                <w:sz w:val="24"/>
                <w:szCs w:val="28"/>
                <w:highlight w:val="none"/>
              </w:rPr>
              <w:t>合同签订后30个日历日内完成供货及安装。</w:t>
            </w:r>
          </w:p>
        </w:tc>
        <w:tc>
          <w:tcPr>
            <w:tcW w:w="1741" w:type="dxa"/>
            <w:vAlign w:val="center"/>
          </w:tcPr>
          <w:p w14:paraId="587D8952">
            <w:pPr>
              <w:pStyle w:val="63"/>
              <w:jc w:val="center"/>
              <w:rPr>
                <w:rFonts w:hint="default" w:ascii="Times New Roman" w:hAnsi="Times New Roman" w:cs="Times New Roman"/>
                <w:color w:val="auto"/>
                <w:highlight w:val="none"/>
              </w:rPr>
            </w:pPr>
          </w:p>
        </w:tc>
        <w:tc>
          <w:tcPr>
            <w:tcW w:w="810" w:type="dxa"/>
            <w:vAlign w:val="center"/>
          </w:tcPr>
          <w:p w14:paraId="721E8E26">
            <w:pPr>
              <w:jc w:val="center"/>
              <w:rPr>
                <w:rFonts w:hint="default" w:ascii="Times New Roman" w:hAnsi="Times New Roman" w:cs="Times New Roman"/>
                <w:color w:val="auto"/>
                <w:sz w:val="24"/>
                <w:highlight w:val="none"/>
              </w:rPr>
            </w:pPr>
          </w:p>
        </w:tc>
      </w:tr>
      <w:tr w14:paraId="1F2F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13B1AA1D">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w:t>
            </w:r>
          </w:p>
        </w:tc>
        <w:tc>
          <w:tcPr>
            <w:tcW w:w="1201" w:type="dxa"/>
            <w:vAlign w:val="center"/>
          </w:tcPr>
          <w:p w14:paraId="0C7103AC">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免费质保期</w:t>
            </w:r>
          </w:p>
        </w:tc>
        <w:tc>
          <w:tcPr>
            <w:tcW w:w="4046" w:type="dxa"/>
            <w:vAlign w:val="center"/>
          </w:tcPr>
          <w:p w14:paraId="581EC1FA">
            <w:pPr>
              <w:pStyle w:val="186"/>
              <w:spacing w:before="0" w:after="0" w:line="360" w:lineRule="auto"/>
              <w:jc w:val="left"/>
              <w:rPr>
                <w:rFonts w:hint="default" w:ascii="Times New Roman" w:hAnsi="Times New Roman" w:eastAsia="宋体" w:cs="Times New Roman"/>
                <w:color w:val="auto"/>
                <w:sz w:val="24"/>
                <w:highlight w:val="none"/>
              </w:rPr>
            </w:pPr>
            <w:r>
              <w:rPr>
                <w:rStyle w:val="103"/>
                <w:rFonts w:hint="default" w:ascii="Times New Roman" w:hAnsi="Times New Roman" w:cs="Times New Roman"/>
                <w:b w:val="0"/>
                <w:color w:val="auto"/>
                <w:kern w:val="0"/>
                <w:sz w:val="24"/>
                <w:highlight w:val="none"/>
              </w:rPr>
              <w:t>验收合格之日起3年。</w:t>
            </w:r>
          </w:p>
        </w:tc>
        <w:tc>
          <w:tcPr>
            <w:tcW w:w="1741" w:type="dxa"/>
            <w:vAlign w:val="center"/>
          </w:tcPr>
          <w:p w14:paraId="7EF3B7BE">
            <w:pPr>
              <w:jc w:val="center"/>
              <w:rPr>
                <w:rFonts w:hint="default" w:ascii="Times New Roman" w:hAnsi="Times New Roman" w:cs="Times New Roman"/>
                <w:color w:val="auto"/>
                <w:sz w:val="24"/>
                <w:highlight w:val="none"/>
              </w:rPr>
            </w:pPr>
          </w:p>
        </w:tc>
        <w:tc>
          <w:tcPr>
            <w:tcW w:w="810" w:type="dxa"/>
            <w:vAlign w:val="center"/>
          </w:tcPr>
          <w:p w14:paraId="2A7B599A">
            <w:pPr>
              <w:jc w:val="center"/>
              <w:rPr>
                <w:rFonts w:hint="default" w:ascii="Times New Roman" w:hAnsi="Times New Roman" w:cs="Times New Roman"/>
                <w:color w:val="auto"/>
                <w:sz w:val="24"/>
                <w:highlight w:val="none"/>
              </w:rPr>
            </w:pPr>
          </w:p>
        </w:tc>
      </w:tr>
    </w:tbl>
    <w:p w14:paraId="4BF8AC7E">
      <w:pPr>
        <w:pStyle w:val="23"/>
        <w:spacing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投标人签章：</w:t>
      </w:r>
    </w:p>
    <w:p w14:paraId="3835CBBA">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br w:type="page"/>
      </w:r>
      <w:r>
        <w:rPr>
          <w:rFonts w:hint="default" w:ascii="Times New Roman" w:hAnsi="Times New Roman" w:cs="Times New Roman"/>
          <w:b/>
          <w:color w:val="auto"/>
          <w:sz w:val="24"/>
          <w:highlight w:val="none"/>
          <w:lang w:eastAsia="zh-CN"/>
        </w:rPr>
        <w:t>八</w:t>
      </w:r>
      <w:r>
        <w:rPr>
          <w:rFonts w:hint="default" w:ascii="Times New Roman" w:hAnsi="Times New Roman" w:cs="Times New Roman"/>
          <w:b/>
          <w:color w:val="auto"/>
          <w:sz w:val="24"/>
          <w:highlight w:val="none"/>
        </w:rPr>
        <w:t>、其他相关证明材料</w:t>
      </w:r>
    </w:p>
    <w:p w14:paraId="74FDE930">
      <w:pPr>
        <w:tabs>
          <w:tab w:val="left" w:pos="4620"/>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提供符合招标公告、招标需求及评审方法和标准规定的相关证明文件。</w:t>
      </w:r>
    </w:p>
    <w:p w14:paraId="3F3879FF">
      <w:pPr>
        <w:spacing w:line="360" w:lineRule="auto"/>
        <w:ind w:firstLine="435"/>
        <w:rPr>
          <w:rFonts w:hint="default" w:ascii="Times New Roman" w:hAnsi="Times New Roman" w:cs="Times New Roman"/>
          <w:color w:val="auto"/>
          <w:sz w:val="24"/>
          <w:highlight w:val="none"/>
        </w:rPr>
      </w:pPr>
    </w:p>
    <w:sectPr>
      <w:headerReference r:id="rId6" w:type="default"/>
      <w:footerReference r:id="rId7" w:type="default"/>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54D6646-7E19-450C-9A34-165A565C08A4}"/>
  </w:font>
  <w:font w:name="黑体">
    <w:panose1 w:val="02010609060101010101"/>
    <w:charset w:val="86"/>
    <w:family w:val="auto"/>
    <w:pitch w:val="default"/>
    <w:sig w:usb0="800002BF" w:usb1="38CF7CFA" w:usb2="00000016" w:usb3="00000000" w:csb0="00040001" w:csb1="00000000"/>
    <w:embedRegular r:id="rId2" w:fontKey="{BD0CA6E2-834A-43A9-9149-2835FEDB9D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664E08EB-53EA-4B7E-B5D5-3A5229C6E207}"/>
  </w:font>
  <w:font w:name="monospace">
    <w:altName w:val="仿宋_GB2312"/>
    <w:panose1 w:val="00000000000000000000"/>
    <w:charset w:val="00"/>
    <w:family w:val="auto"/>
    <w:pitch w:val="default"/>
    <w:sig w:usb0="00000000" w:usb1="00000000" w:usb2="00000000" w:usb3="00000000" w:csb0="00000000" w:csb1="00000000"/>
  </w:font>
  <w:font w:name="Cambria">
    <w:panose1 w:val="02040503050406030204"/>
    <w:charset w:val="86"/>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MS Sans Serif">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楷体">
    <w:panose1 w:val="02010609060101010101"/>
    <w:charset w:val="86"/>
    <w:family w:val="modern"/>
    <w:pitch w:val="default"/>
    <w:sig w:usb0="800002BF" w:usb1="38CF7CFA" w:usb2="00000016" w:usb3="00000000" w:csb0="00040001" w:csb1="00000000"/>
  </w:font>
  <w:font w:name="微软简标宋">
    <w:altName w:val="仿宋_GB2312"/>
    <w:panose1 w:val="00000000000000000000"/>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embedRegular r:id="rId4" w:fontKey="{0B86AE03-CA0B-4485-AA53-F03127A7113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7CA12">
    <w:pPr>
      <w:pStyle w:val="27"/>
      <w:jc w:val="center"/>
      <w:rPr>
        <w:rFonts w:ascii="Arial" w:hAnsi="Arial" w:cs="Arial"/>
        <w:b/>
        <w:bCs/>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0134D">
    <w:pPr>
      <w:pStyle w:val="27"/>
      <w:rPr>
        <w:rFonts w:hint="eastAsia" w:ascii="宋体" w:hAnsi="宋体"/>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2128A">
    <w:pPr>
      <w:pStyle w:val="2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2E58E">
    <w:pPr>
      <w:pStyle w:val="28"/>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8F475">
    <w:pPr>
      <w:pStyle w:val="28"/>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B6F26"/>
    <w:multiLevelType w:val="singleLevel"/>
    <w:tmpl w:val="861B6F26"/>
    <w:lvl w:ilvl="0" w:tentative="0">
      <w:start w:val="1"/>
      <w:numFmt w:val="bullet"/>
      <w:pStyle w:val="22"/>
      <w:lvlText w:val=""/>
      <w:lvlJc w:val="left"/>
      <w:pPr>
        <w:tabs>
          <w:tab w:val="left" w:pos="2040"/>
        </w:tabs>
        <w:ind w:left="2040" w:hanging="360"/>
      </w:pPr>
      <w:rPr>
        <w:rFonts w:hint="default" w:ascii="Wingdings" w:hAnsi="Wingdings"/>
      </w:rPr>
    </w:lvl>
  </w:abstractNum>
  <w:abstractNum w:abstractNumId="1">
    <w:nsid w:val="C8AD724D"/>
    <w:multiLevelType w:val="singleLevel"/>
    <w:tmpl w:val="C8AD724D"/>
    <w:lvl w:ilvl="0" w:tentative="0">
      <w:start w:val="13"/>
      <w:numFmt w:val="decimal"/>
      <w:lvlText w:val="%1."/>
      <w:lvlJc w:val="left"/>
      <w:pPr>
        <w:tabs>
          <w:tab w:val="left" w:pos="312"/>
        </w:tabs>
      </w:pPr>
    </w:lvl>
  </w:abstractNum>
  <w:abstractNum w:abstractNumId="2">
    <w:nsid w:val="0E271B42"/>
    <w:multiLevelType w:val="singleLevel"/>
    <w:tmpl w:val="0E271B42"/>
    <w:lvl w:ilvl="0" w:tentative="0">
      <w:start w:val="1"/>
      <w:numFmt w:val="decimal"/>
      <w:lvlText w:val="%1."/>
      <w:lvlJc w:val="left"/>
      <w:pPr>
        <w:tabs>
          <w:tab w:val="left" w:pos="312"/>
        </w:tabs>
      </w:pPr>
    </w:lvl>
  </w:abstractNum>
  <w:abstractNum w:abstractNumId="3">
    <w:nsid w:val="25F5373D"/>
    <w:multiLevelType w:val="singleLevel"/>
    <w:tmpl w:val="25F5373D"/>
    <w:lvl w:ilvl="0" w:tentative="0">
      <w:start w:val="1"/>
      <w:numFmt w:val="decimal"/>
      <w:suff w:val="nothing"/>
      <w:lvlText w:val="%1、"/>
      <w:lvlJc w:val="left"/>
    </w:lvl>
  </w:abstractNum>
  <w:abstractNum w:abstractNumId="4">
    <w:nsid w:val="40D7AA61"/>
    <w:multiLevelType w:val="singleLevel"/>
    <w:tmpl w:val="40D7AA61"/>
    <w:lvl w:ilvl="0" w:tentative="0">
      <w:start w:val="1"/>
      <w:numFmt w:val="decimal"/>
      <w:lvlText w:val="%1."/>
      <w:lvlJc w:val="left"/>
      <w:pPr>
        <w:tabs>
          <w:tab w:val="left" w:pos="312"/>
        </w:tabs>
      </w:pPr>
    </w:lvl>
  </w:abstractNum>
  <w:abstractNum w:abstractNumId="5">
    <w:nsid w:val="697AB5B1"/>
    <w:multiLevelType w:val="singleLevel"/>
    <w:tmpl w:val="697AB5B1"/>
    <w:lvl w:ilvl="0" w:tentative="0">
      <w:start w:val="2"/>
      <w:numFmt w:val="chineseCounting"/>
      <w:suff w:val="nothing"/>
      <w:lvlText w:val="%1、"/>
      <w:lvlJc w:val="left"/>
      <w:pPr>
        <w:ind w:left="193"/>
      </w:pPr>
      <w:rPr>
        <w:rFonts w:hint="eastAsia"/>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lZGM4Mzk5NWY2MzY3NzY5OGNjZTViYjY5YTczODAifQ=="/>
  </w:docVars>
  <w:rsids>
    <w:rsidRoot w:val="00276BA1"/>
    <w:rsid w:val="0000043F"/>
    <w:rsid w:val="000004DA"/>
    <w:rsid w:val="000049DA"/>
    <w:rsid w:val="000056B7"/>
    <w:rsid w:val="00012A13"/>
    <w:rsid w:val="000131F7"/>
    <w:rsid w:val="00016B6C"/>
    <w:rsid w:val="00020B57"/>
    <w:rsid w:val="00036545"/>
    <w:rsid w:val="00037DBE"/>
    <w:rsid w:val="000418FF"/>
    <w:rsid w:val="00042139"/>
    <w:rsid w:val="00042B14"/>
    <w:rsid w:val="000431DA"/>
    <w:rsid w:val="000438AB"/>
    <w:rsid w:val="00044F49"/>
    <w:rsid w:val="000450C3"/>
    <w:rsid w:val="00050A3F"/>
    <w:rsid w:val="000530EC"/>
    <w:rsid w:val="000544DE"/>
    <w:rsid w:val="00061216"/>
    <w:rsid w:val="00062E42"/>
    <w:rsid w:val="000648D2"/>
    <w:rsid w:val="00070E0E"/>
    <w:rsid w:val="0007292E"/>
    <w:rsid w:val="0007666F"/>
    <w:rsid w:val="00076B5F"/>
    <w:rsid w:val="00076DB7"/>
    <w:rsid w:val="00080FEB"/>
    <w:rsid w:val="000868D6"/>
    <w:rsid w:val="00091FF1"/>
    <w:rsid w:val="00094D41"/>
    <w:rsid w:val="00097CB9"/>
    <w:rsid w:val="000A143B"/>
    <w:rsid w:val="000A1F01"/>
    <w:rsid w:val="000A4640"/>
    <w:rsid w:val="000A6345"/>
    <w:rsid w:val="000A6693"/>
    <w:rsid w:val="000A6B73"/>
    <w:rsid w:val="000A7D94"/>
    <w:rsid w:val="000B1511"/>
    <w:rsid w:val="000B2EEC"/>
    <w:rsid w:val="000B4C4A"/>
    <w:rsid w:val="000B54F4"/>
    <w:rsid w:val="000B701D"/>
    <w:rsid w:val="000C1DB1"/>
    <w:rsid w:val="000C4241"/>
    <w:rsid w:val="000D39BB"/>
    <w:rsid w:val="000D3F37"/>
    <w:rsid w:val="000D6F42"/>
    <w:rsid w:val="000E3C74"/>
    <w:rsid w:val="000E3F9B"/>
    <w:rsid w:val="000E6689"/>
    <w:rsid w:val="000F014C"/>
    <w:rsid w:val="000F172B"/>
    <w:rsid w:val="000F2198"/>
    <w:rsid w:val="000F3996"/>
    <w:rsid w:val="000F39B6"/>
    <w:rsid w:val="000F6B7B"/>
    <w:rsid w:val="000F7386"/>
    <w:rsid w:val="00100B0F"/>
    <w:rsid w:val="0010187C"/>
    <w:rsid w:val="001037E3"/>
    <w:rsid w:val="001069E2"/>
    <w:rsid w:val="00106FED"/>
    <w:rsid w:val="00110911"/>
    <w:rsid w:val="00112B58"/>
    <w:rsid w:val="00116A70"/>
    <w:rsid w:val="0012143A"/>
    <w:rsid w:val="001222C6"/>
    <w:rsid w:val="001363BB"/>
    <w:rsid w:val="00136D80"/>
    <w:rsid w:val="00137392"/>
    <w:rsid w:val="00137C00"/>
    <w:rsid w:val="00137C7C"/>
    <w:rsid w:val="00140687"/>
    <w:rsid w:val="00141707"/>
    <w:rsid w:val="00144CD5"/>
    <w:rsid w:val="00146421"/>
    <w:rsid w:val="001479CF"/>
    <w:rsid w:val="00147C18"/>
    <w:rsid w:val="00150C1F"/>
    <w:rsid w:val="00155F64"/>
    <w:rsid w:val="001562EB"/>
    <w:rsid w:val="00157243"/>
    <w:rsid w:val="00157856"/>
    <w:rsid w:val="00157F93"/>
    <w:rsid w:val="00160729"/>
    <w:rsid w:val="00160D83"/>
    <w:rsid w:val="001636B7"/>
    <w:rsid w:val="001644D1"/>
    <w:rsid w:val="00166ED8"/>
    <w:rsid w:val="00170A97"/>
    <w:rsid w:val="00170C62"/>
    <w:rsid w:val="001714C9"/>
    <w:rsid w:val="001751E5"/>
    <w:rsid w:val="0018119B"/>
    <w:rsid w:val="001826D0"/>
    <w:rsid w:val="00183897"/>
    <w:rsid w:val="001844AB"/>
    <w:rsid w:val="0018554B"/>
    <w:rsid w:val="00190F1F"/>
    <w:rsid w:val="00192A95"/>
    <w:rsid w:val="001944B8"/>
    <w:rsid w:val="00196DA3"/>
    <w:rsid w:val="00197AC4"/>
    <w:rsid w:val="001A1ADF"/>
    <w:rsid w:val="001A314D"/>
    <w:rsid w:val="001A5D34"/>
    <w:rsid w:val="001A68E5"/>
    <w:rsid w:val="001B1997"/>
    <w:rsid w:val="001B21DF"/>
    <w:rsid w:val="001B2A54"/>
    <w:rsid w:val="001B5014"/>
    <w:rsid w:val="001B6D61"/>
    <w:rsid w:val="001B7327"/>
    <w:rsid w:val="001C67F2"/>
    <w:rsid w:val="001C7780"/>
    <w:rsid w:val="001D0BF5"/>
    <w:rsid w:val="001D3409"/>
    <w:rsid w:val="001D3C37"/>
    <w:rsid w:val="001D53B4"/>
    <w:rsid w:val="001D6740"/>
    <w:rsid w:val="001D7626"/>
    <w:rsid w:val="001E1749"/>
    <w:rsid w:val="001E5383"/>
    <w:rsid w:val="001E6785"/>
    <w:rsid w:val="001F0268"/>
    <w:rsid w:val="001F28D2"/>
    <w:rsid w:val="001F2F45"/>
    <w:rsid w:val="001F3023"/>
    <w:rsid w:val="001F35F6"/>
    <w:rsid w:val="001F585F"/>
    <w:rsid w:val="001F74CA"/>
    <w:rsid w:val="002003B6"/>
    <w:rsid w:val="00204022"/>
    <w:rsid w:val="002049B4"/>
    <w:rsid w:val="0020520B"/>
    <w:rsid w:val="0021065A"/>
    <w:rsid w:val="00213C55"/>
    <w:rsid w:val="002163CF"/>
    <w:rsid w:val="0021678B"/>
    <w:rsid w:val="002168C4"/>
    <w:rsid w:val="002178B1"/>
    <w:rsid w:val="00223CF4"/>
    <w:rsid w:val="00224C4A"/>
    <w:rsid w:val="0022769B"/>
    <w:rsid w:val="002336A0"/>
    <w:rsid w:val="0023407E"/>
    <w:rsid w:val="00236F8C"/>
    <w:rsid w:val="00240B40"/>
    <w:rsid w:val="002440D8"/>
    <w:rsid w:val="00244182"/>
    <w:rsid w:val="00247222"/>
    <w:rsid w:val="00260B94"/>
    <w:rsid w:val="0026362D"/>
    <w:rsid w:val="00264F2E"/>
    <w:rsid w:val="00265786"/>
    <w:rsid w:val="00271245"/>
    <w:rsid w:val="00272E6E"/>
    <w:rsid w:val="00274A9E"/>
    <w:rsid w:val="00276292"/>
    <w:rsid w:val="00276BA1"/>
    <w:rsid w:val="00277094"/>
    <w:rsid w:val="00280F8E"/>
    <w:rsid w:val="00293354"/>
    <w:rsid w:val="00297524"/>
    <w:rsid w:val="002A0C9D"/>
    <w:rsid w:val="002A1A1D"/>
    <w:rsid w:val="002A28AD"/>
    <w:rsid w:val="002A3302"/>
    <w:rsid w:val="002A3AEE"/>
    <w:rsid w:val="002B2F5A"/>
    <w:rsid w:val="002B5318"/>
    <w:rsid w:val="002B6D27"/>
    <w:rsid w:val="002B71DF"/>
    <w:rsid w:val="002C4BA9"/>
    <w:rsid w:val="002D1258"/>
    <w:rsid w:val="002D2965"/>
    <w:rsid w:val="002D3D02"/>
    <w:rsid w:val="002D4CB5"/>
    <w:rsid w:val="002D5712"/>
    <w:rsid w:val="002D684B"/>
    <w:rsid w:val="002E24F4"/>
    <w:rsid w:val="002E3B26"/>
    <w:rsid w:val="002E4AB8"/>
    <w:rsid w:val="002F092B"/>
    <w:rsid w:val="00300808"/>
    <w:rsid w:val="00303F39"/>
    <w:rsid w:val="00307A22"/>
    <w:rsid w:val="00310070"/>
    <w:rsid w:val="003110EC"/>
    <w:rsid w:val="003149DA"/>
    <w:rsid w:val="00327C92"/>
    <w:rsid w:val="003322E9"/>
    <w:rsid w:val="00333292"/>
    <w:rsid w:val="003344E7"/>
    <w:rsid w:val="0033580B"/>
    <w:rsid w:val="0033628B"/>
    <w:rsid w:val="003365E7"/>
    <w:rsid w:val="003378D5"/>
    <w:rsid w:val="003442BD"/>
    <w:rsid w:val="003447AE"/>
    <w:rsid w:val="003473D7"/>
    <w:rsid w:val="00351AC8"/>
    <w:rsid w:val="00353075"/>
    <w:rsid w:val="00363E02"/>
    <w:rsid w:val="003647FE"/>
    <w:rsid w:val="00364A1E"/>
    <w:rsid w:val="00373A96"/>
    <w:rsid w:val="003803BF"/>
    <w:rsid w:val="003816C2"/>
    <w:rsid w:val="003826C2"/>
    <w:rsid w:val="00383728"/>
    <w:rsid w:val="00391586"/>
    <w:rsid w:val="00394128"/>
    <w:rsid w:val="003947A4"/>
    <w:rsid w:val="00395235"/>
    <w:rsid w:val="0039561A"/>
    <w:rsid w:val="00397C7D"/>
    <w:rsid w:val="003A004F"/>
    <w:rsid w:val="003B4130"/>
    <w:rsid w:val="003B67D3"/>
    <w:rsid w:val="003B715B"/>
    <w:rsid w:val="003C4F54"/>
    <w:rsid w:val="003D19E1"/>
    <w:rsid w:val="003D1D14"/>
    <w:rsid w:val="003D6C7C"/>
    <w:rsid w:val="003D6EFB"/>
    <w:rsid w:val="003D7E52"/>
    <w:rsid w:val="003E2010"/>
    <w:rsid w:val="003E25C6"/>
    <w:rsid w:val="003F145B"/>
    <w:rsid w:val="003F6E8E"/>
    <w:rsid w:val="003F721F"/>
    <w:rsid w:val="004011AA"/>
    <w:rsid w:val="00401546"/>
    <w:rsid w:val="0040202C"/>
    <w:rsid w:val="00406508"/>
    <w:rsid w:val="0041456E"/>
    <w:rsid w:val="00414761"/>
    <w:rsid w:val="00414F7E"/>
    <w:rsid w:val="004163C4"/>
    <w:rsid w:val="004164F8"/>
    <w:rsid w:val="00420B7F"/>
    <w:rsid w:val="004427B7"/>
    <w:rsid w:val="0044311D"/>
    <w:rsid w:val="0044349F"/>
    <w:rsid w:val="00445F1F"/>
    <w:rsid w:val="00451F60"/>
    <w:rsid w:val="00452BB2"/>
    <w:rsid w:val="0045656D"/>
    <w:rsid w:val="00461F9C"/>
    <w:rsid w:val="00462B44"/>
    <w:rsid w:val="00462D98"/>
    <w:rsid w:val="0046697F"/>
    <w:rsid w:val="004679E9"/>
    <w:rsid w:val="00471F7A"/>
    <w:rsid w:val="00472A44"/>
    <w:rsid w:val="004736AC"/>
    <w:rsid w:val="00473A89"/>
    <w:rsid w:val="00475899"/>
    <w:rsid w:val="00482C78"/>
    <w:rsid w:val="004840A5"/>
    <w:rsid w:val="004874AE"/>
    <w:rsid w:val="00492F27"/>
    <w:rsid w:val="004945B4"/>
    <w:rsid w:val="00494D24"/>
    <w:rsid w:val="00495126"/>
    <w:rsid w:val="004951D1"/>
    <w:rsid w:val="004A27D0"/>
    <w:rsid w:val="004A4D67"/>
    <w:rsid w:val="004A4E2C"/>
    <w:rsid w:val="004B08B1"/>
    <w:rsid w:val="004B1E15"/>
    <w:rsid w:val="004B2811"/>
    <w:rsid w:val="004B2D4C"/>
    <w:rsid w:val="004C0231"/>
    <w:rsid w:val="004C2C0B"/>
    <w:rsid w:val="004C36E8"/>
    <w:rsid w:val="004D0894"/>
    <w:rsid w:val="004D394A"/>
    <w:rsid w:val="004D3D4B"/>
    <w:rsid w:val="004D5498"/>
    <w:rsid w:val="004D66A5"/>
    <w:rsid w:val="004D6B00"/>
    <w:rsid w:val="004E1D50"/>
    <w:rsid w:val="004F0396"/>
    <w:rsid w:val="004F30FA"/>
    <w:rsid w:val="005003A4"/>
    <w:rsid w:val="00501382"/>
    <w:rsid w:val="005054B9"/>
    <w:rsid w:val="00506E4F"/>
    <w:rsid w:val="00510798"/>
    <w:rsid w:val="00515F12"/>
    <w:rsid w:val="00520C3E"/>
    <w:rsid w:val="00521294"/>
    <w:rsid w:val="0052202B"/>
    <w:rsid w:val="00524A11"/>
    <w:rsid w:val="00526424"/>
    <w:rsid w:val="00527768"/>
    <w:rsid w:val="005327FB"/>
    <w:rsid w:val="00533FCA"/>
    <w:rsid w:val="00546593"/>
    <w:rsid w:val="00546D49"/>
    <w:rsid w:val="005616B5"/>
    <w:rsid w:val="00563AD3"/>
    <w:rsid w:val="00582075"/>
    <w:rsid w:val="00585EB3"/>
    <w:rsid w:val="0058703D"/>
    <w:rsid w:val="00592509"/>
    <w:rsid w:val="00597B15"/>
    <w:rsid w:val="00597CA7"/>
    <w:rsid w:val="005A044C"/>
    <w:rsid w:val="005A0CF1"/>
    <w:rsid w:val="005A12F4"/>
    <w:rsid w:val="005B5C95"/>
    <w:rsid w:val="005B7D26"/>
    <w:rsid w:val="005C51DC"/>
    <w:rsid w:val="005D0200"/>
    <w:rsid w:val="005D3530"/>
    <w:rsid w:val="005D3870"/>
    <w:rsid w:val="005D44EF"/>
    <w:rsid w:val="005D4814"/>
    <w:rsid w:val="005D5112"/>
    <w:rsid w:val="005D743F"/>
    <w:rsid w:val="005E084C"/>
    <w:rsid w:val="005E4107"/>
    <w:rsid w:val="005F2930"/>
    <w:rsid w:val="005F3914"/>
    <w:rsid w:val="005F3B5A"/>
    <w:rsid w:val="005F6AB4"/>
    <w:rsid w:val="005F7D40"/>
    <w:rsid w:val="00610A66"/>
    <w:rsid w:val="00613177"/>
    <w:rsid w:val="00613F7C"/>
    <w:rsid w:val="00614BF2"/>
    <w:rsid w:val="006208CB"/>
    <w:rsid w:val="00623DE2"/>
    <w:rsid w:val="00627601"/>
    <w:rsid w:val="006300D0"/>
    <w:rsid w:val="00630771"/>
    <w:rsid w:val="00632012"/>
    <w:rsid w:val="00634694"/>
    <w:rsid w:val="00635F9D"/>
    <w:rsid w:val="00636517"/>
    <w:rsid w:val="00637690"/>
    <w:rsid w:val="00640E1E"/>
    <w:rsid w:val="0064389A"/>
    <w:rsid w:val="00645442"/>
    <w:rsid w:val="00645BE1"/>
    <w:rsid w:val="00645E8F"/>
    <w:rsid w:val="006525CD"/>
    <w:rsid w:val="00653F7F"/>
    <w:rsid w:val="006609F5"/>
    <w:rsid w:val="00662EE8"/>
    <w:rsid w:val="00663813"/>
    <w:rsid w:val="00663C3B"/>
    <w:rsid w:val="00664AFD"/>
    <w:rsid w:val="00667567"/>
    <w:rsid w:val="0067391A"/>
    <w:rsid w:val="00674173"/>
    <w:rsid w:val="0067535A"/>
    <w:rsid w:val="0068207B"/>
    <w:rsid w:val="00683CA0"/>
    <w:rsid w:val="00687082"/>
    <w:rsid w:val="00690DB1"/>
    <w:rsid w:val="00693404"/>
    <w:rsid w:val="006953D9"/>
    <w:rsid w:val="006A1AA2"/>
    <w:rsid w:val="006A51B6"/>
    <w:rsid w:val="006A6ECD"/>
    <w:rsid w:val="006B1242"/>
    <w:rsid w:val="006B1DBC"/>
    <w:rsid w:val="006B2E3D"/>
    <w:rsid w:val="006B63B7"/>
    <w:rsid w:val="006B7544"/>
    <w:rsid w:val="006B7D9A"/>
    <w:rsid w:val="006C06D9"/>
    <w:rsid w:val="006C2B83"/>
    <w:rsid w:val="006C5716"/>
    <w:rsid w:val="006C74A9"/>
    <w:rsid w:val="006D07DE"/>
    <w:rsid w:val="006D394E"/>
    <w:rsid w:val="006E06D9"/>
    <w:rsid w:val="006E1D40"/>
    <w:rsid w:val="006E2E1F"/>
    <w:rsid w:val="006F4326"/>
    <w:rsid w:val="006F484A"/>
    <w:rsid w:val="006F5FFF"/>
    <w:rsid w:val="006F6E33"/>
    <w:rsid w:val="006F7AF3"/>
    <w:rsid w:val="007054AA"/>
    <w:rsid w:val="00705637"/>
    <w:rsid w:val="00707B8C"/>
    <w:rsid w:val="00707BD0"/>
    <w:rsid w:val="00710251"/>
    <w:rsid w:val="0071062C"/>
    <w:rsid w:val="00710804"/>
    <w:rsid w:val="00711FC6"/>
    <w:rsid w:val="007130B1"/>
    <w:rsid w:val="00714FCD"/>
    <w:rsid w:val="00715071"/>
    <w:rsid w:val="007200D3"/>
    <w:rsid w:val="007204C2"/>
    <w:rsid w:val="007231E9"/>
    <w:rsid w:val="00727C59"/>
    <w:rsid w:val="00734E5D"/>
    <w:rsid w:val="00736013"/>
    <w:rsid w:val="00737661"/>
    <w:rsid w:val="00741BD0"/>
    <w:rsid w:val="00744464"/>
    <w:rsid w:val="00746744"/>
    <w:rsid w:val="00750594"/>
    <w:rsid w:val="007517BB"/>
    <w:rsid w:val="00753FD0"/>
    <w:rsid w:val="00755D75"/>
    <w:rsid w:val="00756245"/>
    <w:rsid w:val="00761662"/>
    <w:rsid w:val="00764043"/>
    <w:rsid w:val="00773358"/>
    <w:rsid w:val="0077403F"/>
    <w:rsid w:val="00774D2D"/>
    <w:rsid w:val="00775222"/>
    <w:rsid w:val="007757CF"/>
    <w:rsid w:val="00776FFC"/>
    <w:rsid w:val="007770AF"/>
    <w:rsid w:val="0077742C"/>
    <w:rsid w:val="0078128F"/>
    <w:rsid w:val="00782083"/>
    <w:rsid w:val="0078683C"/>
    <w:rsid w:val="00790EDB"/>
    <w:rsid w:val="007913B2"/>
    <w:rsid w:val="00791538"/>
    <w:rsid w:val="0079326E"/>
    <w:rsid w:val="00796EDE"/>
    <w:rsid w:val="007A27A9"/>
    <w:rsid w:val="007A5A58"/>
    <w:rsid w:val="007A6740"/>
    <w:rsid w:val="007B1C56"/>
    <w:rsid w:val="007B1C62"/>
    <w:rsid w:val="007B2A00"/>
    <w:rsid w:val="007B4996"/>
    <w:rsid w:val="007B7717"/>
    <w:rsid w:val="007B7BF2"/>
    <w:rsid w:val="007C15B0"/>
    <w:rsid w:val="007C3CD5"/>
    <w:rsid w:val="007C61EF"/>
    <w:rsid w:val="007D000A"/>
    <w:rsid w:val="007D040D"/>
    <w:rsid w:val="007D1C0D"/>
    <w:rsid w:val="007D2D23"/>
    <w:rsid w:val="007D6B27"/>
    <w:rsid w:val="007E1830"/>
    <w:rsid w:val="007E27D6"/>
    <w:rsid w:val="007E3921"/>
    <w:rsid w:val="007E3BDA"/>
    <w:rsid w:val="007F27CB"/>
    <w:rsid w:val="007F4706"/>
    <w:rsid w:val="007F5B3A"/>
    <w:rsid w:val="00801028"/>
    <w:rsid w:val="00803793"/>
    <w:rsid w:val="008047E9"/>
    <w:rsid w:val="008071C1"/>
    <w:rsid w:val="008149FD"/>
    <w:rsid w:val="00817A01"/>
    <w:rsid w:val="00822ADF"/>
    <w:rsid w:val="00824F9E"/>
    <w:rsid w:val="00825E35"/>
    <w:rsid w:val="008334F8"/>
    <w:rsid w:val="008341AA"/>
    <w:rsid w:val="00835D8E"/>
    <w:rsid w:val="00840A0E"/>
    <w:rsid w:val="00844D03"/>
    <w:rsid w:val="00845151"/>
    <w:rsid w:val="00847B0F"/>
    <w:rsid w:val="00851E11"/>
    <w:rsid w:val="00852111"/>
    <w:rsid w:val="00867411"/>
    <w:rsid w:val="0086781A"/>
    <w:rsid w:val="00876659"/>
    <w:rsid w:val="0087734C"/>
    <w:rsid w:val="00882141"/>
    <w:rsid w:val="00883012"/>
    <w:rsid w:val="00883667"/>
    <w:rsid w:val="008922A8"/>
    <w:rsid w:val="00895BD5"/>
    <w:rsid w:val="008A16C4"/>
    <w:rsid w:val="008A6FED"/>
    <w:rsid w:val="008B39C5"/>
    <w:rsid w:val="008B3FAD"/>
    <w:rsid w:val="008B51AA"/>
    <w:rsid w:val="008B6115"/>
    <w:rsid w:val="008C67F2"/>
    <w:rsid w:val="008D064A"/>
    <w:rsid w:val="008D2B0F"/>
    <w:rsid w:val="008D7986"/>
    <w:rsid w:val="008E3265"/>
    <w:rsid w:val="008E449E"/>
    <w:rsid w:val="008F187F"/>
    <w:rsid w:val="008F3B3A"/>
    <w:rsid w:val="008F402F"/>
    <w:rsid w:val="008F5022"/>
    <w:rsid w:val="008F55FA"/>
    <w:rsid w:val="008F76E8"/>
    <w:rsid w:val="008F7CD0"/>
    <w:rsid w:val="00902902"/>
    <w:rsid w:val="00903AFC"/>
    <w:rsid w:val="009078A1"/>
    <w:rsid w:val="00911E9C"/>
    <w:rsid w:val="00915083"/>
    <w:rsid w:val="00915DFC"/>
    <w:rsid w:val="00917405"/>
    <w:rsid w:val="00920F7C"/>
    <w:rsid w:val="00924CA3"/>
    <w:rsid w:val="00934CAE"/>
    <w:rsid w:val="0094257D"/>
    <w:rsid w:val="00942F60"/>
    <w:rsid w:val="0095467C"/>
    <w:rsid w:val="00954A61"/>
    <w:rsid w:val="00955C6F"/>
    <w:rsid w:val="00966C7B"/>
    <w:rsid w:val="009701DC"/>
    <w:rsid w:val="00970886"/>
    <w:rsid w:val="009715D8"/>
    <w:rsid w:val="009733C7"/>
    <w:rsid w:val="00983350"/>
    <w:rsid w:val="00985139"/>
    <w:rsid w:val="0098543B"/>
    <w:rsid w:val="00985C4B"/>
    <w:rsid w:val="00995BF9"/>
    <w:rsid w:val="009A0CAF"/>
    <w:rsid w:val="009A1474"/>
    <w:rsid w:val="009A2207"/>
    <w:rsid w:val="009A7605"/>
    <w:rsid w:val="009B5CB7"/>
    <w:rsid w:val="009B60A1"/>
    <w:rsid w:val="009B6C42"/>
    <w:rsid w:val="009C6801"/>
    <w:rsid w:val="009D01D0"/>
    <w:rsid w:val="009D31F7"/>
    <w:rsid w:val="009D32C2"/>
    <w:rsid w:val="009D50DB"/>
    <w:rsid w:val="009D6313"/>
    <w:rsid w:val="009E38EA"/>
    <w:rsid w:val="009E3A0A"/>
    <w:rsid w:val="009F3063"/>
    <w:rsid w:val="009F3E91"/>
    <w:rsid w:val="009F4442"/>
    <w:rsid w:val="009F4F18"/>
    <w:rsid w:val="009F5CAD"/>
    <w:rsid w:val="009F6B46"/>
    <w:rsid w:val="009F6CE7"/>
    <w:rsid w:val="00A06ACD"/>
    <w:rsid w:val="00A11C6B"/>
    <w:rsid w:val="00A1225F"/>
    <w:rsid w:val="00A1499B"/>
    <w:rsid w:val="00A159D6"/>
    <w:rsid w:val="00A16DA7"/>
    <w:rsid w:val="00A20879"/>
    <w:rsid w:val="00A314C2"/>
    <w:rsid w:val="00A53155"/>
    <w:rsid w:val="00A63E86"/>
    <w:rsid w:val="00A65A1C"/>
    <w:rsid w:val="00A757C3"/>
    <w:rsid w:val="00A75E5B"/>
    <w:rsid w:val="00A7684A"/>
    <w:rsid w:val="00A76AD9"/>
    <w:rsid w:val="00A77FCF"/>
    <w:rsid w:val="00A82AED"/>
    <w:rsid w:val="00A83B69"/>
    <w:rsid w:val="00A86533"/>
    <w:rsid w:val="00A9176A"/>
    <w:rsid w:val="00A91CA2"/>
    <w:rsid w:val="00A92FB8"/>
    <w:rsid w:val="00A948F1"/>
    <w:rsid w:val="00AA1D7D"/>
    <w:rsid w:val="00AB139D"/>
    <w:rsid w:val="00AB2C46"/>
    <w:rsid w:val="00AB35DA"/>
    <w:rsid w:val="00AB3EFB"/>
    <w:rsid w:val="00AB75D9"/>
    <w:rsid w:val="00AC010B"/>
    <w:rsid w:val="00AC0B05"/>
    <w:rsid w:val="00AD079A"/>
    <w:rsid w:val="00AD1890"/>
    <w:rsid w:val="00AD3F94"/>
    <w:rsid w:val="00AE2149"/>
    <w:rsid w:val="00AE33AE"/>
    <w:rsid w:val="00AE3785"/>
    <w:rsid w:val="00AE3F91"/>
    <w:rsid w:val="00AE452F"/>
    <w:rsid w:val="00AE76E6"/>
    <w:rsid w:val="00AF07BC"/>
    <w:rsid w:val="00AF192C"/>
    <w:rsid w:val="00AF27BD"/>
    <w:rsid w:val="00AF3BEE"/>
    <w:rsid w:val="00AF5706"/>
    <w:rsid w:val="00B039E3"/>
    <w:rsid w:val="00B043C1"/>
    <w:rsid w:val="00B07F0E"/>
    <w:rsid w:val="00B10B5D"/>
    <w:rsid w:val="00B14B06"/>
    <w:rsid w:val="00B2080A"/>
    <w:rsid w:val="00B22838"/>
    <w:rsid w:val="00B237C9"/>
    <w:rsid w:val="00B25D07"/>
    <w:rsid w:val="00B27D01"/>
    <w:rsid w:val="00B30C87"/>
    <w:rsid w:val="00B31466"/>
    <w:rsid w:val="00B31CE4"/>
    <w:rsid w:val="00B32BC1"/>
    <w:rsid w:val="00B331A9"/>
    <w:rsid w:val="00B3355B"/>
    <w:rsid w:val="00B33E95"/>
    <w:rsid w:val="00B3548A"/>
    <w:rsid w:val="00B3708A"/>
    <w:rsid w:val="00B3720B"/>
    <w:rsid w:val="00B40EE3"/>
    <w:rsid w:val="00B4229A"/>
    <w:rsid w:val="00B55271"/>
    <w:rsid w:val="00B5558A"/>
    <w:rsid w:val="00B56513"/>
    <w:rsid w:val="00B56B2E"/>
    <w:rsid w:val="00B607C4"/>
    <w:rsid w:val="00B64376"/>
    <w:rsid w:val="00B70C9D"/>
    <w:rsid w:val="00B7401F"/>
    <w:rsid w:val="00B806C3"/>
    <w:rsid w:val="00B80B59"/>
    <w:rsid w:val="00B84FCA"/>
    <w:rsid w:val="00B9089F"/>
    <w:rsid w:val="00B91AEE"/>
    <w:rsid w:val="00B95F5A"/>
    <w:rsid w:val="00B96175"/>
    <w:rsid w:val="00B963CA"/>
    <w:rsid w:val="00B96EAD"/>
    <w:rsid w:val="00BA78EF"/>
    <w:rsid w:val="00BA79F5"/>
    <w:rsid w:val="00BB02E8"/>
    <w:rsid w:val="00BB3AB6"/>
    <w:rsid w:val="00BB766D"/>
    <w:rsid w:val="00BC007B"/>
    <w:rsid w:val="00BC1649"/>
    <w:rsid w:val="00BC26BA"/>
    <w:rsid w:val="00BC35F8"/>
    <w:rsid w:val="00BC5A08"/>
    <w:rsid w:val="00BD3944"/>
    <w:rsid w:val="00BD40E7"/>
    <w:rsid w:val="00BD7BDF"/>
    <w:rsid w:val="00BE57CE"/>
    <w:rsid w:val="00BE645B"/>
    <w:rsid w:val="00BF376F"/>
    <w:rsid w:val="00BF46A6"/>
    <w:rsid w:val="00BF56BB"/>
    <w:rsid w:val="00BF62CF"/>
    <w:rsid w:val="00BF6329"/>
    <w:rsid w:val="00BF73D6"/>
    <w:rsid w:val="00BF7A40"/>
    <w:rsid w:val="00C01623"/>
    <w:rsid w:val="00C01984"/>
    <w:rsid w:val="00C06545"/>
    <w:rsid w:val="00C1161C"/>
    <w:rsid w:val="00C220FC"/>
    <w:rsid w:val="00C24DFA"/>
    <w:rsid w:val="00C252B3"/>
    <w:rsid w:val="00C253F5"/>
    <w:rsid w:val="00C31E41"/>
    <w:rsid w:val="00C34139"/>
    <w:rsid w:val="00C378CA"/>
    <w:rsid w:val="00C4202A"/>
    <w:rsid w:val="00C465FA"/>
    <w:rsid w:val="00C46A36"/>
    <w:rsid w:val="00C46C5C"/>
    <w:rsid w:val="00C47037"/>
    <w:rsid w:val="00C535D8"/>
    <w:rsid w:val="00C53625"/>
    <w:rsid w:val="00C602C1"/>
    <w:rsid w:val="00C63EA5"/>
    <w:rsid w:val="00C63FC0"/>
    <w:rsid w:val="00C66392"/>
    <w:rsid w:val="00C74C5E"/>
    <w:rsid w:val="00C80FEC"/>
    <w:rsid w:val="00C827A2"/>
    <w:rsid w:val="00C82854"/>
    <w:rsid w:val="00C82B69"/>
    <w:rsid w:val="00C87794"/>
    <w:rsid w:val="00C91B28"/>
    <w:rsid w:val="00C91F3A"/>
    <w:rsid w:val="00C971D2"/>
    <w:rsid w:val="00CA06E3"/>
    <w:rsid w:val="00CB23A3"/>
    <w:rsid w:val="00CB3D4E"/>
    <w:rsid w:val="00CB5797"/>
    <w:rsid w:val="00CC1202"/>
    <w:rsid w:val="00CD09E1"/>
    <w:rsid w:val="00CD6202"/>
    <w:rsid w:val="00CD790D"/>
    <w:rsid w:val="00CE2486"/>
    <w:rsid w:val="00CE4913"/>
    <w:rsid w:val="00CE66BD"/>
    <w:rsid w:val="00CF0671"/>
    <w:rsid w:val="00CF07F1"/>
    <w:rsid w:val="00CF15B3"/>
    <w:rsid w:val="00CF2038"/>
    <w:rsid w:val="00CF44AD"/>
    <w:rsid w:val="00CF4FC0"/>
    <w:rsid w:val="00CF75AC"/>
    <w:rsid w:val="00D103DB"/>
    <w:rsid w:val="00D1072F"/>
    <w:rsid w:val="00D108A5"/>
    <w:rsid w:val="00D11DAC"/>
    <w:rsid w:val="00D14585"/>
    <w:rsid w:val="00D15BDD"/>
    <w:rsid w:val="00D15CE7"/>
    <w:rsid w:val="00D20EFF"/>
    <w:rsid w:val="00D2761F"/>
    <w:rsid w:val="00D30FC0"/>
    <w:rsid w:val="00D34F0D"/>
    <w:rsid w:val="00D3516E"/>
    <w:rsid w:val="00D4064C"/>
    <w:rsid w:val="00D53ED8"/>
    <w:rsid w:val="00D5400E"/>
    <w:rsid w:val="00D60338"/>
    <w:rsid w:val="00D64857"/>
    <w:rsid w:val="00D6493A"/>
    <w:rsid w:val="00D67875"/>
    <w:rsid w:val="00D71CBD"/>
    <w:rsid w:val="00D71E86"/>
    <w:rsid w:val="00D731C6"/>
    <w:rsid w:val="00D743B5"/>
    <w:rsid w:val="00D745C5"/>
    <w:rsid w:val="00D75327"/>
    <w:rsid w:val="00D80C36"/>
    <w:rsid w:val="00D86779"/>
    <w:rsid w:val="00D86EE1"/>
    <w:rsid w:val="00D942FE"/>
    <w:rsid w:val="00D96126"/>
    <w:rsid w:val="00DA10C6"/>
    <w:rsid w:val="00DB4B1C"/>
    <w:rsid w:val="00DB5085"/>
    <w:rsid w:val="00DB7706"/>
    <w:rsid w:val="00DC1062"/>
    <w:rsid w:val="00DC132C"/>
    <w:rsid w:val="00DC2A4F"/>
    <w:rsid w:val="00DD36A6"/>
    <w:rsid w:val="00DD43F0"/>
    <w:rsid w:val="00DD44DE"/>
    <w:rsid w:val="00DE09AB"/>
    <w:rsid w:val="00DE3DC0"/>
    <w:rsid w:val="00DE4A3F"/>
    <w:rsid w:val="00DE5639"/>
    <w:rsid w:val="00DF14BB"/>
    <w:rsid w:val="00DF4367"/>
    <w:rsid w:val="00DF6C1D"/>
    <w:rsid w:val="00E0574A"/>
    <w:rsid w:val="00E1243D"/>
    <w:rsid w:val="00E12742"/>
    <w:rsid w:val="00E146D4"/>
    <w:rsid w:val="00E20976"/>
    <w:rsid w:val="00E22063"/>
    <w:rsid w:val="00E22B44"/>
    <w:rsid w:val="00E24771"/>
    <w:rsid w:val="00E255FE"/>
    <w:rsid w:val="00E30ACD"/>
    <w:rsid w:val="00E32735"/>
    <w:rsid w:val="00E32C8E"/>
    <w:rsid w:val="00E337E9"/>
    <w:rsid w:val="00E42A29"/>
    <w:rsid w:val="00E42D45"/>
    <w:rsid w:val="00E52CD1"/>
    <w:rsid w:val="00E5391D"/>
    <w:rsid w:val="00E56954"/>
    <w:rsid w:val="00E617B5"/>
    <w:rsid w:val="00E63FEE"/>
    <w:rsid w:val="00E66E36"/>
    <w:rsid w:val="00E702ED"/>
    <w:rsid w:val="00E709A4"/>
    <w:rsid w:val="00E73822"/>
    <w:rsid w:val="00E76C2D"/>
    <w:rsid w:val="00E772DB"/>
    <w:rsid w:val="00E81689"/>
    <w:rsid w:val="00E83A3C"/>
    <w:rsid w:val="00E86012"/>
    <w:rsid w:val="00E86BAB"/>
    <w:rsid w:val="00E94E10"/>
    <w:rsid w:val="00E954BD"/>
    <w:rsid w:val="00E96743"/>
    <w:rsid w:val="00E96A42"/>
    <w:rsid w:val="00EA0A36"/>
    <w:rsid w:val="00EA49C5"/>
    <w:rsid w:val="00EB5027"/>
    <w:rsid w:val="00EC1836"/>
    <w:rsid w:val="00EC3990"/>
    <w:rsid w:val="00EC3EDA"/>
    <w:rsid w:val="00EC484B"/>
    <w:rsid w:val="00EC6D2F"/>
    <w:rsid w:val="00ED140A"/>
    <w:rsid w:val="00ED15FA"/>
    <w:rsid w:val="00EE6E9A"/>
    <w:rsid w:val="00EF0BF1"/>
    <w:rsid w:val="00EF2AC4"/>
    <w:rsid w:val="00EF397E"/>
    <w:rsid w:val="00F06A3B"/>
    <w:rsid w:val="00F06F68"/>
    <w:rsid w:val="00F136A5"/>
    <w:rsid w:val="00F1713B"/>
    <w:rsid w:val="00F212CB"/>
    <w:rsid w:val="00F23603"/>
    <w:rsid w:val="00F243DB"/>
    <w:rsid w:val="00F24C2D"/>
    <w:rsid w:val="00F24F1B"/>
    <w:rsid w:val="00F27356"/>
    <w:rsid w:val="00F31609"/>
    <w:rsid w:val="00F32A81"/>
    <w:rsid w:val="00F413CD"/>
    <w:rsid w:val="00F44ACA"/>
    <w:rsid w:val="00F4628C"/>
    <w:rsid w:val="00F4680A"/>
    <w:rsid w:val="00F46998"/>
    <w:rsid w:val="00F47100"/>
    <w:rsid w:val="00F5382D"/>
    <w:rsid w:val="00F53D9C"/>
    <w:rsid w:val="00F5462B"/>
    <w:rsid w:val="00F634AD"/>
    <w:rsid w:val="00F63677"/>
    <w:rsid w:val="00F72BFC"/>
    <w:rsid w:val="00F75B81"/>
    <w:rsid w:val="00F804C4"/>
    <w:rsid w:val="00F82F83"/>
    <w:rsid w:val="00F832E5"/>
    <w:rsid w:val="00F90087"/>
    <w:rsid w:val="00F90F40"/>
    <w:rsid w:val="00F928E9"/>
    <w:rsid w:val="00F92B30"/>
    <w:rsid w:val="00F933B9"/>
    <w:rsid w:val="00F94674"/>
    <w:rsid w:val="00F94919"/>
    <w:rsid w:val="00F94A59"/>
    <w:rsid w:val="00FA1D9E"/>
    <w:rsid w:val="00FA25B6"/>
    <w:rsid w:val="00FA2FAF"/>
    <w:rsid w:val="00FA5CCF"/>
    <w:rsid w:val="00FA64B1"/>
    <w:rsid w:val="00FA70F3"/>
    <w:rsid w:val="00FA71CD"/>
    <w:rsid w:val="00FB0453"/>
    <w:rsid w:val="00FB0C07"/>
    <w:rsid w:val="00FB298D"/>
    <w:rsid w:val="00FC1439"/>
    <w:rsid w:val="00FC3E1B"/>
    <w:rsid w:val="00FC724B"/>
    <w:rsid w:val="00FC7910"/>
    <w:rsid w:val="00FD1A52"/>
    <w:rsid w:val="00FD4DFE"/>
    <w:rsid w:val="00FE40FC"/>
    <w:rsid w:val="00FE531E"/>
    <w:rsid w:val="00FE72A6"/>
    <w:rsid w:val="00FF0B24"/>
    <w:rsid w:val="00FF0DA7"/>
    <w:rsid w:val="00FF44E0"/>
    <w:rsid w:val="00FF5057"/>
    <w:rsid w:val="00FF6C72"/>
    <w:rsid w:val="010F1DA1"/>
    <w:rsid w:val="01170C55"/>
    <w:rsid w:val="01253372"/>
    <w:rsid w:val="012A2737"/>
    <w:rsid w:val="013B4944"/>
    <w:rsid w:val="0153693D"/>
    <w:rsid w:val="016120B4"/>
    <w:rsid w:val="017B2F92"/>
    <w:rsid w:val="017B7436"/>
    <w:rsid w:val="01AF35D1"/>
    <w:rsid w:val="01B15D5D"/>
    <w:rsid w:val="01C17FEF"/>
    <w:rsid w:val="01ED7DBB"/>
    <w:rsid w:val="01EF13EE"/>
    <w:rsid w:val="01F72715"/>
    <w:rsid w:val="02103D94"/>
    <w:rsid w:val="02151EEE"/>
    <w:rsid w:val="021C2189"/>
    <w:rsid w:val="021F4265"/>
    <w:rsid w:val="02364FBB"/>
    <w:rsid w:val="02382C27"/>
    <w:rsid w:val="023F3511"/>
    <w:rsid w:val="024339CB"/>
    <w:rsid w:val="027337B3"/>
    <w:rsid w:val="027D06E5"/>
    <w:rsid w:val="02AE7397"/>
    <w:rsid w:val="02DB6B5E"/>
    <w:rsid w:val="02EC1FFF"/>
    <w:rsid w:val="02F63A2F"/>
    <w:rsid w:val="031054AA"/>
    <w:rsid w:val="03AC7D7B"/>
    <w:rsid w:val="03F762AA"/>
    <w:rsid w:val="03FA518C"/>
    <w:rsid w:val="0404043D"/>
    <w:rsid w:val="040E529A"/>
    <w:rsid w:val="0430275A"/>
    <w:rsid w:val="044C38AB"/>
    <w:rsid w:val="045972F0"/>
    <w:rsid w:val="045B0C31"/>
    <w:rsid w:val="04714C7F"/>
    <w:rsid w:val="04905CE9"/>
    <w:rsid w:val="04B073F7"/>
    <w:rsid w:val="04C866EB"/>
    <w:rsid w:val="04DB2CAD"/>
    <w:rsid w:val="04EFFA1E"/>
    <w:rsid w:val="04F5119C"/>
    <w:rsid w:val="04FA68C4"/>
    <w:rsid w:val="05006369"/>
    <w:rsid w:val="0500742E"/>
    <w:rsid w:val="050F05C1"/>
    <w:rsid w:val="05194546"/>
    <w:rsid w:val="0524576E"/>
    <w:rsid w:val="056A0FA1"/>
    <w:rsid w:val="057D0F55"/>
    <w:rsid w:val="057D520D"/>
    <w:rsid w:val="058A03B9"/>
    <w:rsid w:val="058E754E"/>
    <w:rsid w:val="05A05B06"/>
    <w:rsid w:val="05AC08F7"/>
    <w:rsid w:val="05CA5B9D"/>
    <w:rsid w:val="05CB3411"/>
    <w:rsid w:val="05D30528"/>
    <w:rsid w:val="05D4629F"/>
    <w:rsid w:val="05ED6429"/>
    <w:rsid w:val="066F6244"/>
    <w:rsid w:val="06704764"/>
    <w:rsid w:val="068C0D46"/>
    <w:rsid w:val="069D2BE0"/>
    <w:rsid w:val="06AE5768"/>
    <w:rsid w:val="06B86512"/>
    <w:rsid w:val="06C5217B"/>
    <w:rsid w:val="06F3181D"/>
    <w:rsid w:val="0700034F"/>
    <w:rsid w:val="071F7685"/>
    <w:rsid w:val="0729785D"/>
    <w:rsid w:val="073A3E6D"/>
    <w:rsid w:val="07534192"/>
    <w:rsid w:val="075524D7"/>
    <w:rsid w:val="07924A9B"/>
    <w:rsid w:val="07971970"/>
    <w:rsid w:val="07B45450"/>
    <w:rsid w:val="07B87556"/>
    <w:rsid w:val="07F33DC6"/>
    <w:rsid w:val="085F62D4"/>
    <w:rsid w:val="08935065"/>
    <w:rsid w:val="08B50556"/>
    <w:rsid w:val="08D12F8B"/>
    <w:rsid w:val="08E96A5C"/>
    <w:rsid w:val="08FB60D3"/>
    <w:rsid w:val="0909558F"/>
    <w:rsid w:val="094B2DAC"/>
    <w:rsid w:val="096B4801"/>
    <w:rsid w:val="096B7D90"/>
    <w:rsid w:val="09750C0F"/>
    <w:rsid w:val="097D251D"/>
    <w:rsid w:val="09AB4631"/>
    <w:rsid w:val="09B050CE"/>
    <w:rsid w:val="09B90AFC"/>
    <w:rsid w:val="09BC4A7F"/>
    <w:rsid w:val="09F06C55"/>
    <w:rsid w:val="0A05319E"/>
    <w:rsid w:val="0A314B36"/>
    <w:rsid w:val="0A382368"/>
    <w:rsid w:val="0A8101C3"/>
    <w:rsid w:val="0A913826"/>
    <w:rsid w:val="0AA364AD"/>
    <w:rsid w:val="0AA84591"/>
    <w:rsid w:val="0AAC60CF"/>
    <w:rsid w:val="0AD57BB7"/>
    <w:rsid w:val="0AE60A5A"/>
    <w:rsid w:val="0B224DC6"/>
    <w:rsid w:val="0B6121D2"/>
    <w:rsid w:val="0BDA16AA"/>
    <w:rsid w:val="0BE1330C"/>
    <w:rsid w:val="0BEB5842"/>
    <w:rsid w:val="0BFB1B63"/>
    <w:rsid w:val="0C073878"/>
    <w:rsid w:val="0C410E60"/>
    <w:rsid w:val="0C523489"/>
    <w:rsid w:val="0C7840D0"/>
    <w:rsid w:val="0C8C02F7"/>
    <w:rsid w:val="0CBA5828"/>
    <w:rsid w:val="0CFD51A3"/>
    <w:rsid w:val="0D042714"/>
    <w:rsid w:val="0D225DB0"/>
    <w:rsid w:val="0D2D535E"/>
    <w:rsid w:val="0D40067A"/>
    <w:rsid w:val="0DA93E40"/>
    <w:rsid w:val="0DEE10BE"/>
    <w:rsid w:val="0DF43E62"/>
    <w:rsid w:val="0E100F06"/>
    <w:rsid w:val="0E1D481D"/>
    <w:rsid w:val="0E296B84"/>
    <w:rsid w:val="0E4378B3"/>
    <w:rsid w:val="0E763583"/>
    <w:rsid w:val="0EA35954"/>
    <w:rsid w:val="0EB65F51"/>
    <w:rsid w:val="0EC95C9F"/>
    <w:rsid w:val="0EDA2EEF"/>
    <w:rsid w:val="0EE24651"/>
    <w:rsid w:val="0F026827"/>
    <w:rsid w:val="0F4379B4"/>
    <w:rsid w:val="0F4C0664"/>
    <w:rsid w:val="0FABE9D7"/>
    <w:rsid w:val="0FB86AA7"/>
    <w:rsid w:val="0FBD6F4C"/>
    <w:rsid w:val="0FD22F70"/>
    <w:rsid w:val="0FF24D67"/>
    <w:rsid w:val="0FFB6D66"/>
    <w:rsid w:val="101431DE"/>
    <w:rsid w:val="10227A07"/>
    <w:rsid w:val="102A1392"/>
    <w:rsid w:val="10301866"/>
    <w:rsid w:val="10315CA7"/>
    <w:rsid w:val="10585B65"/>
    <w:rsid w:val="106221A3"/>
    <w:rsid w:val="10CB64C5"/>
    <w:rsid w:val="10ED48D3"/>
    <w:rsid w:val="10F20D97"/>
    <w:rsid w:val="1111121D"/>
    <w:rsid w:val="111F3E95"/>
    <w:rsid w:val="1127517E"/>
    <w:rsid w:val="11323A31"/>
    <w:rsid w:val="11570667"/>
    <w:rsid w:val="11687E88"/>
    <w:rsid w:val="11763776"/>
    <w:rsid w:val="118045F5"/>
    <w:rsid w:val="118E6D12"/>
    <w:rsid w:val="11A46535"/>
    <w:rsid w:val="11A80D47"/>
    <w:rsid w:val="11CF379D"/>
    <w:rsid w:val="11DC78F9"/>
    <w:rsid w:val="120E4F7C"/>
    <w:rsid w:val="121F78C4"/>
    <w:rsid w:val="122431D2"/>
    <w:rsid w:val="12586C88"/>
    <w:rsid w:val="12730B93"/>
    <w:rsid w:val="12902F6B"/>
    <w:rsid w:val="12AE187B"/>
    <w:rsid w:val="12B271C9"/>
    <w:rsid w:val="12C66037"/>
    <w:rsid w:val="12F20B40"/>
    <w:rsid w:val="13114A30"/>
    <w:rsid w:val="135342BD"/>
    <w:rsid w:val="13557AC5"/>
    <w:rsid w:val="136918E7"/>
    <w:rsid w:val="137B1159"/>
    <w:rsid w:val="138076CE"/>
    <w:rsid w:val="13EF1094"/>
    <w:rsid w:val="13EF58FB"/>
    <w:rsid w:val="14293E20"/>
    <w:rsid w:val="1442047D"/>
    <w:rsid w:val="146855F8"/>
    <w:rsid w:val="1471073F"/>
    <w:rsid w:val="147D5F29"/>
    <w:rsid w:val="148A09C2"/>
    <w:rsid w:val="14B02E00"/>
    <w:rsid w:val="14DE7B68"/>
    <w:rsid w:val="14F803DE"/>
    <w:rsid w:val="14FC21E4"/>
    <w:rsid w:val="150F2E19"/>
    <w:rsid w:val="15282F5D"/>
    <w:rsid w:val="154C6CC8"/>
    <w:rsid w:val="155305B7"/>
    <w:rsid w:val="157042B8"/>
    <w:rsid w:val="157C762B"/>
    <w:rsid w:val="15923843"/>
    <w:rsid w:val="1596722A"/>
    <w:rsid w:val="15BB6210"/>
    <w:rsid w:val="15DE21ED"/>
    <w:rsid w:val="15F72A6C"/>
    <w:rsid w:val="165A2044"/>
    <w:rsid w:val="16640041"/>
    <w:rsid w:val="166762DE"/>
    <w:rsid w:val="166B13D0"/>
    <w:rsid w:val="16730284"/>
    <w:rsid w:val="16930926"/>
    <w:rsid w:val="16A14DF1"/>
    <w:rsid w:val="16FC651F"/>
    <w:rsid w:val="173537D5"/>
    <w:rsid w:val="17635248"/>
    <w:rsid w:val="17C606A0"/>
    <w:rsid w:val="17C90A93"/>
    <w:rsid w:val="182E4A5F"/>
    <w:rsid w:val="183432DB"/>
    <w:rsid w:val="185E19C0"/>
    <w:rsid w:val="18602A8A"/>
    <w:rsid w:val="186D2DAD"/>
    <w:rsid w:val="18820C52"/>
    <w:rsid w:val="18AD2A16"/>
    <w:rsid w:val="18BD7BD0"/>
    <w:rsid w:val="18E13BCB"/>
    <w:rsid w:val="18EE0096"/>
    <w:rsid w:val="190E24E6"/>
    <w:rsid w:val="191F04B0"/>
    <w:rsid w:val="19234009"/>
    <w:rsid w:val="19AE222D"/>
    <w:rsid w:val="19BF0CE4"/>
    <w:rsid w:val="19CF4FDE"/>
    <w:rsid w:val="19E144CF"/>
    <w:rsid w:val="19FE2C0F"/>
    <w:rsid w:val="1A361BB4"/>
    <w:rsid w:val="1A3751AB"/>
    <w:rsid w:val="1A3F5676"/>
    <w:rsid w:val="1A4D1FC0"/>
    <w:rsid w:val="1A4F7424"/>
    <w:rsid w:val="1A722DDD"/>
    <w:rsid w:val="1A8817AA"/>
    <w:rsid w:val="1AA42C91"/>
    <w:rsid w:val="1AB11059"/>
    <w:rsid w:val="1AC2012B"/>
    <w:rsid w:val="1AC83E8D"/>
    <w:rsid w:val="1AD05CA5"/>
    <w:rsid w:val="1AD67E21"/>
    <w:rsid w:val="1AF8060F"/>
    <w:rsid w:val="1AFB36BE"/>
    <w:rsid w:val="1AFC1232"/>
    <w:rsid w:val="1B154000"/>
    <w:rsid w:val="1B613294"/>
    <w:rsid w:val="1BCF41AF"/>
    <w:rsid w:val="1BD86ABB"/>
    <w:rsid w:val="1BDB3E45"/>
    <w:rsid w:val="1C2A75A8"/>
    <w:rsid w:val="1C572903"/>
    <w:rsid w:val="1C8651B5"/>
    <w:rsid w:val="1C8B33CB"/>
    <w:rsid w:val="1C9D42AD"/>
    <w:rsid w:val="1CD33C78"/>
    <w:rsid w:val="1CEF0653"/>
    <w:rsid w:val="1D1633DB"/>
    <w:rsid w:val="1D3028A5"/>
    <w:rsid w:val="1D653FD5"/>
    <w:rsid w:val="1D862F93"/>
    <w:rsid w:val="1D9236E6"/>
    <w:rsid w:val="1D931E0A"/>
    <w:rsid w:val="1DB14C98"/>
    <w:rsid w:val="1DE6D2DE"/>
    <w:rsid w:val="1E0B65F8"/>
    <w:rsid w:val="1E79668E"/>
    <w:rsid w:val="1EAE49C7"/>
    <w:rsid w:val="1F4B3F19"/>
    <w:rsid w:val="1F58571C"/>
    <w:rsid w:val="1F614D81"/>
    <w:rsid w:val="1F7547FB"/>
    <w:rsid w:val="1FC972B5"/>
    <w:rsid w:val="1FCF54B9"/>
    <w:rsid w:val="1FED0B4E"/>
    <w:rsid w:val="1FF4147B"/>
    <w:rsid w:val="1FF561AE"/>
    <w:rsid w:val="201B1917"/>
    <w:rsid w:val="20256A93"/>
    <w:rsid w:val="2033565F"/>
    <w:rsid w:val="204D7D98"/>
    <w:rsid w:val="2059498F"/>
    <w:rsid w:val="20710D0B"/>
    <w:rsid w:val="20786F8B"/>
    <w:rsid w:val="20946051"/>
    <w:rsid w:val="20B34C6B"/>
    <w:rsid w:val="20C302C5"/>
    <w:rsid w:val="20D568F7"/>
    <w:rsid w:val="20E71C8B"/>
    <w:rsid w:val="20EC135F"/>
    <w:rsid w:val="212F42EC"/>
    <w:rsid w:val="213B1AA3"/>
    <w:rsid w:val="21763A79"/>
    <w:rsid w:val="2193532F"/>
    <w:rsid w:val="21C34E85"/>
    <w:rsid w:val="21C67DF7"/>
    <w:rsid w:val="21D81213"/>
    <w:rsid w:val="21E253A6"/>
    <w:rsid w:val="22262F09"/>
    <w:rsid w:val="2228286B"/>
    <w:rsid w:val="224C6559"/>
    <w:rsid w:val="226E2973"/>
    <w:rsid w:val="228E23A6"/>
    <w:rsid w:val="22BD058C"/>
    <w:rsid w:val="22C32593"/>
    <w:rsid w:val="22CC3F58"/>
    <w:rsid w:val="22D77F26"/>
    <w:rsid w:val="22FD1E5A"/>
    <w:rsid w:val="23051DB7"/>
    <w:rsid w:val="231F1703"/>
    <w:rsid w:val="23221B80"/>
    <w:rsid w:val="2329538E"/>
    <w:rsid w:val="237648E2"/>
    <w:rsid w:val="23810484"/>
    <w:rsid w:val="23900769"/>
    <w:rsid w:val="23AC3027"/>
    <w:rsid w:val="23B55F2B"/>
    <w:rsid w:val="23D031BA"/>
    <w:rsid w:val="23FC534D"/>
    <w:rsid w:val="2460234C"/>
    <w:rsid w:val="247C2D8F"/>
    <w:rsid w:val="248539D2"/>
    <w:rsid w:val="2496467F"/>
    <w:rsid w:val="24B34650"/>
    <w:rsid w:val="25075369"/>
    <w:rsid w:val="251004E8"/>
    <w:rsid w:val="2513335E"/>
    <w:rsid w:val="25164BFC"/>
    <w:rsid w:val="251B0465"/>
    <w:rsid w:val="251E609F"/>
    <w:rsid w:val="25271C7B"/>
    <w:rsid w:val="256924E9"/>
    <w:rsid w:val="258B0549"/>
    <w:rsid w:val="25A65A51"/>
    <w:rsid w:val="25B51460"/>
    <w:rsid w:val="25CF51D2"/>
    <w:rsid w:val="25D02118"/>
    <w:rsid w:val="26375264"/>
    <w:rsid w:val="26451C3D"/>
    <w:rsid w:val="269F02EF"/>
    <w:rsid w:val="26D952E4"/>
    <w:rsid w:val="26EB5173"/>
    <w:rsid w:val="26FA337A"/>
    <w:rsid w:val="271A10DF"/>
    <w:rsid w:val="271D6716"/>
    <w:rsid w:val="27287C98"/>
    <w:rsid w:val="27403895"/>
    <w:rsid w:val="27565784"/>
    <w:rsid w:val="27637353"/>
    <w:rsid w:val="27657645"/>
    <w:rsid w:val="27932534"/>
    <w:rsid w:val="27AE7257"/>
    <w:rsid w:val="27C135C1"/>
    <w:rsid w:val="27D172E0"/>
    <w:rsid w:val="27DA2C46"/>
    <w:rsid w:val="285048C9"/>
    <w:rsid w:val="286C07DA"/>
    <w:rsid w:val="289F3105"/>
    <w:rsid w:val="28F21994"/>
    <w:rsid w:val="29023E15"/>
    <w:rsid w:val="292B04CC"/>
    <w:rsid w:val="29493A78"/>
    <w:rsid w:val="295C2DFA"/>
    <w:rsid w:val="296F6E5A"/>
    <w:rsid w:val="29710F8A"/>
    <w:rsid w:val="298C7B83"/>
    <w:rsid w:val="29986528"/>
    <w:rsid w:val="29AC3D81"/>
    <w:rsid w:val="29B643EE"/>
    <w:rsid w:val="29BA1071"/>
    <w:rsid w:val="29BB3F92"/>
    <w:rsid w:val="29C54E43"/>
    <w:rsid w:val="29E51916"/>
    <w:rsid w:val="2A0F3FB0"/>
    <w:rsid w:val="2A300EB8"/>
    <w:rsid w:val="2A35412F"/>
    <w:rsid w:val="2A573E05"/>
    <w:rsid w:val="2A835621"/>
    <w:rsid w:val="2A8A61F7"/>
    <w:rsid w:val="2ADE6B4A"/>
    <w:rsid w:val="2AE06F36"/>
    <w:rsid w:val="2B2D2CA0"/>
    <w:rsid w:val="2B472907"/>
    <w:rsid w:val="2B7F538B"/>
    <w:rsid w:val="2BB60EE7"/>
    <w:rsid w:val="2BBA59CC"/>
    <w:rsid w:val="2BBFAB6C"/>
    <w:rsid w:val="2BE12008"/>
    <w:rsid w:val="2BF92F32"/>
    <w:rsid w:val="2BFB406D"/>
    <w:rsid w:val="2C4320AD"/>
    <w:rsid w:val="2C46226B"/>
    <w:rsid w:val="2C646E3E"/>
    <w:rsid w:val="2CA11929"/>
    <w:rsid w:val="2CA551DA"/>
    <w:rsid w:val="2CA62D0A"/>
    <w:rsid w:val="2CCE01D6"/>
    <w:rsid w:val="2CFA1613"/>
    <w:rsid w:val="2D1F29FA"/>
    <w:rsid w:val="2D2C26E6"/>
    <w:rsid w:val="2D3C541C"/>
    <w:rsid w:val="2D3E1194"/>
    <w:rsid w:val="2D503240"/>
    <w:rsid w:val="2D6B7B04"/>
    <w:rsid w:val="2DB77A10"/>
    <w:rsid w:val="2DBA114A"/>
    <w:rsid w:val="2DBA2F11"/>
    <w:rsid w:val="2DCD5993"/>
    <w:rsid w:val="2DD7283F"/>
    <w:rsid w:val="2DE3321F"/>
    <w:rsid w:val="2DED5FB6"/>
    <w:rsid w:val="2E79764E"/>
    <w:rsid w:val="2EA64F2E"/>
    <w:rsid w:val="2EB2322D"/>
    <w:rsid w:val="2EB77450"/>
    <w:rsid w:val="2EFB2629"/>
    <w:rsid w:val="2F0E519C"/>
    <w:rsid w:val="2F115822"/>
    <w:rsid w:val="2F290682"/>
    <w:rsid w:val="2F2B74F6"/>
    <w:rsid w:val="2F3C7955"/>
    <w:rsid w:val="2F4A02C4"/>
    <w:rsid w:val="2F6509D0"/>
    <w:rsid w:val="2F995607"/>
    <w:rsid w:val="2FB947ED"/>
    <w:rsid w:val="2FCE3EB5"/>
    <w:rsid w:val="2FED1391"/>
    <w:rsid w:val="2FFFA932"/>
    <w:rsid w:val="300541EB"/>
    <w:rsid w:val="301343BA"/>
    <w:rsid w:val="3034062C"/>
    <w:rsid w:val="30414B62"/>
    <w:rsid w:val="30430CA1"/>
    <w:rsid w:val="30474804"/>
    <w:rsid w:val="304D4D93"/>
    <w:rsid w:val="30527936"/>
    <w:rsid w:val="305828BA"/>
    <w:rsid w:val="30594760"/>
    <w:rsid w:val="3076603D"/>
    <w:rsid w:val="30AE38E8"/>
    <w:rsid w:val="30C21AE7"/>
    <w:rsid w:val="30DA11D4"/>
    <w:rsid w:val="30EC4E9A"/>
    <w:rsid w:val="30F43803"/>
    <w:rsid w:val="30F77150"/>
    <w:rsid w:val="31197F4E"/>
    <w:rsid w:val="31232434"/>
    <w:rsid w:val="3132141C"/>
    <w:rsid w:val="31334AC6"/>
    <w:rsid w:val="31543F3A"/>
    <w:rsid w:val="31585844"/>
    <w:rsid w:val="317A4765"/>
    <w:rsid w:val="31C20277"/>
    <w:rsid w:val="31C809E6"/>
    <w:rsid w:val="321720DE"/>
    <w:rsid w:val="3218123E"/>
    <w:rsid w:val="32190491"/>
    <w:rsid w:val="32643A85"/>
    <w:rsid w:val="32667020"/>
    <w:rsid w:val="32702C04"/>
    <w:rsid w:val="327515D8"/>
    <w:rsid w:val="329B497D"/>
    <w:rsid w:val="32A25A3B"/>
    <w:rsid w:val="32AB0692"/>
    <w:rsid w:val="32B545C0"/>
    <w:rsid w:val="32D700C1"/>
    <w:rsid w:val="32E53291"/>
    <w:rsid w:val="33122EA7"/>
    <w:rsid w:val="331533CF"/>
    <w:rsid w:val="332848FF"/>
    <w:rsid w:val="333170A5"/>
    <w:rsid w:val="333755A9"/>
    <w:rsid w:val="334223E0"/>
    <w:rsid w:val="33587D99"/>
    <w:rsid w:val="336B3E69"/>
    <w:rsid w:val="33814F8D"/>
    <w:rsid w:val="33857B1D"/>
    <w:rsid w:val="339A650A"/>
    <w:rsid w:val="33CB02F8"/>
    <w:rsid w:val="34037804"/>
    <w:rsid w:val="34041F1A"/>
    <w:rsid w:val="341A3EBD"/>
    <w:rsid w:val="342F5CDB"/>
    <w:rsid w:val="343706EB"/>
    <w:rsid w:val="345C74F2"/>
    <w:rsid w:val="34703188"/>
    <w:rsid w:val="34B6208F"/>
    <w:rsid w:val="34BD4190"/>
    <w:rsid w:val="34BF01E0"/>
    <w:rsid w:val="34C5219B"/>
    <w:rsid w:val="34CB3182"/>
    <w:rsid w:val="34D707D6"/>
    <w:rsid w:val="35085D0E"/>
    <w:rsid w:val="3511441F"/>
    <w:rsid w:val="35164520"/>
    <w:rsid w:val="356B4AF0"/>
    <w:rsid w:val="357725E6"/>
    <w:rsid w:val="357F9A1B"/>
    <w:rsid w:val="35CA5890"/>
    <w:rsid w:val="35D96C73"/>
    <w:rsid w:val="35F5085E"/>
    <w:rsid w:val="36146F36"/>
    <w:rsid w:val="362D4E42"/>
    <w:rsid w:val="369858BF"/>
    <w:rsid w:val="369E291D"/>
    <w:rsid w:val="36B6389F"/>
    <w:rsid w:val="36DA2C22"/>
    <w:rsid w:val="36EC3A0F"/>
    <w:rsid w:val="36F76C40"/>
    <w:rsid w:val="371371EE"/>
    <w:rsid w:val="37264343"/>
    <w:rsid w:val="37445638"/>
    <w:rsid w:val="37450E5C"/>
    <w:rsid w:val="37500442"/>
    <w:rsid w:val="3777FF18"/>
    <w:rsid w:val="37A61E10"/>
    <w:rsid w:val="37B60EBC"/>
    <w:rsid w:val="37C2431F"/>
    <w:rsid w:val="37C56917"/>
    <w:rsid w:val="37C84E9C"/>
    <w:rsid w:val="37CF55FF"/>
    <w:rsid w:val="37F7EBB5"/>
    <w:rsid w:val="380357AD"/>
    <w:rsid w:val="38304C62"/>
    <w:rsid w:val="3834542A"/>
    <w:rsid w:val="38374672"/>
    <w:rsid w:val="383A69FC"/>
    <w:rsid w:val="38483101"/>
    <w:rsid w:val="38573137"/>
    <w:rsid w:val="386E18A2"/>
    <w:rsid w:val="387376AD"/>
    <w:rsid w:val="387D5955"/>
    <w:rsid w:val="389B098A"/>
    <w:rsid w:val="389D0A70"/>
    <w:rsid w:val="38A04AB1"/>
    <w:rsid w:val="38C31804"/>
    <w:rsid w:val="38C509BB"/>
    <w:rsid w:val="38D05821"/>
    <w:rsid w:val="38E56968"/>
    <w:rsid w:val="38EF28D7"/>
    <w:rsid w:val="38F52E00"/>
    <w:rsid w:val="39363667"/>
    <w:rsid w:val="39534219"/>
    <w:rsid w:val="395378E5"/>
    <w:rsid w:val="397C2DC6"/>
    <w:rsid w:val="397D01FC"/>
    <w:rsid w:val="397D2699"/>
    <w:rsid w:val="398048E2"/>
    <w:rsid w:val="39950D50"/>
    <w:rsid w:val="39C74D52"/>
    <w:rsid w:val="39D224BA"/>
    <w:rsid w:val="39E12279"/>
    <w:rsid w:val="39F30BFB"/>
    <w:rsid w:val="3A0720D5"/>
    <w:rsid w:val="3A1005E3"/>
    <w:rsid w:val="3A1F5EA9"/>
    <w:rsid w:val="3A2C2CB0"/>
    <w:rsid w:val="3A3047A5"/>
    <w:rsid w:val="3A3A65D2"/>
    <w:rsid w:val="3A447A1F"/>
    <w:rsid w:val="3A4B643A"/>
    <w:rsid w:val="3A8C23C1"/>
    <w:rsid w:val="3A9A444B"/>
    <w:rsid w:val="3AE838BC"/>
    <w:rsid w:val="3AF636FA"/>
    <w:rsid w:val="3AF954DC"/>
    <w:rsid w:val="3AFB06C4"/>
    <w:rsid w:val="3B2A71FC"/>
    <w:rsid w:val="3B2C4D22"/>
    <w:rsid w:val="3B68689B"/>
    <w:rsid w:val="3B9DC9AF"/>
    <w:rsid w:val="3BBA40DC"/>
    <w:rsid w:val="3BD038FF"/>
    <w:rsid w:val="3BF35840"/>
    <w:rsid w:val="3BF6BE16"/>
    <w:rsid w:val="3C770C51"/>
    <w:rsid w:val="3C86556E"/>
    <w:rsid w:val="3C9C1EDC"/>
    <w:rsid w:val="3CA20495"/>
    <w:rsid w:val="3CA871F1"/>
    <w:rsid w:val="3CAF6B4F"/>
    <w:rsid w:val="3CE157CC"/>
    <w:rsid w:val="3CF45AB1"/>
    <w:rsid w:val="3D0F5AAB"/>
    <w:rsid w:val="3D270A63"/>
    <w:rsid w:val="3D3251B2"/>
    <w:rsid w:val="3D63216E"/>
    <w:rsid w:val="3D864DFE"/>
    <w:rsid w:val="3D9A2531"/>
    <w:rsid w:val="3DA204A8"/>
    <w:rsid w:val="3DAE01CF"/>
    <w:rsid w:val="3DCC6A70"/>
    <w:rsid w:val="3DEFA476"/>
    <w:rsid w:val="3E0D0E3B"/>
    <w:rsid w:val="3E1201FF"/>
    <w:rsid w:val="3E3FFB3A"/>
    <w:rsid w:val="3E4B70C0"/>
    <w:rsid w:val="3E5D7C39"/>
    <w:rsid w:val="3E5F0359"/>
    <w:rsid w:val="3E791810"/>
    <w:rsid w:val="3E7D478B"/>
    <w:rsid w:val="3E941710"/>
    <w:rsid w:val="3E9A6D2D"/>
    <w:rsid w:val="3EAC1033"/>
    <w:rsid w:val="3EB33728"/>
    <w:rsid w:val="3EFF799A"/>
    <w:rsid w:val="3F147BD8"/>
    <w:rsid w:val="3F204B9E"/>
    <w:rsid w:val="3F2E35FA"/>
    <w:rsid w:val="3F440A6D"/>
    <w:rsid w:val="3F6031EC"/>
    <w:rsid w:val="3F6128A3"/>
    <w:rsid w:val="3F7C1A35"/>
    <w:rsid w:val="3F876C14"/>
    <w:rsid w:val="3F8C2233"/>
    <w:rsid w:val="3FB3A5CF"/>
    <w:rsid w:val="3FB9DFF0"/>
    <w:rsid w:val="3FBE1F95"/>
    <w:rsid w:val="3FE92E75"/>
    <w:rsid w:val="3FEF85C2"/>
    <w:rsid w:val="3FF80B59"/>
    <w:rsid w:val="4001306B"/>
    <w:rsid w:val="40273D0A"/>
    <w:rsid w:val="40320F75"/>
    <w:rsid w:val="40BC08F6"/>
    <w:rsid w:val="40E20CEC"/>
    <w:rsid w:val="40F3031D"/>
    <w:rsid w:val="40F45C25"/>
    <w:rsid w:val="412464F4"/>
    <w:rsid w:val="412874F2"/>
    <w:rsid w:val="413C03C9"/>
    <w:rsid w:val="41594397"/>
    <w:rsid w:val="41651F0D"/>
    <w:rsid w:val="416556F9"/>
    <w:rsid w:val="4171334E"/>
    <w:rsid w:val="418F4508"/>
    <w:rsid w:val="41C25A06"/>
    <w:rsid w:val="41D50910"/>
    <w:rsid w:val="41DB4DAC"/>
    <w:rsid w:val="42350960"/>
    <w:rsid w:val="42397D6D"/>
    <w:rsid w:val="425A0117"/>
    <w:rsid w:val="42F83EEA"/>
    <w:rsid w:val="43100A85"/>
    <w:rsid w:val="432664FB"/>
    <w:rsid w:val="43334BED"/>
    <w:rsid w:val="434F5A51"/>
    <w:rsid w:val="43647127"/>
    <w:rsid w:val="43771229"/>
    <w:rsid w:val="43C26ECE"/>
    <w:rsid w:val="43C91C91"/>
    <w:rsid w:val="43E86F4C"/>
    <w:rsid w:val="441578FA"/>
    <w:rsid w:val="441F0B16"/>
    <w:rsid w:val="4496304A"/>
    <w:rsid w:val="44A517DD"/>
    <w:rsid w:val="44A818BD"/>
    <w:rsid w:val="44AA1EA1"/>
    <w:rsid w:val="45036AF3"/>
    <w:rsid w:val="45487A8E"/>
    <w:rsid w:val="454F300E"/>
    <w:rsid w:val="4568227F"/>
    <w:rsid w:val="457A3D23"/>
    <w:rsid w:val="45877724"/>
    <w:rsid w:val="45997458"/>
    <w:rsid w:val="45A8769B"/>
    <w:rsid w:val="45BA4E3B"/>
    <w:rsid w:val="45C14613"/>
    <w:rsid w:val="45E14209"/>
    <w:rsid w:val="45EC556F"/>
    <w:rsid w:val="45F656FE"/>
    <w:rsid w:val="4612476D"/>
    <w:rsid w:val="461B6D11"/>
    <w:rsid w:val="461D3BE5"/>
    <w:rsid w:val="462A180E"/>
    <w:rsid w:val="46353667"/>
    <w:rsid w:val="4698326B"/>
    <w:rsid w:val="469FBF30"/>
    <w:rsid w:val="470B4500"/>
    <w:rsid w:val="473C166C"/>
    <w:rsid w:val="474C7367"/>
    <w:rsid w:val="47770852"/>
    <w:rsid w:val="478D4D9A"/>
    <w:rsid w:val="47995B9E"/>
    <w:rsid w:val="47AA14E5"/>
    <w:rsid w:val="47AD4F03"/>
    <w:rsid w:val="47B55E81"/>
    <w:rsid w:val="47CA72BB"/>
    <w:rsid w:val="47E937D8"/>
    <w:rsid w:val="48126A4D"/>
    <w:rsid w:val="4820238E"/>
    <w:rsid w:val="484E5585"/>
    <w:rsid w:val="486E0728"/>
    <w:rsid w:val="48971D34"/>
    <w:rsid w:val="491267DF"/>
    <w:rsid w:val="491C0184"/>
    <w:rsid w:val="49226F0A"/>
    <w:rsid w:val="49362D3A"/>
    <w:rsid w:val="49557B3A"/>
    <w:rsid w:val="495F603B"/>
    <w:rsid w:val="498B57D8"/>
    <w:rsid w:val="49B303BC"/>
    <w:rsid w:val="49BB05BF"/>
    <w:rsid w:val="49C75EDA"/>
    <w:rsid w:val="49DE0A5E"/>
    <w:rsid w:val="4A0278B7"/>
    <w:rsid w:val="4A0B01F8"/>
    <w:rsid w:val="4A2F5729"/>
    <w:rsid w:val="4A3D1B6F"/>
    <w:rsid w:val="4A47036A"/>
    <w:rsid w:val="4ACD3F08"/>
    <w:rsid w:val="4B0215FB"/>
    <w:rsid w:val="4B233854"/>
    <w:rsid w:val="4B4A2CEC"/>
    <w:rsid w:val="4B575558"/>
    <w:rsid w:val="4B5856BF"/>
    <w:rsid w:val="4B5A0EBE"/>
    <w:rsid w:val="4B613429"/>
    <w:rsid w:val="4B7859A5"/>
    <w:rsid w:val="4B7A0ABE"/>
    <w:rsid w:val="4B960E56"/>
    <w:rsid w:val="4BD258F2"/>
    <w:rsid w:val="4BF3033F"/>
    <w:rsid w:val="4BF52F0E"/>
    <w:rsid w:val="4C1E2465"/>
    <w:rsid w:val="4C5275FC"/>
    <w:rsid w:val="4C5C55AD"/>
    <w:rsid w:val="4C6E1FFB"/>
    <w:rsid w:val="4CB15087"/>
    <w:rsid w:val="4CC052CA"/>
    <w:rsid w:val="4D111FCA"/>
    <w:rsid w:val="4D5C3A5E"/>
    <w:rsid w:val="4D72244E"/>
    <w:rsid w:val="4D7240AF"/>
    <w:rsid w:val="4D9F1383"/>
    <w:rsid w:val="4DB73221"/>
    <w:rsid w:val="4DCB2178"/>
    <w:rsid w:val="4E17245D"/>
    <w:rsid w:val="4E5D1AB9"/>
    <w:rsid w:val="4E6B7E80"/>
    <w:rsid w:val="4E6D1139"/>
    <w:rsid w:val="4EBD4EA8"/>
    <w:rsid w:val="4EDD2F44"/>
    <w:rsid w:val="4EFE0E3F"/>
    <w:rsid w:val="4F295E53"/>
    <w:rsid w:val="4F3729BF"/>
    <w:rsid w:val="4F883DEB"/>
    <w:rsid w:val="4F8C0F11"/>
    <w:rsid w:val="4F97214F"/>
    <w:rsid w:val="4FB235F0"/>
    <w:rsid w:val="4FBE8714"/>
    <w:rsid w:val="4FD30759"/>
    <w:rsid w:val="4FDB1F74"/>
    <w:rsid w:val="4FEF2B17"/>
    <w:rsid w:val="4FF57F4D"/>
    <w:rsid w:val="50153B7F"/>
    <w:rsid w:val="501B52E3"/>
    <w:rsid w:val="50206A09"/>
    <w:rsid w:val="503404A9"/>
    <w:rsid w:val="503E4A83"/>
    <w:rsid w:val="50577CF3"/>
    <w:rsid w:val="506A2AFE"/>
    <w:rsid w:val="50B1634E"/>
    <w:rsid w:val="50EA5EA6"/>
    <w:rsid w:val="50F44BFF"/>
    <w:rsid w:val="5114119C"/>
    <w:rsid w:val="51156C3B"/>
    <w:rsid w:val="51452242"/>
    <w:rsid w:val="5179477F"/>
    <w:rsid w:val="517B1EA6"/>
    <w:rsid w:val="518F07D2"/>
    <w:rsid w:val="51A20865"/>
    <w:rsid w:val="51B04CD5"/>
    <w:rsid w:val="522220BC"/>
    <w:rsid w:val="522B1438"/>
    <w:rsid w:val="527C6137"/>
    <w:rsid w:val="52A64F11"/>
    <w:rsid w:val="52A65DDA"/>
    <w:rsid w:val="52D15A02"/>
    <w:rsid w:val="52DE64B1"/>
    <w:rsid w:val="52E0059C"/>
    <w:rsid w:val="52E23FE1"/>
    <w:rsid w:val="537D2167"/>
    <w:rsid w:val="53E57C5E"/>
    <w:rsid w:val="54025A06"/>
    <w:rsid w:val="546450D5"/>
    <w:rsid w:val="54AF2286"/>
    <w:rsid w:val="54B55930"/>
    <w:rsid w:val="54B813E9"/>
    <w:rsid w:val="54CD4A28"/>
    <w:rsid w:val="54E47D1B"/>
    <w:rsid w:val="54EC5ACF"/>
    <w:rsid w:val="551F124E"/>
    <w:rsid w:val="5529361E"/>
    <w:rsid w:val="5560764A"/>
    <w:rsid w:val="557773FB"/>
    <w:rsid w:val="55903F90"/>
    <w:rsid w:val="55B94FAC"/>
    <w:rsid w:val="561F12B3"/>
    <w:rsid w:val="56366476"/>
    <w:rsid w:val="56885723"/>
    <w:rsid w:val="56BD3C46"/>
    <w:rsid w:val="56DA5E47"/>
    <w:rsid w:val="57030BD5"/>
    <w:rsid w:val="571A55FE"/>
    <w:rsid w:val="572C6D7D"/>
    <w:rsid w:val="575A7E5A"/>
    <w:rsid w:val="5762BC0C"/>
    <w:rsid w:val="5766B936"/>
    <w:rsid w:val="57733075"/>
    <w:rsid w:val="577F4CFA"/>
    <w:rsid w:val="57A22D8A"/>
    <w:rsid w:val="57AA49DE"/>
    <w:rsid w:val="57C609EB"/>
    <w:rsid w:val="57D568F2"/>
    <w:rsid w:val="57E67CBF"/>
    <w:rsid w:val="58102C16"/>
    <w:rsid w:val="582160FE"/>
    <w:rsid w:val="582165A1"/>
    <w:rsid w:val="582A050E"/>
    <w:rsid w:val="585F008D"/>
    <w:rsid w:val="589809DC"/>
    <w:rsid w:val="589F4805"/>
    <w:rsid w:val="58AD4AF5"/>
    <w:rsid w:val="58B65789"/>
    <w:rsid w:val="58D07DF4"/>
    <w:rsid w:val="58D27DB6"/>
    <w:rsid w:val="58D906CC"/>
    <w:rsid w:val="58DD7FD9"/>
    <w:rsid w:val="58E33B62"/>
    <w:rsid w:val="58F86605"/>
    <w:rsid w:val="58FC2A8C"/>
    <w:rsid w:val="58FF717A"/>
    <w:rsid w:val="590649B8"/>
    <w:rsid w:val="59105F23"/>
    <w:rsid w:val="59352B9C"/>
    <w:rsid w:val="593A7A80"/>
    <w:rsid w:val="594503B9"/>
    <w:rsid w:val="59510B0C"/>
    <w:rsid w:val="5979231B"/>
    <w:rsid w:val="59820DB0"/>
    <w:rsid w:val="5985328C"/>
    <w:rsid w:val="599B5542"/>
    <w:rsid w:val="59D2488F"/>
    <w:rsid w:val="59D75463"/>
    <w:rsid w:val="59DC570A"/>
    <w:rsid w:val="59E35308"/>
    <w:rsid w:val="59E5393F"/>
    <w:rsid w:val="5A054C64"/>
    <w:rsid w:val="5A200688"/>
    <w:rsid w:val="5A3302B0"/>
    <w:rsid w:val="5A6831D8"/>
    <w:rsid w:val="5A767910"/>
    <w:rsid w:val="5A7B19D3"/>
    <w:rsid w:val="5A81642B"/>
    <w:rsid w:val="5A9A0889"/>
    <w:rsid w:val="5AB6785F"/>
    <w:rsid w:val="5AEA5520"/>
    <w:rsid w:val="5AFA1676"/>
    <w:rsid w:val="5B155DE7"/>
    <w:rsid w:val="5B4D6AD9"/>
    <w:rsid w:val="5B5E05F5"/>
    <w:rsid w:val="5B9A46F8"/>
    <w:rsid w:val="5BC11016"/>
    <w:rsid w:val="5BDB0397"/>
    <w:rsid w:val="5BEC60DC"/>
    <w:rsid w:val="5BF57AC9"/>
    <w:rsid w:val="5BF6356E"/>
    <w:rsid w:val="5C190553"/>
    <w:rsid w:val="5C3D00E9"/>
    <w:rsid w:val="5C9F6CAA"/>
    <w:rsid w:val="5CA93F38"/>
    <w:rsid w:val="5CD62855"/>
    <w:rsid w:val="5CE15514"/>
    <w:rsid w:val="5CE371E2"/>
    <w:rsid w:val="5CF79B62"/>
    <w:rsid w:val="5CF923F8"/>
    <w:rsid w:val="5CFD3405"/>
    <w:rsid w:val="5D13024E"/>
    <w:rsid w:val="5D1D5D61"/>
    <w:rsid w:val="5D213B63"/>
    <w:rsid w:val="5D6E129C"/>
    <w:rsid w:val="5D951E96"/>
    <w:rsid w:val="5DA603AA"/>
    <w:rsid w:val="5DE27226"/>
    <w:rsid w:val="5DE51034"/>
    <w:rsid w:val="5DEA21A7"/>
    <w:rsid w:val="5DF53918"/>
    <w:rsid w:val="5DF866B7"/>
    <w:rsid w:val="5DFF5981"/>
    <w:rsid w:val="5E230800"/>
    <w:rsid w:val="5E3E1E95"/>
    <w:rsid w:val="5E483371"/>
    <w:rsid w:val="5E5E2B95"/>
    <w:rsid w:val="5E7B3747"/>
    <w:rsid w:val="5E9B7345"/>
    <w:rsid w:val="5EDF31E4"/>
    <w:rsid w:val="5EFD7E9A"/>
    <w:rsid w:val="5F3A5CEE"/>
    <w:rsid w:val="5F40721D"/>
    <w:rsid w:val="5F5A480F"/>
    <w:rsid w:val="5F7A12DC"/>
    <w:rsid w:val="5F7E4861"/>
    <w:rsid w:val="5F937EBF"/>
    <w:rsid w:val="5F9F538A"/>
    <w:rsid w:val="5FB35030"/>
    <w:rsid w:val="5FB46F10"/>
    <w:rsid w:val="5FDF459B"/>
    <w:rsid w:val="5FE77A37"/>
    <w:rsid w:val="5FEB7BC5"/>
    <w:rsid w:val="5FF01979"/>
    <w:rsid w:val="5FF116BF"/>
    <w:rsid w:val="5FF91BB5"/>
    <w:rsid w:val="5FFB349B"/>
    <w:rsid w:val="603A11F0"/>
    <w:rsid w:val="604C110A"/>
    <w:rsid w:val="6051475F"/>
    <w:rsid w:val="605E4E8F"/>
    <w:rsid w:val="60605918"/>
    <w:rsid w:val="60900C1D"/>
    <w:rsid w:val="60A01243"/>
    <w:rsid w:val="60D80D31"/>
    <w:rsid w:val="60FF41BB"/>
    <w:rsid w:val="61244538"/>
    <w:rsid w:val="61705965"/>
    <w:rsid w:val="61721E37"/>
    <w:rsid w:val="61796FFA"/>
    <w:rsid w:val="61883BAF"/>
    <w:rsid w:val="618F0721"/>
    <w:rsid w:val="619C1A0A"/>
    <w:rsid w:val="619C1D31"/>
    <w:rsid w:val="61B00E22"/>
    <w:rsid w:val="61BB1F4B"/>
    <w:rsid w:val="61BF394A"/>
    <w:rsid w:val="61CB6793"/>
    <w:rsid w:val="61EA6B92"/>
    <w:rsid w:val="620E53F5"/>
    <w:rsid w:val="622F6D22"/>
    <w:rsid w:val="62391B02"/>
    <w:rsid w:val="625978FB"/>
    <w:rsid w:val="626C4A83"/>
    <w:rsid w:val="62A13F4D"/>
    <w:rsid w:val="62AA45FB"/>
    <w:rsid w:val="62D358FF"/>
    <w:rsid w:val="62D64540"/>
    <w:rsid w:val="62DD43B4"/>
    <w:rsid w:val="62E10E63"/>
    <w:rsid w:val="62FE72EA"/>
    <w:rsid w:val="63035AB9"/>
    <w:rsid w:val="631303F2"/>
    <w:rsid w:val="63164D24"/>
    <w:rsid w:val="634467FD"/>
    <w:rsid w:val="63767688"/>
    <w:rsid w:val="63A65FFE"/>
    <w:rsid w:val="63B8285C"/>
    <w:rsid w:val="63C27722"/>
    <w:rsid w:val="63EC1C65"/>
    <w:rsid w:val="63ED3058"/>
    <w:rsid w:val="64104931"/>
    <w:rsid w:val="643F437E"/>
    <w:rsid w:val="64B04CD0"/>
    <w:rsid w:val="64BB18DC"/>
    <w:rsid w:val="64C175E6"/>
    <w:rsid w:val="6527595D"/>
    <w:rsid w:val="653E6BDA"/>
    <w:rsid w:val="65472E61"/>
    <w:rsid w:val="654F3237"/>
    <w:rsid w:val="655020AD"/>
    <w:rsid w:val="65555212"/>
    <w:rsid w:val="65913990"/>
    <w:rsid w:val="65A02E86"/>
    <w:rsid w:val="65A13A93"/>
    <w:rsid w:val="65AC5A3D"/>
    <w:rsid w:val="65D57BE0"/>
    <w:rsid w:val="65E02447"/>
    <w:rsid w:val="65F1697A"/>
    <w:rsid w:val="66187ACD"/>
    <w:rsid w:val="66284BE0"/>
    <w:rsid w:val="664571D6"/>
    <w:rsid w:val="66562550"/>
    <w:rsid w:val="665E63DB"/>
    <w:rsid w:val="667F2E1D"/>
    <w:rsid w:val="66832C00"/>
    <w:rsid w:val="668B1EA9"/>
    <w:rsid w:val="66950DE9"/>
    <w:rsid w:val="670C7632"/>
    <w:rsid w:val="67281F92"/>
    <w:rsid w:val="67302CFA"/>
    <w:rsid w:val="676C08A8"/>
    <w:rsid w:val="67C938CC"/>
    <w:rsid w:val="67D77C40"/>
    <w:rsid w:val="67EC408F"/>
    <w:rsid w:val="67F77426"/>
    <w:rsid w:val="67FE046D"/>
    <w:rsid w:val="680829E6"/>
    <w:rsid w:val="68095FB7"/>
    <w:rsid w:val="68174F57"/>
    <w:rsid w:val="683406DE"/>
    <w:rsid w:val="684C43B6"/>
    <w:rsid w:val="68535110"/>
    <w:rsid w:val="6885769C"/>
    <w:rsid w:val="68B55F36"/>
    <w:rsid w:val="68BE36F5"/>
    <w:rsid w:val="68C462F1"/>
    <w:rsid w:val="68F04DBC"/>
    <w:rsid w:val="68F52FE1"/>
    <w:rsid w:val="68F91E38"/>
    <w:rsid w:val="69162D72"/>
    <w:rsid w:val="694F512A"/>
    <w:rsid w:val="69801FE2"/>
    <w:rsid w:val="699F7F40"/>
    <w:rsid w:val="69AF73BD"/>
    <w:rsid w:val="69B376EC"/>
    <w:rsid w:val="69DD52B6"/>
    <w:rsid w:val="69E14DA6"/>
    <w:rsid w:val="69E20B1E"/>
    <w:rsid w:val="6A177304"/>
    <w:rsid w:val="6A3B1269"/>
    <w:rsid w:val="6A5B302E"/>
    <w:rsid w:val="6A8D4C80"/>
    <w:rsid w:val="6A9122B5"/>
    <w:rsid w:val="6AB37DC4"/>
    <w:rsid w:val="6AD73096"/>
    <w:rsid w:val="6AEE5468"/>
    <w:rsid w:val="6AFC29D0"/>
    <w:rsid w:val="6B157DBF"/>
    <w:rsid w:val="6B3C7950"/>
    <w:rsid w:val="6B3EC7DC"/>
    <w:rsid w:val="6B475B01"/>
    <w:rsid w:val="6B4C2DE2"/>
    <w:rsid w:val="6B5062F1"/>
    <w:rsid w:val="6B6063C9"/>
    <w:rsid w:val="6B611663"/>
    <w:rsid w:val="6B650E43"/>
    <w:rsid w:val="6B981494"/>
    <w:rsid w:val="6BAA3735"/>
    <w:rsid w:val="6BAD01CD"/>
    <w:rsid w:val="6BDA5F51"/>
    <w:rsid w:val="6BF045A1"/>
    <w:rsid w:val="6C1C078A"/>
    <w:rsid w:val="6C233169"/>
    <w:rsid w:val="6C951E77"/>
    <w:rsid w:val="6CBF6BEA"/>
    <w:rsid w:val="6CF7283B"/>
    <w:rsid w:val="6CF86B53"/>
    <w:rsid w:val="6D142245"/>
    <w:rsid w:val="6D1D3DC2"/>
    <w:rsid w:val="6D1D6078"/>
    <w:rsid w:val="6D463C2E"/>
    <w:rsid w:val="6D5E4882"/>
    <w:rsid w:val="6D8B3656"/>
    <w:rsid w:val="6D8C7F14"/>
    <w:rsid w:val="6D8E1F39"/>
    <w:rsid w:val="6D9A1754"/>
    <w:rsid w:val="6D9C44AE"/>
    <w:rsid w:val="6DA12003"/>
    <w:rsid w:val="6DAF51BB"/>
    <w:rsid w:val="6DBC07B9"/>
    <w:rsid w:val="6DC9002B"/>
    <w:rsid w:val="6DE011AA"/>
    <w:rsid w:val="6DE1668B"/>
    <w:rsid w:val="6DE22E9A"/>
    <w:rsid w:val="6DF15B63"/>
    <w:rsid w:val="6DFFC606"/>
    <w:rsid w:val="6E023C8A"/>
    <w:rsid w:val="6E0B0E7C"/>
    <w:rsid w:val="6E131612"/>
    <w:rsid w:val="6E1B3196"/>
    <w:rsid w:val="6E5F273D"/>
    <w:rsid w:val="6E7837FF"/>
    <w:rsid w:val="6E9D595D"/>
    <w:rsid w:val="6EB04C24"/>
    <w:rsid w:val="6EC726C0"/>
    <w:rsid w:val="6ED177DA"/>
    <w:rsid w:val="6ED924EF"/>
    <w:rsid w:val="6F0A3320"/>
    <w:rsid w:val="6F392B17"/>
    <w:rsid w:val="6F3C270D"/>
    <w:rsid w:val="6F531AAA"/>
    <w:rsid w:val="6F6238F1"/>
    <w:rsid w:val="6F8E49DA"/>
    <w:rsid w:val="6F9D176F"/>
    <w:rsid w:val="6FCB891C"/>
    <w:rsid w:val="6FF463F0"/>
    <w:rsid w:val="6FF9245D"/>
    <w:rsid w:val="6FFC6CBD"/>
    <w:rsid w:val="70417478"/>
    <w:rsid w:val="705F139B"/>
    <w:rsid w:val="706611D1"/>
    <w:rsid w:val="70756B0C"/>
    <w:rsid w:val="7086589D"/>
    <w:rsid w:val="70910BA8"/>
    <w:rsid w:val="70D746AC"/>
    <w:rsid w:val="70E1568B"/>
    <w:rsid w:val="710C2988"/>
    <w:rsid w:val="711315BD"/>
    <w:rsid w:val="71241A1C"/>
    <w:rsid w:val="71394B73"/>
    <w:rsid w:val="716067B0"/>
    <w:rsid w:val="71777D9E"/>
    <w:rsid w:val="7197B38F"/>
    <w:rsid w:val="71991F1F"/>
    <w:rsid w:val="719B20E2"/>
    <w:rsid w:val="71A46E80"/>
    <w:rsid w:val="71A5490B"/>
    <w:rsid w:val="71BA7C8A"/>
    <w:rsid w:val="71BF58EE"/>
    <w:rsid w:val="71CD5C10"/>
    <w:rsid w:val="71E5732C"/>
    <w:rsid w:val="71E65E98"/>
    <w:rsid w:val="71F078D3"/>
    <w:rsid w:val="720A6576"/>
    <w:rsid w:val="72395EF2"/>
    <w:rsid w:val="72536FFA"/>
    <w:rsid w:val="725D1030"/>
    <w:rsid w:val="726806F8"/>
    <w:rsid w:val="727E2C7C"/>
    <w:rsid w:val="72A9151F"/>
    <w:rsid w:val="72B55021"/>
    <w:rsid w:val="72BE6EA8"/>
    <w:rsid w:val="72C12DC9"/>
    <w:rsid w:val="72FD6249"/>
    <w:rsid w:val="73013DC3"/>
    <w:rsid w:val="73217033"/>
    <w:rsid w:val="732706F9"/>
    <w:rsid w:val="735715C9"/>
    <w:rsid w:val="736949E6"/>
    <w:rsid w:val="7376140D"/>
    <w:rsid w:val="737B68E0"/>
    <w:rsid w:val="73880603"/>
    <w:rsid w:val="73D0707A"/>
    <w:rsid w:val="73E04D98"/>
    <w:rsid w:val="740B1FF0"/>
    <w:rsid w:val="744711F6"/>
    <w:rsid w:val="745942EE"/>
    <w:rsid w:val="745F4590"/>
    <w:rsid w:val="746A0574"/>
    <w:rsid w:val="746C1A93"/>
    <w:rsid w:val="747417CE"/>
    <w:rsid w:val="747D102B"/>
    <w:rsid w:val="749C391A"/>
    <w:rsid w:val="74BF7515"/>
    <w:rsid w:val="74CE2F72"/>
    <w:rsid w:val="74D53759"/>
    <w:rsid w:val="74D84FF7"/>
    <w:rsid w:val="74E512DE"/>
    <w:rsid w:val="74E84B54"/>
    <w:rsid w:val="74EF0D8A"/>
    <w:rsid w:val="75184561"/>
    <w:rsid w:val="751D3629"/>
    <w:rsid w:val="751D54F0"/>
    <w:rsid w:val="757B11EC"/>
    <w:rsid w:val="758B206A"/>
    <w:rsid w:val="75B441DC"/>
    <w:rsid w:val="75BE06D4"/>
    <w:rsid w:val="75C32123"/>
    <w:rsid w:val="75CA0DE4"/>
    <w:rsid w:val="75CD1C51"/>
    <w:rsid w:val="75DA5578"/>
    <w:rsid w:val="75E57C6F"/>
    <w:rsid w:val="76137D65"/>
    <w:rsid w:val="761D3A1E"/>
    <w:rsid w:val="762E3BD5"/>
    <w:rsid w:val="7650507B"/>
    <w:rsid w:val="766F725C"/>
    <w:rsid w:val="7684252C"/>
    <w:rsid w:val="76AB6601"/>
    <w:rsid w:val="76BB31AD"/>
    <w:rsid w:val="7734199B"/>
    <w:rsid w:val="77484CAB"/>
    <w:rsid w:val="77785CE2"/>
    <w:rsid w:val="777E0729"/>
    <w:rsid w:val="77902D6F"/>
    <w:rsid w:val="779C3CC8"/>
    <w:rsid w:val="77BBA9C1"/>
    <w:rsid w:val="77BC3493"/>
    <w:rsid w:val="77C86594"/>
    <w:rsid w:val="77EF6B37"/>
    <w:rsid w:val="77FE6B43"/>
    <w:rsid w:val="7831362E"/>
    <w:rsid w:val="783469E8"/>
    <w:rsid w:val="783F5297"/>
    <w:rsid w:val="783F7D85"/>
    <w:rsid w:val="7844495E"/>
    <w:rsid w:val="785C7CED"/>
    <w:rsid w:val="785E73D0"/>
    <w:rsid w:val="787C3EEC"/>
    <w:rsid w:val="78827754"/>
    <w:rsid w:val="78A8103F"/>
    <w:rsid w:val="78BF6000"/>
    <w:rsid w:val="78EB408C"/>
    <w:rsid w:val="78FB3062"/>
    <w:rsid w:val="78FB3FD9"/>
    <w:rsid w:val="78FF6FF6"/>
    <w:rsid w:val="794038C8"/>
    <w:rsid w:val="79435A80"/>
    <w:rsid w:val="79495540"/>
    <w:rsid w:val="795E053C"/>
    <w:rsid w:val="796432FD"/>
    <w:rsid w:val="79643327"/>
    <w:rsid w:val="79984D55"/>
    <w:rsid w:val="799D3060"/>
    <w:rsid w:val="79A70520"/>
    <w:rsid w:val="79DF2733"/>
    <w:rsid w:val="79F50BB9"/>
    <w:rsid w:val="7A014FF7"/>
    <w:rsid w:val="7A2902FC"/>
    <w:rsid w:val="7A4837E7"/>
    <w:rsid w:val="7A556C0C"/>
    <w:rsid w:val="7A88301C"/>
    <w:rsid w:val="7AB91F61"/>
    <w:rsid w:val="7AD17C9C"/>
    <w:rsid w:val="7AED594B"/>
    <w:rsid w:val="7B072192"/>
    <w:rsid w:val="7B0A3A31"/>
    <w:rsid w:val="7B103033"/>
    <w:rsid w:val="7B163388"/>
    <w:rsid w:val="7B4F58E7"/>
    <w:rsid w:val="7B5015FF"/>
    <w:rsid w:val="7B6E2E0E"/>
    <w:rsid w:val="7B7D06A6"/>
    <w:rsid w:val="7B917B48"/>
    <w:rsid w:val="7B933A26"/>
    <w:rsid w:val="7BAB5214"/>
    <w:rsid w:val="7BB35E76"/>
    <w:rsid w:val="7BD6551A"/>
    <w:rsid w:val="7BEE4481"/>
    <w:rsid w:val="7BF201AF"/>
    <w:rsid w:val="7BFA2A8D"/>
    <w:rsid w:val="7BFFE866"/>
    <w:rsid w:val="7BFFFC44"/>
    <w:rsid w:val="7C030BAC"/>
    <w:rsid w:val="7C074EE7"/>
    <w:rsid w:val="7C0F4366"/>
    <w:rsid w:val="7C131926"/>
    <w:rsid w:val="7C3E1BE4"/>
    <w:rsid w:val="7C5B7556"/>
    <w:rsid w:val="7C7A0AC6"/>
    <w:rsid w:val="7C7E9D3E"/>
    <w:rsid w:val="7CAB3AC4"/>
    <w:rsid w:val="7CD61458"/>
    <w:rsid w:val="7CDF524F"/>
    <w:rsid w:val="7D147F9C"/>
    <w:rsid w:val="7D172435"/>
    <w:rsid w:val="7D3DAA08"/>
    <w:rsid w:val="7D587166"/>
    <w:rsid w:val="7D6134D2"/>
    <w:rsid w:val="7D717D97"/>
    <w:rsid w:val="7D74088A"/>
    <w:rsid w:val="7DA63EE4"/>
    <w:rsid w:val="7DA9081B"/>
    <w:rsid w:val="7DC2296C"/>
    <w:rsid w:val="7DE042DE"/>
    <w:rsid w:val="7DE40E3C"/>
    <w:rsid w:val="7DEF3674"/>
    <w:rsid w:val="7DF2702E"/>
    <w:rsid w:val="7DF6CC07"/>
    <w:rsid w:val="7DF9A604"/>
    <w:rsid w:val="7E2703F2"/>
    <w:rsid w:val="7E295E51"/>
    <w:rsid w:val="7E5B5D81"/>
    <w:rsid w:val="7E6241D9"/>
    <w:rsid w:val="7E643271"/>
    <w:rsid w:val="7E8314F8"/>
    <w:rsid w:val="7EBF4B32"/>
    <w:rsid w:val="7EC3062C"/>
    <w:rsid w:val="7EC52758"/>
    <w:rsid w:val="7ED566CA"/>
    <w:rsid w:val="7EEB258C"/>
    <w:rsid w:val="7EEE696B"/>
    <w:rsid w:val="7EFB9091"/>
    <w:rsid w:val="7EFDFA73"/>
    <w:rsid w:val="7F3608A6"/>
    <w:rsid w:val="7F4F7362"/>
    <w:rsid w:val="7F571ED1"/>
    <w:rsid w:val="7F65EDC3"/>
    <w:rsid w:val="7F873A64"/>
    <w:rsid w:val="7F8F3FAC"/>
    <w:rsid w:val="7F970ECA"/>
    <w:rsid w:val="7F9E036E"/>
    <w:rsid w:val="7FA53646"/>
    <w:rsid w:val="7FAD558D"/>
    <w:rsid w:val="7FB7A597"/>
    <w:rsid w:val="7FD72FA6"/>
    <w:rsid w:val="7FDC1E3F"/>
    <w:rsid w:val="7FDD6D0F"/>
    <w:rsid w:val="7FEB33E1"/>
    <w:rsid w:val="7FF32039"/>
    <w:rsid w:val="7FF599A0"/>
    <w:rsid w:val="7FF60DA7"/>
    <w:rsid w:val="7FF9BDDA"/>
    <w:rsid w:val="7FFAC174"/>
    <w:rsid w:val="7FFD6A72"/>
    <w:rsid w:val="7FFEF7CC"/>
    <w:rsid w:val="8773F53B"/>
    <w:rsid w:val="8DDF4BFE"/>
    <w:rsid w:val="9F6D2472"/>
    <w:rsid w:val="9FA79F81"/>
    <w:rsid w:val="9FFFE20E"/>
    <w:rsid w:val="AD0F8F74"/>
    <w:rsid w:val="AFFA637F"/>
    <w:rsid w:val="B09FC3D4"/>
    <w:rsid w:val="B1BD5F98"/>
    <w:rsid w:val="B69E6768"/>
    <w:rsid w:val="BA7F373F"/>
    <w:rsid w:val="BDBBCDE4"/>
    <w:rsid w:val="BDEBB196"/>
    <w:rsid w:val="BDFDDE8C"/>
    <w:rsid w:val="BDFFFBC5"/>
    <w:rsid w:val="BE7F80B0"/>
    <w:rsid w:val="BEFBF792"/>
    <w:rsid w:val="BF7A88CC"/>
    <w:rsid w:val="BF9B6C6D"/>
    <w:rsid w:val="BFAF04B6"/>
    <w:rsid w:val="BFB5491B"/>
    <w:rsid w:val="BFD7B8AC"/>
    <w:rsid w:val="BFFCCEB4"/>
    <w:rsid w:val="BFFE7926"/>
    <w:rsid w:val="BFFF9ED2"/>
    <w:rsid w:val="CEBF6628"/>
    <w:rsid w:val="D6FB3041"/>
    <w:rsid w:val="DB597EFD"/>
    <w:rsid w:val="DBB0E4D9"/>
    <w:rsid w:val="DCCCBCA3"/>
    <w:rsid w:val="DDCFB7B3"/>
    <w:rsid w:val="DDDB8E48"/>
    <w:rsid w:val="DE3D4B5B"/>
    <w:rsid w:val="DEF9939B"/>
    <w:rsid w:val="DF3F71CD"/>
    <w:rsid w:val="DFF7CE32"/>
    <w:rsid w:val="E2BF908E"/>
    <w:rsid w:val="E67FADFE"/>
    <w:rsid w:val="E6FFDD5B"/>
    <w:rsid w:val="E8CD10E5"/>
    <w:rsid w:val="EB670CA2"/>
    <w:rsid w:val="EB6E0753"/>
    <w:rsid w:val="EB77D9C3"/>
    <w:rsid w:val="ECFF2D5A"/>
    <w:rsid w:val="EDB7BA66"/>
    <w:rsid w:val="EDE7B8D2"/>
    <w:rsid w:val="EEDFCB28"/>
    <w:rsid w:val="EFB7D689"/>
    <w:rsid w:val="EFFAA73C"/>
    <w:rsid w:val="EFFF1FD6"/>
    <w:rsid w:val="F2CF7B03"/>
    <w:rsid w:val="F6FF77AF"/>
    <w:rsid w:val="F77BC116"/>
    <w:rsid w:val="F7972318"/>
    <w:rsid w:val="F8FE94C3"/>
    <w:rsid w:val="FB5F35C9"/>
    <w:rsid w:val="FB6FBD6B"/>
    <w:rsid w:val="FB7B33E1"/>
    <w:rsid w:val="FB8FA3F9"/>
    <w:rsid w:val="FBBDA182"/>
    <w:rsid w:val="FBDDC6A6"/>
    <w:rsid w:val="FCEFCCB9"/>
    <w:rsid w:val="FCF7A9C5"/>
    <w:rsid w:val="FE6F9F57"/>
    <w:rsid w:val="FEDF6F11"/>
    <w:rsid w:val="FF3934C5"/>
    <w:rsid w:val="FF9EC099"/>
    <w:rsid w:val="FFEB85DB"/>
    <w:rsid w:val="FFF7291F"/>
    <w:rsid w:val="FFFB0E98"/>
    <w:rsid w:val="FFFB1743"/>
    <w:rsid w:val="FFFD4FA0"/>
    <w:rsid w:val="FFFFD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99" w:semiHidden="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qFormat="1"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qFormat="1" w:uiPriority="0" w:name="Body Text 2"/>
    <w:lsdException w:qFormat="1" w:uiPriority="0" w:name="Body Text 3"/>
    <w:lsdException w:qFormat="1" w:uiPriority="0" w:name="Body Text Indent 2"/>
    <w:lsdException w:qFormat="1"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iPriority="0" w:name="Document Map"/>
    <w:lsdException w:qFormat="1" w:unhideWhenUsed="0" w:uiPriority="99"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78"/>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99"/>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138"/>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84"/>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32"/>
    <w:autoRedefine/>
    <w:semiHidden/>
    <w:unhideWhenUsed/>
    <w:qFormat/>
    <w:uiPriority w:val="9"/>
    <w:pPr>
      <w:keepNext/>
      <w:keepLines/>
      <w:spacing w:before="280" w:after="290" w:line="372" w:lineRule="auto"/>
      <w:outlineLvl w:val="4"/>
    </w:pPr>
    <w:rPr>
      <w:b/>
      <w:sz w:val="28"/>
    </w:rPr>
  </w:style>
  <w:style w:type="paragraph" w:styleId="7">
    <w:name w:val="heading 6"/>
    <w:basedOn w:val="1"/>
    <w:next w:val="1"/>
    <w:link w:val="133"/>
    <w:autoRedefine/>
    <w:semiHidden/>
    <w:unhideWhenUsed/>
    <w:qFormat/>
    <w:uiPriority w:val="9"/>
    <w:pPr>
      <w:keepNext/>
      <w:keepLines/>
      <w:spacing w:before="240" w:after="64" w:line="317" w:lineRule="auto"/>
      <w:outlineLvl w:val="5"/>
    </w:pPr>
    <w:rPr>
      <w:rFonts w:ascii="Arial" w:hAnsi="Arial" w:eastAsia="黑体"/>
      <w:b/>
      <w:sz w:val="24"/>
    </w:rPr>
  </w:style>
  <w:style w:type="paragraph" w:styleId="8">
    <w:name w:val="heading 7"/>
    <w:basedOn w:val="1"/>
    <w:next w:val="1"/>
    <w:link w:val="120"/>
    <w:autoRedefine/>
    <w:semiHidden/>
    <w:unhideWhenUsed/>
    <w:qFormat/>
    <w:uiPriority w:val="9"/>
    <w:pPr>
      <w:keepNext/>
      <w:keepLines/>
      <w:spacing w:before="240" w:after="64" w:line="317" w:lineRule="auto"/>
      <w:outlineLvl w:val="6"/>
    </w:pPr>
    <w:rPr>
      <w:b/>
      <w:sz w:val="24"/>
    </w:rPr>
  </w:style>
  <w:style w:type="paragraph" w:styleId="9">
    <w:name w:val="heading 8"/>
    <w:basedOn w:val="1"/>
    <w:next w:val="1"/>
    <w:link w:val="134"/>
    <w:semiHidden/>
    <w:unhideWhenUsed/>
    <w:qFormat/>
    <w:uiPriority w:val="9"/>
    <w:pPr>
      <w:keepNext/>
      <w:keepLines/>
      <w:spacing w:before="240" w:after="64" w:line="317" w:lineRule="auto"/>
      <w:outlineLvl w:val="7"/>
    </w:pPr>
    <w:rPr>
      <w:rFonts w:ascii="Arial" w:hAnsi="Arial" w:eastAsia="黑体"/>
      <w:sz w:val="24"/>
    </w:rPr>
  </w:style>
  <w:style w:type="paragraph" w:styleId="10">
    <w:name w:val="heading 9"/>
    <w:basedOn w:val="1"/>
    <w:next w:val="1"/>
    <w:link w:val="135"/>
    <w:semiHidden/>
    <w:unhideWhenUsed/>
    <w:qFormat/>
    <w:uiPriority w:val="9"/>
    <w:pPr>
      <w:keepNext/>
      <w:keepLines/>
      <w:spacing w:before="240" w:after="64" w:line="317" w:lineRule="auto"/>
      <w:outlineLvl w:val="8"/>
    </w:pPr>
    <w:rPr>
      <w:rFonts w:ascii="Arial" w:hAnsi="Arial" w:eastAsia="黑体"/>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autoSpaceDE w:val="0"/>
      <w:autoSpaceDN w:val="0"/>
      <w:adjustRightInd w:val="0"/>
      <w:ind w:firstLine="420"/>
      <w:jc w:val="left"/>
    </w:pPr>
    <w:rPr>
      <w:rFonts w:ascii="宋体" w:hAnsi="Times New Roman" w:cs="Times New Roman"/>
      <w:kern w:val="0"/>
      <w:sz w:val="24"/>
    </w:rPr>
  </w:style>
  <w:style w:type="paragraph" w:styleId="12">
    <w:name w:val="Document Map"/>
    <w:basedOn w:val="1"/>
    <w:link w:val="114"/>
    <w:autoRedefine/>
    <w:semiHidden/>
    <w:unhideWhenUsed/>
    <w:qFormat/>
    <w:uiPriority w:val="0"/>
    <w:pPr>
      <w:shd w:val="clear" w:color="auto" w:fill="000080"/>
    </w:pPr>
  </w:style>
  <w:style w:type="paragraph" w:styleId="13">
    <w:name w:val="annotation text"/>
    <w:basedOn w:val="1"/>
    <w:link w:val="77"/>
    <w:autoRedefine/>
    <w:qFormat/>
    <w:uiPriority w:val="99"/>
    <w:pPr>
      <w:jc w:val="left"/>
    </w:pPr>
    <w:rPr>
      <w:rFonts w:ascii="Arial" w:hAnsi="Arial" w:eastAsia="黑体" w:cs="Arial"/>
    </w:rPr>
  </w:style>
  <w:style w:type="paragraph" w:styleId="14">
    <w:name w:val="Salutation"/>
    <w:basedOn w:val="1"/>
    <w:next w:val="1"/>
    <w:link w:val="139"/>
    <w:autoRedefine/>
    <w:semiHidden/>
    <w:unhideWhenUsed/>
    <w:qFormat/>
    <w:uiPriority w:val="0"/>
  </w:style>
  <w:style w:type="paragraph" w:styleId="15">
    <w:name w:val="Body Text 3"/>
    <w:basedOn w:val="1"/>
    <w:link w:val="130"/>
    <w:autoRedefine/>
    <w:semiHidden/>
    <w:unhideWhenUsed/>
    <w:qFormat/>
    <w:uiPriority w:val="0"/>
    <w:pPr>
      <w:spacing w:after="120"/>
    </w:pPr>
    <w:rPr>
      <w:sz w:val="16"/>
    </w:rPr>
  </w:style>
  <w:style w:type="paragraph" w:styleId="16">
    <w:name w:val="Body Text"/>
    <w:basedOn w:val="1"/>
    <w:next w:val="17"/>
    <w:link w:val="92"/>
    <w:autoRedefine/>
    <w:qFormat/>
    <w:uiPriority w:val="99"/>
    <w:rPr>
      <w:rFonts w:ascii="宋体" w:hAnsi="Arial" w:cs="Times New Roman"/>
      <w:sz w:val="28"/>
    </w:rPr>
  </w:style>
  <w:style w:type="paragraph" w:styleId="17">
    <w:name w:val="Body Text First Indent"/>
    <w:basedOn w:val="16"/>
    <w:next w:val="1"/>
    <w:link w:val="193"/>
    <w:autoRedefine/>
    <w:qFormat/>
    <w:uiPriority w:val="99"/>
    <w:pPr>
      <w:autoSpaceDE w:val="0"/>
      <w:autoSpaceDN w:val="0"/>
      <w:adjustRightInd w:val="0"/>
      <w:ind w:right="-24" w:rightChars="-10" w:firstLine="425" w:firstLineChars="225"/>
    </w:pPr>
    <w:rPr>
      <w:rFonts w:ascii="Arial" w:eastAsia="仿宋_GB2312" w:cs="Arial"/>
      <w:szCs w:val="32"/>
    </w:rPr>
  </w:style>
  <w:style w:type="paragraph" w:styleId="18">
    <w:name w:val="Body Text Indent"/>
    <w:basedOn w:val="1"/>
    <w:next w:val="19"/>
    <w:link w:val="140"/>
    <w:autoRedefine/>
    <w:qFormat/>
    <w:uiPriority w:val="0"/>
    <w:pPr>
      <w:spacing w:after="120"/>
      <w:ind w:left="420" w:leftChars="200"/>
    </w:pPr>
  </w:style>
  <w:style w:type="paragraph" w:styleId="19">
    <w:name w:val="envelope return"/>
    <w:basedOn w:val="1"/>
    <w:next w:val="1"/>
    <w:autoRedefine/>
    <w:qFormat/>
    <w:uiPriority w:val="0"/>
    <w:pPr>
      <w:snapToGrid w:val="0"/>
    </w:pPr>
    <w:rPr>
      <w:rFonts w:ascii="Arial" w:hAnsi="Arial"/>
    </w:rPr>
  </w:style>
  <w:style w:type="paragraph" w:styleId="20">
    <w:name w:val="toc 3"/>
    <w:basedOn w:val="1"/>
    <w:next w:val="1"/>
    <w:autoRedefine/>
    <w:unhideWhenUsed/>
    <w:qFormat/>
    <w:uiPriority w:val="39"/>
    <w:pPr>
      <w:widowControl/>
      <w:spacing w:after="100" w:line="276" w:lineRule="auto"/>
      <w:ind w:left="440"/>
      <w:jc w:val="left"/>
    </w:pPr>
    <w:rPr>
      <w:rFonts w:ascii="Calibri" w:hAnsi="Calibri" w:cs="黑体"/>
      <w:kern w:val="0"/>
      <w:sz w:val="22"/>
      <w:szCs w:val="22"/>
    </w:rPr>
  </w:style>
  <w:style w:type="paragraph" w:styleId="21">
    <w:name w:val="Plain Text"/>
    <w:basedOn w:val="1"/>
    <w:link w:val="70"/>
    <w:autoRedefine/>
    <w:qFormat/>
    <w:uiPriority w:val="99"/>
    <w:rPr>
      <w:rFonts w:ascii="宋体" w:hAnsi="Courier New" w:cs="黑体"/>
      <w:szCs w:val="22"/>
    </w:rPr>
  </w:style>
  <w:style w:type="paragraph" w:styleId="22">
    <w:name w:val="List Bullet 5"/>
    <w:basedOn w:val="1"/>
    <w:autoRedefine/>
    <w:semiHidden/>
    <w:unhideWhenUsed/>
    <w:qFormat/>
    <w:uiPriority w:val="0"/>
    <w:pPr>
      <w:numPr>
        <w:ilvl w:val="0"/>
        <w:numId w:val="1"/>
      </w:numPr>
    </w:pPr>
  </w:style>
  <w:style w:type="paragraph" w:styleId="23">
    <w:name w:val="Date"/>
    <w:basedOn w:val="1"/>
    <w:next w:val="1"/>
    <w:link w:val="74"/>
    <w:autoRedefine/>
    <w:qFormat/>
    <w:uiPriority w:val="0"/>
    <w:rPr>
      <w:rFonts w:ascii="Arial" w:hAnsi="Arial" w:cs="Arial"/>
      <w:b/>
      <w:sz w:val="28"/>
    </w:rPr>
  </w:style>
  <w:style w:type="paragraph" w:styleId="24">
    <w:name w:val="Body Text Indent 2"/>
    <w:basedOn w:val="1"/>
    <w:link w:val="104"/>
    <w:autoRedefine/>
    <w:semiHidden/>
    <w:unhideWhenUsed/>
    <w:qFormat/>
    <w:uiPriority w:val="0"/>
    <w:pPr>
      <w:spacing w:after="120" w:line="480" w:lineRule="auto"/>
      <w:ind w:left="420" w:leftChars="200"/>
    </w:pPr>
  </w:style>
  <w:style w:type="paragraph" w:styleId="25">
    <w:name w:val="endnote text"/>
    <w:basedOn w:val="1"/>
    <w:link w:val="141"/>
    <w:autoRedefine/>
    <w:semiHidden/>
    <w:unhideWhenUsed/>
    <w:qFormat/>
    <w:uiPriority w:val="0"/>
    <w:pPr>
      <w:snapToGrid w:val="0"/>
      <w:jc w:val="left"/>
    </w:pPr>
  </w:style>
  <w:style w:type="paragraph" w:styleId="26">
    <w:name w:val="Balloon Text"/>
    <w:basedOn w:val="1"/>
    <w:link w:val="67"/>
    <w:autoRedefine/>
    <w:unhideWhenUsed/>
    <w:qFormat/>
    <w:uiPriority w:val="99"/>
    <w:rPr>
      <w:sz w:val="18"/>
      <w:szCs w:val="18"/>
    </w:rPr>
  </w:style>
  <w:style w:type="paragraph" w:styleId="27">
    <w:name w:val="footer"/>
    <w:basedOn w:val="1"/>
    <w:link w:val="69"/>
    <w:autoRedefine/>
    <w:unhideWhenUsed/>
    <w:qFormat/>
    <w:uiPriority w:val="99"/>
    <w:pPr>
      <w:tabs>
        <w:tab w:val="center" w:pos="4153"/>
        <w:tab w:val="right" w:pos="8306"/>
      </w:tabs>
      <w:snapToGrid w:val="0"/>
      <w:jc w:val="left"/>
    </w:pPr>
    <w:rPr>
      <w:sz w:val="18"/>
      <w:szCs w:val="18"/>
    </w:rPr>
  </w:style>
  <w:style w:type="paragraph" w:styleId="28">
    <w:name w:val="header"/>
    <w:basedOn w:val="1"/>
    <w:link w:val="6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unhideWhenUsed/>
    <w:qFormat/>
    <w:uiPriority w:val="39"/>
    <w:pPr>
      <w:widowControl/>
      <w:spacing w:after="100" w:line="276" w:lineRule="auto"/>
      <w:jc w:val="left"/>
    </w:pPr>
    <w:rPr>
      <w:rFonts w:ascii="Calibri" w:hAnsi="Calibri" w:cs="黑体"/>
      <w:kern w:val="0"/>
      <w:sz w:val="22"/>
      <w:szCs w:val="22"/>
    </w:rPr>
  </w:style>
  <w:style w:type="paragraph" w:styleId="30">
    <w:name w:val="Subtitle"/>
    <w:basedOn w:val="1"/>
    <w:link w:val="113"/>
    <w:autoRedefine/>
    <w:qFormat/>
    <w:uiPriority w:val="11"/>
    <w:pPr>
      <w:spacing w:before="240" w:after="60" w:line="312" w:lineRule="auto"/>
      <w:jc w:val="center"/>
      <w:outlineLvl w:val="1"/>
    </w:pPr>
    <w:rPr>
      <w:rFonts w:ascii="Arial" w:hAnsi="Arial"/>
      <w:b/>
      <w:kern w:val="28"/>
      <w:sz w:val="32"/>
    </w:rPr>
  </w:style>
  <w:style w:type="paragraph" w:styleId="31">
    <w:name w:val="List"/>
    <w:basedOn w:val="1"/>
    <w:autoRedefine/>
    <w:qFormat/>
    <w:uiPriority w:val="0"/>
    <w:pPr>
      <w:ind w:left="200" w:hanging="200" w:hangingChars="200"/>
    </w:pPr>
    <w:rPr>
      <w:rFonts w:ascii="Calibri" w:hAnsi="Calibri"/>
      <w:szCs w:val="22"/>
    </w:rPr>
  </w:style>
  <w:style w:type="paragraph" w:styleId="32">
    <w:name w:val="footnote text"/>
    <w:basedOn w:val="1"/>
    <w:link w:val="142"/>
    <w:autoRedefine/>
    <w:unhideWhenUsed/>
    <w:qFormat/>
    <w:uiPriority w:val="0"/>
    <w:pPr>
      <w:snapToGrid w:val="0"/>
      <w:jc w:val="left"/>
    </w:pPr>
    <w:rPr>
      <w:rFonts w:ascii="Times New Roman" w:hAnsi="Times New Roman" w:cs="Times New Roman"/>
      <w:sz w:val="18"/>
      <w:szCs w:val="18"/>
      <w:lang w:val="zh-CN"/>
    </w:rPr>
  </w:style>
  <w:style w:type="paragraph" w:styleId="33">
    <w:name w:val="Body Text Indent 3"/>
    <w:basedOn w:val="1"/>
    <w:link w:val="121"/>
    <w:autoRedefine/>
    <w:semiHidden/>
    <w:unhideWhenUsed/>
    <w:qFormat/>
    <w:uiPriority w:val="0"/>
    <w:pPr>
      <w:spacing w:after="120"/>
      <w:ind w:left="420" w:leftChars="200"/>
    </w:pPr>
    <w:rPr>
      <w:sz w:val="16"/>
    </w:rPr>
  </w:style>
  <w:style w:type="paragraph" w:styleId="34">
    <w:name w:val="toc 2"/>
    <w:basedOn w:val="1"/>
    <w:next w:val="1"/>
    <w:autoRedefine/>
    <w:unhideWhenUsed/>
    <w:qFormat/>
    <w:uiPriority w:val="39"/>
    <w:pPr>
      <w:widowControl/>
      <w:spacing w:after="100" w:line="276" w:lineRule="auto"/>
      <w:ind w:left="220"/>
      <w:jc w:val="left"/>
    </w:pPr>
    <w:rPr>
      <w:rFonts w:ascii="Calibri" w:hAnsi="Calibri" w:cs="黑体"/>
      <w:kern w:val="0"/>
      <w:sz w:val="22"/>
      <w:szCs w:val="22"/>
    </w:rPr>
  </w:style>
  <w:style w:type="paragraph" w:styleId="35">
    <w:name w:val="Body Text 2"/>
    <w:basedOn w:val="1"/>
    <w:link w:val="143"/>
    <w:autoRedefine/>
    <w:semiHidden/>
    <w:unhideWhenUsed/>
    <w:qFormat/>
    <w:uiPriority w:val="0"/>
    <w:pPr>
      <w:spacing w:after="120" w:line="480" w:lineRule="auto"/>
    </w:pPr>
  </w:style>
  <w:style w:type="paragraph" w:styleId="36">
    <w:name w:val="Normal (Web)"/>
    <w:basedOn w:val="1"/>
    <w:autoRedefine/>
    <w:qFormat/>
    <w:uiPriority w:val="0"/>
    <w:pPr>
      <w:spacing w:beforeAutospacing="1" w:afterAutospacing="1"/>
      <w:jc w:val="left"/>
    </w:pPr>
    <w:rPr>
      <w:kern w:val="0"/>
      <w:sz w:val="24"/>
    </w:rPr>
  </w:style>
  <w:style w:type="paragraph" w:styleId="37">
    <w:name w:val="index 1"/>
    <w:basedOn w:val="1"/>
    <w:next w:val="1"/>
    <w:autoRedefine/>
    <w:qFormat/>
    <w:uiPriority w:val="0"/>
    <w:pPr>
      <w:jc w:val="center"/>
    </w:pPr>
    <w:rPr>
      <w:rFonts w:ascii="Arial" w:hAnsi="Arial" w:eastAsia="Arial" w:cs="Arial"/>
      <w:b/>
      <w:bCs/>
      <w:sz w:val="28"/>
    </w:rPr>
  </w:style>
  <w:style w:type="paragraph" w:styleId="38">
    <w:name w:val="Title"/>
    <w:basedOn w:val="1"/>
    <w:link w:val="108"/>
    <w:autoRedefine/>
    <w:qFormat/>
    <w:uiPriority w:val="10"/>
    <w:pPr>
      <w:spacing w:before="240" w:after="60"/>
      <w:jc w:val="center"/>
      <w:outlineLvl w:val="0"/>
    </w:pPr>
    <w:rPr>
      <w:rFonts w:ascii="Arial" w:hAnsi="Arial"/>
      <w:b/>
      <w:sz w:val="32"/>
    </w:rPr>
  </w:style>
  <w:style w:type="paragraph" w:styleId="39">
    <w:name w:val="annotation subject"/>
    <w:basedOn w:val="13"/>
    <w:next w:val="13"/>
    <w:link w:val="87"/>
    <w:autoRedefine/>
    <w:unhideWhenUsed/>
    <w:qFormat/>
    <w:uiPriority w:val="99"/>
    <w:rPr>
      <w:rFonts w:ascii="@仿宋_GB2312" w:hAnsi="@仿宋_GB2312" w:eastAsia="@仿宋_GB2312" w:cs="@仿宋_GB2312"/>
      <w:b/>
      <w:bCs/>
    </w:rPr>
  </w:style>
  <w:style w:type="paragraph" w:styleId="40">
    <w:name w:val="Body Text First Indent 2"/>
    <w:basedOn w:val="18"/>
    <w:next w:val="17"/>
    <w:link w:val="192"/>
    <w:autoRedefine/>
    <w:qFormat/>
    <w:uiPriority w:val="0"/>
    <w:pPr>
      <w:ind w:firstLine="420" w:firstLineChars="200"/>
    </w:pPr>
  </w:style>
  <w:style w:type="table" w:styleId="42">
    <w:name w:val="Table Grid"/>
    <w:basedOn w:val="41"/>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0"/>
    <w:rPr>
      <w:b/>
      <w:bCs/>
    </w:rPr>
  </w:style>
  <w:style w:type="character" w:styleId="45">
    <w:name w:val="endnote reference"/>
    <w:basedOn w:val="43"/>
    <w:autoRedefine/>
    <w:semiHidden/>
    <w:unhideWhenUsed/>
    <w:qFormat/>
    <w:uiPriority w:val="0"/>
    <w:rPr>
      <w:vertAlign w:val="superscript"/>
    </w:rPr>
  </w:style>
  <w:style w:type="character" w:styleId="46">
    <w:name w:val="FollowedHyperlink"/>
    <w:basedOn w:val="43"/>
    <w:autoRedefine/>
    <w:semiHidden/>
    <w:unhideWhenUsed/>
    <w:qFormat/>
    <w:uiPriority w:val="0"/>
    <w:rPr>
      <w:color w:val="800080"/>
      <w:u w:val="none"/>
    </w:rPr>
  </w:style>
  <w:style w:type="character" w:styleId="47">
    <w:name w:val="Emphasis"/>
    <w:basedOn w:val="43"/>
    <w:autoRedefine/>
    <w:qFormat/>
    <w:uiPriority w:val="20"/>
  </w:style>
  <w:style w:type="character" w:styleId="48">
    <w:name w:val="HTML Definition"/>
    <w:basedOn w:val="43"/>
    <w:semiHidden/>
    <w:unhideWhenUsed/>
    <w:qFormat/>
    <w:uiPriority w:val="0"/>
  </w:style>
  <w:style w:type="character" w:styleId="49">
    <w:name w:val="HTML Typewriter"/>
    <w:basedOn w:val="43"/>
    <w:autoRedefine/>
    <w:semiHidden/>
    <w:unhideWhenUsed/>
    <w:qFormat/>
    <w:uiPriority w:val="0"/>
    <w:rPr>
      <w:rFonts w:ascii="monospace" w:hAnsi="monospace" w:eastAsia="monospace" w:cs="monospace"/>
      <w:sz w:val="20"/>
    </w:rPr>
  </w:style>
  <w:style w:type="character" w:styleId="50">
    <w:name w:val="HTML Acronym"/>
    <w:basedOn w:val="43"/>
    <w:autoRedefine/>
    <w:semiHidden/>
    <w:unhideWhenUsed/>
    <w:qFormat/>
    <w:uiPriority w:val="0"/>
  </w:style>
  <w:style w:type="character" w:styleId="51">
    <w:name w:val="HTML Variable"/>
    <w:basedOn w:val="43"/>
    <w:autoRedefine/>
    <w:semiHidden/>
    <w:unhideWhenUsed/>
    <w:qFormat/>
    <w:uiPriority w:val="0"/>
  </w:style>
  <w:style w:type="character" w:styleId="52">
    <w:name w:val="Hyperlink"/>
    <w:basedOn w:val="43"/>
    <w:autoRedefine/>
    <w:unhideWhenUsed/>
    <w:qFormat/>
    <w:uiPriority w:val="99"/>
    <w:rPr>
      <w:color w:val="0000FF"/>
      <w:u w:val="single"/>
    </w:rPr>
  </w:style>
  <w:style w:type="character" w:styleId="53">
    <w:name w:val="HTML Code"/>
    <w:basedOn w:val="43"/>
    <w:autoRedefine/>
    <w:semiHidden/>
    <w:unhideWhenUsed/>
    <w:qFormat/>
    <w:uiPriority w:val="0"/>
    <w:rPr>
      <w:rFonts w:hint="default" w:ascii="monospace" w:hAnsi="monospace" w:eastAsia="monospace" w:cs="monospace"/>
      <w:sz w:val="20"/>
    </w:rPr>
  </w:style>
  <w:style w:type="character" w:styleId="54">
    <w:name w:val="annotation reference"/>
    <w:basedOn w:val="43"/>
    <w:autoRedefine/>
    <w:unhideWhenUsed/>
    <w:qFormat/>
    <w:uiPriority w:val="99"/>
    <w:rPr>
      <w:sz w:val="21"/>
      <w:szCs w:val="21"/>
    </w:rPr>
  </w:style>
  <w:style w:type="character" w:styleId="55">
    <w:name w:val="HTML Cite"/>
    <w:basedOn w:val="43"/>
    <w:autoRedefine/>
    <w:semiHidden/>
    <w:unhideWhenUsed/>
    <w:qFormat/>
    <w:uiPriority w:val="0"/>
  </w:style>
  <w:style w:type="character" w:styleId="56">
    <w:name w:val="footnote reference"/>
    <w:unhideWhenUsed/>
    <w:qFormat/>
    <w:uiPriority w:val="0"/>
    <w:rPr>
      <w:vertAlign w:val="superscript"/>
    </w:rPr>
  </w:style>
  <w:style w:type="character" w:styleId="57">
    <w:name w:val="HTML Keyboard"/>
    <w:basedOn w:val="43"/>
    <w:autoRedefine/>
    <w:semiHidden/>
    <w:unhideWhenUsed/>
    <w:qFormat/>
    <w:uiPriority w:val="0"/>
    <w:rPr>
      <w:rFonts w:hint="default" w:ascii="monospace" w:hAnsi="monospace" w:eastAsia="monospace" w:cs="monospace"/>
      <w:sz w:val="20"/>
    </w:rPr>
  </w:style>
  <w:style w:type="character" w:styleId="58">
    <w:name w:val="HTML Sample"/>
    <w:basedOn w:val="43"/>
    <w:semiHidden/>
    <w:unhideWhenUsed/>
    <w:qFormat/>
    <w:uiPriority w:val="0"/>
    <w:rPr>
      <w:rFonts w:hint="default" w:ascii="monospace" w:hAnsi="monospace" w:eastAsia="monospace" w:cs="monospace"/>
    </w:rPr>
  </w:style>
  <w:style w:type="paragraph" w:customStyle="1" w:styleId="5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60">
    <w:name w:val="xl31"/>
    <w:basedOn w:val="1"/>
    <w:qFormat/>
    <w:uiPriority w:val="0"/>
    <w:pPr>
      <w:widowControl/>
      <w:spacing w:before="100" w:beforeAutospacing="1" w:after="100" w:afterAutospacing="1"/>
      <w:jc w:val="center"/>
    </w:pPr>
    <w:rPr>
      <w:b/>
      <w:bCs/>
      <w:kern w:val="0"/>
      <w:sz w:val="28"/>
      <w:szCs w:val="28"/>
    </w:rPr>
  </w:style>
  <w:style w:type="paragraph" w:customStyle="1" w:styleId="61">
    <w:name w:val="D&amp;L"/>
    <w:basedOn w:val="28"/>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2">
    <w:name w:val="列表段落1"/>
    <w:basedOn w:val="1"/>
    <w:autoRedefine/>
    <w:qFormat/>
    <w:uiPriority w:val="34"/>
    <w:pPr>
      <w:ind w:firstLine="420" w:firstLineChars="200"/>
    </w:pPr>
  </w:style>
  <w:style w:type="paragraph" w:customStyle="1" w:styleId="63">
    <w:name w:val="Char Char Char Char Char Char Char1 Char"/>
    <w:basedOn w:val="1"/>
    <w:autoRedefine/>
    <w:qFormat/>
    <w:uiPriority w:val="0"/>
    <w:rPr>
      <w:rFonts w:ascii="Arial" w:hAnsi="Arial" w:cs="Arial"/>
      <w:sz w:val="24"/>
    </w:rPr>
  </w:style>
  <w:style w:type="paragraph" w:customStyle="1" w:styleId="64">
    <w:name w:val="TOC 标题1"/>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65">
    <w:name w:val="Char"/>
    <w:basedOn w:val="1"/>
    <w:autoRedefine/>
    <w:qFormat/>
    <w:uiPriority w:val="0"/>
    <w:rPr>
      <w:rFonts w:ascii="Tahoma" w:hAnsi="Tahoma"/>
      <w:sz w:val="24"/>
    </w:rPr>
  </w:style>
  <w:style w:type="paragraph" w:customStyle="1" w:styleId="66">
    <w:name w:val="列表段落2"/>
    <w:basedOn w:val="1"/>
    <w:autoRedefine/>
    <w:qFormat/>
    <w:uiPriority w:val="34"/>
    <w:pPr>
      <w:ind w:firstLine="420" w:firstLineChars="200"/>
    </w:pPr>
  </w:style>
  <w:style w:type="character" w:customStyle="1" w:styleId="67">
    <w:name w:val="批注框文本 字符"/>
    <w:basedOn w:val="43"/>
    <w:link w:val="26"/>
    <w:autoRedefine/>
    <w:semiHidden/>
    <w:qFormat/>
    <w:uiPriority w:val="99"/>
    <w:rPr>
      <w:rFonts w:ascii="@仿宋_GB2312" w:hAnsi="@仿宋_GB2312" w:eastAsia="@仿宋_GB2312" w:cs="@仿宋_GB2312"/>
      <w:sz w:val="18"/>
      <w:szCs w:val="18"/>
    </w:rPr>
  </w:style>
  <w:style w:type="character" w:customStyle="1" w:styleId="68">
    <w:name w:val="页眉 字符"/>
    <w:basedOn w:val="43"/>
    <w:link w:val="28"/>
    <w:autoRedefine/>
    <w:qFormat/>
    <w:uiPriority w:val="99"/>
    <w:rPr>
      <w:rFonts w:ascii="@仿宋_GB2312" w:hAnsi="@仿宋_GB2312" w:eastAsia="@仿宋_GB2312" w:cs="@仿宋_GB2312"/>
      <w:sz w:val="18"/>
      <w:szCs w:val="18"/>
    </w:rPr>
  </w:style>
  <w:style w:type="character" w:customStyle="1" w:styleId="69">
    <w:name w:val="页脚 字符"/>
    <w:basedOn w:val="43"/>
    <w:link w:val="27"/>
    <w:autoRedefine/>
    <w:qFormat/>
    <w:uiPriority w:val="99"/>
    <w:rPr>
      <w:rFonts w:ascii="@仿宋_GB2312" w:hAnsi="@仿宋_GB2312" w:eastAsia="@仿宋_GB2312" w:cs="@仿宋_GB2312"/>
      <w:sz w:val="18"/>
      <w:szCs w:val="18"/>
    </w:rPr>
  </w:style>
  <w:style w:type="character" w:customStyle="1" w:styleId="70">
    <w:name w:val="纯文本 字符"/>
    <w:link w:val="21"/>
    <w:autoRedefine/>
    <w:qFormat/>
    <w:uiPriority w:val="0"/>
    <w:rPr>
      <w:rFonts w:ascii="宋体" w:hAnsi="Courier New"/>
    </w:rPr>
  </w:style>
  <w:style w:type="character" w:customStyle="1" w:styleId="71">
    <w:name w:val="纯文本 字符1"/>
    <w:basedOn w:val="43"/>
    <w:autoRedefine/>
    <w:semiHidden/>
    <w:qFormat/>
    <w:uiPriority w:val="99"/>
    <w:rPr>
      <w:rFonts w:ascii="宋体" w:hAnsi="Courier New" w:cs="Courier New"/>
      <w:szCs w:val="20"/>
    </w:rPr>
  </w:style>
  <w:style w:type="character" w:customStyle="1" w:styleId="72">
    <w:name w:val="未处理的提及1"/>
    <w:basedOn w:val="43"/>
    <w:autoRedefine/>
    <w:unhideWhenUsed/>
    <w:qFormat/>
    <w:uiPriority w:val="99"/>
    <w:rPr>
      <w:color w:val="605E5C"/>
      <w:shd w:val="clear" w:color="auto" w:fill="E1DFDD"/>
    </w:rPr>
  </w:style>
  <w:style w:type="character" w:customStyle="1" w:styleId="73">
    <w:name w:val="日期 字符"/>
    <w:basedOn w:val="43"/>
    <w:autoRedefine/>
    <w:semiHidden/>
    <w:qFormat/>
    <w:uiPriority w:val="99"/>
    <w:rPr>
      <w:rFonts w:ascii="@仿宋_GB2312" w:hAnsi="@仿宋_GB2312" w:eastAsia="@仿宋_GB2312" w:cs="@仿宋_GB2312"/>
      <w:szCs w:val="20"/>
    </w:rPr>
  </w:style>
  <w:style w:type="character" w:customStyle="1" w:styleId="74">
    <w:name w:val="日期 字符1"/>
    <w:link w:val="23"/>
    <w:autoRedefine/>
    <w:qFormat/>
    <w:uiPriority w:val="0"/>
    <w:rPr>
      <w:rFonts w:ascii="Arial" w:hAnsi="Arial" w:eastAsia="宋体" w:cs="Arial"/>
      <w:b/>
      <w:sz w:val="28"/>
      <w:szCs w:val="20"/>
    </w:rPr>
  </w:style>
  <w:style w:type="character" w:customStyle="1" w:styleId="75">
    <w:name w:val="纯文本 Char1"/>
    <w:autoRedefine/>
    <w:qFormat/>
    <w:locked/>
    <w:uiPriority w:val="99"/>
    <w:rPr>
      <w:rFonts w:ascii="Arial" w:hAnsi="Arial" w:eastAsia="Arial"/>
      <w:kern w:val="2"/>
      <w:sz w:val="21"/>
      <w:lang w:val="en-US" w:eastAsia="zh-CN" w:bidi="ar-SA"/>
    </w:rPr>
  </w:style>
  <w:style w:type="character" w:customStyle="1" w:styleId="76">
    <w:name w:val="批注文字 Char"/>
    <w:basedOn w:val="43"/>
    <w:autoRedefine/>
    <w:semiHidden/>
    <w:qFormat/>
    <w:uiPriority w:val="99"/>
    <w:rPr>
      <w:rFonts w:ascii="@仿宋_GB2312" w:hAnsi="@仿宋_GB2312" w:eastAsia="@仿宋_GB2312" w:cs="@仿宋_GB2312"/>
      <w:szCs w:val="20"/>
    </w:rPr>
  </w:style>
  <w:style w:type="character" w:customStyle="1" w:styleId="77">
    <w:name w:val="批注文字 字符"/>
    <w:link w:val="13"/>
    <w:autoRedefine/>
    <w:qFormat/>
    <w:uiPriority w:val="99"/>
    <w:rPr>
      <w:rFonts w:ascii="Arial" w:hAnsi="Arial" w:eastAsia="黑体" w:cs="Arial"/>
      <w:szCs w:val="20"/>
    </w:rPr>
  </w:style>
  <w:style w:type="character" w:customStyle="1" w:styleId="78">
    <w:name w:val="标题 1 字符"/>
    <w:basedOn w:val="43"/>
    <w:link w:val="2"/>
    <w:autoRedefine/>
    <w:qFormat/>
    <w:uiPriority w:val="9"/>
    <w:rPr>
      <w:rFonts w:ascii="@仿宋_GB2312" w:hAnsi="@仿宋_GB2312" w:eastAsia="@仿宋_GB2312" w:cs="@仿宋_GB2312"/>
      <w:b/>
      <w:bCs/>
      <w:kern w:val="44"/>
      <w:sz w:val="44"/>
      <w:szCs w:val="44"/>
    </w:rPr>
  </w:style>
  <w:style w:type="character" w:customStyle="1" w:styleId="79">
    <w:name w:val="标题 3 字符"/>
    <w:basedOn w:val="43"/>
    <w:autoRedefine/>
    <w:semiHidden/>
    <w:qFormat/>
    <w:uiPriority w:val="9"/>
    <w:rPr>
      <w:rFonts w:ascii="@仿宋_GB2312" w:hAnsi="@仿宋_GB2312" w:eastAsia="@仿宋_GB2312" w:cs="@仿宋_GB2312"/>
      <w:b/>
      <w:bCs/>
      <w:sz w:val="32"/>
      <w:szCs w:val="32"/>
    </w:rPr>
  </w:style>
  <w:style w:type="character" w:customStyle="1" w:styleId="80">
    <w:name w:val="fontstyle01"/>
    <w:basedOn w:val="43"/>
    <w:autoRedefine/>
    <w:qFormat/>
    <w:uiPriority w:val="0"/>
    <w:rPr>
      <w:rFonts w:hint="eastAsia" w:ascii="宋体" w:hAnsi="宋体" w:eastAsia="宋体"/>
      <w:color w:val="000000"/>
      <w:sz w:val="22"/>
      <w:szCs w:val="22"/>
    </w:rPr>
  </w:style>
  <w:style w:type="character" w:customStyle="1" w:styleId="81">
    <w:name w:val="fontstyle21"/>
    <w:basedOn w:val="43"/>
    <w:autoRedefine/>
    <w:qFormat/>
    <w:uiPriority w:val="0"/>
    <w:rPr>
      <w:rFonts w:hint="default" w:ascii="TimesNewRomanPSMT" w:hAnsi="TimesNewRomanPSMT"/>
      <w:color w:val="000000"/>
      <w:sz w:val="22"/>
      <w:szCs w:val="22"/>
    </w:rPr>
  </w:style>
  <w:style w:type="character" w:customStyle="1" w:styleId="8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3">
    <w:name w:val="标题 4 字符"/>
    <w:basedOn w:val="43"/>
    <w:autoRedefine/>
    <w:semiHidden/>
    <w:qFormat/>
    <w:uiPriority w:val="9"/>
    <w:rPr>
      <w:rFonts w:ascii="Cambria" w:hAnsi="Cambria" w:eastAsia="宋体" w:cs="黑体"/>
      <w:b/>
      <w:bCs/>
      <w:sz w:val="28"/>
      <w:szCs w:val="28"/>
    </w:rPr>
  </w:style>
  <w:style w:type="character" w:customStyle="1" w:styleId="84">
    <w:name w:val="标题 4 字符1"/>
    <w:link w:val="5"/>
    <w:autoRedefine/>
    <w:qFormat/>
    <w:uiPriority w:val="0"/>
    <w:rPr>
      <w:rFonts w:ascii="@仿宋_GB2312" w:hAnsi="@仿宋_GB2312" w:eastAsia="@仿宋_GB2312" w:cs="@仿宋_GB2312"/>
      <w:b/>
      <w:bCs/>
      <w:sz w:val="28"/>
      <w:szCs w:val="28"/>
    </w:rPr>
  </w:style>
  <w:style w:type="character" w:customStyle="1" w:styleId="85">
    <w:name w:val="标题 4 Char"/>
    <w:autoRedefine/>
    <w:qFormat/>
    <w:uiPriority w:val="0"/>
    <w:rPr>
      <w:rFonts w:ascii="Arial" w:hAnsi="Arial" w:eastAsia="Arial"/>
      <w:b/>
      <w:bCs/>
      <w:kern w:val="2"/>
      <w:sz w:val="28"/>
      <w:szCs w:val="28"/>
      <w:lang w:val="en-US" w:eastAsia="zh-CN" w:bidi="ar-SA"/>
    </w:rPr>
  </w:style>
  <w:style w:type="character" w:customStyle="1" w:styleId="86">
    <w:name w:val="fontstyle11"/>
    <w:basedOn w:val="43"/>
    <w:autoRedefine/>
    <w:qFormat/>
    <w:uiPriority w:val="0"/>
    <w:rPr>
      <w:rFonts w:hint="eastAsia" w:ascii="宋体" w:hAnsi="宋体" w:eastAsia="宋体"/>
      <w:color w:val="000000"/>
      <w:sz w:val="22"/>
      <w:szCs w:val="22"/>
    </w:rPr>
  </w:style>
  <w:style w:type="character" w:customStyle="1" w:styleId="87">
    <w:name w:val="批注主题 字符"/>
    <w:basedOn w:val="77"/>
    <w:link w:val="39"/>
    <w:autoRedefine/>
    <w:semiHidden/>
    <w:qFormat/>
    <w:uiPriority w:val="99"/>
    <w:rPr>
      <w:rFonts w:ascii="@仿宋_GB2312" w:hAnsi="@仿宋_GB2312" w:eastAsia="@仿宋_GB2312" w:cs="@仿宋_GB2312"/>
      <w:b/>
      <w:bCs/>
      <w:szCs w:val="20"/>
    </w:rPr>
  </w:style>
  <w:style w:type="table" w:customStyle="1" w:styleId="88">
    <w:name w:val="网格表 1 浅色1"/>
    <w:basedOn w:val="41"/>
    <w:autoRedefine/>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9">
    <w:name w:val="网格型1"/>
    <w:basedOn w:val="4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0">
    <w:name w:val="List Paragraph"/>
    <w:basedOn w:val="1"/>
    <w:autoRedefine/>
    <w:qFormat/>
    <w:uiPriority w:val="99"/>
    <w:pPr>
      <w:ind w:firstLine="420" w:firstLineChars="200"/>
    </w:pPr>
  </w:style>
  <w:style w:type="character" w:customStyle="1" w:styleId="91">
    <w:name w:val="正文文本 Char"/>
    <w:basedOn w:val="43"/>
    <w:semiHidden/>
    <w:qFormat/>
    <w:uiPriority w:val="0"/>
    <w:rPr>
      <w:rFonts w:ascii="@仿宋_GB2312" w:hAnsi="@仿宋_GB2312" w:eastAsia="@仿宋_GB2312" w:cs="@仿宋_GB2312"/>
      <w:kern w:val="2"/>
      <w:sz w:val="21"/>
    </w:rPr>
  </w:style>
  <w:style w:type="character" w:customStyle="1" w:styleId="92">
    <w:name w:val="正文文本 字符"/>
    <w:link w:val="16"/>
    <w:qFormat/>
    <w:uiPriority w:val="99"/>
    <w:rPr>
      <w:rFonts w:ascii="宋体" w:hAnsi="Arial"/>
      <w:kern w:val="2"/>
      <w:sz w:val="28"/>
    </w:rPr>
  </w:style>
  <w:style w:type="paragraph" w:customStyle="1" w:styleId="93">
    <w:name w:val="正文 New"/>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4">
    <w:name w:val="Table Paragraph"/>
    <w:basedOn w:val="1"/>
    <w:qFormat/>
    <w:uiPriority w:val="1"/>
    <w:rPr>
      <w:rFonts w:ascii="宋体" w:hAnsi="宋体" w:cs="宋体"/>
      <w:lang w:val="zh-CN" w:bidi="zh-CN"/>
    </w:rPr>
  </w:style>
  <w:style w:type="paragraph" w:customStyle="1" w:styleId="95">
    <w:name w:val="纯文本1"/>
    <w:basedOn w:val="1"/>
    <w:qFormat/>
    <w:uiPriority w:val="0"/>
    <w:rPr>
      <w:rFonts w:ascii="Arial" w:hAnsi="Arial" w:eastAsia="Arial" w:cstheme="minorBidi"/>
    </w:rPr>
  </w:style>
  <w:style w:type="paragraph" w:customStyle="1" w:styleId="9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_2_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99">
    <w:name w:val="标题 2 字符"/>
    <w:basedOn w:val="43"/>
    <w:link w:val="3"/>
    <w:qFormat/>
    <w:uiPriority w:val="0"/>
    <w:rPr>
      <w:rFonts w:hint="default" w:ascii="Cambria" w:hAnsi="Cambria" w:eastAsia="Cambria" w:cs="Cambria"/>
      <w:b/>
      <w:bCs/>
      <w:kern w:val="2"/>
      <w:sz w:val="32"/>
      <w:szCs w:val="32"/>
    </w:rPr>
  </w:style>
  <w:style w:type="paragraph" w:customStyle="1" w:styleId="100">
    <w:name w:val="正文_0"/>
    <w:basedOn w:val="1"/>
    <w:qFormat/>
    <w:uiPriority w:val="0"/>
    <w:rPr>
      <w:rFonts w:ascii="Times New Roman" w:hAnsi="Times New Roman" w:cs="Times New Roman"/>
      <w:szCs w:val="24"/>
    </w:rPr>
  </w:style>
  <w:style w:type="character" w:customStyle="1" w:styleId="101">
    <w:name w:val="正文文本 Char1"/>
    <w:basedOn w:val="43"/>
    <w:qFormat/>
    <w:uiPriority w:val="0"/>
    <w:rPr>
      <w:kern w:val="2"/>
      <w:sz w:val="21"/>
      <w:szCs w:val="22"/>
    </w:rPr>
  </w:style>
  <w:style w:type="character" w:customStyle="1" w:styleId="102">
    <w:name w:val="Blockquote Char_0_1"/>
    <w:basedOn w:val="43"/>
    <w:qFormat/>
    <w:uiPriority w:val="0"/>
    <w:rPr>
      <w:sz w:val="24"/>
    </w:rPr>
  </w:style>
  <w:style w:type="character" w:customStyle="1" w:styleId="103">
    <w:name w:val="NormalCharacter"/>
    <w:qFormat/>
    <w:uiPriority w:val="0"/>
    <w:rPr>
      <w:rFonts w:ascii="@仿宋_GB2312" w:hAnsi="@仿宋_GB2312" w:eastAsia="宋体" w:cs="@仿宋_GB2312"/>
      <w:kern w:val="2"/>
      <w:sz w:val="21"/>
      <w:lang w:val="en-US" w:eastAsia="zh-CN" w:bidi="ar-SA"/>
    </w:rPr>
  </w:style>
  <w:style w:type="character" w:customStyle="1" w:styleId="104">
    <w:name w:val="正文文本缩进 2 字符"/>
    <w:basedOn w:val="43"/>
    <w:link w:val="24"/>
    <w:qFormat/>
    <w:uiPriority w:val="0"/>
    <w:rPr>
      <w:rFonts w:hint="eastAsia" w:ascii="宋体" w:hAnsi="MS Sans Serif" w:eastAsia="宋体" w:cs="宋体"/>
      <w:bCs/>
      <w:spacing w:val="12"/>
      <w:sz w:val="24"/>
    </w:rPr>
  </w:style>
  <w:style w:type="character" w:customStyle="1" w:styleId="105">
    <w:name w:val="纯文本 Char"/>
    <w:basedOn w:val="43"/>
    <w:qFormat/>
    <w:uiPriority w:val="0"/>
    <w:rPr>
      <w:rFonts w:hint="eastAsia" w:ascii="宋体" w:hAnsi="Courier New" w:eastAsia="宋体" w:cs="Courier New"/>
      <w:kern w:val="2"/>
      <w:sz w:val="21"/>
      <w:szCs w:val="21"/>
    </w:rPr>
  </w:style>
  <w:style w:type="character" w:customStyle="1" w:styleId="106">
    <w:name w:val="msointenseemphasis"/>
    <w:basedOn w:val="43"/>
    <w:qFormat/>
    <w:uiPriority w:val="0"/>
    <w:rPr>
      <w:b/>
      <w:bCs/>
      <w:i/>
      <w:iCs/>
      <w:color w:val="4F81BD"/>
    </w:rPr>
  </w:style>
  <w:style w:type="character" w:customStyle="1" w:styleId="107">
    <w:name w:val="标题 Char1"/>
    <w:basedOn w:val="43"/>
    <w:qFormat/>
    <w:uiPriority w:val="0"/>
    <w:rPr>
      <w:rFonts w:hint="default" w:ascii="Cambria" w:hAnsi="Cambria" w:eastAsia="Cambria" w:cs="Times New Roman"/>
      <w:b/>
      <w:bCs/>
      <w:kern w:val="2"/>
      <w:sz w:val="32"/>
      <w:szCs w:val="32"/>
    </w:rPr>
  </w:style>
  <w:style w:type="character" w:customStyle="1" w:styleId="108">
    <w:name w:val="标题 字符"/>
    <w:basedOn w:val="43"/>
    <w:link w:val="38"/>
    <w:qFormat/>
    <w:uiPriority w:val="0"/>
    <w:rPr>
      <w:rFonts w:hint="eastAsia" w:ascii="宋体" w:hAnsi="宋体" w:eastAsia="黑体" w:cs="宋体"/>
      <w:b/>
      <w:smallCaps/>
      <w:snapToGrid/>
      <w:kern w:val="2"/>
      <w:sz w:val="44"/>
      <w:szCs w:val="24"/>
    </w:rPr>
  </w:style>
  <w:style w:type="character" w:customStyle="1" w:styleId="109">
    <w:name w:val="明显引用 字符1"/>
    <w:basedOn w:val="43"/>
    <w:qFormat/>
    <w:uiPriority w:val="0"/>
    <w:rPr>
      <w:i/>
      <w:iCs/>
      <w:color w:val="4472C4"/>
      <w:kern w:val="2"/>
      <w:sz w:val="21"/>
      <w:szCs w:val="24"/>
    </w:rPr>
  </w:style>
  <w:style w:type="character" w:customStyle="1" w:styleId="110">
    <w:name w:val="正文文本 (2)_"/>
    <w:basedOn w:val="43"/>
    <w:qFormat/>
    <w:uiPriority w:val="0"/>
    <w:rPr>
      <w:rFonts w:hint="eastAsia" w:ascii="MingLiU" w:hAnsi="MingLiU" w:eastAsia="MingLiU" w:cs="MingLiU"/>
      <w:spacing w:val="20"/>
      <w:sz w:val="22"/>
      <w:shd w:val="clear" w:color="auto" w:fill="FFFFFF"/>
    </w:rPr>
  </w:style>
  <w:style w:type="character" w:customStyle="1" w:styleId="111">
    <w:name w:val="页眉 Char1"/>
    <w:basedOn w:val="43"/>
    <w:qFormat/>
    <w:uiPriority w:val="0"/>
    <w:rPr>
      <w:kern w:val="2"/>
      <w:sz w:val="18"/>
      <w:szCs w:val="18"/>
    </w:rPr>
  </w:style>
  <w:style w:type="character" w:customStyle="1" w:styleId="112">
    <w:name w:val="明显引用 Char1"/>
    <w:basedOn w:val="43"/>
    <w:qFormat/>
    <w:uiPriority w:val="0"/>
    <w:rPr>
      <w:b/>
      <w:bCs/>
      <w:i/>
      <w:iCs/>
      <w:color w:val="4F81BD"/>
      <w:kern w:val="2"/>
      <w:sz w:val="21"/>
      <w:szCs w:val="24"/>
    </w:rPr>
  </w:style>
  <w:style w:type="character" w:customStyle="1" w:styleId="113">
    <w:name w:val="副标题 字符"/>
    <w:basedOn w:val="43"/>
    <w:link w:val="30"/>
    <w:qFormat/>
    <w:uiPriority w:val="0"/>
    <w:rPr>
      <w:rFonts w:ascii="Arial" w:hAnsi="Arial" w:cs="Arial"/>
      <w:b/>
      <w:bCs/>
      <w:kern w:val="28"/>
      <w:sz w:val="32"/>
      <w:szCs w:val="32"/>
    </w:rPr>
  </w:style>
  <w:style w:type="character" w:customStyle="1" w:styleId="114">
    <w:name w:val="文档结构图 字符"/>
    <w:basedOn w:val="43"/>
    <w:link w:val="12"/>
    <w:qFormat/>
    <w:uiPriority w:val="0"/>
    <w:rPr>
      <w:rFonts w:hint="default" w:ascii="Calibri" w:hAnsi="Calibri" w:cs="Calibri"/>
      <w:bCs/>
      <w:kern w:val="2"/>
      <w:sz w:val="21"/>
      <w:szCs w:val="32"/>
      <w:shd w:val="clear" w:color="auto" w:fill="000080"/>
    </w:rPr>
  </w:style>
  <w:style w:type="character" w:customStyle="1" w:styleId="115">
    <w:name w:val="标题 3 Char_0"/>
    <w:basedOn w:val="43"/>
    <w:qFormat/>
    <w:uiPriority w:val="0"/>
    <w:rPr>
      <w:b/>
      <w:sz w:val="32"/>
    </w:rPr>
  </w:style>
  <w:style w:type="character" w:customStyle="1" w:styleId="116">
    <w:name w:val="页脚 Char1"/>
    <w:basedOn w:val="43"/>
    <w:qFormat/>
    <w:uiPriority w:val="0"/>
    <w:rPr>
      <w:kern w:val="2"/>
      <w:sz w:val="18"/>
      <w:szCs w:val="18"/>
    </w:rPr>
  </w:style>
  <w:style w:type="character" w:customStyle="1" w:styleId="117">
    <w:name w:val="标题 7 Char_0"/>
    <w:basedOn w:val="43"/>
    <w:qFormat/>
    <w:uiPriority w:val="0"/>
    <w:rPr>
      <w:b/>
      <w:bCs/>
      <w:sz w:val="24"/>
      <w:szCs w:val="24"/>
    </w:rPr>
  </w:style>
  <w:style w:type="character" w:customStyle="1" w:styleId="118">
    <w:name w:val="mini-outputtext1"/>
    <w:basedOn w:val="43"/>
    <w:qFormat/>
    <w:uiPriority w:val="0"/>
  </w:style>
  <w:style w:type="character" w:customStyle="1" w:styleId="119">
    <w:name w:val="正文文本 Char_0"/>
    <w:basedOn w:val="43"/>
    <w:qFormat/>
    <w:uiPriority w:val="0"/>
    <w:rPr>
      <w:kern w:val="2"/>
      <w:sz w:val="21"/>
      <w:szCs w:val="24"/>
    </w:rPr>
  </w:style>
  <w:style w:type="character" w:customStyle="1" w:styleId="120">
    <w:name w:val="标题 7 字符"/>
    <w:basedOn w:val="43"/>
    <w:link w:val="8"/>
    <w:qFormat/>
    <w:uiPriority w:val="0"/>
    <w:rPr>
      <w:b/>
      <w:bCs/>
      <w:kern w:val="2"/>
      <w:sz w:val="30"/>
      <w:szCs w:val="18"/>
    </w:rPr>
  </w:style>
  <w:style w:type="character" w:customStyle="1" w:styleId="121">
    <w:name w:val="正文文本缩进 3 字符"/>
    <w:basedOn w:val="43"/>
    <w:link w:val="33"/>
    <w:qFormat/>
    <w:uiPriority w:val="0"/>
    <w:rPr>
      <w:rFonts w:hint="eastAsia" w:ascii="宋体" w:hAnsi="MS Sans Serif" w:eastAsia="宋体" w:cs="宋体"/>
      <w:bCs/>
      <w:color w:val="000000"/>
      <w:sz w:val="24"/>
    </w:rPr>
  </w:style>
  <w:style w:type="character" w:customStyle="1" w:styleId="122">
    <w:name w:val="Texte Char1"/>
    <w:basedOn w:val="43"/>
    <w:qFormat/>
    <w:uiPriority w:val="0"/>
    <w:rPr>
      <w:rFonts w:hint="eastAsia" w:ascii="宋体" w:hAnsi="Courier New" w:eastAsia="宋体" w:cs="宋体"/>
      <w:kern w:val="2"/>
      <w:sz w:val="21"/>
      <w:szCs w:val="21"/>
    </w:rPr>
  </w:style>
  <w:style w:type="character" w:customStyle="1" w:styleId="123">
    <w:name w:val="标题 2 Char_0"/>
    <w:basedOn w:val="43"/>
    <w:autoRedefine/>
    <w:qFormat/>
    <w:uiPriority w:val="0"/>
    <w:rPr>
      <w:rFonts w:hint="eastAsia" w:ascii="黑体" w:hAnsi="宋体" w:eastAsia="黑体" w:cs="黑体"/>
      <w:b/>
      <w:smallCaps/>
      <w:snapToGrid/>
      <w:sz w:val="36"/>
      <w:szCs w:val="24"/>
    </w:rPr>
  </w:style>
  <w:style w:type="character" w:customStyle="1" w:styleId="124">
    <w:name w:val="msosubtlereference"/>
    <w:basedOn w:val="43"/>
    <w:autoRedefine/>
    <w:qFormat/>
    <w:uiPriority w:val="0"/>
    <w:rPr>
      <w:smallCaps/>
      <w:color w:val="C0504D"/>
      <w:u w:val="single"/>
    </w:rPr>
  </w:style>
  <w:style w:type="character" w:customStyle="1" w:styleId="125">
    <w:name w:val="标题 8 Char1"/>
    <w:basedOn w:val="43"/>
    <w:autoRedefine/>
    <w:qFormat/>
    <w:uiPriority w:val="0"/>
    <w:rPr>
      <w:rFonts w:hint="default" w:ascii="Cambria" w:hAnsi="Cambria" w:eastAsia="宋体" w:cs="Cambria"/>
      <w:kern w:val="2"/>
      <w:sz w:val="24"/>
      <w:szCs w:val="24"/>
    </w:rPr>
  </w:style>
  <w:style w:type="character" w:customStyle="1" w:styleId="126">
    <w:name w:val="msointensereference"/>
    <w:basedOn w:val="43"/>
    <w:qFormat/>
    <w:uiPriority w:val="0"/>
    <w:rPr>
      <w:b/>
      <w:bCs/>
      <w:smallCaps/>
      <w:color w:val="C0504D"/>
      <w:spacing w:val="5"/>
      <w:u w:val="single"/>
    </w:rPr>
  </w:style>
  <w:style w:type="character" w:customStyle="1" w:styleId="127">
    <w:name w:val="textcontents"/>
    <w:basedOn w:val="43"/>
    <w:autoRedefine/>
    <w:qFormat/>
    <w:uiPriority w:val="0"/>
    <w:rPr>
      <w:rFonts w:hint="default" w:ascii="Times New Roman" w:hAnsi="Times New Roman" w:cs="Times New Roman"/>
    </w:rPr>
  </w:style>
  <w:style w:type="character" w:customStyle="1" w:styleId="128">
    <w:name w:val="msobooktitle"/>
    <w:basedOn w:val="43"/>
    <w:autoRedefine/>
    <w:qFormat/>
    <w:uiPriority w:val="0"/>
    <w:rPr>
      <w:b/>
      <w:bCs/>
      <w:smallCaps/>
      <w:spacing w:val="5"/>
    </w:rPr>
  </w:style>
  <w:style w:type="character" w:customStyle="1" w:styleId="129">
    <w:name w:val="文档结构图 Char1"/>
    <w:basedOn w:val="43"/>
    <w:autoRedefine/>
    <w:qFormat/>
    <w:uiPriority w:val="0"/>
    <w:rPr>
      <w:rFonts w:hint="eastAsia" w:ascii="宋体" w:hAnsi="宋体" w:eastAsia="宋体" w:cs="宋体"/>
      <w:kern w:val="2"/>
      <w:sz w:val="18"/>
      <w:szCs w:val="18"/>
    </w:rPr>
  </w:style>
  <w:style w:type="character" w:customStyle="1" w:styleId="130">
    <w:name w:val="正文文本 3 字符"/>
    <w:basedOn w:val="43"/>
    <w:link w:val="15"/>
    <w:autoRedefine/>
    <w:qFormat/>
    <w:uiPriority w:val="0"/>
    <w:rPr>
      <w:rFonts w:hint="eastAsia" w:ascii="仿宋_GB2312" w:hAnsi="宋体" w:eastAsia="仿宋_GB2312" w:cs="仿宋_GB2312"/>
      <w:bCs/>
      <w:color w:val="000000"/>
      <w:kern w:val="2"/>
      <w:sz w:val="24"/>
      <w:szCs w:val="32"/>
    </w:rPr>
  </w:style>
  <w:style w:type="character" w:customStyle="1" w:styleId="131">
    <w:name w:val="msosubtleemphasis"/>
    <w:basedOn w:val="43"/>
    <w:autoRedefine/>
    <w:qFormat/>
    <w:uiPriority w:val="0"/>
    <w:rPr>
      <w:i/>
      <w:iCs/>
      <w:color w:val="808080"/>
    </w:rPr>
  </w:style>
  <w:style w:type="character" w:customStyle="1" w:styleId="132">
    <w:name w:val="标题 5 字符"/>
    <w:basedOn w:val="43"/>
    <w:link w:val="6"/>
    <w:qFormat/>
    <w:uiPriority w:val="0"/>
    <w:rPr>
      <w:rFonts w:hint="default" w:ascii="Calibri" w:hAnsi="Calibri" w:cs="Calibri"/>
      <w:b/>
      <w:bCs/>
      <w:kern w:val="2"/>
      <w:sz w:val="28"/>
      <w:szCs w:val="28"/>
    </w:rPr>
  </w:style>
  <w:style w:type="character" w:customStyle="1" w:styleId="133">
    <w:name w:val="标题 6 字符"/>
    <w:basedOn w:val="43"/>
    <w:link w:val="7"/>
    <w:qFormat/>
    <w:uiPriority w:val="0"/>
    <w:rPr>
      <w:b/>
      <w:bCs/>
      <w:kern w:val="2"/>
      <w:sz w:val="30"/>
      <w:szCs w:val="18"/>
    </w:rPr>
  </w:style>
  <w:style w:type="character" w:customStyle="1" w:styleId="134">
    <w:name w:val="标题 8 字符"/>
    <w:basedOn w:val="43"/>
    <w:link w:val="9"/>
    <w:autoRedefine/>
    <w:qFormat/>
    <w:uiPriority w:val="0"/>
    <w:rPr>
      <w:rFonts w:hint="eastAsia" w:ascii="宋体" w:hAnsi="宋体" w:eastAsia="黑体" w:cs="宋体"/>
      <w:kern w:val="2"/>
      <w:sz w:val="32"/>
      <w:szCs w:val="32"/>
    </w:rPr>
  </w:style>
  <w:style w:type="character" w:customStyle="1" w:styleId="135">
    <w:name w:val="标题 9 字符"/>
    <w:basedOn w:val="43"/>
    <w:link w:val="10"/>
    <w:autoRedefine/>
    <w:qFormat/>
    <w:uiPriority w:val="0"/>
    <w:rPr>
      <w:rFonts w:hint="default" w:ascii="Cambria" w:hAnsi="Cambria" w:eastAsia="Cambria" w:cs="Cambria"/>
      <w:kern w:val="2"/>
      <w:sz w:val="21"/>
      <w:szCs w:val="21"/>
    </w:rPr>
  </w:style>
  <w:style w:type="character" w:customStyle="1" w:styleId="136">
    <w:name w:val="标题 9 Char1"/>
    <w:basedOn w:val="43"/>
    <w:autoRedefine/>
    <w:qFormat/>
    <w:uiPriority w:val="0"/>
    <w:rPr>
      <w:rFonts w:hint="default" w:ascii="Cambria" w:hAnsi="Cambria" w:eastAsia="宋体" w:cs="Cambria"/>
      <w:kern w:val="2"/>
      <w:sz w:val="21"/>
      <w:szCs w:val="21"/>
    </w:rPr>
  </w:style>
  <w:style w:type="character" w:customStyle="1" w:styleId="137">
    <w:name w:val="ask-title2"/>
    <w:basedOn w:val="43"/>
    <w:autoRedefine/>
    <w:qFormat/>
    <w:uiPriority w:val="0"/>
  </w:style>
  <w:style w:type="character" w:customStyle="1" w:styleId="138">
    <w:name w:val="标题 3 字符1"/>
    <w:basedOn w:val="43"/>
    <w:link w:val="4"/>
    <w:qFormat/>
    <w:uiPriority w:val="0"/>
    <w:rPr>
      <w:rFonts w:hint="eastAsia" w:ascii="黑体" w:hAnsi="宋体" w:eastAsia="黑体" w:cs="黑体"/>
      <w:bCs/>
      <w:kern w:val="2"/>
      <w:sz w:val="24"/>
      <w:szCs w:val="24"/>
    </w:rPr>
  </w:style>
  <w:style w:type="character" w:customStyle="1" w:styleId="139">
    <w:name w:val="称呼 字符"/>
    <w:basedOn w:val="43"/>
    <w:link w:val="14"/>
    <w:autoRedefine/>
    <w:qFormat/>
    <w:uiPriority w:val="0"/>
    <w:rPr>
      <w:rFonts w:hint="eastAsia" w:ascii="仿宋_GB2312" w:eastAsia="仿宋_GB2312" w:cs="仿宋_GB2312"/>
      <w:kern w:val="2"/>
      <w:sz w:val="28"/>
    </w:rPr>
  </w:style>
  <w:style w:type="character" w:customStyle="1" w:styleId="140">
    <w:name w:val="正文文本缩进 字符"/>
    <w:basedOn w:val="43"/>
    <w:link w:val="18"/>
    <w:autoRedefine/>
    <w:qFormat/>
    <w:uiPriority w:val="0"/>
    <w:rPr>
      <w:rFonts w:hint="eastAsia" w:ascii="宋体" w:hAnsi="宋体" w:eastAsia="宋体" w:cs="宋体"/>
      <w:bCs/>
      <w:kern w:val="2"/>
      <w:sz w:val="28"/>
      <w:szCs w:val="32"/>
    </w:rPr>
  </w:style>
  <w:style w:type="character" w:customStyle="1" w:styleId="141">
    <w:name w:val="尾注文本 字符"/>
    <w:basedOn w:val="43"/>
    <w:link w:val="25"/>
    <w:autoRedefine/>
    <w:qFormat/>
    <w:uiPriority w:val="0"/>
    <w:rPr>
      <w:kern w:val="2"/>
      <w:sz w:val="21"/>
      <w:szCs w:val="24"/>
    </w:rPr>
  </w:style>
  <w:style w:type="character" w:customStyle="1" w:styleId="142">
    <w:name w:val="脚注文本 字符"/>
    <w:basedOn w:val="43"/>
    <w:link w:val="32"/>
    <w:autoRedefine/>
    <w:qFormat/>
    <w:uiPriority w:val="0"/>
    <w:rPr>
      <w:kern w:val="2"/>
      <w:sz w:val="18"/>
      <w:szCs w:val="18"/>
    </w:rPr>
  </w:style>
  <w:style w:type="character" w:customStyle="1" w:styleId="143">
    <w:name w:val="正文文本 2 字符"/>
    <w:basedOn w:val="43"/>
    <w:link w:val="35"/>
    <w:qFormat/>
    <w:uiPriority w:val="0"/>
    <w:rPr>
      <w:rFonts w:hint="eastAsia" w:ascii="宋体" w:hAnsi="宋体" w:eastAsia="宋体" w:cs="宋体"/>
      <w:spacing w:val="-20"/>
      <w:kern w:val="2"/>
      <w:sz w:val="28"/>
    </w:rPr>
  </w:style>
  <w:style w:type="character" w:customStyle="1" w:styleId="144">
    <w:name w:val="引用 字符"/>
    <w:basedOn w:val="43"/>
    <w:qFormat/>
    <w:uiPriority w:val="0"/>
    <w:rPr>
      <w:i/>
      <w:iCs/>
      <w:color w:val="000000"/>
      <w:kern w:val="2"/>
      <w:sz w:val="21"/>
      <w:szCs w:val="22"/>
    </w:rPr>
  </w:style>
  <w:style w:type="character" w:customStyle="1" w:styleId="145">
    <w:name w:val="引用 字符1"/>
    <w:basedOn w:val="43"/>
    <w:autoRedefine/>
    <w:qFormat/>
    <w:uiPriority w:val="0"/>
    <w:rPr>
      <w:i/>
      <w:iCs/>
      <w:color w:val="404040"/>
      <w:kern w:val="2"/>
      <w:sz w:val="21"/>
      <w:szCs w:val="24"/>
    </w:rPr>
  </w:style>
  <w:style w:type="character" w:customStyle="1" w:styleId="146">
    <w:name w:val="普通文字1 Char"/>
    <w:basedOn w:val="43"/>
    <w:qFormat/>
    <w:uiPriority w:val="0"/>
    <w:rPr>
      <w:rFonts w:hint="eastAsia" w:ascii="宋体" w:hAnsi="Courier New" w:eastAsia="宋体" w:cs="Courier New"/>
      <w:szCs w:val="21"/>
    </w:rPr>
  </w:style>
  <w:style w:type="character" w:customStyle="1" w:styleId="147">
    <w:name w:val="批注文字 Char1"/>
    <w:basedOn w:val="43"/>
    <w:autoRedefine/>
    <w:qFormat/>
    <w:uiPriority w:val="0"/>
    <w:rPr>
      <w:kern w:val="2"/>
      <w:sz w:val="21"/>
      <w:szCs w:val="24"/>
    </w:rPr>
  </w:style>
  <w:style w:type="character" w:customStyle="1" w:styleId="148">
    <w:name w:val="tdrownotice1"/>
    <w:basedOn w:val="43"/>
    <w:autoRedefine/>
    <w:qFormat/>
    <w:uiPriority w:val="0"/>
    <w:rPr>
      <w:sz w:val="22"/>
    </w:rPr>
  </w:style>
  <w:style w:type="character" w:customStyle="1" w:styleId="149">
    <w:name w:val="标题4 Char Char"/>
    <w:basedOn w:val="43"/>
    <w:autoRedefine/>
    <w:qFormat/>
    <w:uiPriority w:val="0"/>
    <w:rPr>
      <w:rFonts w:hint="default" w:ascii="Arial" w:hAnsi="Arial" w:cs="Arial"/>
      <w:b/>
      <w:bCs/>
      <w:sz w:val="24"/>
      <w:szCs w:val="32"/>
    </w:rPr>
  </w:style>
  <w:style w:type="character" w:customStyle="1" w:styleId="150">
    <w:name w:val="纯文本 Char1_1"/>
    <w:basedOn w:val="43"/>
    <w:autoRedefine/>
    <w:qFormat/>
    <w:uiPriority w:val="0"/>
    <w:rPr>
      <w:rFonts w:hint="eastAsia" w:ascii="宋体" w:hAnsi="Courier New" w:eastAsia="宋体" w:cs="宋体"/>
      <w:kern w:val="2"/>
      <w:sz w:val="21"/>
      <w:szCs w:val="21"/>
    </w:rPr>
  </w:style>
  <w:style w:type="character" w:customStyle="1" w:styleId="151">
    <w:name w:val="标题 6 Char_0"/>
    <w:basedOn w:val="43"/>
    <w:autoRedefine/>
    <w:qFormat/>
    <w:uiPriority w:val="0"/>
    <w:rPr>
      <w:rFonts w:hint="default" w:ascii="Arial" w:hAnsi="Arial" w:eastAsia="黑体" w:cs="Arial"/>
      <w:b/>
      <w:bCs/>
      <w:sz w:val="24"/>
      <w:szCs w:val="24"/>
    </w:rPr>
  </w:style>
  <w:style w:type="character" w:customStyle="1" w:styleId="152">
    <w:name w:val="正文文本 (2) + 间距 0 pt5"/>
    <w:basedOn w:val="43"/>
    <w:autoRedefine/>
    <w:qFormat/>
    <w:uiPriority w:val="0"/>
    <w:rPr>
      <w:rFonts w:hint="eastAsia" w:ascii="MingLiU" w:hAnsi="MingLiU" w:eastAsia="MingLiU" w:cs="MingLiU"/>
      <w:spacing w:val="0"/>
      <w:sz w:val="22"/>
      <w:shd w:val="clear" w:color="auto" w:fill="FFFFFF"/>
    </w:rPr>
  </w:style>
  <w:style w:type="character" w:customStyle="1" w:styleId="153">
    <w:name w:val="脚注文本 Char_0"/>
    <w:basedOn w:val="43"/>
    <w:autoRedefine/>
    <w:qFormat/>
    <w:uiPriority w:val="0"/>
    <w:rPr>
      <w:sz w:val="18"/>
    </w:rPr>
  </w:style>
  <w:style w:type="character" w:customStyle="1" w:styleId="154">
    <w:name w:val="标题 2 Char"/>
    <w:basedOn w:val="43"/>
    <w:qFormat/>
    <w:uiPriority w:val="0"/>
    <w:rPr>
      <w:rFonts w:hint="default" w:ascii="Cambria" w:hAnsi="Cambria" w:eastAsia="宋体" w:cs="Times New Roman"/>
      <w:b/>
      <w:bCs/>
      <w:kern w:val="2"/>
      <w:sz w:val="32"/>
      <w:szCs w:val="32"/>
    </w:rPr>
  </w:style>
  <w:style w:type="character" w:customStyle="1" w:styleId="155">
    <w:name w:val="标题 8 Char_0"/>
    <w:basedOn w:val="43"/>
    <w:qFormat/>
    <w:uiPriority w:val="0"/>
    <w:rPr>
      <w:rFonts w:hint="default" w:ascii="Arial" w:hAnsi="Arial" w:eastAsia="黑体" w:cs="Arial"/>
      <w:sz w:val="24"/>
      <w:szCs w:val="24"/>
    </w:rPr>
  </w:style>
  <w:style w:type="character" w:customStyle="1" w:styleId="156">
    <w:name w:val="批注框文本 Char1"/>
    <w:basedOn w:val="43"/>
    <w:qFormat/>
    <w:uiPriority w:val="0"/>
    <w:rPr>
      <w:kern w:val="2"/>
      <w:sz w:val="18"/>
      <w:szCs w:val="18"/>
    </w:rPr>
  </w:style>
  <w:style w:type="character" w:customStyle="1" w:styleId="157">
    <w:name w:val="纯文本 Char1_0"/>
    <w:basedOn w:val="43"/>
    <w:qFormat/>
    <w:uiPriority w:val="0"/>
    <w:rPr>
      <w:rFonts w:hint="eastAsia" w:ascii="宋体" w:hAnsi="Courier New" w:eastAsia="宋体" w:cs="宋体"/>
      <w:kern w:val="2"/>
      <w:sz w:val="21"/>
      <w:szCs w:val="21"/>
    </w:rPr>
  </w:style>
  <w:style w:type="character" w:customStyle="1" w:styleId="158">
    <w:name w:val="Blockquote Char_0"/>
    <w:basedOn w:val="43"/>
    <w:qFormat/>
    <w:uiPriority w:val="0"/>
    <w:rPr>
      <w:sz w:val="24"/>
    </w:rPr>
  </w:style>
  <w:style w:type="character" w:customStyle="1" w:styleId="159">
    <w:name w:val="标题 4 Char1"/>
    <w:basedOn w:val="43"/>
    <w:qFormat/>
    <w:uiPriority w:val="0"/>
    <w:rPr>
      <w:rFonts w:hint="default" w:ascii="Cambria" w:hAnsi="Cambria" w:eastAsia="宋体" w:cs="Cambria"/>
      <w:b/>
      <w:kern w:val="2"/>
      <w:sz w:val="28"/>
      <w:szCs w:val="28"/>
    </w:rPr>
  </w:style>
  <w:style w:type="character" w:customStyle="1" w:styleId="160">
    <w:name w:val="标题 6 Char1"/>
    <w:basedOn w:val="43"/>
    <w:qFormat/>
    <w:uiPriority w:val="0"/>
    <w:rPr>
      <w:rFonts w:hint="default" w:ascii="Cambria" w:hAnsi="Cambria" w:eastAsia="宋体" w:cs="Cambria"/>
      <w:b/>
      <w:kern w:val="2"/>
      <w:sz w:val="24"/>
      <w:szCs w:val="24"/>
    </w:rPr>
  </w:style>
  <w:style w:type="character" w:customStyle="1" w:styleId="161">
    <w:name w:val="标题 1 Char_0"/>
    <w:basedOn w:val="43"/>
    <w:qFormat/>
    <w:uiPriority w:val="0"/>
    <w:rPr>
      <w:rFonts w:hint="eastAsia" w:ascii="黑体" w:hAnsi="宋体" w:eastAsia="黑体" w:cs="黑体"/>
      <w:sz w:val="52"/>
    </w:rPr>
  </w:style>
  <w:style w:type="character" w:customStyle="1" w:styleId="162">
    <w:name w:val="引用 Char1"/>
    <w:basedOn w:val="43"/>
    <w:qFormat/>
    <w:uiPriority w:val="0"/>
    <w:rPr>
      <w:i/>
      <w:iCs/>
      <w:color w:val="000000"/>
      <w:kern w:val="2"/>
      <w:sz w:val="21"/>
      <w:szCs w:val="24"/>
    </w:rPr>
  </w:style>
  <w:style w:type="character" w:customStyle="1" w:styleId="163">
    <w:name w:val="标题 3 Char1"/>
    <w:basedOn w:val="43"/>
    <w:qFormat/>
    <w:uiPriority w:val="0"/>
    <w:rPr>
      <w:rFonts w:hint="default" w:ascii="Calibri" w:hAnsi="Calibri" w:eastAsia="宋体" w:cs="Calibri"/>
      <w:b/>
      <w:kern w:val="2"/>
      <w:sz w:val="32"/>
    </w:rPr>
  </w:style>
  <w:style w:type="character" w:customStyle="1" w:styleId="164">
    <w:name w:val="Blockquote Char"/>
    <w:basedOn w:val="43"/>
    <w:qFormat/>
    <w:uiPriority w:val="0"/>
    <w:rPr>
      <w:sz w:val="24"/>
    </w:rPr>
  </w:style>
  <w:style w:type="character" w:customStyle="1" w:styleId="165">
    <w:name w:val="标题 4 Char_0"/>
    <w:basedOn w:val="43"/>
    <w:qFormat/>
    <w:uiPriority w:val="0"/>
    <w:rPr>
      <w:rFonts w:hint="default" w:ascii="Arial" w:hAnsi="Arial" w:eastAsia="黑体" w:cs="Arial"/>
      <w:sz w:val="28"/>
    </w:rPr>
  </w:style>
  <w:style w:type="character" w:customStyle="1" w:styleId="166">
    <w:name w:val="标题 7 Char1"/>
    <w:basedOn w:val="43"/>
    <w:qFormat/>
    <w:uiPriority w:val="0"/>
    <w:rPr>
      <w:rFonts w:hint="default" w:ascii="Calibri" w:hAnsi="Calibri" w:eastAsia="宋体" w:cs="Calibri"/>
      <w:b/>
      <w:kern w:val="2"/>
      <w:sz w:val="24"/>
      <w:szCs w:val="24"/>
    </w:rPr>
  </w:style>
  <w:style w:type="character" w:customStyle="1" w:styleId="167">
    <w:name w:val="标题 5 Char1"/>
    <w:basedOn w:val="43"/>
    <w:qFormat/>
    <w:uiPriority w:val="0"/>
    <w:rPr>
      <w:rFonts w:hint="default" w:ascii="Calibri" w:hAnsi="Calibri" w:eastAsia="宋体" w:cs="Calibri"/>
      <w:b/>
      <w:kern w:val="2"/>
      <w:sz w:val="28"/>
      <w:szCs w:val="28"/>
    </w:rPr>
  </w:style>
  <w:style w:type="character" w:customStyle="1" w:styleId="168">
    <w:name w:val="批注主题 Char2"/>
    <w:basedOn w:val="43"/>
    <w:qFormat/>
    <w:uiPriority w:val="0"/>
    <w:rPr>
      <w:b/>
      <w:bCs/>
      <w:kern w:val="2"/>
      <w:sz w:val="21"/>
      <w:szCs w:val="22"/>
    </w:rPr>
  </w:style>
  <w:style w:type="character" w:customStyle="1" w:styleId="169">
    <w:name w:val="副标题 Char1"/>
    <w:basedOn w:val="43"/>
    <w:qFormat/>
    <w:uiPriority w:val="0"/>
    <w:rPr>
      <w:rFonts w:hint="default" w:ascii="Cambria" w:hAnsi="Cambria" w:eastAsia="Cambria" w:cs="Times New Roman"/>
      <w:b/>
      <w:bCs/>
      <w:kern w:val="28"/>
      <w:sz w:val="32"/>
      <w:szCs w:val="32"/>
    </w:rPr>
  </w:style>
  <w:style w:type="character" w:customStyle="1" w:styleId="170">
    <w:name w:val="文档结构图 Char2"/>
    <w:basedOn w:val="43"/>
    <w:qFormat/>
    <w:uiPriority w:val="0"/>
    <w:rPr>
      <w:rFonts w:hint="eastAsia" w:ascii="宋体" w:hAnsi="宋体" w:eastAsia="宋体" w:cs="宋体"/>
      <w:kern w:val="2"/>
      <w:sz w:val="18"/>
      <w:szCs w:val="18"/>
    </w:rPr>
  </w:style>
  <w:style w:type="character" w:customStyle="1" w:styleId="171">
    <w:name w:val="批注主题 Char1"/>
    <w:basedOn w:val="43"/>
    <w:qFormat/>
    <w:uiPriority w:val="0"/>
    <w:rPr>
      <w:b/>
      <w:bCs/>
      <w:kern w:val="2"/>
      <w:sz w:val="21"/>
      <w:szCs w:val="24"/>
    </w:rPr>
  </w:style>
  <w:style w:type="character" w:customStyle="1" w:styleId="172">
    <w:name w:val="正文2 Char"/>
    <w:basedOn w:val="43"/>
    <w:qFormat/>
    <w:uiPriority w:val="0"/>
    <w:rPr>
      <w:rFonts w:hint="eastAsia" w:ascii="楷体" w:hAnsi="楷体" w:eastAsia="楷体" w:cs="楷体"/>
      <w:b/>
      <w:color w:val="0000FF"/>
      <w:kern w:val="2"/>
      <w:sz w:val="21"/>
      <w:szCs w:val="22"/>
    </w:rPr>
  </w:style>
  <w:style w:type="character" w:customStyle="1" w:styleId="173">
    <w:name w:val="正文文本 Char2"/>
    <w:basedOn w:val="43"/>
    <w:qFormat/>
    <w:uiPriority w:val="0"/>
    <w:rPr>
      <w:kern w:val="2"/>
      <w:sz w:val="21"/>
      <w:szCs w:val="22"/>
    </w:rPr>
  </w:style>
  <w:style w:type="character" w:customStyle="1" w:styleId="174">
    <w:name w:val="日期 Char1"/>
    <w:basedOn w:val="43"/>
    <w:qFormat/>
    <w:uiPriority w:val="0"/>
    <w:rPr>
      <w:kern w:val="2"/>
      <w:sz w:val="21"/>
      <w:szCs w:val="22"/>
    </w:rPr>
  </w:style>
  <w:style w:type="character" w:customStyle="1" w:styleId="175">
    <w:name w:val="批注框文本 Char2"/>
    <w:basedOn w:val="43"/>
    <w:qFormat/>
    <w:uiPriority w:val="0"/>
    <w:rPr>
      <w:kern w:val="2"/>
      <w:sz w:val="18"/>
      <w:szCs w:val="18"/>
    </w:rPr>
  </w:style>
  <w:style w:type="character" w:customStyle="1" w:styleId="176">
    <w:name w:val="标题 9 Char_0"/>
    <w:basedOn w:val="43"/>
    <w:qFormat/>
    <w:uiPriority w:val="0"/>
    <w:rPr>
      <w:rFonts w:hint="default" w:ascii="Arial" w:hAnsi="Arial" w:eastAsia="黑体" w:cs="Arial"/>
      <w:sz w:val="21"/>
      <w:szCs w:val="21"/>
    </w:rPr>
  </w:style>
  <w:style w:type="character" w:customStyle="1" w:styleId="177">
    <w:name w:val="脚注文本 Char"/>
    <w:basedOn w:val="43"/>
    <w:qFormat/>
    <w:uiPriority w:val="0"/>
    <w:rPr>
      <w:kern w:val="2"/>
      <w:sz w:val="18"/>
      <w:szCs w:val="18"/>
    </w:rPr>
  </w:style>
  <w:style w:type="character" w:customStyle="1" w:styleId="178">
    <w:name w:val="标题5 Char Char"/>
    <w:basedOn w:val="43"/>
    <w:qFormat/>
    <w:uiPriority w:val="0"/>
    <w:rPr>
      <w:rFonts w:hint="default" w:ascii="Arial" w:hAnsi="Arial" w:cs="Arial"/>
      <w:b/>
      <w:bCs/>
      <w:sz w:val="24"/>
      <w:szCs w:val="32"/>
    </w:rPr>
  </w:style>
  <w:style w:type="character" w:customStyle="1" w:styleId="179">
    <w:name w:val="明显引用 字符"/>
    <w:basedOn w:val="43"/>
    <w:qFormat/>
    <w:uiPriority w:val="0"/>
    <w:rPr>
      <w:b/>
      <w:bCs/>
      <w:i/>
      <w:iCs/>
      <w:color w:val="4F81BD"/>
      <w:kern w:val="2"/>
      <w:sz w:val="21"/>
      <w:szCs w:val="22"/>
    </w:rPr>
  </w:style>
  <w:style w:type="character" w:customStyle="1" w:styleId="180">
    <w:name w:val="批注文字 Char Char"/>
    <w:basedOn w:val="43"/>
    <w:qFormat/>
    <w:uiPriority w:val="0"/>
    <w:rPr>
      <w:rFonts w:hint="eastAsia" w:ascii="宋体" w:hAnsi="Times New Roman" w:eastAsia="宋体" w:cs="Times New Roman"/>
      <w:sz w:val="28"/>
      <w:szCs w:val="20"/>
    </w:rPr>
  </w:style>
  <w:style w:type="character" w:customStyle="1" w:styleId="181">
    <w:name w:val="t_tag"/>
    <w:basedOn w:val="43"/>
    <w:qFormat/>
    <w:uiPriority w:val="0"/>
  </w:style>
  <w:style w:type="character" w:customStyle="1" w:styleId="182">
    <w:name w:val="日期 Char2"/>
    <w:basedOn w:val="43"/>
    <w:qFormat/>
    <w:uiPriority w:val="0"/>
    <w:rPr>
      <w:kern w:val="2"/>
      <w:sz w:val="21"/>
      <w:szCs w:val="22"/>
    </w:rPr>
  </w:style>
  <w:style w:type="character" w:customStyle="1" w:styleId="183">
    <w:name w:val="标题 1 Char1"/>
    <w:basedOn w:val="43"/>
    <w:qFormat/>
    <w:uiPriority w:val="0"/>
    <w:rPr>
      <w:rFonts w:hint="default" w:ascii="Calibri" w:hAnsi="Calibri" w:eastAsia="宋体" w:cs="Calibri"/>
      <w:b/>
      <w:kern w:val="44"/>
      <w:sz w:val="44"/>
      <w:szCs w:val="44"/>
    </w:rPr>
  </w:style>
  <w:style w:type="character" w:customStyle="1" w:styleId="184">
    <w:name w:val="Char Char"/>
    <w:basedOn w:val="43"/>
    <w:qFormat/>
    <w:uiPriority w:val="0"/>
    <w:rPr>
      <w:rFonts w:hint="eastAsia" w:ascii="宋体" w:hAnsi="Courier New" w:eastAsia="宋体" w:cs="Courier New"/>
      <w:kern w:val="2"/>
      <w:sz w:val="21"/>
      <w:szCs w:val="21"/>
      <w:lang w:val="en-US" w:eastAsia="zh-CN" w:bidi="ar"/>
    </w:rPr>
  </w:style>
  <w:style w:type="paragraph" w:customStyle="1" w:styleId="185">
    <w:name w:val="附件标题"/>
    <w:basedOn w:val="3"/>
    <w:next w:val="1"/>
    <w:qFormat/>
    <w:uiPriority w:val="0"/>
    <w:pPr>
      <w:widowControl/>
      <w:tabs>
        <w:tab w:val="left" w:pos="1135"/>
      </w:tabs>
      <w:wordWrap w:val="0"/>
      <w:topLinePunct/>
      <w:adjustRightInd w:val="0"/>
      <w:snapToGrid w:val="0"/>
      <w:spacing w:before="0" w:after="0" w:afterLines="50" w:line="360" w:lineRule="auto"/>
      <w:jc w:val="center"/>
    </w:pPr>
    <w:rPr>
      <w:rFonts w:hint="eastAsia" w:ascii="黑体" w:hAnsi="宋体" w:cs="Times New Roman"/>
      <w:bCs w:val="0"/>
      <w:kern w:val="0"/>
      <w:sz w:val="30"/>
      <w:szCs w:val="30"/>
    </w:rPr>
  </w:style>
  <w:style w:type="paragraph" w:customStyle="1" w:styleId="186">
    <w:name w:val="UserStyle_11"/>
    <w:basedOn w:val="1"/>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187">
    <w:name w:val="AnnotationText"/>
    <w:basedOn w:val="1"/>
    <w:qFormat/>
    <w:uiPriority w:val="0"/>
    <w:pPr>
      <w:jc w:val="left"/>
      <w:textAlignment w:val="baseline"/>
    </w:pPr>
    <w:rPr>
      <w:rFonts w:ascii="Arial" w:hAnsi="Arial" w:eastAsia="黑体"/>
    </w:rPr>
  </w:style>
  <w:style w:type="paragraph" w:customStyle="1" w:styleId="188">
    <w:name w:val="BodyText1I2"/>
    <w:basedOn w:val="189"/>
    <w:next w:val="1"/>
    <w:qFormat/>
    <w:uiPriority w:val="0"/>
    <w:pPr>
      <w:spacing w:line="520" w:lineRule="exact"/>
      <w:ind w:firstLine="420" w:firstLineChars="200"/>
    </w:pPr>
    <w:rPr>
      <w:rFonts w:ascii="微软简标宋" w:hAnsi="微软简标宋" w:eastAsia="@仿宋_GB2312"/>
      <w:color w:val="000000"/>
      <w:sz w:val="24"/>
    </w:rPr>
  </w:style>
  <w:style w:type="paragraph" w:customStyle="1" w:styleId="189">
    <w:name w:val="BodyTextIndent"/>
    <w:basedOn w:val="1"/>
    <w:qFormat/>
    <w:uiPriority w:val="0"/>
    <w:pPr>
      <w:spacing w:after="120"/>
      <w:ind w:left="420" w:leftChars="200"/>
      <w:textAlignment w:val="baseline"/>
    </w:pPr>
  </w:style>
  <w:style w:type="paragraph" w:customStyle="1" w:styleId="190">
    <w:name w:val="BodyText1I"/>
    <w:basedOn w:val="191"/>
    <w:qFormat/>
    <w:uiPriority w:val="0"/>
    <w:pPr>
      <w:ind w:firstLine="420" w:firstLineChars="100"/>
    </w:pPr>
    <w:rPr>
      <w:rFonts w:eastAsia="@仿宋_GB2312"/>
    </w:rPr>
  </w:style>
  <w:style w:type="paragraph" w:customStyle="1" w:styleId="191">
    <w:name w:val="BodyText"/>
    <w:basedOn w:val="1"/>
    <w:qFormat/>
    <w:uiPriority w:val="0"/>
    <w:pPr>
      <w:spacing w:after="120"/>
      <w:textAlignment w:val="baseline"/>
    </w:pPr>
  </w:style>
  <w:style w:type="character" w:customStyle="1" w:styleId="192">
    <w:name w:val="正文文本首行缩进 2 字符"/>
    <w:basedOn w:val="140"/>
    <w:link w:val="40"/>
    <w:qFormat/>
    <w:uiPriority w:val="0"/>
    <w:rPr>
      <w:rFonts w:hint="eastAsia" w:ascii="@仿宋_GB2312" w:hAnsi="@仿宋_GB2312" w:eastAsia="宋体" w:cs="@仿宋_GB2312"/>
      <w:bCs w:val="0"/>
      <w:kern w:val="2"/>
      <w:sz w:val="21"/>
      <w:szCs w:val="32"/>
    </w:rPr>
  </w:style>
  <w:style w:type="character" w:customStyle="1" w:styleId="193">
    <w:name w:val="正文文本首行缩进 字符"/>
    <w:basedOn w:val="92"/>
    <w:link w:val="17"/>
    <w:qFormat/>
    <w:uiPriority w:val="99"/>
    <w:rPr>
      <w:rFonts w:ascii="Arial" w:hAnsi="Arial" w:eastAsia="仿宋_GB2312" w:cs="Arial"/>
      <w:kern w:val="2"/>
      <w:sz w:val="28"/>
      <w:szCs w:val="32"/>
    </w:rPr>
  </w:style>
  <w:style w:type="paragraph" w:customStyle="1" w:styleId="194">
    <w:name w:val="Table Text"/>
    <w:basedOn w:val="1"/>
    <w:semiHidden/>
    <w:qFormat/>
    <w:uiPriority w:val="0"/>
    <w:rPr>
      <w:rFonts w:ascii="宋体" w:hAnsi="宋体" w:eastAsia="宋体" w:cs="宋体"/>
      <w:sz w:val="24"/>
      <w:szCs w:val="24"/>
      <w:lang w:val="en-US" w:eastAsia="en-US" w:bidi="ar-SA"/>
    </w:rPr>
  </w:style>
  <w:style w:type="character" w:customStyle="1" w:styleId="195">
    <w:name w:val="font41"/>
    <w:basedOn w:val="43"/>
    <w:qFormat/>
    <w:uiPriority w:val="0"/>
    <w:rPr>
      <w:rFonts w:hint="default" w:ascii="Times New Roman" w:hAnsi="Times New Roman" w:cs="Times New Roman"/>
      <w:color w:val="000000"/>
      <w:sz w:val="21"/>
      <w:szCs w:val="21"/>
      <w:u w:val="none"/>
    </w:rPr>
  </w:style>
  <w:style w:type="character" w:customStyle="1" w:styleId="196">
    <w:name w:val="font31"/>
    <w:basedOn w:val="43"/>
    <w:qFormat/>
    <w:uiPriority w:val="0"/>
    <w:rPr>
      <w:rFonts w:hint="eastAsia" w:ascii="方正书宋_GBK" w:hAnsi="方正书宋_GBK" w:eastAsia="方正书宋_GBK" w:cs="方正书宋_GBK"/>
      <w:color w:val="000000"/>
      <w:sz w:val="21"/>
      <w:szCs w:val="21"/>
      <w:u w:val="none"/>
    </w:rPr>
  </w:style>
  <w:style w:type="character" w:customStyle="1" w:styleId="197">
    <w:name w:val="font71"/>
    <w:basedOn w:val="43"/>
    <w:qFormat/>
    <w:uiPriority w:val="0"/>
    <w:rPr>
      <w:rFonts w:ascii="DejaVu Sans" w:hAnsi="DejaVu Sans" w:eastAsia="DejaVu Sans" w:cs="DejaVu Sans"/>
      <w:color w:val="000000"/>
      <w:sz w:val="20"/>
      <w:szCs w:val="20"/>
      <w:u w:val="none"/>
    </w:rPr>
  </w:style>
  <w:style w:type="character" w:customStyle="1" w:styleId="198">
    <w:name w:val="font11"/>
    <w:basedOn w:val="43"/>
    <w:qFormat/>
    <w:uiPriority w:val="0"/>
    <w:rPr>
      <w:rFonts w:hint="eastAsia" w:ascii="宋体" w:hAnsi="宋体" w:eastAsia="宋体" w:cs="宋体"/>
      <w:color w:val="000000"/>
      <w:sz w:val="20"/>
      <w:szCs w:val="20"/>
      <w:u w:val="none"/>
    </w:rPr>
  </w:style>
  <w:style w:type="character" w:customStyle="1" w:styleId="199">
    <w:name w:val="font81"/>
    <w:basedOn w:val="43"/>
    <w:qFormat/>
    <w:uiPriority w:val="0"/>
    <w:rPr>
      <w:rFonts w:ascii="宋体" w:hAnsi="宋体" w:eastAsia="宋体" w:cs="宋体"/>
      <w:color w:val="000000"/>
      <w:sz w:val="20"/>
      <w:szCs w:val="20"/>
      <w:u w:val="none"/>
    </w:rPr>
  </w:style>
  <w:style w:type="character" w:customStyle="1" w:styleId="200">
    <w:name w:val="font61"/>
    <w:basedOn w:val="43"/>
    <w:qFormat/>
    <w:uiPriority w:val="0"/>
    <w:rPr>
      <w:rFonts w:ascii="DejaVu Sans" w:hAnsi="DejaVu Sans" w:eastAsia="DejaVu Sans" w:cs="DejaVu Sans"/>
      <w:color w:val="000000"/>
      <w:sz w:val="22"/>
      <w:szCs w:val="22"/>
      <w:u w:val="none"/>
    </w:rPr>
  </w:style>
  <w:style w:type="character" w:customStyle="1" w:styleId="201">
    <w:name w:val="font01"/>
    <w:basedOn w:val="4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image" Target="media/image20.png"/><Relationship Id="rId27" Type="http://schemas.openxmlformats.org/officeDocument/2006/relationships/image" Target="media/image19.png"/><Relationship Id="rId26" Type="http://schemas.openxmlformats.org/officeDocument/2006/relationships/image" Target="media/image18.png"/><Relationship Id="rId25" Type="http://schemas.openxmlformats.org/officeDocument/2006/relationships/image" Target="media/image17.png"/><Relationship Id="rId24" Type="http://schemas.openxmlformats.org/officeDocument/2006/relationships/image" Target="media/image16.png"/><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jpe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55</Pages>
  <Words>1580</Words>
  <Characters>1817</Characters>
  <Lines>436</Lines>
  <Paragraphs>122</Paragraphs>
  <TotalTime>6</TotalTime>
  <ScaleCrop>false</ScaleCrop>
  <LinksUpToDate>false</LinksUpToDate>
  <CharactersWithSpaces>1941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2024-08-24T23:38:00Z</dcterms:created>
  <dc:creator>Anakin</dc:creator>
  <cp:lastModifiedBy>Memory.</cp:lastModifiedBy>
  <cp:lastPrinted>2022-01-19T16:43:00Z</cp:lastPrinted>
  <dcterms:modified xsi:type="dcterms:W3CDTF">2025-09-15T09:02:05Z</dcterms:modified>
  <dc:title>某项目（项目编号：某编号）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570CB91BD10648A08CD2837C71AFD6EA_13</vt:lpwstr>
  </property>
  <property fmtid="{D5CDD505-2E9C-101B-9397-08002B2CF9AE}" pid="4" name="KSOTemplateDocerSaveRecord">
    <vt:lpwstr>eyJoZGlkIjoiNjE5ODU3ZjBjYzJjMzIyZmRlNGE1YjkyODVmYmY1NWQiLCJ1c2VySWQiOiIxNjQ0NzUzMDQ2In0=</vt:lpwstr>
  </property>
</Properties>
</file>