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A8705">
      <w:pPr>
        <w:ind w:left="420" w:leftChars="0" w:firstLine="420" w:firstLineChars="0"/>
        <w:rPr>
          <w:rFonts w:ascii="Times New Roman" w:hAnsi="Times New Roman" w:cs="Times New Roman"/>
          <w:color w:val="auto"/>
          <w:highlight w:val="none"/>
        </w:rPr>
      </w:pPr>
    </w:p>
    <w:p w14:paraId="518AA986">
      <w:pPr>
        <w:rPr>
          <w:rFonts w:ascii="Times New Roman" w:hAnsi="Times New Roman" w:cs="Times New Roman"/>
          <w:color w:val="auto"/>
          <w:highlight w:val="none"/>
        </w:rPr>
      </w:pPr>
    </w:p>
    <w:p w14:paraId="4F966A4C">
      <w:pPr>
        <w:rPr>
          <w:rFonts w:ascii="Times New Roman" w:hAnsi="Times New Roman" w:cs="Times New Roman"/>
          <w:color w:val="auto"/>
          <w:highlight w:val="none"/>
        </w:rPr>
      </w:pPr>
    </w:p>
    <w:p w14:paraId="5878BFAC">
      <w:pPr>
        <w:jc w:val="center"/>
        <w:rPr>
          <w:rFonts w:ascii="Times New Roman" w:hAnsi="Times New Roman" w:cs="Times New Roman"/>
          <w:color w:val="auto"/>
          <w:highlight w:val="none"/>
        </w:rPr>
      </w:pPr>
      <w:r>
        <w:rPr>
          <w:rFonts w:ascii="Times New Roman" w:hAnsi="Times New Roman" w:cs="Times New Roman"/>
          <w:color w:val="auto"/>
          <w:sz w:val="96"/>
          <w:szCs w:val="96"/>
          <w:highlight w:val="none"/>
        </w:rPr>
        <w:t>招 标 文 件</w:t>
      </w:r>
    </w:p>
    <w:p w14:paraId="2B5E1010">
      <w:pPr>
        <w:jc w:val="center"/>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eastAsia="zh-Hans"/>
        </w:rPr>
        <w:t>服务</w:t>
      </w:r>
      <w:r>
        <w:rPr>
          <w:rFonts w:ascii="Times New Roman" w:hAnsi="Times New Roman" w:cs="Times New Roman"/>
          <w:color w:val="auto"/>
          <w:highlight w:val="none"/>
        </w:rPr>
        <w:t>类）</w:t>
      </w:r>
    </w:p>
    <w:p w14:paraId="529B02D7">
      <w:pPr>
        <w:jc w:val="center"/>
        <w:rPr>
          <w:rFonts w:ascii="Times New Roman" w:hAnsi="Times New Roman" w:cs="Times New Roman"/>
          <w:color w:val="auto"/>
          <w:highlight w:val="none"/>
        </w:rPr>
      </w:pPr>
    </w:p>
    <w:p w14:paraId="1FC8C175">
      <w:pPr>
        <w:jc w:val="center"/>
        <w:rPr>
          <w:rFonts w:ascii="Times New Roman" w:hAnsi="Times New Roman" w:cs="Times New Roman"/>
          <w:color w:val="auto"/>
          <w:highlight w:val="none"/>
        </w:rPr>
      </w:pPr>
    </w:p>
    <w:p w14:paraId="73B266B0">
      <w:pPr>
        <w:rPr>
          <w:rFonts w:ascii="Times New Roman" w:hAnsi="Times New Roman" w:cs="Times New Roman"/>
          <w:color w:val="auto"/>
          <w:sz w:val="32"/>
          <w:szCs w:val="32"/>
          <w:highlight w:val="none"/>
        </w:rPr>
      </w:pPr>
    </w:p>
    <w:p w14:paraId="1E1A6F31">
      <w:pPr>
        <w:rPr>
          <w:rFonts w:ascii="Times New Roman" w:hAnsi="Times New Roman" w:cs="Times New Roman"/>
          <w:color w:val="auto"/>
          <w:sz w:val="32"/>
          <w:szCs w:val="32"/>
          <w:highlight w:val="none"/>
        </w:rPr>
      </w:pPr>
    </w:p>
    <w:p w14:paraId="124C2276">
      <w:pPr>
        <w:ind w:firstLine="1280" w:firstLineChars="4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项目名称：</w:t>
      </w:r>
      <w:r>
        <w:rPr>
          <w:rFonts w:ascii="Times New Roman" w:hAnsi="Times New Roman" w:cs="Times New Roman"/>
          <w:color w:val="auto"/>
          <w:sz w:val="32"/>
          <w:szCs w:val="32"/>
          <w:highlight w:val="none"/>
          <w:u w:val="single"/>
        </w:rPr>
        <w:t>常青街道邻里坊3号楼时光成长空间物业单位</w:t>
      </w:r>
    </w:p>
    <w:p w14:paraId="77286B03">
      <w:pPr>
        <w:ind w:firstLine="2880" w:firstLineChars="9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u w:val="single"/>
        </w:rPr>
        <w:t xml:space="preserve">招标      </w:t>
      </w:r>
    </w:p>
    <w:p w14:paraId="649E457A">
      <w:pPr>
        <w:ind w:firstLine="1280" w:firstLineChars="4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项目编号：</w:t>
      </w:r>
      <w:r>
        <w:rPr>
          <w:rFonts w:ascii="Times New Roman" w:hAnsi="Times New Roman" w:cs="Times New Roman"/>
          <w:color w:val="auto"/>
          <w:sz w:val="32"/>
          <w:szCs w:val="32"/>
          <w:highlight w:val="none"/>
          <w:u w:val="single"/>
        </w:rPr>
        <w:t xml:space="preserve">       </w:t>
      </w:r>
      <w:r>
        <w:rPr>
          <w:rFonts w:hint="eastAsia" w:ascii="Times New Roman" w:hAnsi="Times New Roman" w:cs="Times New Roman"/>
          <w:color w:val="auto"/>
          <w:sz w:val="32"/>
          <w:szCs w:val="32"/>
          <w:highlight w:val="none"/>
          <w:u w:val="single"/>
          <w:lang w:eastAsia="zh-CN"/>
        </w:rPr>
        <w:t>BHSG-ZTB-2025-49</w:t>
      </w:r>
      <w:r>
        <w:rPr>
          <w:rFonts w:ascii="Times New Roman" w:hAnsi="Times New Roman" w:cs="Times New Roman"/>
          <w:color w:val="auto"/>
          <w:sz w:val="32"/>
          <w:szCs w:val="32"/>
          <w:highlight w:val="none"/>
          <w:u w:val="single"/>
        </w:rPr>
        <w:t xml:space="preserve">   </w:t>
      </w:r>
      <w:r>
        <w:rPr>
          <w:rFonts w:ascii="Times New Roman" w:hAnsi="Times New Roman" w:cs="Times New Roman"/>
          <w:color w:val="auto"/>
          <w:sz w:val="32"/>
          <w:szCs w:val="32"/>
          <w:highlight w:val="none"/>
          <w:u w:val="single"/>
        </w:rPr>
        <w:tab/>
      </w:r>
      <w:r>
        <w:rPr>
          <w:rFonts w:ascii="Times New Roman" w:hAnsi="Times New Roman" w:cs="Times New Roman"/>
          <w:color w:val="auto"/>
          <w:sz w:val="32"/>
          <w:szCs w:val="32"/>
          <w:highlight w:val="none"/>
          <w:u w:val="single"/>
        </w:rPr>
        <w:t xml:space="preserve">   </w:t>
      </w:r>
    </w:p>
    <w:p w14:paraId="26DC4F09">
      <w:pPr>
        <w:ind w:firstLine="1280" w:firstLineChars="4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采 购 人：</w:t>
      </w:r>
      <w:r>
        <w:rPr>
          <w:rFonts w:ascii="Times New Roman" w:hAnsi="Times New Roman" w:cs="Times New Roman"/>
          <w:color w:val="auto"/>
          <w:sz w:val="32"/>
          <w:szCs w:val="32"/>
          <w:highlight w:val="none"/>
          <w:u w:val="single"/>
        </w:rPr>
        <w:t xml:space="preserve"> 合肥滨湖时光空间运营管理有限公司 </w:t>
      </w:r>
    </w:p>
    <w:p w14:paraId="6CD0CD74">
      <w:pPr>
        <w:jc w:val="center"/>
        <w:rPr>
          <w:rFonts w:ascii="Times New Roman" w:hAnsi="Times New Roman" w:cs="Times New Roman"/>
          <w:color w:val="auto"/>
          <w:sz w:val="32"/>
          <w:szCs w:val="32"/>
          <w:highlight w:val="none"/>
          <w:u w:val="single"/>
        </w:rPr>
      </w:pPr>
    </w:p>
    <w:p w14:paraId="2166DC65">
      <w:pPr>
        <w:jc w:val="center"/>
        <w:rPr>
          <w:rFonts w:ascii="Times New Roman" w:hAnsi="Times New Roman" w:cs="Times New Roman"/>
          <w:color w:val="auto"/>
          <w:sz w:val="32"/>
          <w:szCs w:val="32"/>
          <w:highlight w:val="none"/>
          <w:u w:val="single"/>
        </w:rPr>
      </w:pPr>
    </w:p>
    <w:p w14:paraId="0221CEE9">
      <w:pPr>
        <w:jc w:val="center"/>
        <w:rPr>
          <w:rFonts w:ascii="Times New Roman" w:hAnsi="Times New Roman" w:cs="Times New Roman"/>
          <w:color w:val="auto"/>
          <w:sz w:val="32"/>
          <w:szCs w:val="32"/>
          <w:highlight w:val="none"/>
          <w:u w:val="single"/>
        </w:rPr>
      </w:pPr>
    </w:p>
    <w:p w14:paraId="660B674E">
      <w:pPr>
        <w:jc w:val="center"/>
        <w:rPr>
          <w:rFonts w:ascii="Times New Roman" w:hAnsi="Times New Roman" w:cs="Times New Roman"/>
          <w:color w:val="auto"/>
          <w:sz w:val="32"/>
          <w:szCs w:val="32"/>
          <w:highlight w:val="none"/>
          <w:u w:val="single"/>
        </w:rPr>
      </w:pPr>
    </w:p>
    <w:p w14:paraId="5E87110D">
      <w:pPr>
        <w:jc w:val="center"/>
        <w:rPr>
          <w:rFonts w:ascii="Times New Roman" w:hAnsi="Times New Roman" w:cs="Times New Roman"/>
          <w:color w:val="auto"/>
          <w:sz w:val="32"/>
          <w:szCs w:val="32"/>
          <w:highlight w:val="none"/>
          <w:u w:val="single"/>
        </w:rPr>
      </w:pPr>
    </w:p>
    <w:p w14:paraId="7EA5F7E9">
      <w:pPr>
        <w:jc w:val="center"/>
        <w:rPr>
          <w:rFonts w:ascii="Times New Roman" w:hAnsi="Times New Roman" w:eastAsia="宋体" w:cs="Times New Roman"/>
          <w:b/>
          <w:bCs/>
          <w:color w:val="auto"/>
          <w:sz w:val="32"/>
          <w:szCs w:val="32"/>
          <w:highlight w:val="none"/>
          <w:u w:val="single"/>
        </w:rPr>
      </w:pPr>
      <w:r>
        <w:rPr>
          <w:rFonts w:ascii="Times New Roman" w:hAnsi="Times New Roman" w:eastAsia="宋体" w:cs="Times New Roman"/>
          <w:b/>
          <w:bCs/>
          <w:color w:val="auto"/>
          <w:sz w:val="32"/>
          <w:szCs w:val="32"/>
          <w:highlight w:val="none"/>
          <w:u w:val="single"/>
        </w:rPr>
        <w:t>2025年</w:t>
      </w:r>
      <w:r>
        <w:rPr>
          <w:rFonts w:hint="eastAsia" w:ascii="Times New Roman" w:hAnsi="Times New Roman" w:eastAsia="宋体" w:cs="Times New Roman"/>
          <w:b/>
          <w:bCs/>
          <w:color w:val="auto"/>
          <w:sz w:val="32"/>
          <w:szCs w:val="32"/>
          <w:highlight w:val="none"/>
          <w:u w:val="single"/>
          <w:lang w:val="en-US" w:eastAsia="zh-CN"/>
        </w:rPr>
        <w:t>10</w:t>
      </w:r>
      <w:r>
        <w:rPr>
          <w:rFonts w:ascii="Times New Roman" w:hAnsi="Times New Roman" w:eastAsia="宋体" w:cs="Times New Roman"/>
          <w:b/>
          <w:bCs/>
          <w:color w:val="auto"/>
          <w:sz w:val="32"/>
          <w:szCs w:val="32"/>
          <w:highlight w:val="none"/>
          <w:u w:val="single"/>
        </w:rPr>
        <w:t>月</w:t>
      </w:r>
    </w:p>
    <w:p w14:paraId="40249DD4">
      <w:pPr>
        <w:jc w:val="center"/>
        <w:rPr>
          <w:rFonts w:ascii="Times New Roman" w:hAnsi="Times New Roman" w:eastAsia="宋体" w:cs="Times New Roman"/>
          <w:b/>
          <w:bCs/>
          <w:color w:val="auto"/>
          <w:sz w:val="32"/>
          <w:szCs w:val="32"/>
          <w:highlight w:val="none"/>
          <w:u w:val="single"/>
        </w:rPr>
      </w:pPr>
    </w:p>
    <w:p w14:paraId="57C7B557">
      <w:pPr>
        <w:jc w:val="center"/>
        <w:rPr>
          <w:rFonts w:ascii="Times New Roman" w:hAnsi="Times New Roman" w:eastAsia="宋体" w:cs="Times New Roman"/>
          <w:b/>
          <w:bCs/>
          <w:color w:val="auto"/>
          <w:sz w:val="32"/>
          <w:szCs w:val="32"/>
          <w:highlight w:val="none"/>
          <w:u w:val="single"/>
        </w:rPr>
      </w:pPr>
    </w:p>
    <w:p w14:paraId="2384B6F4">
      <w:pPr>
        <w:jc w:val="center"/>
        <w:rPr>
          <w:rFonts w:ascii="Times New Roman" w:hAnsi="Times New Roman" w:eastAsia="宋体" w:cs="Times New Roman"/>
          <w:b/>
          <w:bCs/>
          <w:color w:val="auto"/>
          <w:sz w:val="28"/>
          <w:szCs w:val="28"/>
          <w:highlight w:val="none"/>
        </w:rPr>
      </w:pPr>
    </w:p>
    <w:p w14:paraId="356B7B25">
      <w:pPr>
        <w:jc w:val="center"/>
        <w:rPr>
          <w:rFonts w:ascii="Times New Roman" w:hAnsi="Times New Roman" w:eastAsia="宋体" w:cs="Times New Roman"/>
          <w:b/>
          <w:bCs/>
          <w:color w:val="auto"/>
          <w:sz w:val="28"/>
          <w:szCs w:val="28"/>
          <w:highlight w:val="none"/>
        </w:rPr>
      </w:pPr>
    </w:p>
    <w:p w14:paraId="775FFF5F">
      <w:pPr>
        <w:jc w:val="center"/>
        <w:rPr>
          <w:rFonts w:ascii="Times New Roman" w:hAnsi="Times New Roman" w:eastAsia="宋体" w:cs="Times New Roman"/>
          <w:b/>
          <w:bCs/>
          <w:color w:val="auto"/>
          <w:sz w:val="28"/>
          <w:szCs w:val="28"/>
          <w:highlight w:val="none"/>
        </w:rPr>
      </w:pPr>
    </w:p>
    <w:p w14:paraId="38D4E3E9">
      <w:pPr>
        <w:jc w:val="center"/>
        <w:rPr>
          <w:rFonts w:ascii="Times New Roman" w:hAnsi="Times New Roman" w:eastAsia="宋体" w:cs="Times New Roman"/>
          <w:b/>
          <w:bCs/>
          <w:color w:val="auto"/>
          <w:sz w:val="28"/>
          <w:szCs w:val="28"/>
          <w:highlight w:val="none"/>
        </w:rPr>
      </w:pPr>
    </w:p>
    <w:p w14:paraId="5A3839FC">
      <w:pPr>
        <w:pStyle w:val="2"/>
        <w:rPr>
          <w:rFonts w:ascii="Times New Roman" w:hAnsi="Times New Roman" w:cs="Times New Roman"/>
          <w:color w:val="auto"/>
          <w:highlight w:val="none"/>
        </w:rPr>
      </w:pPr>
    </w:p>
    <w:p w14:paraId="3A15584E">
      <w:pPr>
        <w:jc w:val="center"/>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28"/>
          <w:szCs w:val="28"/>
          <w:highlight w:val="none"/>
        </w:rPr>
        <w:t>目  录</w:t>
      </w:r>
    </w:p>
    <w:sdt>
      <w:sdtPr>
        <w:rPr>
          <w:color w:val="auto"/>
          <w:sz w:val="21"/>
          <w:highlight w:val="none"/>
        </w:rPr>
        <w:id w:val="521314146"/>
        <w15:color w:val="DBDBDB"/>
        <w:docPartObj>
          <w:docPartGallery w:val="Table of Contents"/>
          <w:docPartUnique/>
        </w:docPartObj>
      </w:sdtPr>
      <w:sdtEndPr>
        <w:rPr>
          <w:rFonts w:ascii="Times New Roman" w:hAnsi="Times New Roman" w:eastAsia="宋体" w:cs="Times New Roman"/>
          <w:color w:val="auto"/>
          <w:sz w:val="13"/>
          <w:szCs w:val="24"/>
          <w:highlight w:val="none"/>
        </w:rPr>
      </w:sdtEndPr>
      <w:sdtContent>
        <w:p w14:paraId="1589EA55">
          <w:pPr>
            <w:rPr>
              <w:rFonts w:ascii="Times New Roman" w:hAnsi="Times New Roman" w:eastAsia="方正小标宋简体" w:cs="Times New Roman"/>
              <w:color w:val="auto"/>
              <w:kern w:val="20"/>
              <w:sz w:val="24"/>
              <w:szCs w:val="24"/>
              <w:highlight w:val="none"/>
              <w:lang w:val="en-US" w:eastAsia="zh-CN" w:bidi="ar-SA"/>
            </w:rPr>
          </w:pPr>
          <w:r>
            <w:rPr>
              <w:rFonts w:eastAsia="宋体"/>
              <w:color w:val="auto"/>
              <w:kern w:val="0"/>
              <w:sz w:val="11"/>
              <w:szCs w:val="11"/>
              <w:highlight w:val="none"/>
            </w:rPr>
            <w:fldChar w:fldCharType="begin"/>
          </w:r>
          <w:r>
            <w:rPr>
              <w:rFonts w:ascii="Times New Roman" w:hAnsi="Times New Roman" w:cs="Times New Roman"/>
              <w:color w:val="auto"/>
              <w:sz w:val="24"/>
              <w:szCs w:val="24"/>
              <w:highlight w:val="none"/>
            </w:rPr>
            <w:instrText xml:space="preserve">TOC \o "1-1" \h \u </w:instrText>
          </w:r>
          <w:r>
            <w:rPr>
              <w:rFonts w:eastAsia="宋体"/>
              <w:color w:val="auto"/>
              <w:kern w:val="0"/>
              <w:sz w:val="11"/>
              <w:szCs w:val="11"/>
              <w:highlight w:val="none"/>
            </w:rPr>
            <w:fldChar w:fldCharType="separate"/>
          </w:r>
        </w:p>
        <w:p w14:paraId="3317432B">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_Toc1720331840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sz w:val="24"/>
              <w:szCs w:val="24"/>
              <w:highlight w:val="none"/>
            </w:rPr>
            <w:t>第一章  招标公告</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_Toc1720331840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00AB125C">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_Toc1833592947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sz w:val="24"/>
              <w:szCs w:val="24"/>
              <w:highlight w:val="none"/>
            </w:rPr>
            <w:t>第二章  投标人须知</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_Toc1833592947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6</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078A0529">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_Toc25145324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kern w:val="2"/>
              <w:sz w:val="24"/>
              <w:szCs w:val="11"/>
              <w:highlight w:val="none"/>
            </w:rPr>
            <w:t>第三章  采购需求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_Toc25145324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28</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386F9A77">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_Toc1706413528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kern w:val="2"/>
              <w:sz w:val="24"/>
              <w:szCs w:val="11"/>
              <w:highlight w:val="none"/>
            </w:rPr>
            <w:t>第四章  评审方法和标准</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_Toc1706413528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35</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5D8FB881">
          <w:pPr>
            <w:pStyle w:val="16"/>
            <w:tabs>
              <w:tab w:val="right" w:leader="dot" w:pos="9178"/>
            </w:tabs>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_Toc1669141835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kern w:val="2"/>
              <w:sz w:val="24"/>
              <w:szCs w:val="11"/>
              <w:highlight w:val="none"/>
            </w:rPr>
            <w:t>第五章  合同模板</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_Toc1669141835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45</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7A45E01F">
          <w:pPr>
            <w:pStyle w:val="16"/>
            <w:tabs>
              <w:tab w:val="right" w:leader="dot" w:pos="9178"/>
            </w:tabs>
            <w:rPr>
              <w:color w:val="auto"/>
              <w:highlight w:val="none"/>
            </w:rPr>
          </w:pPr>
          <w:r>
            <w:rPr>
              <w:rFonts w:hint="default" w:ascii="Times New Roman" w:hAnsi="Times New Roman" w:cs="Times New Roman"/>
              <w:color w:val="auto"/>
              <w:sz w:val="24"/>
              <w:szCs w:val="16"/>
              <w:highlight w:val="none"/>
            </w:rPr>
            <w:fldChar w:fldCharType="begin"/>
          </w:r>
          <w:r>
            <w:rPr>
              <w:rFonts w:hint="default" w:ascii="Times New Roman" w:hAnsi="Times New Roman" w:cs="Times New Roman"/>
              <w:color w:val="auto"/>
              <w:sz w:val="24"/>
              <w:szCs w:val="16"/>
              <w:highlight w:val="none"/>
            </w:rPr>
            <w:instrText xml:space="preserve"> HYPERLINK \l _Toc833396007 </w:instrText>
          </w:r>
          <w:r>
            <w:rPr>
              <w:rFonts w:hint="default" w:ascii="Times New Roman" w:hAnsi="Times New Roman" w:cs="Times New Roman"/>
              <w:color w:val="auto"/>
              <w:sz w:val="24"/>
              <w:szCs w:val="16"/>
              <w:highlight w:val="none"/>
            </w:rPr>
            <w:fldChar w:fldCharType="separate"/>
          </w:r>
          <w:r>
            <w:rPr>
              <w:rFonts w:hint="default" w:ascii="Times New Roman" w:hAnsi="Times New Roman" w:eastAsia="宋体" w:cs="Times New Roman"/>
              <w:color w:val="auto"/>
              <w:kern w:val="2"/>
              <w:sz w:val="24"/>
              <w:szCs w:val="11"/>
              <w:highlight w:val="none"/>
            </w:rPr>
            <w:t>第六章  响应文件格式</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_Toc833396007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60</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16"/>
              <w:highlight w:val="none"/>
            </w:rPr>
            <w:fldChar w:fldCharType="end"/>
          </w:r>
        </w:p>
        <w:p w14:paraId="2713C0C7">
          <w:pPr>
            <w:pStyle w:val="16"/>
            <w:tabs>
              <w:tab w:val="right" w:leader="dot" w:pos="9168"/>
            </w:tabs>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fldChar w:fldCharType="end"/>
          </w:r>
        </w:p>
      </w:sdtContent>
    </w:sdt>
    <w:p w14:paraId="3BD75D4C">
      <w:pPr>
        <w:rPr>
          <w:rFonts w:ascii="Times New Roman" w:hAnsi="Times New Roman" w:cs="Times New Roman"/>
          <w:color w:val="auto"/>
          <w:highlight w:val="none"/>
        </w:rPr>
      </w:pPr>
    </w:p>
    <w:p w14:paraId="5022FFA1">
      <w:pPr>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28"/>
          <w:szCs w:val="28"/>
          <w:highlight w:val="none"/>
        </w:rPr>
        <w:br w:type="page"/>
      </w:r>
    </w:p>
    <w:p w14:paraId="69B5A737">
      <w:pPr>
        <w:spacing w:line="360" w:lineRule="auto"/>
        <w:jc w:val="center"/>
        <w:outlineLvl w:val="0"/>
        <w:rPr>
          <w:rFonts w:ascii="Times New Roman" w:hAnsi="Times New Roman" w:eastAsia="宋体" w:cs="Times New Roman"/>
          <w:b/>
          <w:color w:val="auto"/>
          <w:sz w:val="28"/>
          <w:highlight w:val="none"/>
        </w:rPr>
      </w:pPr>
      <w:bookmarkStart w:id="0" w:name="_Toc1720331840"/>
      <w:bookmarkStart w:id="1" w:name="_Toc74896742"/>
      <w:r>
        <w:rPr>
          <w:rFonts w:ascii="Times New Roman" w:hAnsi="Times New Roman" w:eastAsia="宋体" w:cs="Times New Roman"/>
          <w:b/>
          <w:color w:val="auto"/>
          <w:sz w:val="28"/>
          <w:highlight w:val="none"/>
        </w:rPr>
        <w:t>第一章  招标公告</w:t>
      </w:r>
      <w:bookmarkEnd w:id="0"/>
      <w:bookmarkEnd w:id="1"/>
    </w:p>
    <w:p w14:paraId="78DCE01D">
      <w:pPr>
        <w:pBdr>
          <w:top w:val="single" w:color="auto" w:sz="4" w:space="1"/>
          <w:left w:val="single" w:color="auto" w:sz="4" w:space="4"/>
          <w:bottom w:val="single" w:color="auto" w:sz="4" w:space="1"/>
          <w:right w:val="single" w:color="auto" w:sz="4" w:space="4"/>
        </w:pBd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项目概况</w:t>
      </w:r>
    </w:p>
    <w:p w14:paraId="4C8EB165">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u w:val="single"/>
        </w:rPr>
        <w:t>常青街道邻里坊3号楼时光成长空间物业单位招标</w:t>
      </w:r>
      <w:r>
        <w:rPr>
          <w:rFonts w:ascii="Times New Roman" w:hAnsi="Times New Roman" w:eastAsia="宋体" w:cs="Times New Roman"/>
          <w:color w:val="auto"/>
          <w:sz w:val="24"/>
          <w:szCs w:val="24"/>
          <w:highlight w:val="none"/>
        </w:rPr>
        <w:t xml:space="preserve">的潜在投标人应在 </w:t>
      </w:r>
      <w:r>
        <w:rPr>
          <w:rFonts w:ascii="Times New Roman" w:hAnsi="Times New Roman" w:eastAsia="宋体" w:cs="Times New Roman"/>
          <w:color w:val="auto"/>
          <w:sz w:val="24"/>
          <w:szCs w:val="24"/>
          <w:highlight w:val="none"/>
          <w:u w:val="single"/>
        </w:rPr>
        <w:t xml:space="preserve">合肥滨湖时光产业投资集团有限公司网站 </w:t>
      </w:r>
      <w:r>
        <w:rPr>
          <w:rFonts w:ascii="Times New Roman" w:hAnsi="Times New Roman" w:eastAsia="宋体" w:cs="Times New Roman"/>
          <w:color w:val="auto"/>
          <w:sz w:val="24"/>
          <w:szCs w:val="24"/>
          <w:highlight w:val="none"/>
        </w:rPr>
        <w:t>获取招标文件，并于</w:t>
      </w:r>
      <w:r>
        <w:rPr>
          <w:rFonts w:ascii="Times New Roman" w:hAnsi="Times New Roman" w:eastAsia="宋体" w:cs="Times New Roman"/>
          <w:bCs/>
          <w:color w:val="auto"/>
          <w:sz w:val="24"/>
          <w:szCs w:val="24"/>
          <w:highlight w:val="none"/>
          <w:u w:val="single"/>
        </w:rPr>
        <w:t>2025年</w:t>
      </w:r>
      <w:r>
        <w:rPr>
          <w:rFonts w:hint="eastAsia" w:ascii="Times New Roman" w:hAnsi="Times New Roman" w:eastAsia="宋体" w:cs="Times New Roman"/>
          <w:bCs/>
          <w:color w:val="auto"/>
          <w:sz w:val="24"/>
          <w:szCs w:val="24"/>
          <w:highlight w:val="none"/>
          <w:u w:val="single"/>
          <w:lang w:val="en-US" w:eastAsia="zh-CN"/>
        </w:rPr>
        <w:t>10</w:t>
      </w:r>
      <w:r>
        <w:rPr>
          <w:rFonts w:ascii="Times New Roman" w:hAnsi="Times New Roman" w:eastAsia="宋体" w:cs="Times New Roman"/>
          <w:bCs/>
          <w:color w:val="auto"/>
          <w:sz w:val="24"/>
          <w:szCs w:val="24"/>
          <w:highlight w:val="none"/>
          <w:u w:val="single"/>
        </w:rPr>
        <w:t>月</w:t>
      </w:r>
      <w:r>
        <w:rPr>
          <w:rFonts w:hint="eastAsia" w:ascii="Times New Roman" w:hAnsi="Times New Roman" w:eastAsia="宋体" w:cs="Times New Roman"/>
          <w:bCs/>
          <w:color w:val="auto"/>
          <w:sz w:val="24"/>
          <w:szCs w:val="24"/>
          <w:highlight w:val="none"/>
          <w:u w:val="single"/>
          <w:lang w:val="en-US" w:eastAsia="zh-CN"/>
        </w:rPr>
        <w:t>17</w:t>
      </w:r>
      <w:r>
        <w:rPr>
          <w:rFonts w:ascii="Times New Roman" w:hAnsi="Times New Roman" w:eastAsia="宋体" w:cs="Times New Roman"/>
          <w:bCs/>
          <w:color w:val="auto"/>
          <w:sz w:val="24"/>
          <w:szCs w:val="24"/>
          <w:highlight w:val="none"/>
          <w:u w:val="single"/>
        </w:rPr>
        <w:t>日</w:t>
      </w:r>
      <w:r>
        <w:rPr>
          <w:rFonts w:hint="eastAsia" w:ascii="Times New Roman" w:hAnsi="Times New Roman" w:eastAsia="宋体" w:cs="Times New Roman"/>
          <w:bCs/>
          <w:color w:val="auto"/>
          <w:sz w:val="24"/>
          <w:szCs w:val="24"/>
          <w:highlight w:val="none"/>
          <w:u w:val="single"/>
          <w:lang w:val="en-US" w:eastAsia="zh-CN"/>
        </w:rPr>
        <w:t>15</w:t>
      </w:r>
      <w:r>
        <w:rPr>
          <w:rFonts w:ascii="Times New Roman" w:hAnsi="Times New Roman" w:eastAsia="宋体" w:cs="Times New Roman"/>
          <w:bCs/>
          <w:color w:val="auto"/>
          <w:sz w:val="24"/>
          <w:szCs w:val="24"/>
          <w:highlight w:val="none"/>
          <w:u w:val="single"/>
        </w:rPr>
        <w:t>点</w:t>
      </w:r>
      <w:r>
        <w:rPr>
          <w:rFonts w:hint="eastAsia" w:ascii="Times New Roman" w:hAnsi="Times New Roman" w:eastAsia="宋体" w:cs="Times New Roman"/>
          <w:bCs/>
          <w:color w:val="auto"/>
          <w:sz w:val="24"/>
          <w:szCs w:val="24"/>
          <w:highlight w:val="none"/>
          <w:u w:val="single"/>
          <w:lang w:val="en-US" w:eastAsia="zh-CN"/>
        </w:rPr>
        <w:t>0</w:t>
      </w:r>
      <w:r>
        <w:rPr>
          <w:rFonts w:ascii="Times New Roman" w:hAnsi="Times New Roman" w:eastAsia="宋体" w:cs="Times New Roman"/>
          <w:bCs/>
          <w:color w:val="auto"/>
          <w:sz w:val="24"/>
          <w:szCs w:val="24"/>
          <w:highlight w:val="none"/>
          <w:u w:val="single"/>
        </w:rPr>
        <w:t>0分（</w:t>
      </w:r>
      <w:r>
        <w:rPr>
          <w:rFonts w:ascii="Times New Roman" w:hAnsi="Times New Roman" w:eastAsia="宋体" w:cs="Times New Roman"/>
          <w:bCs/>
          <w:color w:val="auto"/>
          <w:sz w:val="24"/>
          <w:szCs w:val="24"/>
          <w:highlight w:val="none"/>
        </w:rPr>
        <w:t>北京时间）前递交投标文件</w:t>
      </w:r>
      <w:r>
        <w:rPr>
          <w:rFonts w:ascii="Times New Roman" w:hAnsi="Times New Roman" w:eastAsia="宋体" w:cs="Times New Roman"/>
          <w:color w:val="auto"/>
          <w:sz w:val="24"/>
          <w:szCs w:val="24"/>
          <w:highlight w:val="none"/>
        </w:rPr>
        <w:t>。</w:t>
      </w:r>
    </w:p>
    <w:p w14:paraId="19384915">
      <w:pPr>
        <w:snapToGrid w:val="0"/>
        <w:spacing w:line="580" w:lineRule="exact"/>
        <w:ind w:firstLine="480" w:firstLineChars="200"/>
        <w:rPr>
          <w:rFonts w:ascii="Times New Roman" w:hAnsi="Times New Roman" w:eastAsia="宋体" w:cs="Times New Roman"/>
          <w:color w:val="auto"/>
          <w:sz w:val="24"/>
          <w:szCs w:val="24"/>
          <w:highlight w:val="none"/>
        </w:rPr>
      </w:pPr>
    </w:p>
    <w:p w14:paraId="1F5878DB">
      <w:pPr>
        <w:snapToGrid w:val="0"/>
        <w:spacing w:line="360" w:lineRule="auto"/>
        <w:ind w:firstLine="482" w:firstLineChars="200"/>
        <w:rPr>
          <w:rFonts w:ascii="Times New Roman" w:hAnsi="Times New Roman" w:eastAsia="宋体" w:cs="Times New Roman"/>
          <w:b/>
          <w:bCs/>
          <w:color w:val="auto"/>
          <w:sz w:val="24"/>
          <w:szCs w:val="24"/>
          <w:highlight w:val="none"/>
        </w:rPr>
      </w:pPr>
      <w:bookmarkStart w:id="2" w:name="_Toc28359079"/>
      <w:bookmarkStart w:id="3" w:name="_Toc35393621"/>
      <w:bookmarkStart w:id="4" w:name="_Toc35393790"/>
      <w:bookmarkStart w:id="5" w:name="_Toc28359002"/>
      <w:bookmarkStart w:id="6" w:name="_Hlk24379207"/>
      <w:r>
        <w:rPr>
          <w:rFonts w:ascii="Times New Roman" w:hAnsi="Times New Roman" w:eastAsia="宋体" w:cs="Times New Roman"/>
          <w:b/>
          <w:bCs/>
          <w:color w:val="auto"/>
          <w:sz w:val="24"/>
          <w:szCs w:val="24"/>
          <w:highlight w:val="none"/>
        </w:rPr>
        <w:t>一、项目基本情况</w:t>
      </w:r>
      <w:bookmarkEnd w:id="2"/>
      <w:bookmarkEnd w:id="3"/>
      <w:bookmarkEnd w:id="4"/>
      <w:bookmarkEnd w:id="5"/>
    </w:p>
    <w:p w14:paraId="7615B9FA">
      <w:pPr>
        <w:snapToGrid w:val="0"/>
        <w:spacing w:line="360" w:lineRule="auto"/>
        <w:ind w:firstLine="480" w:firstLineChars="200"/>
      </w:pPr>
      <w:r>
        <w:rPr>
          <w:rFonts w:ascii="Times New Roman" w:hAnsi="Times New Roman" w:eastAsia="宋体" w:cs="Times New Roman"/>
          <w:color w:val="auto"/>
          <w:sz w:val="24"/>
          <w:szCs w:val="24"/>
          <w:highlight w:val="none"/>
        </w:rPr>
        <w:t>1、项目</w:t>
      </w:r>
      <w:r>
        <w:rPr>
          <w:rFonts w:hint="eastAsia" w:ascii="Times New Roman" w:hAnsi="Times New Roman" w:eastAsia="宋体" w:cs="Times New Roman"/>
          <w:color w:val="auto"/>
          <w:sz w:val="24"/>
          <w:szCs w:val="24"/>
          <w:highlight w:val="none"/>
          <w:lang w:eastAsia="zh-CN"/>
        </w:rPr>
        <w:t>编号</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u w:val="single"/>
        </w:rPr>
        <w:t>BHSG-ZTB-2025-49</w:t>
      </w:r>
    </w:p>
    <w:p w14:paraId="20213550">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lang w:val="en-US" w:eastAsia="zh-CN"/>
        </w:rPr>
        <w:t>2</w:t>
      </w:r>
      <w:r>
        <w:rPr>
          <w:rFonts w:ascii="Times New Roman" w:hAnsi="Times New Roman" w:eastAsia="宋体" w:cs="Times New Roman"/>
          <w:color w:val="auto"/>
          <w:sz w:val="24"/>
          <w:szCs w:val="24"/>
          <w:highlight w:val="none"/>
        </w:rPr>
        <w:t>、项目名称：</w:t>
      </w:r>
      <w:bookmarkEnd w:id="6"/>
      <w:r>
        <w:rPr>
          <w:rFonts w:ascii="Times New Roman" w:hAnsi="Times New Roman" w:eastAsia="宋体" w:cs="Times New Roman"/>
          <w:color w:val="auto"/>
          <w:sz w:val="24"/>
          <w:szCs w:val="24"/>
          <w:highlight w:val="none"/>
          <w:u w:val="single"/>
        </w:rPr>
        <w:t>常青街道邻里坊3号楼时光成长空间物业单位招标</w:t>
      </w:r>
    </w:p>
    <w:p w14:paraId="35070A0A">
      <w:pPr>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ascii="Times New Roman" w:hAnsi="Times New Roman" w:eastAsia="宋体" w:cs="Times New Roman"/>
          <w:color w:val="auto"/>
          <w:sz w:val="24"/>
          <w:szCs w:val="24"/>
          <w:highlight w:val="none"/>
        </w:rPr>
        <w:t>、项目概况：</w:t>
      </w:r>
      <w:r>
        <w:rPr>
          <w:rFonts w:hint="eastAsia" w:ascii="Times New Roman" w:hAnsi="Times New Roman" w:eastAsia="宋体" w:cs="Times New Roman"/>
          <w:color w:val="auto"/>
          <w:sz w:val="24"/>
          <w:szCs w:val="24"/>
          <w:highlight w:val="none"/>
        </w:rPr>
        <w:t>常青街道邻里坊3号楼时光成长空间物业</w:t>
      </w:r>
      <w:r>
        <w:rPr>
          <w:rFonts w:hint="eastAsia" w:ascii="Times New Roman" w:hAnsi="Times New Roman" w:eastAsia="宋体" w:cs="Times New Roman"/>
          <w:color w:val="auto"/>
          <w:sz w:val="24"/>
          <w:szCs w:val="24"/>
          <w:highlight w:val="none"/>
          <w:lang w:val="en-US" w:eastAsia="zh-CN"/>
        </w:rPr>
        <w:t>服务</w:t>
      </w:r>
      <w:r>
        <w:rPr>
          <w:rFonts w:hint="eastAsia" w:ascii="Times New Roman" w:hAnsi="Times New Roman" w:eastAsia="宋体" w:cs="Times New Roman"/>
          <w:color w:val="auto"/>
          <w:sz w:val="24"/>
          <w:szCs w:val="24"/>
          <w:highlight w:val="none"/>
        </w:rPr>
        <w:t>，位于包河区龙图路与关麓路交口东南角，本项目管理总面积约 4400 ㎡</w:t>
      </w:r>
      <w:r>
        <w:rPr>
          <w:rFonts w:hint="eastAsia" w:ascii="Times New Roman" w:hAnsi="Times New Roman" w:eastAsia="宋体" w:cs="Times New Roman"/>
          <w:color w:val="auto"/>
          <w:sz w:val="24"/>
          <w:szCs w:val="24"/>
          <w:highlight w:val="none"/>
          <w:lang w:eastAsia="zh-CN"/>
        </w:rPr>
        <w:t>（以最后测绘为准）</w:t>
      </w:r>
      <w:r>
        <w:rPr>
          <w:rFonts w:hint="eastAsia" w:ascii="Times New Roman" w:hAnsi="Times New Roman" w:eastAsia="宋体" w:cs="Times New Roman"/>
          <w:color w:val="auto"/>
          <w:sz w:val="24"/>
          <w:szCs w:val="24"/>
          <w:highlight w:val="none"/>
        </w:rPr>
        <w:t>，服务内容包括但不仅限于办公、经营场所保洁、安全保卫、水电零星维修</w:t>
      </w:r>
      <w:r>
        <w:rPr>
          <w:rFonts w:hint="eastAsia" w:ascii="Times New Roman" w:hAnsi="Times New Roman" w:eastAsia="宋体" w:cs="Times New Roman"/>
          <w:color w:val="auto"/>
          <w:sz w:val="24"/>
          <w:szCs w:val="24"/>
          <w:highlight w:val="none"/>
          <w:lang w:eastAsia="zh-CN"/>
        </w:rPr>
        <w:t>等</w:t>
      </w:r>
      <w:r>
        <w:rPr>
          <w:rFonts w:hint="eastAsia" w:ascii="Times New Roman" w:hAnsi="Times New Roman" w:eastAsia="宋体" w:cs="Times New Roman"/>
          <w:color w:val="auto"/>
          <w:sz w:val="24"/>
          <w:szCs w:val="24"/>
          <w:highlight w:val="none"/>
        </w:rPr>
        <w:t>。</w:t>
      </w:r>
    </w:p>
    <w:p w14:paraId="6A190283">
      <w:pPr>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、最高限价：</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2</w:t>
      </w:r>
      <w:r>
        <w:rPr>
          <w:rFonts w:hint="eastAsia" w:ascii="Times New Roman" w:hAnsi="Times New Roman" w:eastAsia="宋体" w:cs="Times New Roman"/>
          <w:color w:val="auto"/>
          <w:sz w:val="24"/>
          <w:szCs w:val="24"/>
          <w:highlight w:val="none"/>
          <w:u w:val="single"/>
          <w:lang w:val="en-US" w:eastAsia="zh-CN"/>
        </w:rPr>
        <w:t>5</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万元</w:t>
      </w:r>
      <w:r>
        <w:rPr>
          <w:rFonts w:hint="eastAsia" w:ascii="Times New Roman" w:hAnsi="Times New Roman" w:eastAsia="宋体" w:cs="Times New Roman"/>
          <w:color w:val="auto"/>
          <w:sz w:val="24"/>
          <w:szCs w:val="24"/>
          <w:highlight w:val="none"/>
          <w:lang w:val="en-US" w:eastAsia="zh-CN"/>
        </w:rPr>
        <w:t>/年</w:t>
      </w:r>
    </w:p>
    <w:p w14:paraId="5C825679">
      <w:pPr>
        <w:snapToGrid w:val="0"/>
        <w:spacing w:line="360" w:lineRule="auto"/>
        <w:ind w:firstLine="480" w:firstLineChars="200"/>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、采购需求：详见招标文件</w:t>
      </w:r>
    </w:p>
    <w:p w14:paraId="0F3C359A">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lang w:val="en-US" w:eastAsia="zh-CN"/>
        </w:rPr>
        <w:t>6</w:t>
      </w:r>
      <w:r>
        <w:rPr>
          <w:rFonts w:ascii="Times New Roman" w:hAnsi="Times New Roman" w:eastAsia="宋体" w:cs="Times New Roman"/>
          <w:color w:val="auto"/>
          <w:sz w:val="24"/>
          <w:szCs w:val="24"/>
          <w:highlight w:val="none"/>
        </w:rPr>
        <w:t>、合同履行期限：详见招标文件</w:t>
      </w:r>
    </w:p>
    <w:p w14:paraId="13E12007">
      <w:pPr>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、本项目不接受联合体投标。</w:t>
      </w:r>
    </w:p>
    <w:p w14:paraId="3E96602B">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二、投标人的资格要求</w:t>
      </w:r>
      <w:bookmarkStart w:id="185" w:name="_GoBack"/>
      <w:bookmarkEnd w:id="185"/>
      <w:r>
        <w:rPr>
          <w:rFonts w:ascii="Times New Roman" w:hAnsi="Times New Roman" w:eastAsia="宋体" w:cs="Times New Roman"/>
          <w:b/>
          <w:bCs/>
          <w:color w:val="auto"/>
          <w:sz w:val="24"/>
          <w:szCs w:val="24"/>
          <w:highlight w:val="none"/>
        </w:rPr>
        <w:t>：</w:t>
      </w:r>
    </w:p>
    <w:p w14:paraId="18117595">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1、投标人应同时具备下列资格：须是经中华人民共和国工商注册的独立法人且具有有效的营业执照；</w:t>
      </w:r>
    </w:p>
    <w:p w14:paraId="70778174">
      <w:pPr>
        <w:spacing w:line="360" w:lineRule="auto"/>
        <w:ind w:right="267" w:firstLine="435"/>
        <w:rPr>
          <w:rFonts w:hint="eastAsia" w:ascii="宋体" w:hAnsi="宋体" w:eastAsia="宋体" w:cs="宋体"/>
          <w:color w:val="auto"/>
          <w:kern w:val="2"/>
          <w:sz w:val="24"/>
          <w:szCs w:val="18"/>
          <w:highlight w:val="none"/>
        </w:rPr>
      </w:pPr>
      <w:r>
        <w:rPr>
          <w:rFonts w:ascii="Times New Roman" w:hAnsi="Times New Roman" w:eastAsia="宋体" w:cs="Times New Roman"/>
          <w:color w:val="auto"/>
          <w:sz w:val="24"/>
          <w:szCs w:val="24"/>
          <w:highlight w:val="none"/>
        </w:rPr>
        <w:t>2、投标人业绩要求：</w:t>
      </w:r>
      <w:r>
        <w:rPr>
          <w:rFonts w:hint="eastAsia" w:ascii="宋体" w:hAnsi="宋体" w:eastAsia="宋体" w:cs="宋体"/>
          <w:color w:val="auto"/>
          <w:kern w:val="2"/>
          <w:sz w:val="24"/>
          <w:szCs w:val="18"/>
          <w:highlight w:val="none"/>
        </w:rPr>
        <w:t>自2020年1月1日以来（以合同签订时间为准），投标人具有公共建筑物业服务业绩，且单个合同中总建筑面积不少于2000平方米</w:t>
      </w:r>
      <w:r>
        <w:rPr>
          <w:rFonts w:hint="eastAsia" w:ascii="宋体" w:hAnsi="宋体" w:eastAsia="宋体" w:cs="宋体"/>
          <w:color w:val="auto"/>
          <w:kern w:val="2"/>
          <w:sz w:val="24"/>
          <w:szCs w:val="18"/>
          <w:highlight w:val="none"/>
          <w:lang w:eastAsia="zh-CN"/>
        </w:rPr>
        <w:t>或合同金额不少于</w:t>
      </w:r>
      <w:r>
        <w:rPr>
          <w:rFonts w:hint="eastAsia" w:ascii="宋体" w:hAnsi="宋体" w:eastAsia="宋体" w:cs="宋体"/>
          <w:color w:val="auto"/>
          <w:kern w:val="2"/>
          <w:sz w:val="24"/>
          <w:szCs w:val="18"/>
          <w:highlight w:val="none"/>
          <w:lang w:val="en-US" w:eastAsia="zh-CN"/>
        </w:rPr>
        <w:t>19万元</w:t>
      </w:r>
      <w:r>
        <w:rPr>
          <w:rFonts w:hint="eastAsia" w:ascii="宋体" w:hAnsi="宋体" w:eastAsia="宋体" w:cs="宋体"/>
          <w:color w:val="auto"/>
          <w:kern w:val="2"/>
          <w:sz w:val="24"/>
          <w:szCs w:val="18"/>
          <w:highlight w:val="none"/>
        </w:rPr>
        <w:t>；</w:t>
      </w:r>
    </w:p>
    <w:p w14:paraId="421C6485">
      <w:pPr>
        <w:spacing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注：“公共建筑”系指办公建筑（如写字楼、政府部门办公室等），商业建筑（如商场、金融建筑等），旅游建筑（如酒店、娱乐场所等），科教文卫建筑（如文化、教育、科研、医疗、卫生、体育建筑等），通信建筑（如邮电、通讯、广播用房等）以及交通运输类建筑（如机场、高铁站、火车站、汽车站、冷藏库等）。居住建筑和工业建筑不予认可。</w:t>
      </w:r>
    </w:p>
    <w:p w14:paraId="56490B85">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3、项目负责人业绩要求：/。</w:t>
      </w:r>
    </w:p>
    <w:p w14:paraId="4B4BD8EA">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4、投标人财务要求：/。</w:t>
      </w:r>
    </w:p>
    <w:p w14:paraId="37CD5C8E">
      <w:pPr>
        <w:spacing w:line="440" w:lineRule="exact"/>
        <w:ind w:firstLine="435"/>
        <w:rPr>
          <w:rFonts w:ascii="Times New Roman" w:hAnsi="Times New Roman" w:cs="Times New Roman"/>
          <w:color w:val="auto"/>
          <w:sz w:val="24"/>
          <w:szCs w:val="24"/>
          <w:highlight w:val="none"/>
        </w:rPr>
      </w:pPr>
      <w:r>
        <w:rPr>
          <w:rFonts w:ascii="Times New Roman" w:hAnsi="Times New Roman" w:cs="Times New Roman"/>
          <w:color w:val="auto"/>
          <w:sz w:val="24"/>
          <w:szCs w:val="18"/>
          <w:highlight w:val="none"/>
        </w:rPr>
        <w:t>投标人存在以下不良信用记录情形之一的，不得推荐为中标候选人，不得确</w:t>
      </w:r>
      <w:r>
        <w:rPr>
          <w:rFonts w:ascii="Times New Roman" w:hAnsi="Times New Roman" w:cs="Times New Roman"/>
          <w:color w:val="auto"/>
          <w:sz w:val="24"/>
          <w:szCs w:val="24"/>
          <w:highlight w:val="none"/>
        </w:rPr>
        <w:t>定为中标人：</w:t>
      </w:r>
    </w:p>
    <w:p w14:paraId="5C647B5E">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（1）被责令停产停业，暂扣或者吊销许可证，暂扣或者吊销执照； </w:t>
      </w:r>
    </w:p>
    <w:p w14:paraId="15DD9F71">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（2）进入清算程序，或被宣告破产，或其他丧失履约能力的情形； </w:t>
      </w:r>
    </w:p>
    <w:p w14:paraId="723A60CE">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（3）在最近三年内（自投标截止之日向前追溯 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4A0A5DD">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（4）在国家企业信用信息公示系统（http://www.gsxt.gov.cn/）中被列入严重违法失信企业名单； </w:t>
      </w:r>
    </w:p>
    <w:p w14:paraId="6207DFD5">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（5）在“信用中国”网站（http://www.creditchina.gov.cn/）中被列入失信被执行人名单； </w:t>
      </w:r>
    </w:p>
    <w:p w14:paraId="6322D255">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 xml:space="preserve">（6）在“信用中国”网站（http://www.creditchina.gov.cn/）中被列入重大税收违法案件当事人名单； </w:t>
      </w:r>
    </w:p>
    <w:p w14:paraId="49EBEC8E">
      <w:pPr>
        <w:spacing w:line="360" w:lineRule="auto"/>
        <w:ind w:firstLine="435"/>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t>（7）在近三年内投标人或其法定代表人（单位负责人）有行贿犯罪行为的。</w:t>
      </w:r>
    </w:p>
    <w:p w14:paraId="7ADEF014">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本次招标不接受联合体投标。</w:t>
      </w:r>
    </w:p>
    <w:p w14:paraId="55AD3011">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三、获取招标文件及报名方式</w:t>
      </w:r>
    </w:p>
    <w:p w14:paraId="7019DF4E">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时间：</w:t>
      </w:r>
      <w:r>
        <w:rPr>
          <w:rFonts w:ascii="Times New Roman" w:hAnsi="Times New Roman" w:eastAsia="宋体" w:cs="Times New Roman"/>
          <w:color w:val="auto"/>
          <w:sz w:val="24"/>
          <w:szCs w:val="24"/>
          <w:highlight w:val="none"/>
          <w:u w:val="single"/>
        </w:rPr>
        <w:t xml:space="preserve">2025年 </w:t>
      </w:r>
      <w:r>
        <w:rPr>
          <w:rFonts w:hint="eastAsia" w:ascii="Times New Roman" w:hAnsi="Times New Roman" w:eastAsia="宋体" w:cs="Times New Roman"/>
          <w:color w:val="auto"/>
          <w:sz w:val="24"/>
          <w:szCs w:val="24"/>
          <w:highlight w:val="none"/>
          <w:u w:val="single"/>
          <w:lang w:val="en-US" w:eastAsia="zh-CN"/>
        </w:rPr>
        <w:t>10</w:t>
      </w:r>
      <w:r>
        <w:rPr>
          <w:rFonts w:ascii="Times New Roman" w:hAnsi="Times New Roman" w:eastAsia="宋体" w:cs="Times New Roman"/>
          <w:color w:val="auto"/>
          <w:sz w:val="24"/>
          <w:szCs w:val="24"/>
          <w:highlight w:val="none"/>
          <w:u w:val="single"/>
        </w:rPr>
        <w:t>月</w:t>
      </w:r>
      <w:r>
        <w:rPr>
          <w:rFonts w:hint="eastAsia" w:ascii="Times New Roman" w:hAnsi="Times New Roman" w:eastAsia="宋体" w:cs="Times New Roman"/>
          <w:color w:val="auto"/>
          <w:sz w:val="24"/>
          <w:szCs w:val="24"/>
          <w:highlight w:val="none"/>
          <w:u w:val="single"/>
          <w:lang w:val="en-US" w:eastAsia="zh-CN"/>
        </w:rPr>
        <w:t>11</w:t>
      </w:r>
      <w:r>
        <w:rPr>
          <w:rFonts w:ascii="Times New Roman" w:hAnsi="Times New Roman" w:eastAsia="宋体" w:cs="Times New Roman"/>
          <w:color w:val="auto"/>
          <w:sz w:val="24"/>
          <w:szCs w:val="24"/>
          <w:highlight w:val="none"/>
          <w:u w:val="single"/>
        </w:rPr>
        <w:t>日</w:t>
      </w:r>
      <w:r>
        <w:rPr>
          <w:rFonts w:ascii="Times New Roman" w:hAnsi="Times New Roman" w:eastAsia="宋体" w:cs="Times New Roman"/>
          <w:color w:val="auto"/>
          <w:sz w:val="24"/>
          <w:szCs w:val="24"/>
          <w:highlight w:val="none"/>
        </w:rPr>
        <w:t>至</w:t>
      </w:r>
      <w:r>
        <w:rPr>
          <w:rFonts w:ascii="Times New Roman" w:hAnsi="Times New Roman" w:eastAsia="宋体" w:cs="Times New Roman"/>
          <w:color w:val="auto"/>
          <w:sz w:val="24"/>
          <w:szCs w:val="24"/>
          <w:highlight w:val="none"/>
          <w:u w:val="single"/>
        </w:rPr>
        <w:t>2025年</w:t>
      </w:r>
      <w:r>
        <w:rPr>
          <w:rFonts w:hint="eastAsia" w:ascii="Times New Roman" w:hAnsi="Times New Roman" w:eastAsia="宋体" w:cs="Times New Roman"/>
          <w:color w:val="auto"/>
          <w:sz w:val="24"/>
          <w:szCs w:val="24"/>
          <w:highlight w:val="none"/>
          <w:u w:val="single"/>
          <w:lang w:val="en-US" w:eastAsia="zh-CN"/>
        </w:rPr>
        <w:t>10</w:t>
      </w:r>
      <w:r>
        <w:rPr>
          <w:rFonts w:ascii="Times New Roman" w:hAnsi="Times New Roman" w:eastAsia="宋体" w:cs="Times New Roman"/>
          <w:color w:val="auto"/>
          <w:sz w:val="24"/>
          <w:szCs w:val="24"/>
          <w:highlight w:val="none"/>
          <w:u w:val="single"/>
        </w:rPr>
        <w:t>月</w:t>
      </w:r>
      <w:r>
        <w:rPr>
          <w:rFonts w:hint="eastAsia" w:ascii="Times New Roman" w:hAnsi="Times New Roman" w:eastAsia="宋体" w:cs="Times New Roman"/>
          <w:color w:val="auto"/>
          <w:sz w:val="24"/>
          <w:szCs w:val="24"/>
          <w:highlight w:val="none"/>
          <w:u w:val="single"/>
          <w:lang w:val="en-US" w:eastAsia="zh-CN"/>
        </w:rPr>
        <w:t>17</w:t>
      </w:r>
      <w:r>
        <w:rPr>
          <w:rFonts w:ascii="Times New Roman" w:hAnsi="Times New Roman" w:eastAsia="宋体" w:cs="Times New Roman"/>
          <w:color w:val="auto"/>
          <w:sz w:val="24"/>
          <w:szCs w:val="24"/>
          <w:highlight w:val="none"/>
          <w:u w:val="single"/>
        </w:rPr>
        <w:t>日</w:t>
      </w:r>
    </w:p>
    <w:p w14:paraId="2B989917">
      <w:pPr>
        <w:snapToGrid w:val="0"/>
        <w:spacing w:line="360" w:lineRule="auto"/>
        <w:ind w:firstLine="480" w:firstLineChars="200"/>
        <w:rPr>
          <w:rFonts w:ascii="Times New Roman" w:hAnsi="Times New Roman" w:eastAsia="宋体" w:cs="Times New Roman"/>
          <w:color w:val="auto"/>
          <w:sz w:val="24"/>
          <w:szCs w:val="24"/>
          <w:highlight w:val="none"/>
          <w:shd w:val="clear" w:color="auto" w:fill="FFFFFF"/>
        </w:rPr>
      </w:pPr>
      <w:r>
        <w:rPr>
          <w:rFonts w:ascii="Times New Roman" w:hAnsi="Times New Roman" w:eastAsia="宋体" w:cs="Times New Roman"/>
          <w:color w:val="auto"/>
          <w:sz w:val="24"/>
          <w:szCs w:val="24"/>
          <w:highlight w:val="none"/>
        </w:rPr>
        <w:t>方式：登录</w:t>
      </w:r>
      <w:r>
        <w:rPr>
          <w:rFonts w:ascii="Times New Roman" w:hAnsi="Times New Roman" w:eastAsia="宋体" w:cs="Times New Roman"/>
          <w:color w:val="auto"/>
          <w:sz w:val="24"/>
          <w:szCs w:val="24"/>
          <w:highlight w:val="none"/>
          <w:u w:val="single"/>
        </w:rPr>
        <w:t>合肥滨湖时光产业投资集团有限公司官方网站http://www.bhsggroup.cn/</w:t>
      </w:r>
      <w:r>
        <w:rPr>
          <w:rFonts w:ascii="Times New Roman" w:hAnsi="Times New Roman" w:eastAsia="宋体" w:cs="Times New Roman"/>
          <w:color w:val="auto"/>
          <w:sz w:val="24"/>
          <w:szCs w:val="24"/>
          <w:highlight w:val="none"/>
          <w:shd w:val="clear" w:color="auto" w:fill="FFFFFF"/>
        </w:rPr>
        <w:t>并下载招标文件及相关附件。在投标截止日前，将投标文件密封送至（或快递）项目联系人处即可。</w:t>
      </w:r>
    </w:p>
    <w:p w14:paraId="1835D49C">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四、提交投标文件截止时间、开标时间和地点</w:t>
      </w:r>
    </w:p>
    <w:p w14:paraId="642A2290">
      <w:pPr>
        <w:snapToGrid w:val="0"/>
        <w:spacing w:line="360" w:lineRule="auto"/>
        <w:ind w:firstLine="480" w:firstLineChars="200"/>
        <w:rPr>
          <w:rFonts w:ascii="Times New Roman" w:hAnsi="Times New Roman" w:eastAsia="宋体" w:cs="Times New Roman"/>
          <w:color w:val="auto"/>
          <w:sz w:val="24"/>
          <w:szCs w:val="24"/>
          <w:highlight w:val="none"/>
          <w:shd w:val="clear" w:color="auto" w:fill="FFFFFF"/>
        </w:rPr>
      </w:pPr>
      <w:r>
        <w:rPr>
          <w:rFonts w:ascii="Times New Roman" w:hAnsi="Times New Roman" w:eastAsia="宋体" w:cs="Times New Roman"/>
          <w:color w:val="auto"/>
          <w:sz w:val="24"/>
          <w:szCs w:val="24"/>
          <w:highlight w:val="none"/>
          <w:shd w:val="clear" w:color="auto" w:fill="FFFFFF"/>
        </w:rPr>
        <w:t>时间：</w:t>
      </w:r>
      <w:r>
        <w:rPr>
          <w:rFonts w:ascii="Times New Roman" w:hAnsi="Times New Roman" w:eastAsia="宋体" w:cs="Times New Roman"/>
          <w:color w:val="auto"/>
          <w:sz w:val="24"/>
          <w:szCs w:val="24"/>
          <w:highlight w:val="none"/>
          <w:u w:val="single"/>
          <w:shd w:val="clear" w:color="auto" w:fill="FFFFFF"/>
        </w:rPr>
        <w:t>2025年</w:t>
      </w:r>
      <w:r>
        <w:rPr>
          <w:rFonts w:hint="eastAsia" w:ascii="Times New Roman" w:hAnsi="Times New Roman" w:eastAsia="宋体" w:cs="Times New Roman"/>
          <w:color w:val="auto"/>
          <w:sz w:val="24"/>
          <w:szCs w:val="24"/>
          <w:highlight w:val="none"/>
          <w:u w:val="single"/>
          <w:shd w:val="clear" w:color="auto" w:fill="FFFFFF"/>
          <w:lang w:val="en-US" w:eastAsia="zh-CN"/>
        </w:rPr>
        <w:t>10</w:t>
      </w:r>
      <w:r>
        <w:rPr>
          <w:rFonts w:ascii="Times New Roman" w:hAnsi="Times New Roman" w:eastAsia="宋体" w:cs="Times New Roman"/>
          <w:color w:val="auto"/>
          <w:sz w:val="24"/>
          <w:szCs w:val="24"/>
          <w:highlight w:val="none"/>
          <w:u w:val="single"/>
          <w:shd w:val="clear" w:color="auto" w:fill="FFFFFF"/>
        </w:rPr>
        <w:t>月</w:t>
      </w:r>
      <w:r>
        <w:rPr>
          <w:rFonts w:hint="eastAsia" w:ascii="Times New Roman" w:hAnsi="Times New Roman" w:eastAsia="宋体" w:cs="Times New Roman"/>
          <w:color w:val="auto"/>
          <w:sz w:val="24"/>
          <w:szCs w:val="24"/>
          <w:highlight w:val="none"/>
          <w:u w:val="single"/>
          <w:shd w:val="clear" w:color="auto" w:fill="FFFFFF"/>
          <w:lang w:val="en-US" w:eastAsia="zh-CN"/>
        </w:rPr>
        <w:t>17</w:t>
      </w:r>
      <w:r>
        <w:rPr>
          <w:rFonts w:ascii="Times New Roman" w:hAnsi="Times New Roman" w:eastAsia="宋体" w:cs="Times New Roman"/>
          <w:color w:val="auto"/>
          <w:sz w:val="24"/>
          <w:szCs w:val="24"/>
          <w:highlight w:val="none"/>
          <w:u w:val="single"/>
          <w:shd w:val="clear" w:color="auto" w:fill="FFFFFF"/>
        </w:rPr>
        <w:t>日</w:t>
      </w:r>
      <w:r>
        <w:rPr>
          <w:rFonts w:hint="eastAsia" w:ascii="Times New Roman" w:hAnsi="Times New Roman" w:eastAsia="宋体" w:cs="Times New Roman"/>
          <w:color w:val="auto"/>
          <w:sz w:val="24"/>
          <w:szCs w:val="24"/>
          <w:highlight w:val="none"/>
          <w:u w:val="single"/>
          <w:shd w:val="clear" w:color="auto" w:fill="FFFFFF"/>
          <w:lang w:val="en-US" w:eastAsia="zh-CN"/>
        </w:rPr>
        <w:t>15</w:t>
      </w:r>
      <w:r>
        <w:rPr>
          <w:rFonts w:ascii="Times New Roman" w:hAnsi="Times New Roman" w:eastAsia="宋体" w:cs="Times New Roman"/>
          <w:color w:val="auto"/>
          <w:sz w:val="24"/>
          <w:szCs w:val="24"/>
          <w:highlight w:val="none"/>
          <w:u w:val="single"/>
          <w:shd w:val="clear" w:color="auto" w:fill="FFFFFF"/>
        </w:rPr>
        <w:t>点</w:t>
      </w:r>
      <w:r>
        <w:rPr>
          <w:rFonts w:hint="eastAsia" w:ascii="Times New Roman" w:hAnsi="Times New Roman" w:eastAsia="宋体" w:cs="Times New Roman"/>
          <w:color w:val="auto"/>
          <w:sz w:val="24"/>
          <w:szCs w:val="24"/>
          <w:highlight w:val="none"/>
          <w:u w:val="single"/>
          <w:shd w:val="clear" w:color="auto" w:fill="FFFFFF"/>
          <w:lang w:val="en-US" w:eastAsia="zh-CN"/>
        </w:rPr>
        <w:t>0</w:t>
      </w:r>
      <w:r>
        <w:rPr>
          <w:rFonts w:ascii="Times New Roman" w:hAnsi="Times New Roman" w:eastAsia="宋体" w:cs="Times New Roman"/>
          <w:color w:val="auto"/>
          <w:sz w:val="24"/>
          <w:szCs w:val="24"/>
          <w:highlight w:val="none"/>
          <w:u w:val="single"/>
          <w:shd w:val="clear" w:color="auto" w:fill="FFFFFF"/>
        </w:rPr>
        <w:t>0分</w:t>
      </w:r>
      <w:r>
        <w:rPr>
          <w:rFonts w:ascii="Times New Roman" w:hAnsi="Times New Roman" w:eastAsia="宋体" w:cs="Times New Roman"/>
          <w:color w:val="auto"/>
          <w:sz w:val="24"/>
          <w:szCs w:val="24"/>
          <w:highlight w:val="none"/>
          <w:shd w:val="clear" w:color="auto" w:fill="FFFFFF"/>
        </w:rPr>
        <w:t>（北京时间）</w:t>
      </w:r>
    </w:p>
    <w:p w14:paraId="3F7CC980">
      <w:pPr>
        <w:snapToGrid w:val="0"/>
        <w:spacing w:line="360" w:lineRule="auto"/>
        <w:ind w:firstLine="480" w:firstLineChars="200"/>
        <w:rPr>
          <w:rFonts w:ascii="Times New Roman" w:hAnsi="Times New Roman" w:eastAsia="宋体" w:cs="Times New Roman"/>
          <w:color w:val="auto"/>
          <w:sz w:val="24"/>
          <w:szCs w:val="24"/>
          <w:highlight w:val="none"/>
          <w:shd w:val="clear" w:color="auto" w:fill="FFFFFF"/>
        </w:rPr>
      </w:pPr>
      <w:r>
        <w:rPr>
          <w:rFonts w:ascii="Times New Roman" w:hAnsi="Times New Roman" w:eastAsia="宋体" w:cs="Times New Roman"/>
          <w:color w:val="auto"/>
          <w:sz w:val="24"/>
          <w:szCs w:val="24"/>
          <w:highlight w:val="none"/>
          <w:shd w:val="clear" w:color="auto" w:fill="FFFFFF"/>
        </w:rPr>
        <w:t>备注：开标时间同提交投标文件截止时间</w:t>
      </w:r>
    </w:p>
    <w:p w14:paraId="314B0F83">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地点：</w:t>
      </w:r>
      <w:r>
        <w:rPr>
          <w:rFonts w:ascii="Times New Roman" w:hAnsi="Times New Roman" w:eastAsia="宋体" w:cs="Times New Roman"/>
          <w:color w:val="auto"/>
          <w:sz w:val="24"/>
          <w:szCs w:val="24"/>
          <w:highlight w:val="none"/>
          <w:u w:val="single"/>
        </w:rPr>
        <w:t>合肥市包河区大圩镇花园大道365号，合肥滨湖时光产业投资集团有限公司会议室</w:t>
      </w:r>
    </w:p>
    <w:p w14:paraId="279EF087">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五、公告期限</w:t>
      </w:r>
    </w:p>
    <w:p w14:paraId="177E4004">
      <w:pPr>
        <w:snapToGrid w:val="0"/>
        <w:spacing w:line="360" w:lineRule="auto"/>
        <w:ind w:firstLine="480" w:firstLineChars="200"/>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自本公告发布之日起5个工作日内。</w:t>
      </w:r>
    </w:p>
    <w:p w14:paraId="616A8C2E">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六、其他补充事宜</w:t>
      </w:r>
    </w:p>
    <w:p w14:paraId="17BC379B">
      <w:pPr>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w:t>
      </w:r>
      <w:r>
        <w:rPr>
          <w:rFonts w:ascii="Times New Roman" w:hAnsi="Times New Roman" w:eastAsia="宋体" w:cs="Times New Roman"/>
          <w:color w:val="auto"/>
          <w:sz w:val="24"/>
          <w:szCs w:val="24"/>
          <w:highlight w:val="none"/>
        </w:rPr>
        <w:t>潜在投标人应合理安排招标文件获取时间，特别是网络速度慢的地区防止在系统关闭前网络拥堵无法操作。如果因计算机及网络故障造成无法完成招标文件获取，责任自负。</w:t>
      </w:r>
    </w:p>
    <w:p w14:paraId="4F90996D">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关于招标文件答疑的说明：（1）潜在投标人对招标文件的疑问须在2025年10月14日17:00（北京时间）前，以书面形式提交至项目联系人处，逾期不予受理；（2）招标人将在2025年10月15日17:00前，在合肥滨湖时光产业投资集团有限公司官方网站（http://bhsggroup.cn/）发布答疑公告，请投标人自行关注；（3）答疑公告与本招标文件具有同等法律效力，未及时获取澄清信息导致的投标风险由投标人自行承担。</w:t>
      </w:r>
    </w:p>
    <w:p w14:paraId="795AC6D5">
      <w:pPr>
        <w:snapToGrid w:val="0"/>
        <w:spacing w:line="360" w:lineRule="auto"/>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七、对本次招标提出询问，请按以下方式联系。</w:t>
      </w:r>
    </w:p>
    <w:p w14:paraId="2A8ACA39">
      <w:pPr>
        <w:widowControl/>
        <w:snapToGrid w:val="0"/>
        <w:spacing w:line="360" w:lineRule="auto"/>
        <w:ind w:firstLine="480" w:firstLineChars="20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1.招标人信息</w:t>
      </w:r>
    </w:p>
    <w:p w14:paraId="297CB577">
      <w:pPr>
        <w:snapToGrid w:val="0"/>
        <w:spacing w:line="360" w:lineRule="auto"/>
        <w:ind w:firstLine="480" w:firstLineChars="200"/>
        <w:jc w:val="left"/>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名称：</w:t>
      </w:r>
      <w:r>
        <w:rPr>
          <w:rFonts w:ascii="Times New Roman" w:hAnsi="Times New Roman" w:eastAsia="宋体" w:cs="Times New Roman"/>
          <w:color w:val="auto"/>
          <w:sz w:val="24"/>
          <w:szCs w:val="24"/>
          <w:highlight w:val="none"/>
          <w:u w:val="single"/>
        </w:rPr>
        <w:t xml:space="preserve">  合肥滨湖时光空间运营管理有限公司    </w:t>
      </w:r>
    </w:p>
    <w:p w14:paraId="304A5805">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u w:val="single"/>
        </w:rPr>
        <w:t>合肥市包河区大圩镇花园大道365号，滨湖卓越城文华园A2栋4楼</w:t>
      </w:r>
    </w:p>
    <w:p w14:paraId="2F1F7DBA">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2.项目联系方式</w:t>
      </w:r>
    </w:p>
    <w:p w14:paraId="66270E1A">
      <w:pPr>
        <w:pStyle w:val="12"/>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项目联系人：</w:t>
      </w:r>
      <w:r>
        <w:rPr>
          <w:rFonts w:ascii="Times New Roman" w:hAnsi="Times New Roman" w:cs="Times New Roman"/>
          <w:color w:val="auto"/>
          <w:sz w:val="24"/>
          <w:szCs w:val="24"/>
          <w:highlight w:val="none"/>
          <w:u w:val="single"/>
        </w:rPr>
        <w:t xml:space="preserve">  李工            </w:t>
      </w:r>
    </w:p>
    <w:p w14:paraId="0354EADE">
      <w:pPr>
        <w:snapToGrid w:val="0"/>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联系电话：</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18255169430</w:t>
      </w:r>
      <w:r>
        <w:rPr>
          <w:rFonts w:ascii="Times New Roman" w:hAnsi="Times New Roman" w:eastAsia="宋体" w:cs="Times New Roman"/>
          <w:color w:val="auto"/>
          <w:sz w:val="24"/>
          <w:szCs w:val="24"/>
          <w:highlight w:val="none"/>
          <w:u w:val="single"/>
        </w:rPr>
        <w:t xml:space="preserve">       </w:t>
      </w:r>
    </w:p>
    <w:p w14:paraId="6BC2FDF1">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329508B4">
      <w:pPr>
        <w:spacing w:line="360" w:lineRule="auto"/>
        <w:jc w:val="center"/>
        <w:outlineLvl w:val="0"/>
        <w:rPr>
          <w:rFonts w:ascii="Times New Roman" w:hAnsi="Times New Roman" w:eastAsia="宋体" w:cs="Times New Roman"/>
          <w:b/>
          <w:color w:val="auto"/>
          <w:sz w:val="28"/>
          <w:highlight w:val="none"/>
        </w:rPr>
      </w:pPr>
      <w:bookmarkStart w:id="7" w:name="_Toc1833592947"/>
      <w:r>
        <w:rPr>
          <w:rFonts w:ascii="Times New Roman" w:hAnsi="Times New Roman" w:eastAsia="宋体" w:cs="Times New Roman"/>
          <w:b/>
          <w:color w:val="auto"/>
          <w:sz w:val="28"/>
          <w:highlight w:val="none"/>
        </w:rPr>
        <w:t>第二章  投标人须知</w:t>
      </w:r>
      <w:bookmarkEnd w:id="7"/>
    </w:p>
    <w:p w14:paraId="1A7BBF6E">
      <w:pPr>
        <w:spacing w:line="360" w:lineRule="auto"/>
        <w:jc w:val="left"/>
        <w:outlineLvl w:val="2"/>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一、投标人须知前附表</w:t>
      </w:r>
    </w:p>
    <w:p w14:paraId="186B90DE">
      <w:pPr>
        <w:spacing w:line="360" w:lineRule="auto"/>
        <w:ind w:firstLine="435"/>
        <w:rPr>
          <w:rFonts w:ascii="Times New Roman" w:hAnsi="Times New Roman" w:eastAsia="宋体" w:cs="Times New Roman"/>
          <w:color w:val="auto"/>
          <w:sz w:val="24"/>
          <w:szCs w:val="18"/>
          <w:highlight w:val="none"/>
        </w:rPr>
      </w:pPr>
      <w:r>
        <w:rPr>
          <w:rFonts w:ascii="Times New Roman" w:hAnsi="Times New Roman" w:eastAsia="宋体" w:cs="Times New Roman"/>
          <w:b/>
          <w:bCs/>
          <w:color w:val="auto"/>
          <w:sz w:val="24"/>
          <w:szCs w:val="18"/>
          <w:highlight w:val="none"/>
        </w:rPr>
        <w:t>注：</w:t>
      </w:r>
      <w:r>
        <w:rPr>
          <w:rFonts w:ascii="Times New Roman" w:hAnsi="Times New Roman" w:eastAsia="宋体" w:cs="Times New Roman"/>
          <w:color w:val="auto"/>
          <w:sz w:val="24"/>
          <w:szCs w:val="18"/>
          <w:highlight w:val="none"/>
        </w:rPr>
        <w:t>本表是本项目的具体要求，是对投标人须知的具体补充和修改，如有不一致，以本表为准。</w:t>
      </w:r>
    </w:p>
    <w:tbl>
      <w:tblPr>
        <w:tblStyle w:val="2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6292"/>
      </w:tblGrid>
      <w:tr w14:paraId="07B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71A14713">
            <w:pPr>
              <w:pStyle w:val="27"/>
              <w:widowControl w:val="0"/>
              <w:spacing w:before="0" w:beforeAutospacing="0" w:after="0" w:afterAutospacing="0"/>
              <w:rPr>
                <w:rFonts w:ascii="Times New Roman" w:hAnsi="Times New Roman" w:eastAsia="宋体" w:cs="Times New Roman"/>
                <w:bCs w:val="0"/>
                <w:color w:val="auto"/>
                <w:kern w:val="2"/>
                <w:sz w:val="24"/>
                <w:szCs w:val="20"/>
                <w:highlight w:val="none"/>
              </w:rPr>
            </w:pPr>
            <w:r>
              <w:rPr>
                <w:rFonts w:ascii="Times New Roman" w:hAnsi="Times New Roman" w:eastAsia="宋体" w:cs="Times New Roman"/>
                <w:bCs w:val="0"/>
                <w:color w:val="auto"/>
                <w:kern w:val="2"/>
                <w:sz w:val="24"/>
                <w:szCs w:val="20"/>
                <w:highlight w:val="none"/>
              </w:rPr>
              <w:t>条款名称</w:t>
            </w:r>
          </w:p>
        </w:tc>
        <w:tc>
          <w:tcPr>
            <w:tcW w:w="6292" w:type="dxa"/>
            <w:vAlign w:val="center"/>
          </w:tcPr>
          <w:p w14:paraId="5330871B">
            <w:pPr>
              <w:pStyle w:val="27"/>
              <w:widowControl w:val="0"/>
              <w:spacing w:before="0" w:beforeAutospacing="0" w:after="0" w:afterAutospacing="0"/>
              <w:rPr>
                <w:rFonts w:ascii="Times New Roman" w:hAnsi="Times New Roman" w:eastAsia="宋体" w:cs="Times New Roman"/>
                <w:bCs w:val="0"/>
                <w:color w:val="auto"/>
                <w:kern w:val="2"/>
                <w:sz w:val="24"/>
                <w:szCs w:val="20"/>
                <w:highlight w:val="none"/>
              </w:rPr>
            </w:pPr>
            <w:r>
              <w:rPr>
                <w:rFonts w:ascii="Times New Roman" w:hAnsi="Times New Roman" w:eastAsia="宋体" w:cs="Times New Roman"/>
                <w:bCs w:val="0"/>
                <w:color w:val="auto"/>
                <w:kern w:val="2"/>
                <w:sz w:val="24"/>
                <w:szCs w:val="20"/>
                <w:highlight w:val="none"/>
              </w:rPr>
              <w:t>内容、说明与要求</w:t>
            </w:r>
          </w:p>
        </w:tc>
      </w:tr>
      <w:tr w14:paraId="30CB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52E04163">
            <w:pPr>
              <w:pStyle w:val="27"/>
              <w:widowControl w:val="0"/>
              <w:spacing w:before="0" w:beforeAutospacing="0" w:after="0" w:afterAutospacing="0"/>
              <w:jc w:val="left"/>
              <w:rPr>
                <w:rFonts w:ascii="Times New Roman" w:hAnsi="Times New Roman" w:eastAsia="宋体" w:cs="Times New Roman"/>
                <w:b w:val="0"/>
                <w:bCs w:val="0"/>
                <w:color w:val="auto"/>
                <w:sz w:val="24"/>
                <w:highlight w:val="none"/>
              </w:rPr>
            </w:pPr>
            <w:r>
              <w:rPr>
                <w:rFonts w:ascii="Times New Roman" w:hAnsi="Times New Roman" w:eastAsia="宋体" w:cs="Times New Roman"/>
                <w:b w:val="0"/>
                <w:bCs w:val="0"/>
                <w:color w:val="auto"/>
                <w:sz w:val="24"/>
                <w:highlight w:val="none"/>
              </w:rPr>
              <w:t>招标人</w:t>
            </w:r>
          </w:p>
        </w:tc>
        <w:tc>
          <w:tcPr>
            <w:tcW w:w="6292" w:type="dxa"/>
            <w:vAlign w:val="center"/>
          </w:tcPr>
          <w:p w14:paraId="003949A9">
            <w:pPr>
              <w:pStyle w:val="27"/>
              <w:widowControl w:val="0"/>
              <w:spacing w:before="0" w:beforeAutospacing="0" w:after="0" w:afterAutospacing="0"/>
              <w:jc w:val="both"/>
              <w:rPr>
                <w:rFonts w:ascii="Times New Roman" w:hAnsi="Times New Roman" w:eastAsia="宋体" w:cs="Times New Roman"/>
                <w:b w:val="0"/>
                <w:bCs w:val="0"/>
                <w:color w:val="auto"/>
                <w:kern w:val="2"/>
                <w:sz w:val="24"/>
                <w:szCs w:val="20"/>
                <w:highlight w:val="none"/>
              </w:rPr>
            </w:pPr>
            <w:r>
              <w:rPr>
                <w:rFonts w:ascii="Times New Roman" w:hAnsi="Times New Roman" w:eastAsia="宋体" w:cs="Times New Roman"/>
                <w:color w:val="auto"/>
                <w:sz w:val="24"/>
                <w:szCs w:val="24"/>
                <w:highlight w:val="none"/>
                <w:u w:val="single"/>
              </w:rPr>
              <w:t>合肥滨湖时光空间运营管理有限公司</w:t>
            </w:r>
          </w:p>
        </w:tc>
      </w:tr>
      <w:tr w14:paraId="1987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0CAA9137">
            <w:pPr>
              <w:pStyle w:val="27"/>
              <w:widowControl w:val="0"/>
              <w:spacing w:before="0" w:beforeAutospacing="0" w:after="0" w:afterAutospacing="0"/>
              <w:jc w:val="left"/>
              <w:rPr>
                <w:rFonts w:ascii="Times New Roman" w:hAnsi="Times New Roman" w:eastAsia="宋体" w:cs="Times New Roman"/>
                <w:b w:val="0"/>
                <w:bCs w:val="0"/>
                <w:color w:val="auto"/>
                <w:sz w:val="24"/>
                <w:highlight w:val="none"/>
              </w:rPr>
            </w:pPr>
            <w:r>
              <w:rPr>
                <w:rFonts w:ascii="Times New Roman" w:hAnsi="Times New Roman" w:eastAsia="宋体" w:cs="Times New Roman"/>
                <w:b w:val="0"/>
                <w:bCs w:val="0"/>
                <w:color w:val="auto"/>
                <w:sz w:val="24"/>
                <w:highlight w:val="none"/>
              </w:rPr>
              <w:t>采购监督管理部门</w:t>
            </w:r>
          </w:p>
        </w:tc>
        <w:tc>
          <w:tcPr>
            <w:tcW w:w="6292" w:type="dxa"/>
            <w:vAlign w:val="center"/>
          </w:tcPr>
          <w:p w14:paraId="0691917F">
            <w:pPr>
              <w:pStyle w:val="27"/>
              <w:widowControl w:val="0"/>
              <w:spacing w:before="0" w:beforeAutospacing="0" w:after="0" w:afterAutospacing="0"/>
              <w:jc w:val="both"/>
              <w:rPr>
                <w:rFonts w:ascii="Times New Roman" w:hAnsi="Times New Roman" w:eastAsia="宋体" w:cs="Times New Roman"/>
                <w:b w:val="0"/>
                <w:bCs w:val="0"/>
                <w:color w:val="auto"/>
                <w:sz w:val="24"/>
                <w:szCs w:val="18"/>
                <w:highlight w:val="none"/>
                <w:u w:val="single"/>
              </w:rPr>
            </w:pPr>
            <w:r>
              <w:rPr>
                <w:rFonts w:ascii="Times New Roman" w:hAnsi="Times New Roman" w:eastAsia="宋体" w:cs="Times New Roman"/>
                <w:color w:val="auto"/>
                <w:sz w:val="24"/>
                <w:szCs w:val="24"/>
                <w:highlight w:val="none"/>
                <w:u w:val="single"/>
              </w:rPr>
              <w:t>合肥滨湖时光产业投资集团有限公司</w:t>
            </w:r>
          </w:p>
        </w:tc>
      </w:tr>
      <w:tr w14:paraId="1A66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7CDBC8A6">
            <w:pPr>
              <w:pStyle w:val="27"/>
              <w:widowControl w:val="0"/>
              <w:spacing w:before="0" w:beforeAutospacing="0" w:after="0" w:afterAutospacing="0"/>
              <w:jc w:val="left"/>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是否允许联合体投标</w:t>
            </w:r>
          </w:p>
        </w:tc>
        <w:tc>
          <w:tcPr>
            <w:tcW w:w="6292" w:type="dxa"/>
            <w:vAlign w:val="center"/>
          </w:tcPr>
          <w:p w14:paraId="16AD88CF">
            <w:pPr>
              <w:pStyle w:val="27"/>
              <w:widowControl w:val="0"/>
              <w:spacing w:before="0" w:beforeAutospacing="0" w:after="0" w:afterAutospacing="0"/>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 xml:space="preserve">□是  </w:t>
            </w:r>
            <w:r>
              <w:rPr>
                <w:rFonts w:ascii="Times New Roman" w:hAnsi="Times New Roman" w:eastAsia="宋体" w:cs="Times New Roman"/>
                <w:b w:val="0"/>
                <w:bCs w:val="0"/>
                <w:color w:val="auto"/>
                <w:highlight w:val="none"/>
              </w:rPr>
              <w:sym w:font="Wingdings 2" w:char="0052"/>
            </w:r>
            <w:r>
              <w:rPr>
                <w:rFonts w:ascii="Times New Roman" w:hAnsi="Times New Roman" w:eastAsia="宋体" w:cs="Times New Roman"/>
                <w:b w:val="0"/>
                <w:color w:val="auto"/>
                <w:sz w:val="24"/>
                <w:highlight w:val="none"/>
              </w:rPr>
              <w:t>否</w:t>
            </w:r>
          </w:p>
        </w:tc>
      </w:tr>
      <w:tr w14:paraId="22C9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2157" w:type="dxa"/>
            <w:vAlign w:val="center"/>
          </w:tcPr>
          <w:p w14:paraId="5DF73C60">
            <w:pPr>
              <w:pStyle w:val="27"/>
              <w:widowControl w:val="0"/>
              <w:spacing w:before="0" w:beforeAutospacing="0" w:after="0" w:afterAutospacing="0"/>
              <w:jc w:val="left"/>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现场考察</w:t>
            </w:r>
          </w:p>
        </w:tc>
        <w:tc>
          <w:tcPr>
            <w:tcW w:w="6292" w:type="dxa"/>
            <w:vAlign w:val="center"/>
          </w:tcPr>
          <w:p w14:paraId="70D420D7">
            <w:pPr>
              <w:spacing w:line="500" w:lineRule="exact"/>
              <w:rPr>
                <w:rFonts w:ascii="Times New Roman" w:hAnsi="Times New Roman" w:eastAsia="宋体" w:cs="Times New Roman"/>
                <w:bCs/>
                <w:color w:val="auto"/>
                <w:sz w:val="24"/>
                <w:highlight w:val="none"/>
              </w:rPr>
            </w:pPr>
            <w:r>
              <w:rPr>
                <w:rFonts w:ascii="Times New Roman" w:hAnsi="Times New Roman" w:eastAsia="宋体" w:cs="Times New Roman"/>
                <w:b/>
                <w:bCs/>
                <w:color w:val="auto"/>
                <w:sz w:val="28"/>
                <w:highlight w:val="none"/>
              </w:rPr>
              <w:sym w:font="Wingdings 2" w:char="0052"/>
            </w:r>
            <w:r>
              <w:rPr>
                <w:rFonts w:ascii="Times New Roman" w:hAnsi="Times New Roman" w:eastAsia="宋体" w:cs="Times New Roman"/>
                <w:color w:val="auto"/>
                <w:sz w:val="24"/>
                <w:highlight w:val="none"/>
              </w:rPr>
              <w:t>不组织，投标人</w:t>
            </w:r>
            <w:r>
              <w:rPr>
                <w:rFonts w:ascii="Times New Roman" w:hAnsi="Times New Roman" w:eastAsia="宋体" w:cs="Times New Roman"/>
                <w:bCs/>
                <w:color w:val="auto"/>
                <w:sz w:val="24"/>
                <w:highlight w:val="none"/>
              </w:rPr>
              <w:t>自行考察</w:t>
            </w:r>
          </w:p>
          <w:p w14:paraId="14FCBC83">
            <w:pPr>
              <w:spacing w:line="500" w:lineRule="exact"/>
              <w:rPr>
                <w:rFonts w:ascii="Times New Roman" w:hAnsi="Times New Roman" w:eastAsia="宋体" w:cs="Times New Roman"/>
                <w:bCs/>
                <w:color w:val="auto"/>
                <w:sz w:val="24"/>
                <w:highlight w:val="none"/>
              </w:rPr>
            </w:pPr>
            <w:r>
              <w:rPr>
                <w:rFonts w:ascii="Times New Roman" w:hAnsi="Times New Roman" w:eastAsia="宋体" w:cs="Times New Roman"/>
                <w:color w:val="auto"/>
                <w:sz w:val="24"/>
                <w:highlight w:val="none"/>
              </w:rPr>
              <w:t>□</w:t>
            </w:r>
            <w:r>
              <w:rPr>
                <w:rFonts w:ascii="Times New Roman" w:hAnsi="Times New Roman" w:eastAsia="宋体" w:cs="Times New Roman"/>
                <w:bCs/>
                <w:color w:val="auto"/>
                <w:sz w:val="24"/>
                <w:highlight w:val="none"/>
              </w:rPr>
              <w:t>统一组织</w:t>
            </w:r>
          </w:p>
          <w:p w14:paraId="3ED8B05A">
            <w:pPr>
              <w:spacing w:line="500" w:lineRule="exact"/>
              <w:rPr>
                <w:rFonts w:ascii="Times New Roman" w:hAnsi="Times New Roman" w:eastAsia="宋体" w:cs="Times New Roman"/>
                <w:bCs/>
                <w:color w:val="auto"/>
                <w:sz w:val="24"/>
                <w:highlight w:val="none"/>
                <w:u w:val="single"/>
              </w:rPr>
            </w:pPr>
            <w:r>
              <w:rPr>
                <w:rFonts w:ascii="Times New Roman" w:hAnsi="Times New Roman" w:eastAsia="宋体" w:cs="Times New Roman"/>
                <w:bCs/>
                <w:color w:val="auto"/>
                <w:sz w:val="24"/>
                <w:highlight w:val="none"/>
              </w:rPr>
              <w:t>时间：</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年</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月</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日</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时</w:t>
            </w:r>
            <w:r>
              <w:rPr>
                <w:rFonts w:ascii="Times New Roman" w:hAnsi="Times New Roman" w:eastAsia="宋体" w:cs="Times New Roman"/>
                <w:bCs/>
                <w:color w:val="auto"/>
                <w:sz w:val="24"/>
                <w:highlight w:val="none"/>
                <w:u w:val="single"/>
              </w:rPr>
              <w:t xml:space="preserve">  </w:t>
            </w:r>
            <w:r>
              <w:rPr>
                <w:rFonts w:ascii="Times New Roman" w:hAnsi="Times New Roman" w:eastAsia="宋体" w:cs="Times New Roman"/>
                <w:bCs/>
                <w:color w:val="auto"/>
                <w:sz w:val="24"/>
                <w:highlight w:val="none"/>
              </w:rPr>
              <w:t>分</w:t>
            </w:r>
          </w:p>
          <w:p w14:paraId="19F24078">
            <w:pPr>
              <w:spacing w:line="500" w:lineRule="exact"/>
              <w:rPr>
                <w:rFonts w:ascii="Times New Roman" w:hAnsi="Times New Roman" w:eastAsia="宋体" w:cs="Times New Roman"/>
                <w:bCs/>
                <w:color w:val="auto"/>
                <w:sz w:val="24"/>
                <w:highlight w:val="none"/>
                <w:u w:val="single"/>
              </w:rPr>
            </w:pPr>
            <w:r>
              <w:rPr>
                <w:rFonts w:ascii="Times New Roman" w:hAnsi="Times New Roman" w:eastAsia="宋体" w:cs="Times New Roman"/>
                <w:bCs/>
                <w:color w:val="auto"/>
                <w:sz w:val="24"/>
                <w:highlight w:val="none"/>
              </w:rPr>
              <w:t>地点：</w:t>
            </w:r>
            <w:r>
              <w:rPr>
                <w:rFonts w:ascii="Times New Roman" w:hAnsi="Times New Roman" w:eastAsia="宋体" w:cs="Times New Roman"/>
                <w:bCs/>
                <w:color w:val="auto"/>
                <w:sz w:val="24"/>
                <w:highlight w:val="none"/>
                <w:u w:val="single"/>
              </w:rPr>
              <w:t xml:space="preserve">                       </w:t>
            </w:r>
          </w:p>
          <w:p w14:paraId="7D9FF1EA">
            <w:pPr>
              <w:spacing w:line="500" w:lineRule="exact"/>
              <w:rPr>
                <w:rFonts w:ascii="Times New Roman" w:hAnsi="Times New Roman" w:eastAsia="宋体" w:cs="Times New Roman"/>
                <w:bCs/>
                <w:color w:val="auto"/>
                <w:sz w:val="24"/>
                <w:highlight w:val="none"/>
                <w:u w:val="single"/>
              </w:rPr>
            </w:pPr>
            <w:r>
              <w:rPr>
                <w:rFonts w:ascii="Times New Roman" w:hAnsi="Times New Roman" w:eastAsia="宋体" w:cs="Times New Roman"/>
                <w:bCs/>
                <w:color w:val="auto"/>
                <w:sz w:val="24"/>
                <w:highlight w:val="none"/>
              </w:rPr>
              <w:t>现场考察联系人及联系电话：</w:t>
            </w:r>
            <w:r>
              <w:rPr>
                <w:rFonts w:ascii="Times New Roman" w:hAnsi="Times New Roman" w:eastAsia="宋体" w:cs="Times New Roman"/>
                <w:bCs/>
                <w:color w:val="auto"/>
                <w:sz w:val="24"/>
                <w:highlight w:val="none"/>
                <w:u w:val="single"/>
              </w:rPr>
              <w:t xml:space="preserve">           </w:t>
            </w:r>
          </w:p>
          <w:p w14:paraId="7C10924B">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Cs w:val="0"/>
                <w:color w:val="auto"/>
                <w:sz w:val="24"/>
                <w:highlight w:val="none"/>
              </w:rPr>
              <w:t>备注：如投标人未参加招标人统一组织的现场考察，视同放弃现场考察，由此引起的一切责任由投标人自行承担。</w:t>
            </w:r>
          </w:p>
        </w:tc>
      </w:tr>
      <w:tr w14:paraId="376A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1E3CDEBC">
            <w:pPr>
              <w:pStyle w:val="27"/>
              <w:widowControl w:val="0"/>
              <w:spacing w:before="0" w:beforeAutospacing="0" w:after="0" w:afterAutospacing="0"/>
              <w:jc w:val="left"/>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包别划分</w:t>
            </w:r>
          </w:p>
        </w:tc>
        <w:tc>
          <w:tcPr>
            <w:tcW w:w="6292" w:type="dxa"/>
            <w:vAlign w:val="center"/>
          </w:tcPr>
          <w:p w14:paraId="2039924A">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bCs w:val="0"/>
                <w:color w:val="auto"/>
                <w:highlight w:val="none"/>
              </w:rPr>
              <w:sym w:font="Wingdings 2" w:char="F052"/>
            </w:r>
            <w:r>
              <w:rPr>
                <w:rFonts w:ascii="Times New Roman" w:hAnsi="Times New Roman" w:eastAsia="宋体" w:cs="Times New Roman"/>
                <w:b w:val="0"/>
                <w:color w:val="auto"/>
                <w:sz w:val="24"/>
                <w:highlight w:val="none"/>
              </w:rPr>
              <w:t>不分包     □分为  个包</w:t>
            </w:r>
          </w:p>
          <w:p w14:paraId="5BADD901">
            <w:pPr>
              <w:pStyle w:val="27"/>
              <w:widowControl w:val="0"/>
              <w:spacing w:before="0" w:beforeAutospacing="0" w:after="0" w:afterAutospacing="0"/>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color w:val="auto"/>
                <w:sz w:val="24"/>
                <w:highlight w:val="none"/>
              </w:rPr>
              <w:t>投标人对多个包进行投标的中标包数规定：</w:t>
            </w:r>
            <w:r>
              <w:rPr>
                <w:rFonts w:ascii="Times New Roman" w:hAnsi="Times New Roman" w:eastAsia="宋体" w:cs="Times New Roman"/>
                <w:b w:val="0"/>
                <w:bCs w:val="0"/>
                <w:color w:val="auto"/>
                <w:sz w:val="24"/>
                <w:szCs w:val="18"/>
                <w:highlight w:val="none"/>
                <w:u w:val="single"/>
              </w:rPr>
              <w:t xml:space="preserve">        </w:t>
            </w:r>
          </w:p>
        </w:tc>
      </w:tr>
      <w:tr w14:paraId="5E2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57" w:type="dxa"/>
            <w:vAlign w:val="center"/>
          </w:tcPr>
          <w:p w14:paraId="18C9DA55">
            <w:pPr>
              <w:pStyle w:val="27"/>
              <w:widowControl w:val="0"/>
              <w:spacing w:before="0" w:beforeAutospacing="0" w:after="0" w:afterAutospacing="0" w:line="360" w:lineRule="auto"/>
              <w:jc w:val="left"/>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投标保证金</w:t>
            </w:r>
          </w:p>
        </w:tc>
        <w:tc>
          <w:tcPr>
            <w:tcW w:w="6292" w:type="dxa"/>
            <w:vAlign w:val="center"/>
          </w:tcPr>
          <w:p w14:paraId="12C9ADF9">
            <w:pPr>
              <w:spacing w:line="360" w:lineRule="auto"/>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免收</w:t>
            </w:r>
          </w:p>
        </w:tc>
      </w:tr>
      <w:tr w14:paraId="1B86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20895261">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投标有效期</w:t>
            </w:r>
          </w:p>
        </w:tc>
        <w:tc>
          <w:tcPr>
            <w:tcW w:w="6292" w:type="dxa"/>
            <w:vAlign w:val="center"/>
          </w:tcPr>
          <w:p w14:paraId="4F2A0ECE">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u w:val="single"/>
              </w:rPr>
              <w:t>120</w:t>
            </w:r>
            <w:r>
              <w:rPr>
                <w:rFonts w:ascii="Times New Roman" w:hAnsi="Times New Roman" w:eastAsia="宋体" w:cs="Times New Roman"/>
                <w:b w:val="0"/>
                <w:color w:val="auto"/>
                <w:sz w:val="24"/>
                <w:highlight w:val="none"/>
              </w:rPr>
              <w:t>日历日</w:t>
            </w:r>
          </w:p>
        </w:tc>
      </w:tr>
      <w:tr w14:paraId="2592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200699C0">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投标文件要求</w:t>
            </w:r>
          </w:p>
        </w:tc>
        <w:tc>
          <w:tcPr>
            <w:tcW w:w="6292" w:type="dxa"/>
            <w:vAlign w:val="center"/>
          </w:tcPr>
          <w:p w14:paraId="38452B13">
            <w:pPr>
              <w:pStyle w:val="27"/>
              <w:widowControl w:val="0"/>
              <w:spacing w:before="0" w:beforeAutospacing="0" w:after="0" w:afterAutospacing="0" w:line="360" w:lineRule="auto"/>
              <w:jc w:val="both"/>
              <w:rPr>
                <w:rFonts w:ascii="Times New Roman" w:hAnsi="Times New Roman" w:eastAsia="宋体" w:cs="Times New Roman"/>
                <w:bCs w:val="0"/>
                <w:color w:val="auto"/>
                <w:sz w:val="24"/>
                <w:highlight w:val="none"/>
              </w:rPr>
            </w:pPr>
            <w:r>
              <w:rPr>
                <w:rFonts w:ascii="Times New Roman" w:hAnsi="Times New Roman" w:eastAsia="宋体" w:cs="Times New Roman"/>
                <w:bCs w:val="0"/>
                <w:color w:val="auto"/>
                <w:sz w:val="24"/>
                <w:highlight w:val="none"/>
              </w:rPr>
              <w:t>纸质版投标文件（建议双面打印胶装成册）：</w:t>
            </w:r>
          </w:p>
          <w:p w14:paraId="509246F3">
            <w:pPr>
              <w:pStyle w:val="27"/>
              <w:widowControl w:val="0"/>
              <w:spacing w:before="0" w:beforeAutospacing="0" w:after="0" w:afterAutospacing="0" w:line="360" w:lineRule="auto"/>
              <w:jc w:val="both"/>
              <w:rPr>
                <w:rFonts w:ascii="Times New Roman" w:hAnsi="Times New Roman" w:eastAsia="宋体" w:cs="Times New Roman"/>
                <w:bCs w:val="0"/>
                <w:color w:val="auto"/>
                <w:sz w:val="24"/>
                <w:highlight w:val="none"/>
              </w:rPr>
            </w:pPr>
            <w:r>
              <w:rPr>
                <w:rFonts w:ascii="Times New Roman" w:hAnsi="Times New Roman" w:eastAsia="宋体" w:cs="Times New Roman"/>
                <w:bCs w:val="0"/>
                <w:color w:val="auto"/>
                <w:sz w:val="24"/>
                <w:highlight w:val="none"/>
              </w:rPr>
              <w:t>正本</w:t>
            </w:r>
            <w:r>
              <w:rPr>
                <w:rFonts w:ascii="Times New Roman" w:hAnsi="Times New Roman" w:eastAsia="宋体" w:cs="Times New Roman"/>
                <w:bCs w:val="0"/>
                <w:color w:val="auto"/>
                <w:sz w:val="24"/>
                <w:highlight w:val="none"/>
                <w:u w:val="single"/>
              </w:rPr>
              <w:t>1</w:t>
            </w:r>
            <w:r>
              <w:rPr>
                <w:rFonts w:ascii="Times New Roman" w:hAnsi="Times New Roman" w:eastAsia="宋体" w:cs="Times New Roman"/>
                <w:bCs w:val="0"/>
                <w:color w:val="auto"/>
                <w:sz w:val="24"/>
                <w:highlight w:val="none"/>
              </w:rPr>
              <w:t>份；副本2份。</w:t>
            </w:r>
          </w:p>
          <w:p w14:paraId="16B8CA52">
            <w:pPr>
              <w:pStyle w:val="27"/>
              <w:widowControl w:val="0"/>
              <w:spacing w:before="0" w:beforeAutospacing="0" w:after="0" w:afterAutospacing="0" w:line="360" w:lineRule="auto"/>
              <w:jc w:val="both"/>
              <w:rPr>
                <w:rFonts w:ascii="Times New Roman" w:hAnsi="Times New Roman" w:eastAsia="宋体" w:cs="Times New Roman"/>
                <w:bCs w:val="0"/>
                <w:color w:val="auto"/>
                <w:sz w:val="24"/>
                <w:highlight w:val="none"/>
              </w:rPr>
            </w:pPr>
            <w:r>
              <w:rPr>
                <w:rFonts w:ascii="Times New Roman" w:hAnsi="Times New Roman" w:eastAsia="宋体" w:cs="Times New Roman"/>
                <w:bCs w:val="0"/>
                <w:color w:val="auto"/>
                <w:sz w:val="24"/>
                <w:highlight w:val="none"/>
              </w:rPr>
              <w:t>电子版投标文件（仅作为存档使用，不作为否决条款，要求与纸质版文件一致）：U盘</w:t>
            </w:r>
            <w:r>
              <w:rPr>
                <w:rFonts w:ascii="Times New Roman" w:hAnsi="Times New Roman" w:eastAsia="宋体" w:cs="Times New Roman"/>
                <w:bCs w:val="0"/>
                <w:color w:val="auto"/>
                <w:sz w:val="24"/>
                <w:highlight w:val="none"/>
                <w:u w:val="single"/>
              </w:rPr>
              <w:t>1</w:t>
            </w:r>
            <w:r>
              <w:rPr>
                <w:rFonts w:ascii="Times New Roman" w:hAnsi="Times New Roman" w:eastAsia="宋体" w:cs="Times New Roman"/>
                <w:bCs w:val="0"/>
                <w:color w:val="auto"/>
                <w:sz w:val="24"/>
                <w:highlight w:val="none"/>
              </w:rPr>
              <w:t>份（加盖公章后完整版投标文件扫描件-PDF版）。</w:t>
            </w:r>
          </w:p>
          <w:p w14:paraId="4A3670C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Cs w:val="0"/>
                <w:color w:val="auto"/>
                <w:sz w:val="24"/>
                <w:highlight w:val="none"/>
              </w:rPr>
              <w:t>以上文件均密封提交。</w:t>
            </w:r>
          </w:p>
        </w:tc>
      </w:tr>
      <w:tr w14:paraId="1091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57" w:type="dxa"/>
            <w:vAlign w:val="center"/>
          </w:tcPr>
          <w:p w14:paraId="72F357AD">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开标现场提交的其他材料要求</w:t>
            </w:r>
          </w:p>
        </w:tc>
        <w:tc>
          <w:tcPr>
            <w:tcW w:w="6292" w:type="dxa"/>
            <w:vAlign w:val="center"/>
          </w:tcPr>
          <w:p w14:paraId="7C77875F">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bCs w:val="0"/>
                <w:color w:val="auto"/>
                <w:sz w:val="24"/>
                <w:szCs w:val="18"/>
                <w:highlight w:val="none"/>
                <w:u w:val="single"/>
              </w:rPr>
              <w:t xml:space="preserve">        /      </w:t>
            </w:r>
          </w:p>
        </w:tc>
      </w:tr>
      <w:tr w14:paraId="2ABA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315EFEE2">
            <w:pPr>
              <w:pStyle w:val="27"/>
              <w:widowControl w:val="0"/>
              <w:spacing w:before="0" w:beforeAutospacing="0" w:after="0" w:afterAutospacing="0"/>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投标截止时间及地点</w:t>
            </w:r>
          </w:p>
        </w:tc>
        <w:tc>
          <w:tcPr>
            <w:tcW w:w="6292" w:type="dxa"/>
            <w:vAlign w:val="center"/>
          </w:tcPr>
          <w:p w14:paraId="2464EDAF">
            <w:pPr>
              <w:snapToGrid w:val="0"/>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投标截止时间：</w:t>
            </w:r>
            <w:r>
              <w:rPr>
                <w:rFonts w:ascii="Times New Roman" w:hAnsi="Times New Roman" w:eastAsia="宋体" w:cs="Times New Roman"/>
                <w:color w:val="auto"/>
                <w:sz w:val="24"/>
                <w:highlight w:val="none"/>
                <w:u w:val="single"/>
              </w:rPr>
              <w:t>详见招标公告</w:t>
            </w:r>
          </w:p>
          <w:p w14:paraId="4EFF1449">
            <w:pPr>
              <w:snapToGrid w:val="0"/>
              <w:spacing w:line="360" w:lineRule="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投标文件递交地点：</w:t>
            </w:r>
            <w:r>
              <w:rPr>
                <w:rFonts w:ascii="Times New Roman" w:hAnsi="Times New Roman" w:cs="Times New Roman"/>
                <w:b/>
                <w:bCs/>
                <w:color w:val="auto"/>
                <w:sz w:val="24"/>
                <w:szCs w:val="24"/>
                <w:highlight w:val="none"/>
              </w:rPr>
              <w:t>合肥市包河区滨湖卓越城文华园一期A2楼4层</w:t>
            </w:r>
          </w:p>
        </w:tc>
      </w:tr>
      <w:tr w14:paraId="2577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407D7D4F">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开标时间</w:t>
            </w:r>
          </w:p>
        </w:tc>
        <w:tc>
          <w:tcPr>
            <w:tcW w:w="6292" w:type="dxa"/>
            <w:vAlign w:val="center"/>
          </w:tcPr>
          <w:p w14:paraId="293D0862">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u w:val="single"/>
              </w:rPr>
              <w:t xml:space="preserve">详见招标公告 </w:t>
            </w:r>
          </w:p>
        </w:tc>
      </w:tr>
      <w:tr w14:paraId="58DC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6DA1C34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开标地点</w:t>
            </w:r>
          </w:p>
        </w:tc>
        <w:tc>
          <w:tcPr>
            <w:tcW w:w="6292" w:type="dxa"/>
            <w:vAlign w:val="center"/>
          </w:tcPr>
          <w:p w14:paraId="71CCCCD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u w:val="single"/>
              </w:rPr>
              <w:t>详见招标公告</w:t>
            </w:r>
          </w:p>
        </w:tc>
      </w:tr>
      <w:tr w14:paraId="4261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0C02F82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资格审查</w:t>
            </w:r>
          </w:p>
        </w:tc>
        <w:tc>
          <w:tcPr>
            <w:tcW w:w="6292" w:type="dxa"/>
            <w:vAlign w:val="center"/>
          </w:tcPr>
          <w:p w14:paraId="68F60D1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bCs w:val="0"/>
                <w:color w:val="auto"/>
                <w:sz w:val="24"/>
                <w:szCs w:val="24"/>
                <w:highlight w:val="none"/>
              </w:rPr>
              <w:t>评标委员会</w:t>
            </w:r>
            <w:r>
              <w:rPr>
                <w:rFonts w:ascii="Times New Roman" w:hAnsi="Times New Roman" w:eastAsia="宋体" w:cs="Times New Roman"/>
                <w:b w:val="0"/>
                <w:bCs w:val="0"/>
                <w:color w:val="auto"/>
                <w:sz w:val="24"/>
                <w:highlight w:val="none"/>
              </w:rPr>
              <w:t>进行审查。</w:t>
            </w:r>
          </w:p>
        </w:tc>
      </w:tr>
      <w:tr w14:paraId="486D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40D1DC15">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报价方式</w:t>
            </w:r>
          </w:p>
        </w:tc>
        <w:tc>
          <w:tcPr>
            <w:tcW w:w="6292" w:type="dxa"/>
            <w:vAlign w:val="center"/>
          </w:tcPr>
          <w:p w14:paraId="4DF4EE77">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Cs w:val="0"/>
                <w:color w:val="auto"/>
                <w:sz w:val="24"/>
                <w:highlight w:val="none"/>
              </w:rPr>
              <w:t>总价报价</w:t>
            </w:r>
            <w:r>
              <w:rPr>
                <w:rFonts w:hint="eastAsia" w:ascii="Times New Roman" w:hAnsi="Times New Roman" w:eastAsia="宋体" w:cs="Times New Roman"/>
                <w:bCs w:val="0"/>
                <w:color w:val="auto"/>
                <w:sz w:val="24"/>
                <w:highlight w:val="none"/>
                <w:lang w:eastAsia="zh-CN"/>
              </w:rPr>
              <w:t>与单价报价（元</w:t>
            </w:r>
            <w:r>
              <w:rPr>
                <w:rFonts w:hint="eastAsia" w:ascii="Times New Roman" w:hAnsi="Times New Roman" w:eastAsia="宋体" w:cs="Times New Roman"/>
                <w:bCs w:val="0"/>
                <w:color w:val="auto"/>
                <w:sz w:val="24"/>
                <w:highlight w:val="none"/>
                <w:lang w:val="en-US" w:eastAsia="zh-CN"/>
              </w:rPr>
              <w:t>/㎡/月</w:t>
            </w:r>
            <w:r>
              <w:rPr>
                <w:rFonts w:hint="eastAsia" w:ascii="Times New Roman" w:hAnsi="Times New Roman" w:eastAsia="宋体" w:cs="Times New Roman"/>
                <w:bCs w:val="0"/>
                <w:color w:val="auto"/>
                <w:sz w:val="24"/>
                <w:highlight w:val="none"/>
                <w:lang w:eastAsia="zh-CN"/>
              </w:rPr>
              <w:t>）相结合</w:t>
            </w:r>
            <w:r>
              <w:rPr>
                <w:rFonts w:ascii="Times New Roman" w:hAnsi="Times New Roman" w:eastAsia="宋体" w:cs="Times New Roman"/>
                <w:bCs w:val="0"/>
                <w:color w:val="auto"/>
                <w:sz w:val="24"/>
                <w:highlight w:val="none"/>
              </w:rPr>
              <w:t>，详见投标文件格式要求。</w:t>
            </w:r>
          </w:p>
        </w:tc>
      </w:tr>
      <w:tr w14:paraId="3990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1E8191B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评标方法</w:t>
            </w:r>
          </w:p>
        </w:tc>
        <w:tc>
          <w:tcPr>
            <w:tcW w:w="6292" w:type="dxa"/>
            <w:vAlign w:val="center"/>
          </w:tcPr>
          <w:p w14:paraId="6BC01D0D">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bCs w:val="0"/>
                <w:color w:val="auto"/>
                <w:sz w:val="24"/>
                <w:szCs w:val="24"/>
                <w:highlight w:val="none"/>
              </w:rPr>
              <w:sym w:font="Wingdings 2" w:char="00A3"/>
            </w:r>
            <w:r>
              <w:rPr>
                <w:rFonts w:ascii="Times New Roman" w:hAnsi="Times New Roman" w:eastAsia="宋体" w:cs="Times New Roman"/>
                <w:b w:val="0"/>
                <w:color w:val="auto"/>
                <w:sz w:val="24"/>
                <w:highlight w:val="none"/>
                <w:u w:val="single"/>
              </w:rPr>
              <w:t>最低评标价法</w:t>
            </w:r>
          </w:p>
          <w:p w14:paraId="44277A6D">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bCs w:val="0"/>
                <w:color w:val="auto"/>
                <w:sz w:val="24"/>
                <w:szCs w:val="24"/>
                <w:highlight w:val="none"/>
              </w:rPr>
              <w:sym w:font="Wingdings 2" w:char="0052"/>
            </w:r>
            <w:r>
              <w:rPr>
                <w:rFonts w:ascii="Times New Roman" w:hAnsi="Times New Roman" w:eastAsia="宋体" w:cs="Times New Roman"/>
                <w:b w:val="0"/>
                <w:color w:val="auto"/>
                <w:sz w:val="24"/>
                <w:highlight w:val="none"/>
                <w:u w:val="single"/>
              </w:rPr>
              <w:t>综合评分法</w:t>
            </w:r>
          </w:p>
        </w:tc>
      </w:tr>
      <w:tr w14:paraId="5248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157" w:type="dxa"/>
            <w:vAlign w:val="center"/>
          </w:tcPr>
          <w:p w14:paraId="78A86D0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评标委员会推荐中标候选人的数量</w:t>
            </w:r>
          </w:p>
        </w:tc>
        <w:tc>
          <w:tcPr>
            <w:tcW w:w="6292" w:type="dxa"/>
            <w:vAlign w:val="center"/>
          </w:tcPr>
          <w:p w14:paraId="706AF510">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u w:val="single"/>
              </w:rPr>
            </w:pPr>
            <w:r>
              <w:rPr>
                <w:rFonts w:ascii="Times New Roman" w:hAnsi="Times New Roman" w:eastAsia="宋体" w:cs="Times New Roman"/>
                <w:b w:val="0"/>
                <w:color w:val="auto"/>
                <w:sz w:val="24"/>
                <w:highlight w:val="none"/>
                <w:u w:val="single"/>
              </w:rPr>
              <w:t>第一中标候选人1家</w:t>
            </w:r>
          </w:p>
        </w:tc>
      </w:tr>
      <w:tr w14:paraId="518F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3BA8389A">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确定中标人</w:t>
            </w:r>
          </w:p>
        </w:tc>
        <w:tc>
          <w:tcPr>
            <w:tcW w:w="6292" w:type="dxa"/>
            <w:vAlign w:val="center"/>
          </w:tcPr>
          <w:p w14:paraId="3F903BF8">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highlight w:val="none"/>
              </w:rPr>
              <w:sym w:font="Wingdings 2" w:char="F052"/>
            </w:r>
            <w:r>
              <w:rPr>
                <w:rFonts w:ascii="Times New Roman" w:hAnsi="Times New Roman" w:eastAsia="宋体" w:cs="Times New Roman"/>
                <w:b w:val="0"/>
                <w:bCs w:val="0"/>
                <w:color w:val="auto"/>
                <w:sz w:val="24"/>
                <w:szCs w:val="24"/>
                <w:highlight w:val="none"/>
              </w:rPr>
              <w:t>招标人委托评标委员会确定</w:t>
            </w:r>
          </w:p>
          <w:p w14:paraId="1B5972A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bCs w:val="0"/>
                <w:color w:val="auto"/>
                <w:sz w:val="24"/>
                <w:szCs w:val="24"/>
                <w:highlight w:val="none"/>
              </w:rPr>
              <w:t>□招标人确定</w:t>
            </w:r>
          </w:p>
        </w:tc>
      </w:tr>
      <w:tr w14:paraId="147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0B2195F8">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告知招标结果的形式</w:t>
            </w:r>
          </w:p>
        </w:tc>
        <w:tc>
          <w:tcPr>
            <w:tcW w:w="6292" w:type="dxa"/>
            <w:vAlign w:val="center"/>
          </w:tcPr>
          <w:p w14:paraId="2282F176">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color w:val="auto"/>
                <w:sz w:val="24"/>
                <w:highlight w:val="none"/>
              </w:rPr>
              <w:t>评标现场告知或</w:t>
            </w:r>
            <w:r>
              <w:rPr>
                <w:rFonts w:ascii="Times New Roman" w:hAnsi="Times New Roman" w:eastAsia="宋体" w:cs="Times New Roman"/>
                <w:b w:val="0"/>
                <w:bCs w:val="0"/>
                <w:color w:val="auto"/>
                <w:sz w:val="24"/>
                <w:szCs w:val="24"/>
                <w:highlight w:val="none"/>
              </w:rPr>
              <w:t>投标人自行上网查看（公告或邮件）</w:t>
            </w:r>
          </w:p>
        </w:tc>
      </w:tr>
      <w:tr w14:paraId="44FF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157" w:type="dxa"/>
            <w:vAlign w:val="center"/>
          </w:tcPr>
          <w:p w14:paraId="0B6BD4A5">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履约保证金</w:t>
            </w:r>
          </w:p>
        </w:tc>
        <w:tc>
          <w:tcPr>
            <w:tcW w:w="6292" w:type="dxa"/>
            <w:vAlign w:val="center"/>
          </w:tcPr>
          <w:p w14:paraId="301A6AD5">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是否要求投标人递交履约保证金：</w:t>
            </w:r>
          </w:p>
          <w:p w14:paraId="00813D68">
            <w:pPr>
              <w:spacing w:before="240" w:after="120" w:line="360" w:lineRule="auto"/>
              <w:ind w:right="267"/>
              <w:rPr>
                <w:rFonts w:hint="eastAsia" w:ascii="宋体" w:hAnsi="宋体" w:eastAsia="宋体" w:cs="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cs="宋体"/>
                <w:bCs/>
                <w:color w:val="auto"/>
                <w:kern w:val="0"/>
                <w:sz w:val="24"/>
                <w:szCs w:val="28"/>
                <w:highlight w:val="none"/>
              </w:rPr>
              <w:t>要求，具体如下：</w:t>
            </w:r>
          </w:p>
          <w:p w14:paraId="791D71F4">
            <w:pPr>
              <w:spacing w:before="240" w:after="120" w:line="360" w:lineRule="auto"/>
              <w:ind w:right="267"/>
              <w:rPr>
                <w:rFonts w:hint="default"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rPr>
              <w:t>（1）履约保证金金额：</w:t>
            </w:r>
            <w:r>
              <w:rPr>
                <w:rFonts w:hint="eastAsia" w:ascii="宋体" w:hAnsi="宋体" w:eastAsia="宋体" w:cs="宋体"/>
                <w:bCs/>
                <w:color w:val="auto"/>
                <w:kern w:val="0"/>
                <w:sz w:val="24"/>
                <w:szCs w:val="28"/>
                <w:highlight w:val="none"/>
                <w:lang w:val="en-US" w:eastAsia="zh-CN"/>
              </w:rPr>
              <w:t>中标价格的10%</w:t>
            </w:r>
          </w:p>
          <w:p w14:paraId="79A9A02A">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（2）履约保证金形式：</w:t>
            </w:r>
          </w:p>
          <w:p w14:paraId="7B7260AB">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现金（银行转账、银行电汇）</w:t>
            </w:r>
          </w:p>
          <w:p w14:paraId="6DF3723C">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纸质保函（纸质银行保函、纸质担保机构担保、纸质保证保险）</w:t>
            </w:r>
          </w:p>
          <w:p w14:paraId="2F725A37">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（3）履约保证金提交期限的要求：</w:t>
            </w:r>
            <w:r>
              <w:rPr>
                <w:rFonts w:hint="eastAsia" w:ascii="宋体" w:hAnsi="宋体" w:eastAsia="宋体" w:cs="宋体"/>
                <w:bCs/>
                <w:color w:val="auto"/>
                <w:kern w:val="0"/>
                <w:sz w:val="24"/>
                <w:szCs w:val="28"/>
                <w:highlight w:val="none"/>
                <w:u w:val="single"/>
              </w:rPr>
              <w:t>签订合同前。</w:t>
            </w:r>
          </w:p>
          <w:p w14:paraId="50FBB18B">
            <w:pPr>
              <w:spacing w:before="240" w:after="120" w:line="360" w:lineRule="auto"/>
              <w:ind w:right="267"/>
              <w:rPr>
                <w:rFonts w:hint="eastAsia" w:ascii="宋体" w:hAnsi="宋体" w:eastAsia="宋体" w:cs="宋体"/>
                <w:bCs/>
                <w:color w:val="auto"/>
                <w:kern w:val="0"/>
                <w:sz w:val="24"/>
                <w:szCs w:val="28"/>
                <w:highlight w:val="none"/>
                <w:u w:val="single"/>
              </w:rPr>
            </w:pPr>
            <w:r>
              <w:rPr>
                <w:rFonts w:hint="eastAsia" w:ascii="宋体" w:hAnsi="宋体" w:eastAsia="宋体" w:cs="宋体"/>
                <w:bCs/>
                <w:color w:val="auto"/>
                <w:kern w:val="0"/>
                <w:sz w:val="24"/>
                <w:szCs w:val="28"/>
                <w:highlight w:val="none"/>
              </w:rPr>
              <w:t>（4）履约保证金退还时限：</w:t>
            </w:r>
            <w:r>
              <w:rPr>
                <w:rFonts w:hint="eastAsia" w:ascii="宋体" w:hAnsi="宋体" w:eastAsia="宋体" w:cs="宋体"/>
                <w:bCs/>
                <w:color w:val="auto"/>
                <w:kern w:val="0"/>
                <w:sz w:val="24"/>
                <w:szCs w:val="28"/>
                <w:highlight w:val="none"/>
                <w:u w:val="single"/>
              </w:rPr>
              <w:t>履约期满后一次性退还。</w:t>
            </w:r>
          </w:p>
          <w:p w14:paraId="62D6F8DC">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（5）具体要求：</w:t>
            </w:r>
          </w:p>
          <w:p w14:paraId="6C16082E">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①采用纸质银行保函的，应为不可撤销、不可转让的见索即付独立保函。</w:t>
            </w:r>
          </w:p>
          <w:p w14:paraId="2444BB02">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②采用纸质担保机构担保的，应为经安徽省地方金融监督管理局审查批准，依法取得融资担保业务经营许可证的融资担保机构出具的不可撤销、不可转让的见索即付独立保函。</w:t>
            </w:r>
          </w:p>
          <w:p w14:paraId="7BC6FD96">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③采用纸质保证保险的，应为保险公司出具的不可撤销、不可转让的见索即付保证保险。</w:t>
            </w:r>
          </w:p>
          <w:p w14:paraId="1BFB56BC">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（6）本招标项目是否减免履约保证金：</w:t>
            </w:r>
          </w:p>
          <w:p w14:paraId="143B2BDD">
            <w:pPr>
              <w:spacing w:before="240" w:after="120" w:line="360" w:lineRule="auto"/>
              <w:ind w:right="267"/>
              <w:rPr>
                <w:rFonts w:hint="eastAsia" w:ascii="宋体" w:hAnsi="宋体" w:eastAsia="宋体" w:cs="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cs="宋体"/>
                <w:bCs/>
                <w:color w:val="auto"/>
                <w:kern w:val="0"/>
                <w:sz w:val="24"/>
                <w:szCs w:val="28"/>
                <w:highlight w:val="none"/>
              </w:rPr>
              <w:t>不减免</w:t>
            </w:r>
          </w:p>
          <w:p w14:paraId="3D0E6E4A">
            <w:pPr>
              <w:spacing w:before="240" w:after="120" w:line="360" w:lineRule="auto"/>
              <w:ind w:right="267"/>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 xml:space="preserve">□减免，适用减免履约保证金的情形：      </w:t>
            </w:r>
          </w:p>
          <w:p w14:paraId="42C970F8">
            <w:pPr>
              <w:pStyle w:val="28"/>
              <w:tabs>
                <w:tab w:val="left" w:pos="351"/>
              </w:tabs>
              <w:spacing w:before="131" w:line="343" w:lineRule="auto"/>
              <w:ind w:left="109" w:right="97"/>
              <w:jc w:val="left"/>
              <w:rPr>
                <w:rFonts w:ascii="Times New Roman" w:hAnsi="Times New Roman" w:cs="Times New Roman"/>
                <w:color w:val="auto"/>
                <w:sz w:val="24"/>
                <w:highlight w:val="none"/>
                <w:lang w:val="en-US"/>
              </w:rPr>
            </w:pPr>
            <w:r>
              <w:rPr>
                <w:rFonts w:hint="eastAsia"/>
                <w:color w:val="auto"/>
                <w:kern w:val="2"/>
                <w:sz w:val="24"/>
                <w:szCs w:val="20"/>
                <w:highlight w:val="none"/>
                <w:lang w:val="en-US" w:bidi="ar-SA"/>
              </w:rPr>
              <w:t>（7）其他要求：投标人采用现金（银行转账、银行电汇）形式提交履约保证金的，同时退还银行同期活期存款利息。</w:t>
            </w:r>
          </w:p>
        </w:tc>
      </w:tr>
      <w:tr w14:paraId="2905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2157" w:type="dxa"/>
            <w:vAlign w:val="center"/>
          </w:tcPr>
          <w:p w14:paraId="1EE91D8B">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质疑函递交方式、接收部门、联系电话和通讯地址</w:t>
            </w:r>
          </w:p>
        </w:tc>
        <w:tc>
          <w:tcPr>
            <w:tcW w:w="6292" w:type="dxa"/>
            <w:vAlign w:val="center"/>
          </w:tcPr>
          <w:p w14:paraId="701F297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递交方式：</w:t>
            </w:r>
            <w:r>
              <w:rPr>
                <w:rFonts w:ascii="Times New Roman" w:hAnsi="Times New Roman" w:eastAsia="宋体" w:cs="Times New Roman"/>
                <w:b w:val="0"/>
                <w:color w:val="auto"/>
                <w:sz w:val="24"/>
                <w:highlight w:val="none"/>
                <w:u w:val="single"/>
              </w:rPr>
              <w:t>书面形式</w:t>
            </w:r>
          </w:p>
          <w:p w14:paraId="7686E7D6">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18"/>
                <w:highlight w:val="none"/>
                <w:u w:val="single"/>
              </w:rPr>
            </w:pPr>
            <w:r>
              <w:rPr>
                <w:rFonts w:ascii="Times New Roman" w:hAnsi="Times New Roman" w:eastAsia="宋体" w:cs="Times New Roman"/>
                <w:b w:val="0"/>
                <w:color w:val="auto"/>
                <w:sz w:val="24"/>
                <w:highlight w:val="none"/>
              </w:rPr>
              <w:t>接收部门：</w:t>
            </w:r>
            <w:r>
              <w:rPr>
                <w:rFonts w:ascii="Times New Roman" w:hAnsi="Times New Roman" w:eastAsia="宋体" w:cs="Times New Roman"/>
                <w:b w:val="0"/>
                <w:bCs w:val="0"/>
                <w:color w:val="auto"/>
                <w:sz w:val="24"/>
                <w:szCs w:val="18"/>
                <w:highlight w:val="none"/>
                <w:u w:val="single"/>
              </w:rPr>
              <w:t xml:space="preserve"> </w:t>
            </w:r>
            <w:r>
              <w:rPr>
                <w:rFonts w:ascii="Times New Roman" w:hAnsi="Times New Roman" w:eastAsia="宋体" w:cs="Times New Roman"/>
                <w:color w:val="auto"/>
                <w:sz w:val="24"/>
                <w:szCs w:val="24"/>
                <w:highlight w:val="none"/>
                <w:u w:val="single"/>
              </w:rPr>
              <w:t>合肥滨湖时光空间运营管理有限公司</w:t>
            </w:r>
            <w:r>
              <w:rPr>
                <w:rFonts w:ascii="Times New Roman" w:hAnsi="Times New Roman" w:eastAsia="宋体" w:cs="Times New Roman"/>
                <w:b w:val="0"/>
                <w:color w:val="auto"/>
                <w:sz w:val="24"/>
                <w:highlight w:val="none"/>
                <w:u w:val="single"/>
              </w:rPr>
              <w:t xml:space="preserve">   </w:t>
            </w:r>
            <w:r>
              <w:rPr>
                <w:rFonts w:ascii="Times New Roman" w:hAnsi="Times New Roman" w:eastAsia="宋体" w:cs="Times New Roman"/>
                <w:b w:val="0"/>
                <w:bCs w:val="0"/>
                <w:color w:val="auto"/>
                <w:sz w:val="24"/>
                <w:szCs w:val="18"/>
                <w:highlight w:val="none"/>
                <w:u w:val="single"/>
              </w:rPr>
              <w:t xml:space="preserve"> </w:t>
            </w:r>
          </w:p>
          <w:p w14:paraId="3078F7B3">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18"/>
                <w:highlight w:val="none"/>
                <w:u w:val="single"/>
              </w:rPr>
            </w:pPr>
            <w:r>
              <w:rPr>
                <w:rFonts w:ascii="Times New Roman" w:hAnsi="Times New Roman" w:eastAsia="宋体" w:cs="Times New Roman"/>
                <w:b w:val="0"/>
                <w:color w:val="auto"/>
                <w:sz w:val="24"/>
                <w:highlight w:val="none"/>
              </w:rPr>
              <w:t>联系电话：</w:t>
            </w:r>
            <w:r>
              <w:rPr>
                <w:rFonts w:ascii="Times New Roman" w:hAnsi="Times New Roman" w:eastAsia="宋体" w:cs="Times New Roman"/>
                <w:b w:val="0"/>
                <w:bCs w:val="0"/>
                <w:color w:val="auto"/>
                <w:sz w:val="24"/>
                <w:szCs w:val="18"/>
                <w:highlight w:val="none"/>
                <w:u w:val="single"/>
              </w:rPr>
              <w:t xml:space="preserve"> 0551-63357563 </w:t>
            </w:r>
          </w:p>
          <w:p w14:paraId="2BC36AB7">
            <w:pPr>
              <w:pStyle w:val="27"/>
              <w:widowControl w:val="0"/>
              <w:spacing w:before="0" w:beforeAutospacing="0" w:after="0" w:afterAutospacing="0" w:line="360" w:lineRule="auto"/>
              <w:jc w:val="both"/>
              <w:rPr>
                <w:rFonts w:ascii="Times New Roman" w:hAnsi="Times New Roman" w:eastAsia="宋体" w:cs="Times New Roman"/>
                <w:b w:val="0"/>
                <w:bCs w:val="0"/>
                <w:color w:val="auto"/>
                <w:sz w:val="24"/>
                <w:szCs w:val="18"/>
                <w:highlight w:val="none"/>
                <w:u w:val="single"/>
              </w:rPr>
            </w:pPr>
            <w:r>
              <w:rPr>
                <w:rFonts w:ascii="Times New Roman" w:hAnsi="Times New Roman" w:eastAsia="宋体" w:cs="Times New Roman"/>
                <w:b w:val="0"/>
                <w:color w:val="auto"/>
                <w:sz w:val="24"/>
                <w:highlight w:val="none"/>
              </w:rPr>
              <w:t>电子邮箱：</w:t>
            </w:r>
            <w:r>
              <w:rPr>
                <w:rFonts w:ascii="Times New Roman" w:hAnsi="Times New Roman" w:eastAsia="宋体" w:cs="Times New Roman"/>
                <w:b w:val="0"/>
                <w:bCs w:val="0"/>
                <w:color w:val="auto"/>
                <w:sz w:val="24"/>
                <w:szCs w:val="18"/>
                <w:highlight w:val="none"/>
                <w:u w:val="single"/>
              </w:rPr>
              <w:tab/>
            </w:r>
            <w:r>
              <w:rPr>
                <w:rFonts w:ascii="Times New Roman" w:hAnsi="Times New Roman" w:eastAsia="宋体" w:cs="Times New Roman"/>
                <w:b w:val="0"/>
                <w:bCs w:val="0"/>
                <w:color w:val="auto"/>
                <w:sz w:val="24"/>
                <w:szCs w:val="18"/>
                <w:highlight w:val="none"/>
                <w:u w:val="single"/>
              </w:rPr>
              <w:t xml:space="preserve"> menjar@163.com                         </w:t>
            </w:r>
          </w:p>
          <w:p w14:paraId="02E1BC6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通讯地址：</w:t>
            </w:r>
            <w:r>
              <w:rPr>
                <w:rFonts w:ascii="Times New Roman" w:hAnsi="Times New Roman" w:eastAsia="宋体" w:cs="Times New Roman"/>
                <w:b w:val="0"/>
                <w:bCs w:val="0"/>
                <w:color w:val="auto"/>
                <w:sz w:val="24"/>
                <w:szCs w:val="18"/>
                <w:highlight w:val="none"/>
                <w:u w:val="single"/>
              </w:rPr>
              <w:t xml:space="preserve"> 合肥市包河区花园大道365号，滨湖卓越城文华园A2栋4楼    </w:t>
            </w:r>
          </w:p>
        </w:tc>
      </w:tr>
      <w:tr w14:paraId="1B0E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5B719AA4">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其他内容</w:t>
            </w:r>
          </w:p>
        </w:tc>
        <w:tc>
          <w:tcPr>
            <w:tcW w:w="6292" w:type="dxa"/>
            <w:vAlign w:val="center"/>
          </w:tcPr>
          <w:p w14:paraId="30467BF7">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w:t>
            </w:r>
          </w:p>
        </w:tc>
      </w:tr>
      <w:tr w14:paraId="15FC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18280F3B">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关于联合体投标的相关约定</w:t>
            </w:r>
          </w:p>
        </w:tc>
        <w:tc>
          <w:tcPr>
            <w:tcW w:w="6292" w:type="dxa"/>
            <w:vAlign w:val="center"/>
          </w:tcPr>
          <w:p w14:paraId="53DD0DF1">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（1）联合体投标的，招标文件获取手续由联合体中任一成员单位办理均可。</w:t>
            </w:r>
          </w:p>
          <w:p w14:paraId="626CC9A4">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（2）联合体投标的须提供联合协议（见投标文件格式），相关证明材料由投标人根据联合协议分工情况及招标文件要求提供。</w:t>
            </w:r>
          </w:p>
          <w:p w14:paraId="0280726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（3）联合体各成员单位均须提供营业执照（或事业单位法人登记证书）和无重大违法记录声明函、无不良信用记录声明函。</w:t>
            </w:r>
          </w:p>
          <w:p w14:paraId="14B2448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（4）关于联合体缴纳投标保证金（如有）：为简化评标现场投标保证金查询、后期投标保证金退还及合同备案清算手续，投标保证金建议由联合体牵头人足额缴纳至本项目投标保证金账号。</w:t>
            </w:r>
          </w:p>
        </w:tc>
      </w:tr>
      <w:tr w14:paraId="2E8B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0E4426B2">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社保证明材料</w:t>
            </w:r>
          </w:p>
        </w:tc>
        <w:tc>
          <w:tcPr>
            <w:tcW w:w="6292" w:type="dxa"/>
            <w:vAlign w:val="center"/>
          </w:tcPr>
          <w:p w14:paraId="678D3D5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本项目招标文件中要求提供的社保证明材料为下述形式之一（投标文件中须提供影印件或复印件）：</w:t>
            </w:r>
          </w:p>
          <w:p w14:paraId="30777280">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（1）社保局官方网站查询的缴费记录截图；</w:t>
            </w:r>
          </w:p>
          <w:p w14:paraId="717052F1">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（2）社保局的书面证明材料；</w:t>
            </w:r>
          </w:p>
          <w:p w14:paraId="7D2ADB76">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（3）经投标人委托的第三方人力资源服务机构或与投标人有直接隶属关系的机构可以代缴社保，但须提供有关证明材料并经评标委员会确认。</w:t>
            </w:r>
          </w:p>
          <w:p w14:paraId="70323E11">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（4）其他经评标委员会认可的证明材料。</w:t>
            </w:r>
          </w:p>
          <w:p w14:paraId="52840A49">
            <w:pPr>
              <w:pStyle w:val="27"/>
              <w:widowControl w:val="0"/>
              <w:spacing w:before="0" w:beforeAutospacing="0" w:after="0" w:afterAutospacing="0" w:line="360" w:lineRule="auto"/>
              <w:jc w:val="both"/>
              <w:rPr>
                <w:rFonts w:ascii="Times New Roman" w:hAnsi="Times New Roman" w:eastAsia="宋体" w:cs="Times New Roman"/>
                <w:b w:val="0"/>
                <w:iCs/>
                <w:color w:val="auto"/>
                <w:sz w:val="24"/>
                <w:highlight w:val="none"/>
              </w:rPr>
            </w:pPr>
            <w:r>
              <w:rPr>
                <w:rFonts w:ascii="Times New Roman" w:hAnsi="Times New Roman" w:eastAsia="宋体" w:cs="Times New Roman"/>
                <w:b w:val="0"/>
                <w:iCs/>
                <w:color w:val="auto"/>
                <w:sz w:val="24"/>
                <w:highlight w:val="none"/>
              </w:rPr>
              <w:t>（5）法定代表人参与项目的，无需提供社保证明材料，提供身份证明材料即可。</w:t>
            </w:r>
          </w:p>
        </w:tc>
      </w:tr>
      <w:tr w14:paraId="3DB1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7" w:type="dxa"/>
            <w:vAlign w:val="center"/>
          </w:tcPr>
          <w:p w14:paraId="36C5CBB7">
            <w:pPr>
              <w:pStyle w:val="28"/>
              <w:ind w:right="131"/>
              <w:jc w:val="center"/>
              <w:rPr>
                <w:rFonts w:ascii="Times New Roman" w:hAnsi="Times New Roman" w:cs="Times New Roman"/>
                <w:bCs/>
                <w:color w:val="auto"/>
                <w:sz w:val="24"/>
                <w:highlight w:val="none"/>
              </w:rPr>
            </w:pPr>
            <w:r>
              <w:rPr>
                <w:rFonts w:ascii="Times New Roman" w:hAnsi="Times New Roman" w:cs="Times New Roman"/>
                <w:bCs/>
                <w:color w:val="auto"/>
                <w:kern w:val="0"/>
                <w:sz w:val="24"/>
                <w:szCs w:val="28"/>
                <w:highlight w:val="none"/>
                <w:lang w:val="en-US" w:bidi="ar-SA"/>
              </w:rPr>
              <w:t>付款方式</w:t>
            </w:r>
          </w:p>
        </w:tc>
        <w:tc>
          <w:tcPr>
            <w:tcW w:w="6292" w:type="dxa"/>
            <w:vAlign w:val="center"/>
          </w:tcPr>
          <w:p w14:paraId="5D24F37C">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lang w:val="zh-CN"/>
              </w:rPr>
            </w:pPr>
            <w:r>
              <w:rPr>
                <w:rFonts w:ascii="Times New Roman" w:hAnsi="Times New Roman" w:eastAsia="宋体" w:cs="Times New Roman"/>
                <w:b w:val="0"/>
                <w:color w:val="auto"/>
                <w:sz w:val="24"/>
                <w:highlight w:val="none"/>
                <w:lang w:val="zh-CN"/>
              </w:rPr>
              <w:t>付款方式具体约定如下：</w:t>
            </w:r>
          </w:p>
          <w:p w14:paraId="77E2576B">
            <w:pPr>
              <w:spacing w:line="360" w:lineRule="auto"/>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lang w:eastAsia="zh-CN"/>
              </w:rPr>
              <w:t>按月支付，每月收到请款申请及增值税专用发票</w:t>
            </w:r>
            <w:r>
              <w:rPr>
                <w:rFonts w:hint="eastAsia" w:ascii="宋体" w:hAnsi="宋体" w:eastAsia="宋体" w:cs="宋体"/>
                <w:bCs/>
                <w:color w:val="auto"/>
                <w:kern w:val="0"/>
                <w:sz w:val="24"/>
                <w:szCs w:val="28"/>
                <w:highlight w:val="none"/>
              </w:rPr>
              <w:t>1</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lang w:eastAsia="zh-CN"/>
              </w:rPr>
              <w:t>日内根据考核结果</w:t>
            </w:r>
            <w:r>
              <w:rPr>
                <w:rFonts w:hint="eastAsia" w:ascii="宋体" w:hAnsi="宋体" w:eastAsia="宋体" w:cs="宋体"/>
                <w:bCs/>
                <w:color w:val="auto"/>
                <w:kern w:val="0"/>
                <w:sz w:val="24"/>
                <w:szCs w:val="28"/>
                <w:highlight w:val="none"/>
              </w:rPr>
              <w:t>支付上</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服务费用</w:t>
            </w:r>
            <w:r>
              <w:rPr>
                <w:rFonts w:hint="eastAsia" w:ascii="宋体" w:hAnsi="宋体" w:eastAsia="宋体" w:cs="宋体"/>
                <w:bCs/>
                <w:color w:val="auto"/>
                <w:kern w:val="0"/>
                <w:sz w:val="24"/>
                <w:szCs w:val="28"/>
                <w:highlight w:val="none"/>
                <w:lang w:eastAsia="zh-CN"/>
              </w:rPr>
              <w:t>。</w:t>
            </w:r>
          </w:p>
          <w:p w14:paraId="6DE49549">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hint="eastAsia" w:ascii="宋体" w:hAnsi="宋体" w:eastAsia="宋体" w:cs="宋体"/>
                <w:b/>
                <w:bCs/>
                <w:color w:val="auto"/>
                <w:kern w:val="2"/>
                <w:sz w:val="24"/>
                <w:szCs w:val="24"/>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r>
              <w:rPr>
                <w:rFonts w:hint="eastAsia" w:ascii="宋体" w:hAnsi="宋体" w:eastAsia="宋体" w:cs="宋体"/>
                <w:b/>
                <w:color w:val="auto"/>
                <w:kern w:val="0"/>
                <w:sz w:val="24"/>
                <w:szCs w:val="28"/>
                <w:highlight w:val="none"/>
              </w:rPr>
              <w:t>供应商提交的响应文件中如有关于付款条件的表述与招标文件规定负偏离的，响应无效。</w:t>
            </w:r>
          </w:p>
        </w:tc>
      </w:tr>
      <w:tr w14:paraId="770F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6A6C4AB1">
            <w:pPr>
              <w:pStyle w:val="27"/>
              <w:widowControl w:val="0"/>
              <w:spacing w:before="0" w:beforeAutospacing="0" w:after="0" w:afterAutospacing="0" w:line="360" w:lineRule="auto"/>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重要提示</w:t>
            </w:r>
          </w:p>
        </w:tc>
        <w:tc>
          <w:tcPr>
            <w:tcW w:w="6292" w:type="dxa"/>
            <w:vAlign w:val="center"/>
          </w:tcPr>
          <w:p w14:paraId="577A501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（1）中标人应在规定期限内领取《中标通知书》，若中标人未在规定期限内领取《中标通知书》，招标人有权取消中标人中标资格。</w:t>
            </w:r>
          </w:p>
          <w:p w14:paraId="0A5ED8B3">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（2）合同签订后，中标人存在规定时间内不组织人员进场开工，不履行合同义务等情况，招标人有权解除合同，并追究违约责任。</w:t>
            </w:r>
          </w:p>
          <w:p w14:paraId="73ABFECD">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（3）中标人中标后被监管部门查实存在违法行为，不满足中标条件的，由招标人取消中标资格，并做好项目后续工作；</w:t>
            </w:r>
          </w:p>
          <w:p w14:paraId="3D68C30E">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（4）中标人在中标项目发生投诉、信访举报案件、履约存在争议时，拒绝协助配合执法部门调查案件的，招标人可以取消其中标资格或解除合同，并追究其违约责任。</w:t>
            </w:r>
          </w:p>
        </w:tc>
      </w:tr>
      <w:tr w14:paraId="3A38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31E2505E">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解释权</w:t>
            </w:r>
          </w:p>
        </w:tc>
        <w:tc>
          <w:tcPr>
            <w:tcW w:w="6292" w:type="dxa"/>
            <w:vAlign w:val="center"/>
          </w:tcPr>
          <w:p w14:paraId="5231FD4A">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（1）构成本招标文件的各个组成文件应互为解释，互为说明；</w:t>
            </w:r>
          </w:p>
          <w:p w14:paraId="62CEE33C">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（2）同一组成文件中就同一事项的规定或约定不一致的，除招标文件另有规定外，以编排顺序在后者为准；</w:t>
            </w:r>
          </w:p>
          <w:p w14:paraId="35F06F75">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（3）如有不明确或不一致，构成合同文件组成内容的，以合同文件约定内容为准，且以专用合同条款约定的合同文件优先顺序解释；</w:t>
            </w:r>
          </w:p>
          <w:p w14:paraId="63F09C3D">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（4）除招标文件中有特别规定外，仅适用于招标投标阶段的规定，按招标公告、投标人须知、评标方法和标准、投标文件格式的先后顺序解释；</w:t>
            </w:r>
          </w:p>
          <w:p w14:paraId="20A6CDF8">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（5）按本款前述规定仍不能形成结论的，由招标人负责解释。</w:t>
            </w:r>
          </w:p>
        </w:tc>
      </w:tr>
      <w:tr w14:paraId="483C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57" w:type="dxa"/>
            <w:vAlign w:val="center"/>
          </w:tcPr>
          <w:p w14:paraId="1E389265">
            <w:pPr>
              <w:pStyle w:val="27"/>
              <w:widowControl w:val="0"/>
              <w:spacing w:before="0" w:beforeAutospacing="0" w:after="0" w:afterAutospacing="0" w:line="360" w:lineRule="auto"/>
              <w:jc w:val="both"/>
              <w:rPr>
                <w:rFonts w:ascii="Times New Roman" w:hAnsi="Times New Roman" w:eastAsia="宋体" w:cs="Times New Roman"/>
                <w:b w:val="0"/>
                <w:color w:val="auto"/>
                <w:sz w:val="24"/>
                <w:highlight w:val="none"/>
              </w:rPr>
            </w:pPr>
            <w:r>
              <w:rPr>
                <w:rFonts w:ascii="Times New Roman" w:hAnsi="Times New Roman" w:eastAsia="宋体" w:cs="Times New Roman"/>
                <w:b w:val="0"/>
                <w:color w:val="auto"/>
                <w:sz w:val="24"/>
                <w:highlight w:val="none"/>
              </w:rPr>
              <w:t>其他补充说明</w:t>
            </w:r>
          </w:p>
        </w:tc>
        <w:tc>
          <w:tcPr>
            <w:tcW w:w="6292" w:type="dxa"/>
            <w:vAlign w:val="center"/>
          </w:tcPr>
          <w:p w14:paraId="7B54EEED">
            <w:pPr>
              <w:spacing w:line="360" w:lineRule="auto"/>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 xml:space="preserve">1.本项目投标文件要求详见本须知前附表，投标文件现场递交，无需上传电子投标文件。 </w:t>
            </w:r>
          </w:p>
          <w:p w14:paraId="045EE9D2">
            <w:pPr>
              <w:spacing w:line="360" w:lineRule="auto"/>
              <w:rPr>
                <w:rFonts w:ascii="Times New Roman" w:hAnsi="Times New Roman" w:eastAsia="宋体" w:cs="Times New Roman"/>
                <w:bCs/>
                <w:color w:val="auto"/>
                <w:sz w:val="24"/>
                <w:szCs w:val="24"/>
                <w:highlight w:val="none"/>
                <w:u w:val="single"/>
              </w:rPr>
            </w:pPr>
            <w:r>
              <w:rPr>
                <w:rFonts w:ascii="Times New Roman" w:hAnsi="Times New Roman" w:eastAsia="宋体" w:cs="Times New Roman"/>
                <w:bCs/>
                <w:color w:val="auto"/>
                <w:sz w:val="24"/>
                <w:szCs w:val="24"/>
                <w:highlight w:val="none"/>
              </w:rPr>
              <w:t>2.</w:t>
            </w:r>
            <w:r>
              <w:rPr>
                <w:rFonts w:ascii="Times New Roman" w:hAnsi="Times New Roman" w:cs="Times New Roman"/>
                <w:color w:val="auto"/>
                <w:highlight w:val="none"/>
              </w:rPr>
              <w:t xml:space="preserve"> </w:t>
            </w:r>
            <w:r>
              <w:rPr>
                <w:rFonts w:ascii="Times New Roman" w:hAnsi="Times New Roman" w:eastAsia="宋体" w:cs="Times New Roman"/>
                <w:bCs/>
                <w:color w:val="auto"/>
                <w:sz w:val="24"/>
                <w:szCs w:val="24"/>
                <w:highlight w:val="none"/>
              </w:rPr>
              <w:t>本项目资金来源：自筹</w:t>
            </w:r>
          </w:p>
        </w:tc>
      </w:tr>
    </w:tbl>
    <w:p w14:paraId="5F24CC41">
      <w:pPr>
        <w:pStyle w:val="5"/>
        <w:spacing w:line="416" w:lineRule="auto"/>
        <w:ind w:firstLine="1355" w:firstLineChars="500"/>
        <w:rPr>
          <w:rFonts w:ascii="Times New Roman" w:hAnsi="Times New Roman" w:cs="Times New Roman"/>
          <w:color w:val="auto"/>
          <w:sz w:val="20"/>
          <w:highlight w:val="none"/>
        </w:rPr>
      </w:pPr>
      <w:r>
        <w:rPr>
          <w:rFonts w:ascii="Times New Roman" w:hAnsi="Times New Roman" w:cs="Times New Roman"/>
          <w:color w:val="auto"/>
          <w:sz w:val="27"/>
          <w:highlight w:val="none"/>
        </w:rPr>
        <w:br w:type="page"/>
      </w:r>
      <w:r>
        <w:rPr>
          <w:rFonts w:ascii="Times New Roman" w:hAnsi="Times New Roman" w:cs="Times New Roman"/>
          <w:color w:val="auto"/>
          <w:highlight w:val="none"/>
        </w:rPr>
        <w:t xml:space="preserve">附录 1 资格审查条件(资质最低条件) </w:t>
      </w:r>
    </w:p>
    <w:tbl>
      <w:tblPr>
        <w:tblStyle w:val="21"/>
        <w:tblpPr w:leftFromText="180" w:rightFromText="180" w:vertAnchor="text" w:horzAnchor="page" w:tblpX="1438" w:tblpY="143"/>
        <w:tblOverlap w:val="never"/>
        <w:tblW w:w="49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37"/>
      </w:tblGrid>
      <w:tr w14:paraId="2D828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5000" w:type="pct"/>
            <w:vAlign w:val="center"/>
          </w:tcPr>
          <w:p w14:paraId="4D61F490">
            <w:pPr>
              <w:pStyle w:val="28"/>
              <w:spacing w:before="66"/>
              <w:ind w:right="3182"/>
              <w:jc w:val="center"/>
              <w:rPr>
                <w:rFonts w:ascii="Times New Roman" w:hAnsi="Times New Roman" w:cs="Times New Roman"/>
                <w:b/>
                <w:color w:val="auto"/>
                <w:sz w:val="24"/>
                <w:szCs w:val="24"/>
                <w:highlight w:val="none"/>
              </w:rPr>
            </w:pPr>
            <w:r>
              <w:rPr>
                <w:rFonts w:ascii="Times New Roman" w:hAnsi="Times New Roman" w:cs="Times New Roman"/>
                <w:b/>
                <w:bCs/>
                <w:color w:val="auto"/>
                <w:kern w:val="2"/>
                <w:sz w:val="24"/>
                <w:szCs w:val="24"/>
                <w:highlight w:val="none"/>
                <w:lang w:val="en-US" w:bidi="ar-SA"/>
              </w:rPr>
              <w:t xml:space="preserve">                        资质证书及其他要求</w:t>
            </w:r>
          </w:p>
        </w:tc>
      </w:tr>
      <w:tr w14:paraId="07ED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9" w:hRule="atLeast"/>
          <w:jc w:val="center"/>
        </w:trPr>
        <w:tc>
          <w:tcPr>
            <w:tcW w:w="5000" w:type="pct"/>
          </w:tcPr>
          <w:p w14:paraId="4A334A4F">
            <w:pPr>
              <w:pStyle w:val="28"/>
              <w:tabs>
                <w:tab w:val="left" w:pos="688"/>
              </w:tabs>
              <w:spacing w:before="123" w:line="360" w:lineRule="auto"/>
              <w:ind w:left="526"/>
              <w:jc w:val="left"/>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lang w:val="en-US"/>
              </w:rPr>
              <w:t>1、</w:t>
            </w:r>
            <w:r>
              <w:rPr>
                <w:rFonts w:ascii="Times New Roman" w:hAnsi="Times New Roman" w:cs="Times New Roman"/>
                <w:color w:val="auto"/>
                <w:spacing w:val="-3"/>
                <w:sz w:val="24"/>
                <w:szCs w:val="24"/>
                <w:highlight w:val="none"/>
              </w:rPr>
              <w:t>具备有效的营业执照</w:t>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事业单位法人证书。</w:t>
            </w:r>
          </w:p>
          <w:p w14:paraId="314269CE">
            <w:pPr>
              <w:snapToGrid w:val="0"/>
              <w:spacing w:line="360" w:lineRule="auto"/>
              <w:ind w:firstLine="480" w:firstLineChars="200"/>
              <w:rPr>
                <w:rFonts w:ascii="Times New Roman" w:hAnsi="Times New Roman" w:eastAsia="宋体" w:cs="Times New Roman"/>
                <w:color w:val="auto"/>
                <w:sz w:val="24"/>
                <w:szCs w:val="24"/>
                <w:highlight w:val="none"/>
              </w:rPr>
            </w:pPr>
          </w:p>
          <w:p w14:paraId="44F97D3A">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注：投标人应提供营业执照/事业单位法人证书、资质证书等材料扫描件。</w:t>
            </w:r>
          </w:p>
          <w:p w14:paraId="31F62E61">
            <w:pPr>
              <w:pStyle w:val="28"/>
              <w:tabs>
                <w:tab w:val="left" w:pos="688"/>
              </w:tabs>
              <w:spacing w:line="360" w:lineRule="auto"/>
              <w:ind w:left="526"/>
              <w:jc w:val="left"/>
              <w:rPr>
                <w:rFonts w:ascii="Times New Roman" w:hAnsi="Times New Roman" w:cs="Times New Roman"/>
                <w:color w:val="auto"/>
                <w:sz w:val="24"/>
                <w:szCs w:val="24"/>
                <w:highlight w:val="none"/>
              </w:rPr>
            </w:pPr>
          </w:p>
        </w:tc>
      </w:tr>
    </w:tbl>
    <w:p w14:paraId="6BA25A8A">
      <w:pPr>
        <w:pStyle w:val="8"/>
        <w:spacing w:before="2" w:line="360" w:lineRule="auto"/>
        <w:rPr>
          <w:rFonts w:ascii="Times New Roman" w:hAnsi="Times New Roman"/>
          <w:color w:val="auto"/>
          <w:sz w:val="24"/>
          <w:szCs w:val="18"/>
          <w:highlight w:val="none"/>
        </w:rPr>
      </w:pPr>
      <w:r>
        <w:rPr>
          <w:rFonts w:ascii="Times New Roman" w:hAnsi="Times New Roman"/>
          <w:color w:val="auto"/>
          <w:sz w:val="24"/>
          <w:szCs w:val="18"/>
          <w:highlight w:val="none"/>
        </w:rPr>
        <w:br w:type="page"/>
      </w:r>
    </w:p>
    <w:p w14:paraId="4E785EB0">
      <w:pPr>
        <w:pStyle w:val="5"/>
        <w:spacing w:line="416" w:lineRule="auto"/>
        <w:ind w:left="1962"/>
        <w:rPr>
          <w:rFonts w:ascii="Times New Roman" w:hAnsi="Times New Roman" w:cs="Times New Roman"/>
          <w:color w:val="auto"/>
          <w:highlight w:val="none"/>
        </w:rPr>
      </w:pPr>
      <w:bookmarkStart w:id="8" w:name="_Toc38879317"/>
      <w:bookmarkStart w:id="9" w:name="_Toc11078138"/>
      <w:bookmarkStart w:id="10" w:name="_Toc68098218"/>
      <w:r>
        <w:rPr>
          <w:rFonts w:ascii="Times New Roman" w:hAnsi="Times New Roman" w:cs="Times New Roman"/>
          <w:color w:val="auto"/>
          <w:highlight w:val="none"/>
        </w:rPr>
        <w:t>附录2  资格审查条件（财务最低要求）</w:t>
      </w:r>
      <w:bookmarkEnd w:id="8"/>
      <w:bookmarkEnd w:id="9"/>
      <w:bookmarkEnd w:id="10"/>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14:paraId="6597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AD557D5">
            <w:pPr>
              <w:pStyle w:val="29"/>
              <w:adjustRightInd w:val="0"/>
              <w:snapToGrid w:val="0"/>
              <w:jc w:val="center"/>
              <w:rPr>
                <w:rFonts w:ascii="Times New Roman" w:hAnsi="Times New Roman"/>
                <w:b/>
                <w:bCs/>
                <w:color w:val="auto"/>
                <w:sz w:val="24"/>
                <w:szCs w:val="24"/>
                <w:highlight w:val="none"/>
              </w:rPr>
            </w:pPr>
            <w:r>
              <w:rPr>
                <w:rFonts w:ascii="Times New Roman" w:hAnsi="Times New Roman"/>
                <w:b/>
                <w:bCs/>
                <w:color w:val="auto"/>
                <w:sz w:val="24"/>
                <w:szCs w:val="24"/>
                <w:highlight w:val="none"/>
              </w:rPr>
              <w:t>财务要求</w:t>
            </w:r>
          </w:p>
        </w:tc>
      </w:tr>
      <w:tr w14:paraId="44D3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E63D2B5">
            <w:pPr>
              <w:pStyle w:val="29"/>
              <w:adjustRightInd w:val="0"/>
              <w:snapToGrid w:val="0"/>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snapToGrid w:val="0"/>
                <w:color w:val="auto"/>
                <w:kern w:val="0"/>
                <w:sz w:val="24"/>
                <w:szCs w:val="24"/>
                <w:highlight w:val="none"/>
              </w:rPr>
              <w:sym w:font="Wingdings 2" w:char="0052"/>
            </w:r>
            <w:r>
              <w:rPr>
                <w:rFonts w:ascii="Times New Roman" w:hAnsi="Times New Roman"/>
                <w:bCs/>
                <w:color w:val="auto"/>
                <w:sz w:val="24"/>
                <w:szCs w:val="24"/>
                <w:highlight w:val="none"/>
              </w:rPr>
              <w:t>无需提供。</w:t>
            </w:r>
          </w:p>
          <w:p w14:paraId="56975CFE">
            <w:pPr>
              <w:pStyle w:val="29"/>
              <w:adjustRightInd w:val="0"/>
              <w:snapToGrid w:val="0"/>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□需提供以下材料：</w:t>
            </w:r>
          </w:p>
          <w:p w14:paraId="07D76434">
            <w:pPr>
              <w:pStyle w:val="29"/>
              <w:adjustRightInd w:val="0"/>
              <w:snapToGrid w:val="0"/>
              <w:spacing w:line="360" w:lineRule="auto"/>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经会计师事务所或审计机构审计的财务会计报表，包括资产负债表、现金流量表、利润表、财务情况说明书</w:t>
            </w:r>
          </w:p>
          <w:p w14:paraId="6D2BCFE4">
            <w:pPr>
              <w:pStyle w:val="29"/>
              <w:adjustRightInd w:val="0"/>
              <w:snapToGrid w:val="0"/>
              <w:rPr>
                <w:rFonts w:ascii="Times New Roman" w:hAnsi="Times New Roman"/>
                <w:bCs/>
                <w:color w:val="auto"/>
                <w:sz w:val="24"/>
                <w:szCs w:val="24"/>
                <w:highlight w:val="none"/>
              </w:rPr>
            </w:pPr>
          </w:p>
        </w:tc>
      </w:tr>
    </w:tbl>
    <w:p w14:paraId="7A9A785C">
      <w:pPr>
        <w:pStyle w:val="29"/>
        <w:adjustRightInd w:val="0"/>
        <w:snapToGrid w:val="0"/>
        <w:spacing w:line="300" w:lineRule="exact"/>
        <w:rPr>
          <w:rFonts w:ascii="Times New Roman" w:hAnsi="Times New Roman"/>
          <w:bCs/>
          <w:color w:val="auto"/>
          <w:kern w:val="0"/>
          <w:sz w:val="24"/>
          <w:szCs w:val="24"/>
          <w:highlight w:val="none"/>
        </w:rPr>
      </w:pPr>
    </w:p>
    <w:p w14:paraId="1308509E">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注：证明材料的信息应完整或能充分证明满足评审需要。</w:t>
      </w:r>
    </w:p>
    <w:p w14:paraId="41098627">
      <w:pPr>
        <w:pStyle w:val="29"/>
        <w:adjustRightInd w:val="0"/>
        <w:snapToGrid w:val="0"/>
        <w:spacing w:line="300" w:lineRule="exact"/>
        <w:rPr>
          <w:rFonts w:ascii="Times New Roman" w:hAnsi="Times New Roman"/>
          <w:bCs/>
          <w:snapToGrid w:val="0"/>
          <w:color w:val="auto"/>
          <w:kern w:val="0"/>
          <w:sz w:val="24"/>
          <w:szCs w:val="24"/>
          <w:highlight w:val="none"/>
        </w:rPr>
      </w:pPr>
      <w:r>
        <w:rPr>
          <w:rFonts w:ascii="Times New Roman" w:hAnsi="Times New Roman"/>
          <w:bCs/>
          <w:snapToGrid w:val="0"/>
          <w:color w:val="auto"/>
          <w:kern w:val="0"/>
          <w:sz w:val="24"/>
          <w:szCs w:val="24"/>
          <w:highlight w:val="none"/>
        </w:rPr>
        <w:br w:type="page"/>
      </w:r>
    </w:p>
    <w:p w14:paraId="256C6E52">
      <w:pPr>
        <w:pStyle w:val="5"/>
        <w:spacing w:line="416" w:lineRule="auto"/>
        <w:ind w:left="1962"/>
        <w:rPr>
          <w:rFonts w:ascii="Times New Roman" w:hAnsi="Times New Roman" w:cs="Times New Roman"/>
          <w:color w:val="auto"/>
          <w:highlight w:val="none"/>
        </w:rPr>
      </w:pPr>
      <w:bookmarkStart w:id="11" w:name="附录3__资格审查条件(业绩最低要求)"/>
      <w:bookmarkEnd w:id="11"/>
      <w:bookmarkStart w:id="12" w:name="_bookmark5"/>
      <w:bookmarkEnd w:id="12"/>
      <w:r>
        <w:rPr>
          <w:rFonts w:ascii="Times New Roman" w:hAnsi="Times New Roman" w:cs="Times New Roman"/>
          <w:color w:val="auto"/>
          <w:highlight w:val="none"/>
        </w:rPr>
        <w:t xml:space="preserve">附录 3 资格审查条件（业绩最低要求） </w:t>
      </w:r>
    </w:p>
    <w:p w14:paraId="4BD105B2">
      <w:pPr>
        <w:pStyle w:val="8"/>
        <w:rPr>
          <w:rFonts w:ascii="Times New Roman" w:hAnsi="Times New Roman"/>
          <w:color w:val="auto"/>
          <w:sz w:val="20"/>
          <w:highlight w:val="none"/>
        </w:rPr>
      </w:pPr>
    </w:p>
    <w:p w14:paraId="2CD46990">
      <w:pPr>
        <w:pStyle w:val="8"/>
        <w:spacing w:before="12"/>
        <w:rPr>
          <w:rFonts w:ascii="Times New Roman" w:hAnsi="Times New Roman"/>
          <w:color w:val="auto"/>
          <w:sz w:val="23"/>
          <w:highlight w:val="none"/>
        </w:rPr>
      </w:pP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6BB0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tcPr>
          <w:p w14:paraId="6BE2825D">
            <w:pPr>
              <w:pStyle w:val="28"/>
              <w:spacing w:before="73"/>
              <w:ind w:left="3250" w:right="3135"/>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投标人业绩要求</w:t>
            </w:r>
            <w:r>
              <w:rPr>
                <w:rFonts w:ascii="Times New Roman" w:hAnsi="Times New Roman" w:cs="Times New Roman"/>
                <w:b/>
                <w:color w:val="auto"/>
                <w:w w:val="168"/>
                <w:sz w:val="24"/>
                <w:szCs w:val="24"/>
                <w:highlight w:val="none"/>
              </w:rPr>
              <w:t xml:space="preserve"> </w:t>
            </w:r>
          </w:p>
        </w:tc>
      </w:tr>
      <w:tr w14:paraId="0DB66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000" w:type="pct"/>
          </w:tcPr>
          <w:p w14:paraId="60DA3A22">
            <w:pPr>
              <w:pStyle w:val="28"/>
              <w:rPr>
                <w:rFonts w:ascii="Times New Roman" w:hAnsi="Times New Roman" w:cs="Times New Roman"/>
                <w:color w:val="auto"/>
                <w:sz w:val="24"/>
                <w:szCs w:val="24"/>
                <w:highlight w:val="none"/>
              </w:rPr>
            </w:pPr>
          </w:p>
          <w:p w14:paraId="2EF525C3">
            <w:pPr>
              <w:pStyle w:val="28"/>
              <w:spacing w:before="131"/>
              <w:ind w:left="544"/>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业绩要求见招标公告要求。</w:t>
            </w:r>
          </w:p>
        </w:tc>
      </w:tr>
    </w:tbl>
    <w:p w14:paraId="2915535E">
      <w:pPr>
        <w:pStyle w:val="8"/>
        <w:spacing w:line="360" w:lineRule="auto"/>
        <w:rPr>
          <w:rFonts w:ascii="Times New Roman" w:hAnsi="Times New Roman"/>
          <w:color w:val="auto"/>
          <w:sz w:val="24"/>
          <w:szCs w:val="18"/>
          <w:highlight w:val="none"/>
        </w:rPr>
      </w:pPr>
    </w:p>
    <w:p w14:paraId="322BF366">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注：投标人应按下列规定提供业绩证明资料：</w:t>
      </w:r>
    </w:p>
    <w:p w14:paraId="5B255703">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1.合同协议书。投标人所提供合同协议书应与监管部门备案的合同协议书（如有）保 持一致，评标结束后若发现不一致的以备案合同协议书为准，并视同提供虚假材料；</w:t>
      </w:r>
    </w:p>
    <w:p w14:paraId="4287E874">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2.设计任务已完成的证明文件（如审图合格证或施工许可证或施工许可结果查询网页 截图或竣工验收证明文件）。如果合同协议书和该证明文件中的合同要素不一致，以该证明文件为准。</w:t>
      </w:r>
    </w:p>
    <w:p w14:paraId="72ED863A">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1D4341FA">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3846E4AB">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12BF4D97">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501048AF">
      <w:pPr>
        <w:pStyle w:val="30"/>
        <w:tabs>
          <w:tab w:val="left" w:pos="1287"/>
        </w:tabs>
        <w:spacing w:before="1" w:line="393" w:lineRule="auto"/>
        <w:ind w:right="1133" w:firstLine="0" w:firstLineChars="0"/>
        <w:rPr>
          <w:rFonts w:ascii="Times New Roman" w:hAnsi="Times New Roman" w:eastAsia="宋体" w:cs="Times New Roman"/>
          <w:color w:val="auto"/>
          <w:kern w:val="2"/>
          <w:sz w:val="28"/>
          <w:highlight w:val="none"/>
        </w:rPr>
      </w:pPr>
    </w:p>
    <w:p w14:paraId="1BC14F92">
      <w:pPr>
        <w:rPr>
          <w:rFonts w:ascii="Times New Roman" w:hAnsi="Times New Roman" w:cs="Times New Roman"/>
          <w:color w:val="auto"/>
          <w:highlight w:val="none"/>
        </w:rPr>
      </w:pPr>
      <w:bookmarkStart w:id="13" w:name="附录4__资格审查条件(信誉最低要求)"/>
      <w:bookmarkEnd w:id="13"/>
      <w:bookmarkStart w:id="14" w:name="_bookmark6"/>
      <w:bookmarkEnd w:id="14"/>
      <w:r>
        <w:rPr>
          <w:rFonts w:ascii="Times New Roman" w:hAnsi="Times New Roman" w:cs="Times New Roman"/>
          <w:color w:val="auto"/>
          <w:highlight w:val="none"/>
        </w:rPr>
        <w:br w:type="page"/>
      </w:r>
    </w:p>
    <w:p w14:paraId="62166064">
      <w:pPr>
        <w:pStyle w:val="5"/>
        <w:spacing w:line="416" w:lineRule="auto"/>
        <w:jc w:val="center"/>
        <w:rPr>
          <w:rFonts w:ascii="Times New Roman" w:hAnsi="Times New Roman" w:cs="Times New Roman"/>
          <w:color w:val="auto"/>
          <w:sz w:val="20"/>
          <w:highlight w:val="none"/>
        </w:rPr>
      </w:pPr>
      <w:r>
        <w:rPr>
          <w:rFonts w:ascii="Times New Roman" w:hAnsi="Times New Roman" w:cs="Times New Roman"/>
          <w:color w:val="auto"/>
          <w:highlight w:val="none"/>
        </w:rPr>
        <w:t>附录 4 资格审查条件（信誉最低要求）</w:t>
      </w:r>
    </w:p>
    <w:p w14:paraId="0F7CB9B1">
      <w:pPr>
        <w:pStyle w:val="8"/>
        <w:spacing w:before="11"/>
        <w:rPr>
          <w:rFonts w:ascii="Times New Roman" w:hAnsi="Times New Roman"/>
          <w:color w:val="auto"/>
          <w:sz w:val="23"/>
          <w:highlight w:val="none"/>
        </w:rPr>
      </w:pP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88"/>
      </w:tblGrid>
      <w:tr w14:paraId="113FC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000" w:type="pct"/>
          </w:tcPr>
          <w:p w14:paraId="3EEC7B37">
            <w:pPr>
              <w:pStyle w:val="28"/>
              <w:spacing w:before="46"/>
              <w:ind w:left="3250" w:right="3135"/>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信誉要求</w:t>
            </w:r>
            <w:r>
              <w:rPr>
                <w:rFonts w:ascii="Times New Roman" w:hAnsi="Times New Roman" w:cs="Times New Roman"/>
                <w:b/>
                <w:color w:val="auto"/>
                <w:w w:val="168"/>
                <w:sz w:val="24"/>
                <w:szCs w:val="24"/>
                <w:highlight w:val="none"/>
              </w:rPr>
              <w:t xml:space="preserve"> </w:t>
            </w:r>
          </w:p>
        </w:tc>
      </w:tr>
      <w:tr w14:paraId="50987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3" w:hRule="atLeast"/>
        </w:trPr>
        <w:tc>
          <w:tcPr>
            <w:tcW w:w="5000" w:type="pct"/>
          </w:tcPr>
          <w:p w14:paraId="56621BF8">
            <w:pPr>
              <w:pStyle w:val="28"/>
              <w:spacing w:before="11"/>
              <w:rPr>
                <w:rFonts w:ascii="Times New Roman" w:hAnsi="Times New Roman" w:cs="Times New Roman"/>
                <w:color w:val="auto"/>
                <w:sz w:val="24"/>
                <w:szCs w:val="24"/>
                <w:highlight w:val="none"/>
              </w:rPr>
            </w:pPr>
          </w:p>
          <w:p w14:paraId="0CD7DF26">
            <w:pPr>
              <w:pStyle w:val="28"/>
              <w:numPr>
                <w:ilvl w:val="0"/>
                <w:numId w:val="1"/>
              </w:numPr>
              <w:tabs>
                <w:tab w:val="left" w:pos="1074"/>
              </w:tabs>
              <w:spacing w:before="190"/>
              <w:ind w:hanging="530"/>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详见招标公告要求</w:t>
            </w:r>
          </w:p>
        </w:tc>
      </w:tr>
    </w:tbl>
    <w:p w14:paraId="042A09B5">
      <w:pPr>
        <w:snapToGrid w:val="0"/>
        <w:spacing w:line="360" w:lineRule="auto"/>
        <w:ind w:firstLine="480" w:firstLineChars="200"/>
        <w:rPr>
          <w:rFonts w:ascii="Times New Roman" w:hAnsi="Times New Roman" w:eastAsia="宋体" w:cs="Times New Roman"/>
          <w:color w:val="auto"/>
          <w:sz w:val="24"/>
          <w:szCs w:val="24"/>
          <w:highlight w:val="none"/>
        </w:rPr>
      </w:pPr>
    </w:p>
    <w:p w14:paraId="5BC32351">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注：投标人在投标函中承诺，不需要提供相关证明材料。如投标人承诺与实际不符，将视为投标人弄虚作假。</w:t>
      </w:r>
    </w:p>
    <w:p w14:paraId="682ECDF7">
      <w:pPr>
        <w:rPr>
          <w:rFonts w:ascii="Times New Roman" w:hAnsi="Times New Roman" w:cs="Times New Roman"/>
          <w:color w:val="auto"/>
          <w:highlight w:val="none"/>
        </w:rPr>
      </w:pPr>
      <w:bookmarkStart w:id="15" w:name="_bookmark7"/>
      <w:bookmarkEnd w:id="15"/>
      <w:bookmarkStart w:id="16" w:name="附录5__资格审查条件（项目负责人最低要求）"/>
      <w:bookmarkEnd w:id="16"/>
      <w:r>
        <w:rPr>
          <w:rFonts w:ascii="Times New Roman" w:hAnsi="Times New Roman" w:cs="Times New Roman"/>
          <w:color w:val="auto"/>
          <w:highlight w:val="none"/>
        </w:rPr>
        <w:br w:type="page"/>
      </w:r>
    </w:p>
    <w:p w14:paraId="66A05A04">
      <w:pPr>
        <w:pStyle w:val="5"/>
        <w:spacing w:before="107" w:line="416" w:lineRule="auto"/>
        <w:ind w:firstLine="843" w:firstLineChars="300"/>
        <w:jc w:val="center"/>
        <w:rPr>
          <w:rFonts w:ascii="Times New Roman" w:hAnsi="Times New Roman" w:cs="Times New Roman"/>
          <w:color w:val="auto"/>
          <w:sz w:val="23"/>
          <w:highlight w:val="none"/>
        </w:rPr>
      </w:pPr>
      <w:r>
        <w:rPr>
          <w:rFonts w:ascii="Times New Roman" w:hAnsi="Times New Roman" w:cs="Times New Roman"/>
          <w:color w:val="auto"/>
          <w:highlight w:val="none"/>
        </w:rPr>
        <w:t>附录 5 资格审查条件（项目负责人最低要求）</w:t>
      </w:r>
    </w:p>
    <w:tbl>
      <w:tblPr>
        <w:tblStyle w:val="2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44"/>
        <w:gridCol w:w="6742"/>
      </w:tblGrid>
      <w:tr w14:paraId="64FD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330" w:type="pct"/>
          </w:tcPr>
          <w:p w14:paraId="30AA2AC3">
            <w:pPr>
              <w:pStyle w:val="28"/>
              <w:spacing w:before="138"/>
              <w:ind w:left="1000" w:right="886"/>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人员</w:t>
            </w:r>
            <w:r>
              <w:rPr>
                <w:rFonts w:ascii="Times New Roman" w:hAnsi="Times New Roman" w:cs="Times New Roman"/>
                <w:b/>
                <w:color w:val="auto"/>
                <w:w w:val="168"/>
                <w:sz w:val="24"/>
                <w:szCs w:val="24"/>
                <w:highlight w:val="none"/>
              </w:rPr>
              <w:t xml:space="preserve"> </w:t>
            </w:r>
          </w:p>
        </w:tc>
        <w:tc>
          <w:tcPr>
            <w:tcW w:w="3669" w:type="pct"/>
          </w:tcPr>
          <w:p w14:paraId="0B37567B">
            <w:pPr>
              <w:pStyle w:val="28"/>
              <w:spacing w:before="138"/>
              <w:ind w:left="2861" w:right="2748"/>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资格要求</w:t>
            </w:r>
            <w:r>
              <w:rPr>
                <w:rFonts w:ascii="Times New Roman" w:hAnsi="Times New Roman" w:cs="Times New Roman"/>
                <w:b/>
                <w:color w:val="auto"/>
                <w:w w:val="168"/>
                <w:sz w:val="24"/>
                <w:szCs w:val="24"/>
                <w:highlight w:val="none"/>
              </w:rPr>
              <w:t xml:space="preserve"> </w:t>
            </w:r>
          </w:p>
        </w:tc>
      </w:tr>
      <w:tr w14:paraId="17140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330" w:type="pct"/>
          </w:tcPr>
          <w:p w14:paraId="68366CDD">
            <w:pPr>
              <w:pStyle w:val="28"/>
              <w:spacing w:before="3"/>
              <w:rPr>
                <w:rFonts w:ascii="Times New Roman" w:hAnsi="Times New Roman" w:cs="Times New Roman"/>
                <w:color w:val="auto"/>
                <w:sz w:val="24"/>
                <w:szCs w:val="24"/>
                <w:highlight w:val="none"/>
              </w:rPr>
            </w:pPr>
          </w:p>
          <w:p w14:paraId="0AFB57DE">
            <w:pPr>
              <w:pStyle w:val="28"/>
              <w:ind w:left="652"/>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项目负责人</w:t>
            </w:r>
          </w:p>
        </w:tc>
        <w:tc>
          <w:tcPr>
            <w:tcW w:w="3669" w:type="pct"/>
          </w:tcPr>
          <w:p w14:paraId="6766A39B">
            <w:pPr>
              <w:pStyle w:val="28"/>
              <w:tabs>
                <w:tab w:val="left" w:pos="638"/>
              </w:tabs>
              <w:spacing w:before="1"/>
              <w:ind w:left="637" w:hanging="530"/>
              <w:jc w:val="left"/>
              <w:rPr>
                <w:rFonts w:ascii="Times New Roman" w:hAnsi="Times New Roman" w:cs="Times New Roman"/>
                <w:color w:val="auto"/>
                <w:sz w:val="24"/>
                <w:szCs w:val="24"/>
                <w:highlight w:val="none"/>
              </w:rPr>
            </w:pPr>
            <w:r>
              <w:rPr>
                <w:rFonts w:ascii="Times New Roman" w:hAnsi="Times New Roman" w:cs="Times New Roman"/>
                <w:color w:val="auto"/>
                <w:spacing w:val="-3"/>
                <w:kern w:val="2"/>
                <w:sz w:val="19"/>
                <w:szCs w:val="19"/>
                <w:highlight w:val="none"/>
              </w:rPr>
              <w:t>（1）</w:t>
            </w:r>
            <w:r>
              <w:rPr>
                <w:rFonts w:ascii="Times New Roman" w:hAnsi="Times New Roman" w:cs="Times New Roman"/>
                <w:color w:val="auto"/>
                <w:spacing w:val="-3"/>
                <w:sz w:val="24"/>
                <w:szCs w:val="24"/>
                <w:highlight w:val="none"/>
              </w:rPr>
              <w:t>项目负责人资格条件见招标公告要求。</w:t>
            </w:r>
          </w:p>
          <w:p w14:paraId="679F67D8">
            <w:pPr>
              <w:pStyle w:val="28"/>
              <w:tabs>
                <w:tab w:val="left" w:pos="644"/>
              </w:tabs>
              <w:spacing w:before="2"/>
              <w:ind w:left="643" w:hanging="536"/>
              <w:jc w:val="left"/>
              <w:rPr>
                <w:rFonts w:ascii="Times New Roman" w:hAnsi="Times New Roman" w:cs="Times New Roman"/>
                <w:color w:val="auto"/>
                <w:sz w:val="24"/>
                <w:szCs w:val="24"/>
                <w:highlight w:val="none"/>
              </w:rPr>
            </w:pPr>
            <w:r>
              <w:rPr>
                <w:rFonts w:ascii="Times New Roman" w:hAnsi="Times New Roman" w:cs="Times New Roman"/>
                <w:color w:val="auto"/>
                <w:spacing w:val="-3"/>
                <w:kern w:val="2"/>
                <w:sz w:val="19"/>
                <w:szCs w:val="19"/>
                <w:highlight w:val="none"/>
              </w:rPr>
              <w:t>（2）</w:t>
            </w:r>
            <w:r>
              <w:rPr>
                <w:rFonts w:ascii="Times New Roman" w:hAnsi="Times New Roman" w:cs="Times New Roman"/>
                <w:color w:val="auto"/>
                <w:sz w:val="24"/>
                <w:szCs w:val="24"/>
                <w:highlight w:val="none"/>
              </w:rPr>
              <w:t>项目负责人必须是本单位人员招标公告中要求的注册证书注</w:t>
            </w:r>
          </w:p>
          <w:p w14:paraId="695FB0F1">
            <w:pPr>
              <w:pStyle w:val="28"/>
              <w:spacing w:before="4" w:line="250" w:lineRule="exact"/>
              <w:ind w:left="10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册单位（如有）应当与投标人名称一致。</w:t>
            </w:r>
          </w:p>
        </w:tc>
      </w:tr>
    </w:tbl>
    <w:p w14:paraId="767D6100">
      <w:pPr>
        <w:snapToGrid w:val="0"/>
        <w:spacing w:line="360" w:lineRule="auto"/>
        <w:ind w:firstLine="480" w:firstLineChars="200"/>
        <w:rPr>
          <w:rFonts w:ascii="Times New Roman" w:hAnsi="Times New Roman" w:eastAsia="宋体" w:cs="Times New Roman"/>
          <w:color w:val="auto"/>
          <w:sz w:val="24"/>
          <w:szCs w:val="24"/>
          <w:highlight w:val="none"/>
        </w:rPr>
      </w:pPr>
    </w:p>
    <w:p w14:paraId="42FF290C">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注：投标文件中提供项目负责人相关证书和社保证明材料扫描件。社保证明材料要求如下：</w:t>
      </w:r>
    </w:p>
    <w:p w14:paraId="51D68880">
      <w:pPr>
        <w:snapToGrid w:val="0"/>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投标文件中须提供投标人所属社保机构出具的拟委派的项目负责人 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w:t>
      </w:r>
      <w:r>
        <w:rPr>
          <w:rFonts w:ascii="Times New Roman" w:hAnsi="Times New Roman" w:eastAsia="宋体" w:cs="Times New Roman"/>
          <w:color w:val="auto"/>
          <w:sz w:val="24"/>
          <w:szCs w:val="24"/>
          <w:highlight w:val="none"/>
        </w:rPr>
        <w:t xml:space="preserve">月1 日以来任意连续三个月的社保缴费证明材料，项目负责人的社会保险的缴纳单位应当是投标人或者投标人不具备独立法人资格的分支机构。 </w:t>
      </w:r>
    </w:p>
    <w:p w14:paraId="2E3F79DB">
      <w:pPr>
        <w:pStyle w:val="8"/>
        <w:rPr>
          <w:rFonts w:ascii="Times New Roman" w:hAnsi="Times New Roman"/>
          <w:color w:val="auto"/>
          <w:sz w:val="20"/>
          <w:highlight w:val="none"/>
        </w:rPr>
      </w:pPr>
    </w:p>
    <w:p w14:paraId="54329ADA">
      <w:pPr>
        <w:pStyle w:val="5"/>
        <w:spacing w:before="0" w:line="416" w:lineRule="auto"/>
        <w:jc w:val="center"/>
        <w:rPr>
          <w:rFonts w:ascii="Times New Roman" w:hAnsi="Times New Roman" w:cs="Times New Roman"/>
          <w:color w:val="auto"/>
          <w:highlight w:val="none"/>
        </w:rPr>
      </w:pPr>
      <w:r>
        <w:rPr>
          <w:rFonts w:ascii="Times New Roman" w:hAnsi="Times New Roman" w:cs="Times New Roman"/>
          <w:color w:val="auto"/>
          <w:highlight w:val="none"/>
        </w:rPr>
        <w:br w:type="page"/>
      </w:r>
      <w:r>
        <w:rPr>
          <w:rFonts w:ascii="Times New Roman" w:hAnsi="Times New Roman" w:cs="Times New Roman"/>
          <w:color w:val="auto"/>
          <w:highlight w:val="none"/>
        </w:rPr>
        <w:t>附录 6 资格审查条件（其他主要人员最低要求）</w:t>
      </w:r>
    </w:p>
    <w:p w14:paraId="346B844C">
      <w:pPr>
        <w:rPr>
          <w:rFonts w:ascii="Times New Roman" w:hAnsi="Times New Roman" w:cs="Times New Roman"/>
          <w:color w:val="auto"/>
          <w:highlight w:val="none"/>
        </w:rPr>
      </w:pPr>
    </w:p>
    <w:p w14:paraId="5028AF4B">
      <w:pPr>
        <w:rPr>
          <w:rFonts w:ascii="Times New Roman" w:hAnsi="Times New Roman" w:cs="Times New Roman"/>
          <w:color w:val="auto"/>
          <w:highlight w:val="none"/>
        </w:rPr>
        <w:sectPr>
          <w:footerReference r:id="rId3" w:type="default"/>
          <w:pgSz w:w="12240" w:h="15840"/>
          <w:pgMar w:top="2098" w:right="1474" w:bottom="1701" w:left="1588" w:header="869" w:footer="922" w:gutter="0"/>
          <w:cols w:space="720" w:num="1"/>
        </w:sectPr>
      </w:pPr>
    </w:p>
    <w:p w14:paraId="107CDE97">
      <w:pPr>
        <w:pStyle w:val="5"/>
        <w:spacing w:line="416" w:lineRule="auto"/>
        <w:ind w:firstLine="1687" w:firstLineChars="600"/>
        <w:rPr>
          <w:rFonts w:ascii="Times New Roman" w:hAnsi="Times New Roman" w:eastAsia="微软雅黑" w:cs="Times New Roman"/>
          <w:color w:val="auto"/>
          <w:highlight w:val="none"/>
        </w:rPr>
      </w:pPr>
      <w:bookmarkStart w:id="17" w:name="附录7__资格审查条件（其他要求）"/>
      <w:bookmarkEnd w:id="17"/>
      <w:bookmarkStart w:id="18" w:name="_bookmark9"/>
      <w:bookmarkEnd w:id="18"/>
      <w:r>
        <w:rPr>
          <w:rFonts w:ascii="Times New Roman" w:hAnsi="Times New Roman" w:cs="Times New Roman"/>
          <w:color w:val="auto"/>
          <w:highlight w:val="none"/>
        </w:rPr>
        <w:t>附录 7 资格审查条件（其他要求）</w:t>
      </w:r>
    </w:p>
    <w:p w14:paraId="21740AAB">
      <w:pPr>
        <w:pStyle w:val="8"/>
        <w:spacing w:before="2"/>
        <w:rPr>
          <w:rFonts w:ascii="Times New Roman" w:hAnsi="Times New Roman"/>
          <w:b/>
          <w:color w:val="auto"/>
          <w:highlight w:val="none"/>
        </w:rPr>
      </w:pPr>
      <w:r>
        <w:rPr>
          <w:rFonts w:ascii="Times New Roman" w:hAnsi="Times New Roman"/>
          <w:color w:val="auto"/>
          <w:highlight w:val="none"/>
        </w:rPr>
        <mc:AlternateContent>
          <mc:Choice Requires="wpg">
            <w:drawing>
              <wp:anchor distT="0" distB="0" distL="114300" distR="114300" simplePos="0" relativeHeight="251660288" behindDoc="1" locked="0" layoutInCell="1" allowOverlap="1">
                <wp:simplePos x="0" y="0"/>
                <wp:positionH relativeFrom="page">
                  <wp:posOffset>1071245</wp:posOffset>
                </wp:positionH>
                <wp:positionV relativeFrom="paragraph">
                  <wp:posOffset>356870</wp:posOffset>
                </wp:positionV>
                <wp:extent cx="5631180" cy="1117600"/>
                <wp:effectExtent l="1905" t="1905" r="5715" b="10795"/>
                <wp:wrapTopAndBottom/>
                <wp:docPr id="205" name="组合 205"/>
                <wp:cNvGraphicFramePr/>
                <a:graphic xmlns:a="http://schemas.openxmlformats.org/drawingml/2006/main">
                  <a:graphicData uri="http://schemas.microsoft.com/office/word/2010/wordprocessingGroup">
                    <wpg:wgp>
                      <wpg:cNvGrpSpPr/>
                      <wpg:grpSpPr>
                        <a:xfrm>
                          <a:off x="0" y="0"/>
                          <a:ext cx="5631180" cy="1117600"/>
                          <a:chOff x="1688" y="563"/>
                          <a:chExt cx="8868" cy="1760"/>
                        </a:xfrm>
                        <a:effectLst/>
                      </wpg:grpSpPr>
                      <wps:wsp>
                        <wps:cNvPr id="199" name="直线 7"/>
                        <wps:cNvCnPr/>
                        <wps:spPr>
                          <a:xfrm>
                            <a:off x="1697" y="567"/>
                            <a:ext cx="8848" cy="0"/>
                          </a:xfrm>
                          <a:prstGeom prst="line">
                            <a:avLst/>
                          </a:prstGeom>
                          <a:ln w="6096" cap="flat" cmpd="sng">
                            <a:solidFill>
                              <a:srgbClr val="000000"/>
                            </a:solidFill>
                            <a:prstDash val="solid"/>
                            <a:headEnd type="none" w="med" len="med"/>
                            <a:tailEnd type="none" w="med" len="med"/>
                          </a:ln>
                          <a:effectLst/>
                        </wps:spPr>
                        <wps:bodyPr/>
                      </wps:wsp>
                      <wps:wsp>
                        <wps:cNvPr id="200" name="直线 8"/>
                        <wps:cNvCnPr/>
                        <wps:spPr>
                          <a:xfrm>
                            <a:off x="1697" y="1256"/>
                            <a:ext cx="8848" cy="0"/>
                          </a:xfrm>
                          <a:prstGeom prst="line">
                            <a:avLst/>
                          </a:prstGeom>
                          <a:ln w="6096" cap="flat" cmpd="sng">
                            <a:solidFill>
                              <a:srgbClr val="000000"/>
                            </a:solidFill>
                            <a:prstDash val="solid"/>
                            <a:headEnd type="none" w="med" len="med"/>
                            <a:tailEnd type="none" w="med" len="med"/>
                          </a:ln>
                          <a:effectLst/>
                        </wps:spPr>
                        <wps:bodyPr/>
                      </wps:wsp>
                      <wps:wsp>
                        <wps:cNvPr id="201" name="直线 9"/>
                        <wps:cNvCnPr/>
                        <wps:spPr>
                          <a:xfrm>
                            <a:off x="1692" y="563"/>
                            <a:ext cx="0" cy="1759"/>
                          </a:xfrm>
                          <a:prstGeom prst="line">
                            <a:avLst/>
                          </a:prstGeom>
                          <a:ln w="6096" cap="flat" cmpd="sng">
                            <a:solidFill>
                              <a:srgbClr val="000000"/>
                            </a:solidFill>
                            <a:prstDash val="solid"/>
                            <a:headEnd type="none" w="med" len="med"/>
                            <a:tailEnd type="none" w="med" len="med"/>
                          </a:ln>
                          <a:effectLst/>
                        </wps:spPr>
                        <wps:bodyPr/>
                      </wps:wsp>
                      <wps:wsp>
                        <wps:cNvPr id="202" name="直线 10"/>
                        <wps:cNvCnPr/>
                        <wps:spPr>
                          <a:xfrm>
                            <a:off x="1697" y="2317"/>
                            <a:ext cx="8848" cy="0"/>
                          </a:xfrm>
                          <a:prstGeom prst="line">
                            <a:avLst/>
                          </a:prstGeom>
                          <a:ln w="6096" cap="flat" cmpd="sng">
                            <a:solidFill>
                              <a:srgbClr val="000000"/>
                            </a:solidFill>
                            <a:prstDash val="solid"/>
                            <a:headEnd type="none" w="med" len="med"/>
                            <a:tailEnd type="none" w="med" len="med"/>
                          </a:ln>
                          <a:effectLst/>
                        </wps:spPr>
                        <wps:bodyPr/>
                      </wps:wsp>
                      <wps:wsp>
                        <wps:cNvPr id="203" name="直线 11"/>
                        <wps:cNvCnPr/>
                        <wps:spPr>
                          <a:xfrm>
                            <a:off x="10550" y="563"/>
                            <a:ext cx="0" cy="1759"/>
                          </a:xfrm>
                          <a:prstGeom prst="line">
                            <a:avLst/>
                          </a:prstGeom>
                          <a:ln w="6097" cap="flat" cmpd="sng">
                            <a:solidFill>
                              <a:srgbClr val="000000"/>
                            </a:solidFill>
                            <a:prstDash val="solid"/>
                            <a:headEnd type="none" w="med" len="med"/>
                            <a:tailEnd type="none" w="med" len="med"/>
                          </a:ln>
                          <a:effectLst/>
                        </wps:spPr>
                        <wps:bodyPr/>
                      </wps:wsp>
                      <wps:wsp>
                        <wps:cNvPr id="204" name="文本框 12"/>
                        <wps:cNvSpPr txBox="1"/>
                        <wps:spPr>
                          <a:xfrm>
                            <a:off x="5698" y="805"/>
                            <a:ext cx="969" cy="212"/>
                          </a:xfrm>
                          <a:prstGeom prst="rect">
                            <a:avLst/>
                          </a:prstGeom>
                          <a:noFill/>
                          <a:ln>
                            <a:noFill/>
                          </a:ln>
                          <a:effectLst/>
                        </wps:spPr>
                        <wps:txbx>
                          <w:txbxContent>
                            <w:p w14:paraId="60DA7B3D">
                              <w:pPr>
                                <w:spacing w:line="211" w:lineRule="exact"/>
                                <w:jc w:val="left"/>
                                <w:rPr>
                                  <w:rFonts w:ascii="微软雅黑" w:eastAsia="微软雅黑"/>
                                  <w:b/>
                                  <w:sz w:val="21"/>
                                </w:rPr>
                              </w:pPr>
                              <w:r>
                                <w:rPr>
                                  <w:rFonts w:hint="eastAsia" w:ascii="微软雅黑" w:eastAsia="微软雅黑"/>
                                  <w:b/>
                                  <w:sz w:val="21"/>
                                </w:rPr>
                                <w:t>其他要求</w:t>
                              </w:r>
                            </w:p>
                          </w:txbxContent>
                        </wps:txbx>
                        <wps:bodyPr lIns="0" tIns="0" rIns="0" bIns="0" upright="1"/>
                      </wps:wsp>
                    </wpg:wgp>
                  </a:graphicData>
                </a:graphic>
              </wp:anchor>
            </w:drawing>
          </mc:Choice>
          <mc:Fallback>
            <w:pict>
              <v:group id="_x0000_s1026" o:spid="_x0000_s1026" o:spt="203" style="position:absolute;left:0pt;margin-left:84.35pt;margin-top:28.1pt;height:88pt;width:443.4pt;mso-position-horizontal-relative:page;mso-wrap-distance-bottom:0pt;mso-wrap-distance-top:0pt;z-index:-251656192;mso-width-relative:page;mso-height-relative:page;" coordorigin="1688,563" coordsize="8868,1760" o:gfxdata="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AysLHp2gAAAAsBAAAPAAAAAAAAAAEAIAAAACIAAABkcnMvZG93&#10;bnJldi54bWxQSwECFAAUAAAACACHTuJA7j5kJ1QDAADXDgAADgAAAAAAAAABACAAAAApAQAAZHJz&#10;L2Uyb0RvYy54bWxQSwUGAAAAAAYABgBZAQAA7wYAAAAA&#10;">
                <o:lock v:ext="edit" aspectratio="f"/>
                <v:line id="直线 7" o:spid="_x0000_s1026" o:spt="20" style="position:absolute;left:1697;top:567;height:0;width:8848;"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697;top:1256;height:0;width:8848;" filled="f" stroked="t" coordsize="21600,21600"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692;top:563;height:1759;width:0;" filled="f" stroked="t" coordsize="21600,21600" o:gfxdata="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A8n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 o:spid="_x0000_s1026" o:spt="20" style="position:absolute;left:1697;top:2317;height:0;width:8848;" filled="f" stroked="t" coordsize="21600,21600" o:gfxdata="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Ki6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10550;top:563;height:1759;width:0;" filled="f" stroked="t" coordsize="21600,21600"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shape id="文本框 12" o:spid="_x0000_s1026" o:spt="202" type="#_x0000_t202" style="position:absolute;left:5698;top:805;height:212;width:969;" filled="f" stroked="f" coordsize="21600,21600" o:gfxdata="UEsDBAoAAAAAAIdO4kAAAAAAAAAAAAAAAAAEAAAAZHJzL1BLAwQUAAAACACHTuJAA54xHb4AAADc&#10;AAAADwAAAGRycy9kb3ducmV2LnhtbEWPT2sCMRTE7wW/Q3hCbzVRi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4x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0DA7B3D">
                        <w:pPr>
                          <w:spacing w:line="211" w:lineRule="exact"/>
                          <w:jc w:val="left"/>
                          <w:rPr>
                            <w:rFonts w:ascii="微软雅黑" w:eastAsia="微软雅黑"/>
                            <w:b/>
                            <w:sz w:val="21"/>
                          </w:rPr>
                        </w:pPr>
                        <w:r>
                          <w:rPr>
                            <w:rFonts w:hint="eastAsia" w:ascii="微软雅黑" w:eastAsia="微软雅黑"/>
                            <w:b/>
                            <w:sz w:val="21"/>
                          </w:rPr>
                          <w:t>其他要求</w:t>
                        </w:r>
                      </w:p>
                    </w:txbxContent>
                  </v:textbox>
                </v:shape>
                <w10:wrap type="topAndBottom"/>
              </v:group>
            </w:pict>
          </mc:Fallback>
        </mc:AlternateContent>
      </w:r>
      <w:bookmarkStart w:id="19" w:name="附录6__资格审查条件（其他主要人员最低要求）"/>
      <w:bookmarkEnd w:id="19"/>
      <w:bookmarkStart w:id="20" w:name="_bookmark8"/>
      <w:bookmarkEnd w:id="20"/>
    </w:p>
    <w:p w14:paraId="7BCA045B">
      <w:pP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br w:type="page"/>
      </w:r>
    </w:p>
    <w:p w14:paraId="101606C8">
      <w:pPr>
        <w:snapToGrid w:val="0"/>
        <w:spacing w:line="360" w:lineRule="auto"/>
        <w:ind w:firstLine="482" w:firstLineChars="200"/>
        <w:outlineLvl w:val="2"/>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二、投标人须知正文</w:t>
      </w:r>
    </w:p>
    <w:p w14:paraId="380ED38A">
      <w:pPr>
        <w:spacing w:line="360" w:lineRule="auto"/>
        <w:ind w:firstLine="437"/>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1.适用范围</w:t>
      </w:r>
    </w:p>
    <w:p w14:paraId="2BD62768">
      <w:pPr>
        <w:tabs>
          <w:tab w:val="left" w:pos="2410"/>
        </w:tabs>
        <w:autoSpaceDE w:val="0"/>
        <w:autoSpaceDN w:val="0"/>
        <w:adjustRightInd w:val="0"/>
        <w:snapToGrid w:val="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1.1本招标文件仅适用于本次公开招标所述的罍街悦书房改造装修改造工程。</w:t>
      </w:r>
    </w:p>
    <w:p w14:paraId="51B28531">
      <w:pPr>
        <w:spacing w:line="360" w:lineRule="auto"/>
        <w:ind w:firstLine="482" w:firstLineChars="200"/>
        <w:outlineLvl w:val="3"/>
        <w:rPr>
          <w:rFonts w:ascii="Times New Roman" w:hAnsi="Times New Roman" w:eastAsia="宋体" w:cs="Times New Roman"/>
          <w:color w:val="auto"/>
          <w:sz w:val="24"/>
          <w:highlight w:val="none"/>
        </w:rPr>
      </w:pPr>
      <w:r>
        <w:rPr>
          <w:rFonts w:ascii="Times New Roman" w:hAnsi="Times New Roman" w:eastAsia="宋体" w:cs="Times New Roman"/>
          <w:b/>
          <w:color w:val="auto"/>
          <w:sz w:val="24"/>
          <w:highlight w:val="none"/>
        </w:rPr>
        <w:t>2.定义</w:t>
      </w:r>
    </w:p>
    <w:p w14:paraId="48AC7C6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2.1时限（年份、月份等）计算：系指从开标之日向前追溯X年/月（“X”为“一”及以后整数）起算。</w:t>
      </w:r>
    </w:p>
    <w:p w14:paraId="1C2E09F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2.2业绩：业绩要求见招标公告（招标公告）。</w:t>
      </w:r>
    </w:p>
    <w:p w14:paraId="2D41DEB7">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3.招标人及投标人</w:t>
      </w:r>
    </w:p>
    <w:p w14:paraId="5309E7F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3.1招标人：本项目的招标人见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3E151EF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3.2投标人：见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4B51A59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3.3在中华人民共和国境内注册，能够独立承担民事责任，有生产或供应能力的本国投标人。</w:t>
      </w:r>
    </w:p>
    <w:p w14:paraId="164ABD7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3.4单位负责人为同一人或者存在直接控股、管理关系的不同投标人，不得参加同一合同项下的采购活动。否则其投标将被认定为</w:t>
      </w:r>
      <w:r>
        <w:rPr>
          <w:rFonts w:ascii="Times New Roman" w:hAnsi="Times New Roman" w:eastAsia="宋体" w:cs="Times New Roman"/>
          <w:b/>
          <w:bCs/>
          <w:color w:val="auto"/>
          <w:sz w:val="24"/>
          <w:highlight w:val="none"/>
        </w:rPr>
        <w:t>投标无效</w:t>
      </w:r>
      <w:r>
        <w:rPr>
          <w:rFonts w:ascii="Times New Roman" w:hAnsi="Times New Roman" w:eastAsia="宋体" w:cs="Times New Roman"/>
          <w:color w:val="auto"/>
          <w:sz w:val="24"/>
          <w:highlight w:val="none"/>
        </w:rPr>
        <w:t>。</w:t>
      </w:r>
    </w:p>
    <w:p w14:paraId="4C52703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3.5为本项目提供过整体设计、规范编制或者项目管理、监理、检测等服务的投标人，不得再参加本项目上述服务以外的其他采购活动。</w:t>
      </w:r>
      <w:bookmarkStart w:id="21" w:name="_Hlk13431092"/>
      <w:r>
        <w:rPr>
          <w:rFonts w:ascii="Times New Roman" w:hAnsi="Times New Roman" w:eastAsia="宋体" w:cs="Times New Roman"/>
          <w:color w:val="auto"/>
          <w:sz w:val="24"/>
          <w:highlight w:val="none"/>
        </w:rPr>
        <w:t>否则其投标将被认定为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bookmarkEnd w:id="21"/>
    </w:p>
    <w:p w14:paraId="11A8CC59">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4.资金来源</w:t>
      </w:r>
    </w:p>
    <w:p w14:paraId="13B4334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4.1本项目的招标人已获得足以支付本次招标后所签订的合同项下的资金。</w:t>
      </w:r>
    </w:p>
    <w:p w14:paraId="0320B099">
      <w:pPr>
        <w:spacing w:line="360" w:lineRule="auto"/>
        <w:ind w:firstLine="480" w:firstLineChars="200"/>
        <w:rPr>
          <w:rFonts w:ascii="Times New Roman" w:hAnsi="Times New Roman" w:eastAsia="宋体" w:cs="Times New Roman"/>
          <w:color w:val="auto"/>
          <w:sz w:val="24"/>
          <w:highlight w:val="none"/>
        </w:rPr>
      </w:pPr>
      <w:bookmarkStart w:id="22" w:name="_Hlk11702998"/>
      <w:r>
        <w:rPr>
          <w:rFonts w:ascii="Times New Roman" w:hAnsi="Times New Roman" w:eastAsia="宋体" w:cs="Times New Roman"/>
          <w:color w:val="auto"/>
          <w:sz w:val="24"/>
          <w:highlight w:val="none"/>
        </w:rPr>
        <w:t>4.2项目预算金额和分项（或分包）最高限价见</w:t>
      </w:r>
      <w:r>
        <w:rPr>
          <w:rFonts w:ascii="Times New Roman" w:hAnsi="Times New Roman" w:eastAsia="宋体" w:cs="Times New Roman"/>
          <w:color w:val="auto"/>
          <w:sz w:val="24"/>
          <w:highlight w:val="none"/>
          <w:u w:val="single"/>
        </w:rPr>
        <w:t>招标公告</w:t>
      </w:r>
      <w:r>
        <w:rPr>
          <w:rFonts w:ascii="Times New Roman" w:hAnsi="Times New Roman" w:eastAsia="宋体" w:cs="Times New Roman"/>
          <w:color w:val="auto"/>
          <w:sz w:val="24"/>
          <w:highlight w:val="none"/>
        </w:rPr>
        <w:t>。</w:t>
      </w:r>
    </w:p>
    <w:p w14:paraId="182383B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4.3资金来源：详见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bookmarkEnd w:id="22"/>
    </w:p>
    <w:p w14:paraId="25811525">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5.投标费用</w:t>
      </w:r>
    </w:p>
    <w:p w14:paraId="6414FB1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不论投标的结果如何，投标人应承担所有与准备和参加投标有关的费用。</w:t>
      </w:r>
    </w:p>
    <w:p w14:paraId="13F27D1A">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6.适用法律</w:t>
      </w:r>
    </w:p>
    <w:p w14:paraId="58B601B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本项目不属于政府采购项目，本项目招标人、投标人、评标委员会的相关行为和权利受招标人有关规定及本项目招标文件的约束和保护。</w:t>
      </w:r>
    </w:p>
    <w:p w14:paraId="596BECCB">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7.招标文件构成</w:t>
      </w:r>
    </w:p>
    <w:p w14:paraId="1C680D8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7.1招标文件包括下列内容：</w:t>
      </w:r>
    </w:p>
    <w:p w14:paraId="5EDAB49A">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第一章  招标公告</w:t>
      </w:r>
    </w:p>
    <w:p w14:paraId="074F4E4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第二章  投标人须知</w:t>
      </w:r>
    </w:p>
    <w:p w14:paraId="087A43C6">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第三章  </w:t>
      </w:r>
      <w:r>
        <w:rPr>
          <w:rFonts w:hint="eastAsia" w:ascii="Times New Roman" w:hAnsi="Times New Roman" w:eastAsia="宋体" w:cs="Times New Roman"/>
          <w:color w:val="auto"/>
          <w:sz w:val="24"/>
          <w:highlight w:val="none"/>
        </w:rPr>
        <w:t>采购需求</w:t>
      </w:r>
    </w:p>
    <w:p w14:paraId="5586B7D4">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第四章  </w:t>
      </w:r>
      <w:r>
        <w:rPr>
          <w:rFonts w:hint="eastAsia" w:ascii="Times New Roman" w:hAnsi="Times New Roman" w:eastAsia="宋体" w:cs="Times New Roman"/>
          <w:color w:val="auto"/>
          <w:sz w:val="24"/>
          <w:highlight w:val="none"/>
        </w:rPr>
        <w:t>评审方法和标准</w:t>
      </w:r>
    </w:p>
    <w:p w14:paraId="2C4722FF">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第五章  </w:t>
      </w:r>
      <w:r>
        <w:rPr>
          <w:rFonts w:hint="eastAsia" w:ascii="Times New Roman" w:hAnsi="Times New Roman" w:eastAsia="宋体" w:cs="Times New Roman"/>
          <w:color w:val="auto"/>
          <w:sz w:val="24"/>
          <w:highlight w:val="none"/>
        </w:rPr>
        <w:t>合同模板</w:t>
      </w:r>
    </w:p>
    <w:p w14:paraId="493F6E1C">
      <w:pPr>
        <w:spacing w:line="360" w:lineRule="auto"/>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第六章  </w:t>
      </w:r>
      <w:r>
        <w:rPr>
          <w:rFonts w:hint="eastAsia" w:ascii="Times New Roman" w:hAnsi="Times New Roman" w:eastAsia="宋体" w:cs="Times New Roman"/>
          <w:color w:val="auto"/>
          <w:sz w:val="24"/>
          <w:highlight w:val="none"/>
        </w:rPr>
        <w:t>响应文件格式</w:t>
      </w:r>
    </w:p>
    <w:p w14:paraId="65A30D9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7.2招标文件中有不一致的，有澄清的部分以最终的澄清更正内容为准。</w:t>
      </w:r>
    </w:p>
    <w:p w14:paraId="3B4E2A8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7.3现场考察及相关事项见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40C19B56">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8.招标文件的澄清与修改</w:t>
      </w:r>
    </w:p>
    <w:p w14:paraId="5E71117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8.1投标人如对招标文件内容有疑问，应以书面形式（如传真、邮件等）通知招标人。招标人对需要做出澄清的问题，以澄清和修改通知的方式予以答复。</w:t>
      </w:r>
    </w:p>
    <w:p w14:paraId="32B849F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8.2招标人可主动或在解答投标人提出的问题时对招标文件进行澄清或者修改。</w:t>
      </w:r>
    </w:p>
    <w:p w14:paraId="62FB527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8.3任何人或任何组织向投标人提供的任何书面或口头资料，未经招标人在网上发布或书面通知，均作无效处理，不得作为招标文件的组成部分。</w:t>
      </w:r>
    </w:p>
    <w:p w14:paraId="5E986E9C">
      <w:pPr>
        <w:spacing w:line="360" w:lineRule="auto"/>
        <w:ind w:firstLine="480" w:firstLineChars="200"/>
        <w:rPr>
          <w:rFonts w:ascii="Times New Roman" w:hAnsi="Times New Roman" w:eastAsia="宋体" w:cs="Times New Roman"/>
          <w:i/>
          <w:iCs/>
          <w:color w:val="auto"/>
          <w:sz w:val="24"/>
          <w:highlight w:val="none"/>
        </w:rPr>
      </w:pPr>
      <w:r>
        <w:rPr>
          <w:rFonts w:ascii="Times New Roman" w:hAnsi="Times New Roman" w:eastAsia="宋体" w:cs="Times New Roman"/>
          <w:color w:val="auto"/>
          <w:sz w:val="24"/>
          <w:highlight w:val="none"/>
        </w:rPr>
        <w:t>8.4对于没有提出疑问又参与了本项目投标的投标人将被视为完全认同本招标文件（含更正公告的内容）</w:t>
      </w:r>
      <w:r>
        <w:rPr>
          <w:rFonts w:ascii="Times New Roman" w:hAnsi="Times New Roman" w:eastAsia="宋体" w:cs="Times New Roman"/>
          <w:i/>
          <w:color w:val="auto"/>
          <w:sz w:val="24"/>
          <w:highlight w:val="none"/>
        </w:rPr>
        <w:t>。</w:t>
      </w:r>
    </w:p>
    <w:p w14:paraId="18D8316A">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9.投标范围及投标文件中标准</w:t>
      </w:r>
    </w:p>
    <w:p w14:paraId="38EC61B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9.1项目不允许分包。</w:t>
      </w:r>
    </w:p>
    <w:p w14:paraId="5F6D516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9.2投标人应当对所投分包招标文件中所列的所有内容进行投标，如仅响应所投包别中的部分内容，其所投包别的投标将被认定为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7FD94897">
      <w:pPr>
        <w:spacing w:line="360" w:lineRule="auto"/>
        <w:ind w:firstLine="480" w:firstLineChars="200"/>
        <w:rPr>
          <w:rFonts w:ascii="Times New Roman" w:hAnsi="Times New Roman" w:eastAsia="宋体" w:cs="Times New Roman"/>
          <w:color w:val="auto"/>
          <w:sz w:val="24"/>
          <w:highlight w:val="none"/>
        </w:rPr>
      </w:pPr>
      <w:bookmarkStart w:id="23" w:name="_Hlk16458980"/>
      <w:r>
        <w:rPr>
          <w:rFonts w:ascii="Times New Roman" w:hAnsi="Times New Roman" w:eastAsia="宋体" w:cs="Times New Roman"/>
          <w:color w:val="auto"/>
          <w:sz w:val="24"/>
          <w:highlight w:val="none"/>
        </w:rPr>
        <w:t>9.3无论招标文件中是否要求，投标人所投货物及伴随的服务和工程均应符合国家强制性标准。</w:t>
      </w:r>
      <w:bookmarkEnd w:id="23"/>
    </w:p>
    <w:p w14:paraId="4DC2B713">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9.4投标人与招标人之间与投标有关的所有往来通知、函件和投标文件均用中文表述。投标人随投标文件提供的证明文件和资料可以为其他语言，但必须附中文译文。翻译的中文资料与外文资料出现差异时，以中文为准。</w:t>
      </w:r>
    </w:p>
    <w:p w14:paraId="41F6353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9.5除招标文件中有特殊要求外，投标文件中所使用的计量单位，应采用中华人民共和国法定计量单位。</w:t>
      </w:r>
    </w:p>
    <w:p w14:paraId="1D6516C4">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10.投标文件构成</w:t>
      </w:r>
    </w:p>
    <w:p w14:paraId="4A271A1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10.1投标人应完整地按招标文件提供的投标文件格式及要求编写投标文件，具体内容详见本项目第七章投标文件格式的相关内容。</w:t>
      </w:r>
    </w:p>
    <w:p w14:paraId="5921E49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10.2上述文件应按照招标文件规定的格式填写、签署和盖章。</w:t>
      </w:r>
    </w:p>
    <w:p w14:paraId="044B39B8">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11.投标报价</w:t>
      </w:r>
    </w:p>
    <w:p w14:paraId="54F1F88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11.1投标人的报价应当包括满足本次招标全部采购需求所应提供的货物，以及伴随的服务和工程。所有投标均应以人民币报价。投标人的投标报价应遵守《中华人民共和国价格法》。</w:t>
      </w:r>
    </w:p>
    <w:p w14:paraId="61D8EF3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12.投标保证金</w:t>
      </w:r>
    </w:p>
    <w:p w14:paraId="5A5F1C4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中标人应按照</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规定缴纳投标保证金。</w:t>
      </w:r>
    </w:p>
    <w:p w14:paraId="0DCD9CB4">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13.投标有效期</w:t>
      </w:r>
    </w:p>
    <w:p w14:paraId="240159F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13.1投标有效期为从投标截止之日算起的日历天数，投标有效期详见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62E62C6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13.2在投标有效期内，投标人的投标保持有效，投标人不得要求撤销或修改其投标文件。投标有效期不满足要求的投标，其投标将被认定为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33416D8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0141AFA">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14.投标文件的制作</w:t>
      </w:r>
    </w:p>
    <w:p w14:paraId="4E5BCC7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14.1投标文件份数</w:t>
      </w:r>
    </w:p>
    <w:p w14:paraId="32C02E47">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14.1.1投标人应按照</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的要求编制投标文件，并在封面上注明“正本”和“副本”字样。投标文件的正本与副本如有不一致之处，以正本为准。</w:t>
      </w:r>
    </w:p>
    <w:p w14:paraId="11BC17F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14.1.2投标文件应按招标文件要求加盖投标人公章，热敏纸无效。</w:t>
      </w:r>
    </w:p>
    <w:p w14:paraId="77F0EF3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14.1.3招标人保留要求中标人提供其投标文件电子版的权利。</w:t>
      </w:r>
    </w:p>
    <w:p w14:paraId="71170F6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14.2投标文件的封装和标记</w:t>
      </w:r>
    </w:p>
    <w:p w14:paraId="1CB732F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14.2.1投标文件应装订成册并封装，建议在密封袋上标注项目名称、项目编号、投标人名称及包别。</w:t>
      </w:r>
    </w:p>
    <w:p w14:paraId="3B2A34D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14.2.2建议投标人将正本单独封装，全部副本一起封装。</w:t>
      </w:r>
    </w:p>
    <w:p w14:paraId="5D3B296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14.2.3如果未按规定封装或加写标记，招标人将不承担投标文件错放或提前开封的责任，并可能导致投标无效。</w:t>
      </w:r>
    </w:p>
    <w:p w14:paraId="41AF23F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14.3开标现场提交的其他材料要求详见</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w:t>
      </w:r>
    </w:p>
    <w:p w14:paraId="77037745">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15.投标截止及投标文件的递交</w:t>
      </w:r>
    </w:p>
    <w:p w14:paraId="5B038947">
      <w:pPr>
        <w:spacing w:line="360" w:lineRule="auto"/>
        <w:ind w:firstLine="480" w:firstLineChars="2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15.1投标人应当在</w:t>
      </w:r>
      <w:r>
        <w:rPr>
          <w:rFonts w:ascii="Times New Roman" w:hAnsi="Times New Roman" w:eastAsia="宋体" w:cs="Times New Roman"/>
          <w:color w:val="auto"/>
          <w:sz w:val="24"/>
          <w:highlight w:val="none"/>
        </w:rPr>
        <w:t>“招标公告”</w:t>
      </w:r>
      <w:r>
        <w:rPr>
          <w:rFonts w:ascii="Times New Roman" w:hAnsi="Times New Roman" w:eastAsia="宋体" w:cs="Times New Roman"/>
          <w:bCs/>
          <w:color w:val="auto"/>
          <w:sz w:val="24"/>
          <w:highlight w:val="none"/>
        </w:rPr>
        <w:t>规定的投标截止时间前，将投标文件密封送达</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bCs/>
          <w:color w:val="auto"/>
          <w:sz w:val="24"/>
          <w:highlight w:val="none"/>
        </w:rPr>
        <w:t>指定的开标地点。</w:t>
      </w:r>
    </w:p>
    <w:p w14:paraId="31B64255">
      <w:pPr>
        <w:spacing w:line="360" w:lineRule="auto"/>
        <w:ind w:firstLine="480" w:firstLineChars="2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15.2在投标截止时间之后送达的投标文件将被拒绝。</w:t>
      </w:r>
    </w:p>
    <w:p w14:paraId="381B930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15.3招标人有权按本招标文件的规定，延迟投标截止时间。在此情况下，招标人和投标人受投标截止时间制约的所有权利和义务均应延长至新的截止时间。</w:t>
      </w:r>
    </w:p>
    <w:p w14:paraId="14E4D082">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16.投标文件的修改、补充与撤回</w:t>
      </w:r>
    </w:p>
    <w:p w14:paraId="291FD7F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16.1投标人在投标截止时间前，可以对所递交的投标文件进行补充、修改或者撤回，并书面通知采购招标人。</w:t>
      </w:r>
    </w:p>
    <w:p w14:paraId="45AC857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16.2补充、修改的内容应当按照招标文件要求签署、盖章、密封后，作为投标文件的组成部分。</w:t>
      </w:r>
    </w:p>
    <w:p w14:paraId="0689915C">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17.开标</w:t>
      </w:r>
    </w:p>
    <w:p w14:paraId="669A297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17.1开标将在</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规定的时间和地点进行。</w:t>
      </w:r>
    </w:p>
    <w:p w14:paraId="4334EF0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17.2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60C1C51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17.3开标过程由招标人负责记录，并由参加开标的各投标人代表和相关工作人员签字确认。</w:t>
      </w:r>
    </w:p>
    <w:p w14:paraId="04B3DBE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17.4投标人代表对开标过程和开标记录有疑义，以及认为招标人相关工作人员有需要回避的情形的，应当场提出询问或者回避申请。</w:t>
      </w:r>
    </w:p>
    <w:p w14:paraId="03070143">
      <w:pPr>
        <w:spacing w:line="360" w:lineRule="auto"/>
        <w:ind w:firstLine="480" w:firstLineChars="200"/>
        <w:rPr>
          <w:rFonts w:ascii="Times New Roman" w:hAnsi="Times New Roman" w:eastAsia="宋体" w:cs="Times New Roman"/>
          <w:color w:val="auto"/>
          <w:sz w:val="28"/>
          <w:highlight w:val="none"/>
        </w:rPr>
      </w:pPr>
      <w:r>
        <w:rPr>
          <w:rFonts w:ascii="Times New Roman" w:hAnsi="Times New Roman" w:eastAsia="宋体" w:cs="Times New Roman"/>
          <w:color w:val="auto"/>
          <w:sz w:val="24"/>
          <w:highlight w:val="none"/>
        </w:rPr>
        <w:t>17.5投标人应参加开标，投标人未参加开标的，视同认可开标结果。</w:t>
      </w:r>
    </w:p>
    <w:p w14:paraId="3EC8157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18.资格审查及组建评标委员会</w:t>
      </w:r>
    </w:p>
    <w:p w14:paraId="1CED7EC9">
      <w:pPr>
        <w:spacing w:line="360" w:lineRule="auto"/>
        <w:ind w:firstLine="480" w:firstLineChars="200"/>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18.1按照有关规定依法组建的评标委员会，负责本项目评标工作。</w:t>
      </w:r>
    </w:p>
    <w:p w14:paraId="5E25A0B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18.2评标委员会依据法律法规和招标文件中规定的内容，对投标人资格进行审查，未通过资格审查的投标人不进入评标。</w:t>
      </w:r>
    </w:p>
    <w:p w14:paraId="6494439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18.3投标人存在不良信用记录的，其投标将被认定为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26F18B90">
      <w:pPr>
        <w:spacing w:line="360" w:lineRule="auto"/>
        <w:ind w:firstLine="480" w:firstLineChars="200"/>
        <w:rPr>
          <w:rFonts w:ascii="Times New Roman" w:hAnsi="Times New Roman" w:eastAsia="宋体" w:cs="Times New Roman"/>
          <w:color w:val="auto"/>
          <w:sz w:val="24"/>
          <w:szCs w:val="18"/>
          <w:highlight w:val="none"/>
        </w:rPr>
      </w:pPr>
      <w:r>
        <w:rPr>
          <w:rFonts w:ascii="Times New Roman" w:hAnsi="Times New Roman" w:eastAsia="宋体" w:cs="Times New Roman"/>
          <w:color w:val="auto"/>
          <w:sz w:val="24"/>
          <w:highlight w:val="none"/>
        </w:rPr>
        <w:t>18.3.1不良信用记录是指：</w:t>
      </w:r>
      <w:bookmarkStart w:id="24" w:name="_Hlk24663244"/>
      <w:r>
        <w:rPr>
          <w:rFonts w:ascii="Times New Roman" w:hAnsi="Times New Roman" w:eastAsia="宋体" w:cs="Times New Roman"/>
          <w:color w:val="auto"/>
          <w:sz w:val="24"/>
          <w:szCs w:val="18"/>
          <w:highlight w:val="none"/>
        </w:rPr>
        <w:t>（1）供应商被人民法院列入失信被执行人；（2）供应商被税务部门列入重大税收违法案件当事人名单。</w:t>
      </w:r>
    </w:p>
    <w:p w14:paraId="1B83E463">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以联合体形式参加投标的，联合体任何成员存在以上不良信用记录的，联合体投标将被认定为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2DDD71F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18.3.2信用信息查询渠道：“信用中国”网站（www.creditchina.gov.cn）。</w:t>
      </w:r>
    </w:p>
    <w:p w14:paraId="236A264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18.3.3信用信息记录方式：投标人将查询网页打印、盖章并在投标文件中提供。查询网页必须体现被查询人名称、查询时间、查询结果。</w:t>
      </w:r>
    </w:p>
    <w:p w14:paraId="3A4BADA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投标人对不良信用记录的真实性和有效性负责。</w:t>
      </w:r>
    </w:p>
    <w:p w14:paraId="04512E5E">
      <w:pPr>
        <w:spacing w:line="360" w:lineRule="auto"/>
        <w:ind w:firstLine="480" w:firstLineChars="200"/>
        <w:rPr>
          <w:rFonts w:ascii="Times New Roman" w:hAnsi="Times New Roman" w:eastAsia="宋体" w:cs="Times New Roman"/>
          <w:color w:val="auto"/>
          <w:sz w:val="24"/>
          <w:highlight w:val="none"/>
        </w:rPr>
      </w:pPr>
      <w:bookmarkStart w:id="25" w:name="_Hlk24663338"/>
      <w:r>
        <w:rPr>
          <w:rFonts w:ascii="Times New Roman" w:hAnsi="Times New Roman" w:eastAsia="宋体" w:cs="Times New Roman"/>
          <w:color w:val="auto"/>
          <w:sz w:val="24"/>
          <w:highlight w:val="none"/>
        </w:rPr>
        <w:t>在本招标文件规定的查询时间之外，网站信息发生的任何变更均不作为资格审查依据。</w:t>
      </w:r>
      <w:bookmarkEnd w:id="24"/>
      <w:bookmarkEnd w:id="25"/>
    </w:p>
    <w:p w14:paraId="396C920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19.投标文件符合性审查与澄清</w:t>
      </w:r>
    </w:p>
    <w:p w14:paraId="152C0EF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19.1符合性审查是指依据招标文件的规定，从投标文件的有效性和完整性对招标文件的响应程度进行审查，以确定是否对招标文件的实质性要求做出响应。</w:t>
      </w:r>
    </w:p>
    <w:p w14:paraId="5647A29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19.2投标文件的澄清</w:t>
      </w:r>
    </w:p>
    <w:p w14:paraId="1535CB9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做必要的澄清、说明或补正。投标人的澄清、说明或补正应在评标委员会规定的时间内以书面方式进行，并不得超出投标文件范围或者改变投标文件的实质性内容。</w:t>
      </w:r>
    </w:p>
    <w:p w14:paraId="4BD0D51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58BE71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19.4.2投标人的澄清、说明或补正将作为投标文件的一部分。</w:t>
      </w:r>
    </w:p>
    <w:p w14:paraId="032E24D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19.4.3评标委员会对投标人提交的澄清、说明或补正有疑问的，可以要求投标人进一步澄清、说明或补正，直至满足评标委员会的要求。</w:t>
      </w:r>
    </w:p>
    <w:p w14:paraId="1C49309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19.5投标文件报价出现前后不一致的，按照下列规定修正：</w:t>
      </w:r>
    </w:p>
    <w:p w14:paraId="3EDADA5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（1）投标文件中开标一览表内容与投标文件中相应内容不一致的，以开标一览表为准；</w:t>
      </w:r>
    </w:p>
    <w:p w14:paraId="6CF639C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（2）大写金额和小写金额不一致的，以大写金额为准；</w:t>
      </w:r>
    </w:p>
    <w:p w14:paraId="3D12834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（3）单价金额小数点或者百分比有明显错位的，以开标一览表的总价为准，并修改单价；</w:t>
      </w:r>
    </w:p>
    <w:p w14:paraId="0A42C61C">
      <w:pPr>
        <w:spacing w:line="360" w:lineRule="auto"/>
        <w:ind w:firstLine="480" w:firstLineChars="200"/>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4）总价金额与按单价汇总金额不一致的，以单价金额计算结果为准。同时出现两种以上不一致的，按照前款规定的顺序修正。修正后的报价按照第20.4条的规定经投标人确认后产生约束力，投标人不确认的，其投标将被认定为投标无效。对不同文字文本投标文件的解释发生异议的，以中文文本为准。</w:t>
      </w:r>
    </w:p>
    <w:p w14:paraId="3EB6E40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20.投标无效</w:t>
      </w:r>
    </w:p>
    <w:p w14:paraId="0957DCA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20.1根据本招标文件的规定，评标委员会要审查每份投标文件是否实质上响应了招标文件的要求。投标人不得通过修正或撤销不符合要求的偏离，从而使其投标成为实质上响应的投标。</w:t>
      </w:r>
    </w:p>
    <w:p w14:paraId="0AB8DE4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评标委员会决定投标的响应性只根据招标文件要求和投标文件内容。</w:t>
      </w:r>
    </w:p>
    <w:p w14:paraId="7133AA3F">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无论何种原因，即使投标人投标时携带了证书材料的原件，但投标文件中未提供与之内容完全一致的影印件或复印件的，评标委员会视同其未提供。</w:t>
      </w:r>
    </w:p>
    <w:p w14:paraId="6617210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20.2如发现下列情况之一的，其投标将被认定为</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w:t>
      </w:r>
    </w:p>
    <w:p w14:paraId="205B0A5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（1）投标文件未按照招标文件规定要求签署、盖章的；</w:t>
      </w:r>
    </w:p>
    <w:p w14:paraId="5FA8B50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（2）不具备招标文件中规定的资格要求的；</w:t>
      </w:r>
    </w:p>
    <w:p w14:paraId="663585F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（3）报价超过招标文件中规定的预算金额或者最高限价的；</w:t>
      </w:r>
    </w:p>
    <w:p w14:paraId="2E6125F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（4）投标文件不满足招标文件全部实质性要求的；</w:t>
      </w:r>
    </w:p>
    <w:p w14:paraId="5FF9D79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（5）投标文件含有招标人不能接受的附加条件的；</w:t>
      </w:r>
    </w:p>
    <w:p w14:paraId="0ED0561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（6）法律、法规和招标文件规定的其他无效情形。</w:t>
      </w:r>
    </w:p>
    <w:p w14:paraId="69832D22">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21.比较与评价</w:t>
      </w:r>
    </w:p>
    <w:p w14:paraId="6867527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21.1经符合性审查合格的投标文件，评标委员会将根据招标文件确定的评标方法和标准，对其投标文件作进一步的比较与评价。</w:t>
      </w:r>
    </w:p>
    <w:p w14:paraId="5ED33BE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21.2评标严格按照招标文件的要求和条件进行。根据实际情况，在</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中规定采用下列一种评标方法，详细评标方法和标准见招标文件第三章：</w:t>
      </w:r>
    </w:p>
    <w:p w14:paraId="68AEE2B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（1）最低评标价法，是指投标文件满足招标文件全部实质性要求，且投标报价最低的投标人为中标候选人的评标方法。</w:t>
      </w:r>
    </w:p>
    <w:p w14:paraId="183D5F3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（2）综合评分法，是指投标文件满足招标文件全部实质性要求，且按照评审因素的量化指标评审得分最高的投标人为中标候选人的评标方法。</w:t>
      </w:r>
    </w:p>
    <w:p w14:paraId="057B0380">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22.废标</w:t>
      </w:r>
    </w:p>
    <w:p w14:paraId="5B41E74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出现下列情形之一，将导致项目废标：</w:t>
      </w:r>
    </w:p>
    <w:p w14:paraId="0A52FF0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（1）符合专业条件的投标人或者对招标文件做实质性响应的投标人不足规定数量的；</w:t>
      </w:r>
    </w:p>
    <w:p w14:paraId="2D0DFCF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（2）出现影响采购公正的违法、违规行为的；</w:t>
      </w:r>
    </w:p>
    <w:p w14:paraId="0CAE78A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（3）投标人的报价均超过了采购预算，招标人不能支付的；</w:t>
      </w:r>
    </w:p>
    <w:p w14:paraId="1C569DB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（4）因重大变故，采购任务取消的。</w:t>
      </w:r>
    </w:p>
    <w:p w14:paraId="41ED5E88">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23.保密要求</w:t>
      </w:r>
    </w:p>
    <w:p w14:paraId="4A50543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23.1评标将在严格保密的情况下进行。</w:t>
      </w:r>
    </w:p>
    <w:p w14:paraId="06BB561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23.2有关人员应当遵守评标工作纪律，不得泄露评标文件、评标情况和评标中获悉的国家秘密、商业秘密。</w:t>
      </w:r>
    </w:p>
    <w:p w14:paraId="5BE1715D">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24.中标候选人的确定原则及标准</w:t>
      </w:r>
    </w:p>
    <w:p w14:paraId="72C6D68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24.1评标委员会依据本项目招标文件所约定的评标方法，对实质上响应招标文件的投标人按下列方法进行排序，确定中标候选人：</w:t>
      </w:r>
    </w:p>
    <w:p w14:paraId="5121A9E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采用最低评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1380C6B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4E52FC64">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25.确定中标候选人和中标人</w:t>
      </w:r>
    </w:p>
    <w:p w14:paraId="60A979D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25.1评标委员会将根据评标标准，按</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中规定数量推荐中标候选人。</w:t>
      </w:r>
    </w:p>
    <w:p w14:paraId="60B4346D">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25.2按</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中规定，由评标委员会或招标人确定中标人。</w:t>
      </w:r>
    </w:p>
    <w:p w14:paraId="7C4C151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25.3因重大变故采购任务取消时，招标人有权拒绝任何投标人中标，且对受影响的投标人不承担任何责任。</w:t>
      </w:r>
    </w:p>
    <w:p w14:paraId="0DD1BE84">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26.编写评标报告</w:t>
      </w:r>
    </w:p>
    <w:p w14:paraId="4286996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0B80140">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27.中标结果公告</w:t>
      </w:r>
    </w:p>
    <w:p w14:paraId="6E14BF4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27.1招标人应当自收到评标报告之日起５日内，在评标报告确定的中标候选人名单中按顺序确定中标人。中标候选人并列的，由招标人或者招标人委托评标委员会按照招标文件规定的方式确定中标人；招标文件未规定的，采取随机抽取的方式确定。</w:t>
      </w:r>
    </w:p>
    <w:p w14:paraId="2CF9F3A3">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27.2自中标人确定之日起2日内，招标人将在</w:t>
      </w:r>
      <w:r>
        <w:rPr>
          <w:rFonts w:ascii="Times New Roman" w:hAnsi="Times New Roman" w:eastAsia="宋体" w:cs="Times New Roman"/>
          <w:color w:val="auto"/>
          <w:sz w:val="24"/>
          <w:szCs w:val="22"/>
          <w:highlight w:val="none"/>
        </w:rPr>
        <w:t>公司网站</w:t>
      </w:r>
      <w:r>
        <w:rPr>
          <w:rFonts w:ascii="Times New Roman" w:hAnsi="Times New Roman" w:eastAsia="宋体" w:cs="Times New Roman"/>
          <w:color w:val="auto"/>
          <w:sz w:val="24"/>
          <w:highlight w:val="none"/>
        </w:rPr>
        <w:t>发布中标结果公告。</w:t>
      </w:r>
    </w:p>
    <w:p w14:paraId="0C047196">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27.3中标结果公告内容应当包括招标人名称、地址、联系方式，项目名称和项目编号，中标人名称、地址和中标金额，主要中标标的的名称、规格型号、数量、单价、服务要求，中标公告期限、评审专家名单以及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中约定进行公告的内容。</w:t>
      </w:r>
    </w:p>
    <w:p w14:paraId="218631E7">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28.中标通知书</w:t>
      </w:r>
    </w:p>
    <w:p w14:paraId="34353D6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28.1招标人发布中标公告</w:t>
      </w:r>
      <w:r>
        <w:rPr>
          <w:rFonts w:ascii="Times New Roman" w:hAnsi="Times New Roman" w:eastAsia="宋体" w:cs="Times New Roman"/>
          <w:iCs/>
          <w:color w:val="auto"/>
          <w:sz w:val="24"/>
          <w:highlight w:val="none"/>
        </w:rPr>
        <w:t>的</w:t>
      </w:r>
      <w:r>
        <w:rPr>
          <w:rFonts w:ascii="Times New Roman" w:hAnsi="Times New Roman" w:eastAsia="宋体" w:cs="Times New Roman"/>
          <w:color w:val="auto"/>
          <w:sz w:val="24"/>
          <w:highlight w:val="none"/>
        </w:rPr>
        <w:t>同时向中标人发出中标通知书。</w:t>
      </w:r>
    </w:p>
    <w:p w14:paraId="7981E4D2">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28.2中标通知书对招标人和中标人具有同等法律效力。中标通知书发出以后，招标人改变中标结果或者中标人放弃中标，应当承担相应的法律责任。</w:t>
      </w:r>
    </w:p>
    <w:p w14:paraId="073439E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28.3中标通知书是合同的组成部分。</w:t>
      </w:r>
    </w:p>
    <w:p w14:paraId="799E6F97">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29.告知招标结果</w:t>
      </w:r>
    </w:p>
    <w:p w14:paraId="4E2BECCA">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29.1在公告中标结果的同时，招标人同时以</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规定的形式告知未通过资格审查的投标人未通过的原因；采用综合评分法评审的，还将告知未中标人本人的评审得分和排序。</w:t>
      </w:r>
    </w:p>
    <w:p w14:paraId="0627E1D2">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30.履约保证金</w:t>
      </w:r>
    </w:p>
    <w:p w14:paraId="430EE000">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30.1中标人应按照</w:t>
      </w:r>
      <w:r>
        <w:rPr>
          <w:rFonts w:ascii="Times New Roman" w:hAnsi="Times New Roman" w:eastAsia="宋体" w:cs="Times New Roman"/>
          <w:color w:val="auto"/>
          <w:sz w:val="24"/>
          <w:highlight w:val="none"/>
          <w:u w:val="single"/>
        </w:rPr>
        <w:t>投标人须知前附表</w:t>
      </w:r>
      <w:r>
        <w:rPr>
          <w:rFonts w:ascii="Times New Roman" w:hAnsi="Times New Roman" w:eastAsia="宋体" w:cs="Times New Roman"/>
          <w:color w:val="auto"/>
          <w:sz w:val="24"/>
          <w:highlight w:val="none"/>
        </w:rPr>
        <w:t>规定缴纳履约保证金。</w:t>
      </w:r>
    </w:p>
    <w:p w14:paraId="2CB42802">
      <w:pPr>
        <w:spacing w:line="360" w:lineRule="auto"/>
        <w:ind w:firstLine="480" w:firstLineChars="200"/>
        <w:rPr>
          <w:rFonts w:ascii="Times New Roman" w:hAnsi="Times New Roman" w:eastAsia="宋体" w:cs="Times New Roman"/>
          <w:b/>
          <w:color w:val="auto"/>
          <w:sz w:val="24"/>
          <w:highlight w:val="none"/>
        </w:rPr>
      </w:pPr>
      <w:r>
        <w:rPr>
          <w:rFonts w:ascii="Times New Roman" w:hAnsi="Times New Roman" w:eastAsia="宋体" w:cs="Times New Roman"/>
          <w:color w:val="auto"/>
          <w:sz w:val="24"/>
          <w:highlight w:val="none"/>
        </w:rPr>
        <w:t>30.2如果中标人没有按照上述履约保证金的规定执行，将视为放弃中标资格。在此情况下，招标人可确定下一中标候选人为中标人，也可以重新开展采购活动。</w:t>
      </w:r>
    </w:p>
    <w:p w14:paraId="166F9D8F">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31.签订合同</w:t>
      </w:r>
    </w:p>
    <w:p w14:paraId="52FC3FB4">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31.1招标人与中标人应当自发出中标通知书之日起30日内签订合同。</w:t>
      </w:r>
    </w:p>
    <w:p w14:paraId="3224C48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31.2招标文件、中标人的投标文件及其澄清文件等，均为签订合同的依据。</w:t>
      </w:r>
    </w:p>
    <w:p w14:paraId="4794CE67">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31.3中标人拒绝与招标人签订合同的，招标人可以按照评审报告推荐的中标候选人名单排序，确定下一中标候选人为中标人，也可以重新开展采购活动。</w:t>
      </w:r>
    </w:p>
    <w:p w14:paraId="32BF3151">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31.4当出现法规规定的中标无效或中标结果无效情形时，招标人可依法与排名下一位的中标候选人另行签订合同，或依法重新开展采购活动。</w:t>
      </w:r>
    </w:p>
    <w:p w14:paraId="6BD3B97B">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31.5 投标人签订合同前，需向招标人演示投标产品的相关功能。否则招标人有权变更中标人。</w:t>
      </w:r>
    </w:p>
    <w:p w14:paraId="347F8158">
      <w:pPr>
        <w:spacing w:line="360" w:lineRule="auto"/>
        <w:ind w:firstLine="482" w:firstLineChars="200"/>
        <w:outlineLvl w:val="3"/>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32.中标服务费</w:t>
      </w:r>
    </w:p>
    <w:p w14:paraId="1A91E8E9">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32.1本项目中标服务费的收取按</w:t>
      </w:r>
      <w:r>
        <w:rPr>
          <w:rFonts w:ascii="Times New Roman" w:hAnsi="Times New Roman" w:eastAsia="宋体" w:cs="Times New Roman"/>
          <w:color w:val="auto"/>
          <w:sz w:val="24"/>
          <w:highlight w:val="none"/>
          <w:u w:val="single"/>
        </w:rPr>
        <w:t>投标人须知前附表的</w:t>
      </w:r>
      <w:r>
        <w:rPr>
          <w:rFonts w:ascii="Times New Roman" w:hAnsi="Times New Roman" w:eastAsia="宋体" w:cs="Times New Roman"/>
          <w:color w:val="auto"/>
          <w:sz w:val="24"/>
          <w:highlight w:val="none"/>
        </w:rPr>
        <w:t>规定执行。</w:t>
      </w:r>
    </w:p>
    <w:p w14:paraId="6AA0E13F">
      <w:pPr>
        <w:spacing w:line="360" w:lineRule="auto"/>
        <w:ind w:firstLine="482" w:firstLineChars="200"/>
        <w:outlineLvl w:val="3"/>
        <w:rPr>
          <w:rFonts w:ascii="Times New Roman" w:hAnsi="Times New Roman" w:eastAsia="宋体" w:cs="Times New Roman"/>
          <w:b/>
          <w:color w:val="auto"/>
          <w:sz w:val="24"/>
          <w:highlight w:val="none"/>
        </w:rPr>
      </w:pPr>
      <w:bookmarkStart w:id="26" w:name="_Toc518923100"/>
      <w:bookmarkStart w:id="27" w:name="_Toc2583661"/>
      <w:r>
        <w:rPr>
          <w:rFonts w:ascii="Times New Roman" w:hAnsi="Times New Roman" w:eastAsia="宋体" w:cs="Times New Roman"/>
          <w:b/>
          <w:color w:val="auto"/>
          <w:sz w:val="24"/>
          <w:highlight w:val="none"/>
        </w:rPr>
        <w:t>33.廉洁自律规定</w:t>
      </w:r>
      <w:bookmarkEnd w:id="26"/>
      <w:bookmarkEnd w:id="27"/>
    </w:p>
    <w:p w14:paraId="38EE2D57">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33.1采购工作人员不得接受投标人组织的宴请、旅游、娱乐，不得收受礼品、现金、有价证券等，不得向投标人报销应当由个人承担的费用。</w:t>
      </w:r>
    </w:p>
    <w:p w14:paraId="244E3B53">
      <w:pPr>
        <w:spacing w:line="360" w:lineRule="auto"/>
        <w:ind w:firstLine="482" w:firstLineChars="200"/>
        <w:outlineLvl w:val="3"/>
        <w:rPr>
          <w:rFonts w:ascii="Times New Roman" w:hAnsi="Times New Roman" w:eastAsia="宋体" w:cs="Times New Roman"/>
          <w:b/>
          <w:color w:val="auto"/>
          <w:sz w:val="24"/>
          <w:highlight w:val="none"/>
        </w:rPr>
      </w:pPr>
      <w:bookmarkStart w:id="28" w:name="_Toc2583662"/>
      <w:bookmarkStart w:id="29" w:name="_Toc518923101"/>
      <w:r>
        <w:rPr>
          <w:rFonts w:ascii="Times New Roman" w:hAnsi="Times New Roman" w:eastAsia="宋体" w:cs="Times New Roman"/>
          <w:b/>
          <w:color w:val="auto"/>
          <w:sz w:val="24"/>
          <w:highlight w:val="none"/>
        </w:rPr>
        <w:t>34.人员回避</w:t>
      </w:r>
      <w:bookmarkEnd w:id="28"/>
      <w:bookmarkEnd w:id="29"/>
    </w:p>
    <w:p w14:paraId="68469506">
      <w:pPr>
        <w:spacing w:line="360" w:lineRule="auto"/>
        <w:ind w:firstLine="480" w:firstLineChars="200"/>
        <w:rPr>
          <w:rFonts w:ascii="Times New Roman" w:hAnsi="Times New Roman" w:eastAsia="宋体" w:cs="Times New Roman"/>
          <w:b/>
          <w:color w:val="auto"/>
          <w:sz w:val="28"/>
          <w:highlight w:val="none"/>
        </w:rPr>
      </w:pPr>
      <w:r>
        <w:rPr>
          <w:rFonts w:ascii="Times New Roman" w:hAnsi="Times New Roman" w:eastAsia="宋体" w:cs="Times New Roman"/>
          <w:color w:val="auto"/>
          <w:sz w:val="24"/>
          <w:highlight w:val="none"/>
        </w:rPr>
        <w:t>投标人认为招标人员及其相关人员有法律法规所列与其他投标人有利害关系的，可以向招标人书面提出回避申请，并说明理由。</w:t>
      </w:r>
    </w:p>
    <w:p w14:paraId="741FC533">
      <w:pPr>
        <w:numPr>
          <w:ilvl w:val="0"/>
          <w:numId w:val="2"/>
        </w:numPr>
        <w:spacing w:line="360" w:lineRule="auto"/>
        <w:jc w:val="center"/>
        <w:outlineLvl w:val="0"/>
        <w:rPr>
          <w:rFonts w:hint="eastAsia" w:ascii="宋体" w:hAnsi="宋体" w:eastAsia="宋体" w:cs="宋体"/>
          <w:b/>
          <w:color w:val="auto"/>
          <w:kern w:val="2"/>
          <w:sz w:val="28"/>
          <w:szCs w:val="20"/>
          <w:highlight w:val="none"/>
        </w:rPr>
      </w:pPr>
      <w:r>
        <w:rPr>
          <w:rFonts w:ascii="Times New Roman" w:hAnsi="Times New Roman" w:eastAsia="宋体" w:cs="Times New Roman"/>
          <w:b/>
          <w:color w:val="auto"/>
          <w:sz w:val="28"/>
          <w:highlight w:val="none"/>
        </w:rPr>
        <w:br w:type="page"/>
      </w:r>
      <w:bookmarkStart w:id="30" w:name="_Toc25145324"/>
      <w:bookmarkStart w:id="31" w:name="_Toc47026334"/>
      <w:r>
        <w:rPr>
          <w:rFonts w:hint="eastAsia" w:ascii="宋体" w:hAnsi="宋体" w:eastAsia="宋体" w:cs="宋体"/>
          <w:b/>
          <w:color w:val="auto"/>
          <w:kern w:val="2"/>
          <w:sz w:val="28"/>
          <w:szCs w:val="20"/>
          <w:highlight w:val="none"/>
        </w:rPr>
        <w:t xml:space="preserve"> 采购需求</w:t>
      </w:r>
      <w:bookmarkEnd w:id="30"/>
      <w:bookmarkEnd w:id="31"/>
    </w:p>
    <w:p w14:paraId="3CB42A64">
      <w:pPr>
        <w:spacing w:line="360" w:lineRule="auto"/>
        <w:ind w:firstLine="437"/>
        <w:rPr>
          <w:rFonts w:hint="eastAsia" w:ascii="宋体" w:hAnsi="宋体" w:eastAsia="宋体" w:cs="宋体"/>
          <w:color w:val="auto"/>
          <w:kern w:val="2"/>
          <w:sz w:val="24"/>
          <w:szCs w:val="20"/>
          <w:highlight w:val="none"/>
        </w:rPr>
      </w:pPr>
    </w:p>
    <w:p w14:paraId="0AAD9A87">
      <w:pPr>
        <w:spacing w:line="360" w:lineRule="auto"/>
        <w:ind w:firstLine="437"/>
        <w:rPr>
          <w:rFonts w:hint="eastAsia" w:ascii="黑体" w:hAnsi="黑体" w:eastAsia="黑体" w:cs="黑体"/>
          <w:b/>
          <w:color w:val="auto"/>
          <w:kern w:val="2"/>
          <w:sz w:val="24"/>
          <w:szCs w:val="18"/>
          <w:highlight w:val="none"/>
        </w:rPr>
      </w:pPr>
      <w:r>
        <w:rPr>
          <w:rFonts w:hint="eastAsia" w:ascii="黑体" w:hAnsi="黑体" w:eastAsia="黑体" w:cs="黑体"/>
          <w:b/>
          <w:color w:val="auto"/>
          <w:kern w:val="2"/>
          <w:sz w:val="24"/>
          <w:szCs w:val="18"/>
          <w:highlight w:val="none"/>
        </w:rPr>
        <w:t>一、采购需求前附表</w:t>
      </w:r>
    </w:p>
    <w:tbl>
      <w:tblPr>
        <w:tblStyle w:val="2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1E33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9FBB3B">
            <w:pPr>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序号</w:t>
            </w:r>
          </w:p>
        </w:tc>
        <w:tc>
          <w:tcPr>
            <w:tcW w:w="2025" w:type="dxa"/>
            <w:vAlign w:val="center"/>
          </w:tcPr>
          <w:p w14:paraId="7CC3DB0C">
            <w:pPr>
              <w:spacing w:line="360" w:lineRule="auto"/>
              <w:jc w:val="center"/>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条款名称</w:t>
            </w:r>
          </w:p>
        </w:tc>
        <w:tc>
          <w:tcPr>
            <w:tcW w:w="5466" w:type="dxa"/>
            <w:vAlign w:val="center"/>
          </w:tcPr>
          <w:p w14:paraId="2A0E9BE1">
            <w:pPr>
              <w:spacing w:line="360" w:lineRule="auto"/>
              <w:jc w:val="center"/>
              <w:rPr>
                <w:rFonts w:hint="eastAsia" w:ascii="宋体" w:hAnsi="宋体" w:eastAsia="宋体" w:cs="宋体"/>
                <w:b/>
                <w:color w:val="auto"/>
                <w:kern w:val="0"/>
                <w:sz w:val="24"/>
                <w:szCs w:val="28"/>
                <w:highlight w:val="none"/>
              </w:rPr>
            </w:pPr>
            <w:r>
              <w:rPr>
                <w:rFonts w:hint="eastAsia" w:ascii="宋体" w:hAnsi="宋体" w:eastAsia="宋体" w:cs="宋体"/>
                <w:b/>
                <w:color w:val="auto"/>
                <w:kern w:val="0"/>
                <w:sz w:val="24"/>
                <w:szCs w:val="28"/>
                <w:highlight w:val="none"/>
              </w:rPr>
              <w:t>内容、说明与要求</w:t>
            </w:r>
          </w:p>
        </w:tc>
      </w:tr>
      <w:tr w14:paraId="6880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FF542FC">
            <w:pPr>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p>
        </w:tc>
        <w:tc>
          <w:tcPr>
            <w:tcW w:w="2025" w:type="dxa"/>
            <w:vAlign w:val="center"/>
          </w:tcPr>
          <w:p w14:paraId="04EB762C">
            <w:pPr>
              <w:spacing w:line="360" w:lineRule="auto"/>
              <w:jc w:val="center"/>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付款方式</w:t>
            </w:r>
          </w:p>
        </w:tc>
        <w:tc>
          <w:tcPr>
            <w:tcW w:w="5466" w:type="dxa"/>
            <w:vAlign w:val="center"/>
          </w:tcPr>
          <w:p w14:paraId="1332393B">
            <w:pPr>
              <w:spacing w:line="360" w:lineRule="auto"/>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lang w:eastAsia="zh-CN"/>
              </w:rPr>
              <w:t>按月支付，每月收到请款申请及增值税专用发票</w:t>
            </w:r>
            <w:r>
              <w:rPr>
                <w:rFonts w:hint="eastAsia" w:ascii="宋体" w:hAnsi="宋体" w:eastAsia="宋体" w:cs="宋体"/>
                <w:bCs/>
                <w:color w:val="auto"/>
                <w:kern w:val="0"/>
                <w:sz w:val="24"/>
                <w:szCs w:val="28"/>
                <w:highlight w:val="none"/>
              </w:rPr>
              <w:t>1</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lang w:eastAsia="zh-CN"/>
              </w:rPr>
              <w:t>日内根据考核结果</w:t>
            </w:r>
            <w:r>
              <w:rPr>
                <w:rFonts w:hint="eastAsia" w:ascii="宋体" w:hAnsi="宋体" w:eastAsia="宋体" w:cs="宋体"/>
                <w:bCs/>
                <w:color w:val="auto"/>
                <w:kern w:val="0"/>
                <w:sz w:val="24"/>
                <w:szCs w:val="28"/>
                <w:highlight w:val="none"/>
              </w:rPr>
              <w:t>支付上</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服务费用</w:t>
            </w:r>
            <w:r>
              <w:rPr>
                <w:rFonts w:hint="eastAsia" w:ascii="宋体" w:hAnsi="宋体" w:eastAsia="宋体" w:cs="宋体"/>
                <w:bCs/>
                <w:color w:val="auto"/>
                <w:kern w:val="0"/>
                <w:sz w:val="24"/>
                <w:szCs w:val="28"/>
                <w:highlight w:val="none"/>
                <w:lang w:eastAsia="zh-CN"/>
              </w:rPr>
              <w:t>。</w:t>
            </w:r>
          </w:p>
          <w:p w14:paraId="02A03117">
            <w:pPr>
              <w:spacing w:line="360" w:lineRule="auto"/>
              <w:rPr>
                <w:rFonts w:hint="eastAsia" w:ascii="宋体" w:hAnsi="宋体" w:eastAsia="宋体" w:cs="宋体"/>
                <w:bCs/>
                <w:color w:val="auto"/>
                <w:kern w:val="0"/>
                <w:sz w:val="24"/>
                <w:szCs w:val="28"/>
                <w:highlight w:val="none"/>
                <w:u w:val="single"/>
              </w:rPr>
            </w:pPr>
            <w:r>
              <w:rPr>
                <w:rFonts w:hint="eastAsia" w:ascii="宋体" w:hAnsi="宋体" w:eastAsia="宋体" w:cs="宋体"/>
                <w:b/>
                <w:bCs/>
                <w:color w:val="auto"/>
                <w:kern w:val="2"/>
                <w:sz w:val="24"/>
                <w:szCs w:val="24"/>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r>
              <w:rPr>
                <w:rFonts w:hint="eastAsia" w:ascii="宋体" w:hAnsi="宋体" w:eastAsia="宋体" w:cs="宋体"/>
                <w:b/>
                <w:color w:val="auto"/>
                <w:kern w:val="0"/>
                <w:sz w:val="24"/>
                <w:szCs w:val="28"/>
                <w:highlight w:val="none"/>
              </w:rPr>
              <w:t>供应商提交的响应文件中如有关于付款条件的表述与招标文件规定负偏离的，响应无效。</w:t>
            </w:r>
          </w:p>
        </w:tc>
      </w:tr>
      <w:tr w14:paraId="6636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5C08E22">
            <w:pPr>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p>
        </w:tc>
        <w:tc>
          <w:tcPr>
            <w:tcW w:w="2025" w:type="dxa"/>
            <w:vAlign w:val="center"/>
          </w:tcPr>
          <w:p w14:paraId="3C981AD1">
            <w:pPr>
              <w:spacing w:line="360" w:lineRule="auto"/>
              <w:jc w:val="center"/>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服务地点</w:t>
            </w:r>
          </w:p>
        </w:tc>
        <w:tc>
          <w:tcPr>
            <w:tcW w:w="5466" w:type="dxa"/>
            <w:vAlign w:val="center"/>
          </w:tcPr>
          <w:p w14:paraId="0878B868">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合肥市包河区。</w:t>
            </w:r>
          </w:p>
        </w:tc>
      </w:tr>
      <w:tr w14:paraId="6790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4F76EB0">
            <w:pPr>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p>
        </w:tc>
        <w:tc>
          <w:tcPr>
            <w:tcW w:w="2025" w:type="dxa"/>
            <w:vAlign w:val="center"/>
          </w:tcPr>
          <w:p w14:paraId="66B49BBA">
            <w:pPr>
              <w:spacing w:line="360" w:lineRule="auto"/>
              <w:jc w:val="center"/>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服务期限</w:t>
            </w:r>
          </w:p>
        </w:tc>
        <w:tc>
          <w:tcPr>
            <w:tcW w:w="5466" w:type="dxa"/>
            <w:vAlign w:val="center"/>
          </w:tcPr>
          <w:p w14:paraId="115848E1">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合同签订后一年。如</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考核</w:t>
            </w:r>
            <w:r>
              <w:rPr>
                <w:rFonts w:hint="eastAsia" w:ascii="宋体" w:hAnsi="宋体" w:eastAsia="宋体" w:cs="宋体"/>
                <w:bCs/>
                <w:color w:val="auto"/>
                <w:kern w:val="0"/>
                <w:sz w:val="24"/>
                <w:szCs w:val="28"/>
                <w:highlight w:val="none"/>
                <w:lang w:eastAsia="zh-CN"/>
              </w:rPr>
              <w:t>平均分高于</w:t>
            </w:r>
            <w:r>
              <w:rPr>
                <w:rFonts w:hint="eastAsia" w:ascii="宋体" w:hAnsi="宋体" w:eastAsia="宋体" w:cs="宋体"/>
                <w:bCs/>
                <w:color w:val="auto"/>
                <w:kern w:val="0"/>
                <w:sz w:val="24"/>
                <w:szCs w:val="28"/>
                <w:highlight w:val="none"/>
                <w:lang w:val="en-US" w:eastAsia="zh-CN"/>
              </w:rPr>
              <w:t>90分、</w:t>
            </w:r>
            <w:r>
              <w:rPr>
                <w:rFonts w:hint="eastAsia" w:ascii="宋体" w:hAnsi="宋体" w:eastAsia="宋体" w:cs="宋体"/>
                <w:bCs/>
                <w:color w:val="auto"/>
                <w:kern w:val="0"/>
                <w:sz w:val="24"/>
                <w:szCs w:val="28"/>
                <w:highlight w:val="none"/>
              </w:rPr>
              <w:t>履约良好，甲乙双方均同意续签，在年度预算资金能保障的前提下，可续签后两年度合同，合同一年一签，合同金额不变。</w:t>
            </w:r>
          </w:p>
        </w:tc>
      </w:tr>
    </w:tbl>
    <w:p w14:paraId="68178392">
      <w:pPr>
        <w:spacing w:line="360" w:lineRule="auto"/>
        <w:ind w:firstLine="482" w:firstLineChars="200"/>
        <w:rPr>
          <w:rFonts w:hint="eastAsia" w:ascii="黑体" w:hAnsi="黑体" w:eastAsia="黑体" w:cs="黑体"/>
          <w:b/>
          <w:bCs/>
          <w:color w:val="auto"/>
          <w:kern w:val="2"/>
          <w:sz w:val="24"/>
          <w:szCs w:val="24"/>
          <w:highlight w:val="none"/>
        </w:rPr>
      </w:pPr>
      <w:r>
        <w:rPr>
          <w:rFonts w:hint="eastAsia" w:ascii="黑体" w:hAnsi="黑体" w:eastAsia="黑体" w:cs="黑体"/>
          <w:b/>
          <w:bCs/>
          <w:color w:val="auto"/>
          <w:kern w:val="2"/>
          <w:sz w:val="24"/>
          <w:szCs w:val="24"/>
          <w:highlight w:val="none"/>
        </w:rPr>
        <w:t>二、项目概况</w:t>
      </w:r>
    </w:p>
    <w:p w14:paraId="387AA594">
      <w:pPr>
        <w:spacing w:line="360" w:lineRule="auto"/>
        <w:ind w:firstLine="480" w:firstLineChars="200"/>
        <w:rPr>
          <w:rFonts w:hint="eastAsia"/>
          <w:color w:val="auto"/>
          <w:highlight w:val="none"/>
        </w:rPr>
      </w:pPr>
      <w:r>
        <w:rPr>
          <w:rFonts w:hint="eastAsia" w:ascii="Times New Roman" w:hAnsi="Times New Roman" w:eastAsia="宋体" w:cs="Times New Roman"/>
          <w:color w:val="auto"/>
          <w:sz w:val="24"/>
          <w:szCs w:val="24"/>
          <w:highlight w:val="none"/>
        </w:rPr>
        <w:t>常青街道邻里坊3号楼时光成长空间物业</w:t>
      </w:r>
      <w:r>
        <w:rPr>
          <w:rFonts w:hint="eastAsia" w:ascii="宋体" w:hAnsi="宋体" w:eastAsia="宋体" w:cs="宋体"/>
          <w:bCs/>
          <w:color w:val="auto"/>
          <w:kern w:val="0"/>
          <w:sz w:val="24"/>
          <w:szCs w:val="28"/>
          <w:highlight w:val="none"/>
          <w:lang w:val="en-US" w:eastAsia="zh-CN"/>
        </w:rPr>
        <w:t>服务</w:t>
      </w:r>
      <w:r>
        <w:rPr>
          <w:rFonts w:hint="eastAsia" w:ascii="宋体" w:hAnsi="宋体" w:eastAsia="宋体" w:cs="宋体"/>
          <w:bCs/>
          <w:color w:val="auto"/>
          <w:kern w:val="0"/>
          <w:sz w:val="24"/>
          <w:szCs w:val="28"/>
          <w:highlight w:val="none"/>
        </w:rPr>
        <w:t>，位于包河区龙图路与关麓路交口东南角，本项目管理总面积约4400 ㎡</w:t>
      </w:r>
      <w:r>
        <w:rPr>
          <w:rFonts w:hint="eastAsia" w:ascii="宋体" w:hAnsi="宋体" w:eastAsia="宋体" w:cs="宋体"/>
          <w:bCs/>
          <w:color w:val="auto"/>
          <w:kern w:val="0"/>
          <w:sz w:val="24"/>
          <w:szCs w:val="28"/>
          <w:highlight w:val="none"/>
          <w:lang w:eastAsia="zh-CN"/>
        </w:rPr>
        <w:t>（以最后测绘为准）</w:t>
      </w:r>
      <w:r>
        <w:rPr>
          <w:rFonts w:hint="eastAsia" w:ascii="宋体" w:hAnsi="宋体" w:eastAsia="宋体" w:cs="宋体"/>
          <w:bCs/>
          <w:color w:val="auto"/>
          <w:kern w:val="0"/>
          <w:sz w:val="24"/>
          <w:szCs w:val="28"/>
          <w:highlight w:val="none"/>
        </w:rPr>
        <w:t>，服务内容包括但不仅限于办公、经营场所保洁、安全保卫、水电零星维修</w:t>
      </w:r>
      <w:r>
        <w:rPr>
          <w:rFonts w:hint="eastAsia" w:ascii="宋体" w:hAnsi="宋体" w:eastAsia="宋体" w:cs="宋体"/>
          <w:bCs/>
          <w:color w:val="auto"/>
          <w:kern w:val="0"/>
          <w:sz w:val="24"/>
          <w:szCs w:val="28"/>
          <w:highlight w:val="none"/>
          <w:lang w:val="en-US" w:eastAsia="zh-CN"/>
        </w:rPr>
        <w:t>等</w:t>
      </w:r>
      <w:r>
        <w:rPr>
          <w:rFonts w:hint="eastAsia" w:ascii="宋体" w:hAnsi="宋体" w:eastAsia="宋体" w:cs="宋体"/>
          <w:bCs/>
          <w:color w:val="auto"/>
          <w:kern w:val="0"/>
          <w:sz w:val="24"/>
          <w:szCs w:val="28"/>
          <w:highlight w:val="none"/>
        </w:rPr>
        <w:t xml:space="preserve">。 </w:t>
      </w:r>
    </w:p>
    <w:p w14:paraId="5820FAF6">
      <w:pPr>
        <w:numPr>
          <w:ilvl w:val="0"/>
          <w:numId w:val="0"/>
        </w:numPr>
        <w:kinsoku w:val="0"/>
        <w:wordWrap w:val="0"/>
        <w:spacing w:line="360" w:lineRule="auto"/>
        <w:ind w:firstLine="482" w:firstLineChars="200"/>
        <w:jc w:val="left"/>
        <w:outlineLvl w:val="1"/>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eastAsia="zh-CN"/>
        </w:rPr>
        <w:t>三、</w:t>
      </w:r>
      <w:r>
        <w:rPr>
          <w:rFonts w:hint="eastAsia" w:ascii="黑体" w:hAnsi="黑体" w:eastAsia="黑体" w:cs="黑体"/>
          <w:b/>
          <w:bCs/>
          <w:color w:val="auto"/>
          <w:sz w:val="24"/>
          <w:szCs w:val="24"/>
          <w:highlight w:val="none"/>
        </w:rPr>
        <w:t>服务需求</w:t>
      </w:r>
    </w:p>
    <w:p w14:paraId="400F22B2">
      <w:pPr>
        <w:spacing w:line="360" w:lineRule="auto"/>
        <w:ind w:firstLine="480" w:firstLineChars="200"/>
        <w:rPr>
          <w:rFonts w:hint="eastAsia" w:ascii="Times New Roman" w:hAnsi="Times New Roman" w:cs="宋体"/>
          <w:b/>
          <w:bCs/>
          <w:color w:val="auto"/>
          <w:sz w:val="24"/>
          <w:szCs w:val="24"/>
          <w:highlight w:val="none"/>
        </w:rPr>
      </w:pPr>
      <w:r>
        <w:rPr>
          <w:rFonts w:hint="eastAsia" w:ascii="Times New Roman" w:hAnsi="Times New Roman" w:eastAsia="宋体" w:cs="宋体"/>
          <w:color w:val="auto"/>
          <w:sz w:val="24"/>
          <w:szCs w:val="24"/>
          <w:highlight w:val="none"/>
        </w:rPr>
        <w:t>主要管理服务内容有：物业管理服务区域内的安全保卫、消防安全维护；物业管理服务区域内的日常环境卫生保洁</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包含垃圾处理</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、四害消杀，绿化养护管理；物业管理服务区域内的所有资产管理以及基础设施设备的日常维护保养；物业管理服务区域内相关</w:t>
      </w:r>
      <w:r>
        <w:rPr>
          <w:rFonts w:hint="eastAsia" w:ascii="Times New Roman" w:hAnsi="Times New Roman" w:eastAsia="宋体" w:cs="宋体"/>
          <w:color w:val="auto"/>
          <w:sz w:val="24"/>
          <w:szCs w:val="24"/>
          <w:highlight w:val="none"/>
          <w:lang w:val="en-US" w:eastAsia="zh-CN"/>
        </w:rPr>
        <w:t>场地</w:t>
      </w:r>
      <w:r>
        <w:rPr>
          <w:rFonts w:hint="eastAsia" w:ascii="Times New Roman" w:hAnsi="Times New Roman" w:eastAsia="宋体" w:cs="宋体"/>
          <w:color w:val="auto"/>
          <w:sz w:val="24"/>
          <w:szCs w:val="24"/>
          <w:highlight w:val="none"/>
        </w:rPr>
        <w:t>的活动保障；负责</w:t>
      </w:r>
      <w:r>
        <w:rPr>
          <w:rFonts w:hint="eastAsia" w:ascii="Times New Roman" w:hAnsi="Times New Roman" w:eastAsia="宋体" w:cs="宋体"/>
          <w:color w:val="auto"/>
          <w:sz w:val="24"/>
          <w:szCs w:val="24"/>
          <w:highlight w:val="none"/>
          <w:lang w:val="en-US" w:eastAsia="zh-CN"/>
        </w:rPr>
        <w:t>建筑</w:t>
      </w:r>
      <w:r>
        <w:rPr>
          <w:rFonts w:hint="eastAsia" w:ascii="Times New Roman" w:hAnsi="Times New Roman" w:eastAsia="宋体" w:cs="宋体"/>
          <w:color w:val="auto"/>
          <w:sz w:val="24"/>
          <w:szCs w:val="24"/>
          <w:highlight w:val="none"/>
        </w:rPr>
        <w:t>本体及附属设施</w:t>
      </w:r>
      <w:r>
        <w:rPr>
          <w:rFonts w:hint="eastAsia" w:ascii="Times New Roman" w:hAnsi="Times New Roman" w:eastAsia="宋体" w:cs="宋体"/>
          <w:color w:val="auto"/>
          <w:sz w:val="24"/>
          <w:szCs w:val="24"/>
          <w:highlight w:val="none"/>
          <w:lang w:eastAsia="zh-CN"/>
        </w:rPr>
        <w:t>的</w:t>
      </w:r>
      <w:r>
        <w:rPr>
          <w:rFonts w:hint="eastAsia" w:ascii="Times New Roman" w:hAnsi="Times New Roman" w:eastAsia="宋体" w:cs="宋体"/>
          <w:color w:val="auto"/>
          <w:sz w:val="24"/>
          <w:szCs w:val="24"/>
          <w:highlight w:val="none"/>
        </w:rPr>
        <w:t>日常运行、小修、保养及配电系统、电梯系统、中央空调系统、给排水系统、通风排烟系统、消防系统、智能化系统、照明系统</w:t>
      </w:r>
      <w:r>
        <w:rPr>
          <w:rFonts w:hint="eastAsia" w:ascii="Times New Roman" w:hAnsi="Times New Roman" w:eastAsia="宋体" w:cs="宋体"/>
          <w:color w:val="auto"/>
          <w:sz w:val="24"/>
          <w:szCs w:val="24"/>
          <w:highlight w:val="none"/>
          <w:lang w:val="en-US" w:eastAsia="zh-CN"/>
        </w:rPr>
        <w:t>等</w:t>
      </w:r>
      <w:r>
        <w:rPr>
          <w:rFonts w:hint="eastAsia" w:ascii="Times New Roman" w:hAnsi="Times New Roman" w:eastAsia="宋体" w:cs="宋体"/>
          <w:color w:val="auto"/>
          <w:sz w:val="24"/>
          <w:szCs w:val="24"/>
          <w:highlight w:val="none"/>
        </w:rPr>
        <w:t>的日常养护管理</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维保</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及时做好维护保养。</w:t>
      </w:r>
      <w:r>
        <w:rPr>
          <w:rFonts w:hint="eastAsia" w:ascii="Times New Roman" w:hAnsi="Times New Roman" w:eastAsia="宋体" w:cs="宋体"/>
          <w:color w:val="auto"/>
          <w:sz w:val="24"/>
          <w:szCs w:val="24"/>
          <w:highlight w:val="none"/>
        </w:rPr>
        <w:t>物业管理服务区域的日常档案资料管理以及协助做好</w:t>
      </w:r>
      <w:r>
        <w:rPr>
          <w:rFonts w:hint="eastAsia" w:ascii="Times New Roman" w:hAnsi="Times New Roman" w:eastAsia="宋体" w:cs="宋体"/>
          <w:color w:val="auto"/>
          <w:sz w:val="24"/>
          <w:szCs w:val="24"/>
          <w:highlight w:val="none"/>
          <w:lang w:eastAsia="zh-CN"/>
        </w:rPr>
        <w:t>招标人</w:t>
      </w:r>
      <w:r>
        <w:rPr>
          <w:rFonts w:hint="eastAsia" w:ascii="Times New Roman" w:hAnsi="Times New Roman" w:eastAsia="宋体" w:cs="宋体"/>
          <w:color w:val="auto"/>
          <w:sz w:val="24"/>
          <w:szCs w:val="24"/>
          <w:highlight w:val="none"/>
        </w:rPr>
        <w:t>提出的其他临时性事务工作。</w:t>
      </w:r>
    </w:p>
    <w:p w14:paraId="15F202F7">
      <w:pPr>
        <w:spacing w:line="360" w:lineRule="auto"/>
        <w:ind w:firstLine="482" w:firstLineChars="200"/>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w:t>
      </w:r>
      <w:r>
        <w:rPr>
          <w:rFonts w:hint="eastAsia" w:ascii="楷体_GB2312" w:hAnsi="楷体_GB2312" w:eastAsia="楷体_GB2312" w:cs="楷体_GB2312"/>
          <w:b/>
          <w:bCs/>
          <w:color w:val="auto"/>
          <w:sz w:val="24"/>
          <w:szCs w:val="24"/>
          <w:highlight w:val="none"/>
          <w:lang w:val="en-US" w:eastAsia="zh-CN"/>
        </w:rPr>
        <w:t>一</w:t>
      </w:r>
      <w:r>
        <w:rPr>
          <w:rFonts w:hint="eastAsia" w:ascii="楷体_GB2312" w:hAnsi="楷体_GB2312" w:eastAsia="楷体_GB2312" w:cs="楷体_GB2312"/>
          <w:b/>
          <w:bCs/>
          <w:color w:val="auto"/>
          <w:sz w:val="24"/>
          <w:szCs w:val="24"/>
          <w:highlight w:val="none"/>
        </w:rPr>
        <w:t>）</w:t>
      </w:r>
      <w:r>
        <w:rPr>
          <w:rFonts w:hint="eastAsia" w:ascii="楷体_GB2312" w:hAnsi="楷体_GB2312" w:eastAsia="楷体_GB2312" w:cs="楷体_GB2312"/>
          <w:b/>
          <w:bCs/>
          <w:color w:val="auto"/>
          <w:sz w:val="24"/>
          <w:szCs w:val="24"/>
          <w:highlight w:val="none"/>
          <w:lang w:val="en-US" w:eastAsia="zh-CN"/>
        </w:rPr>
        <w:t>日常</w:t>
      </w:r>
      <w:r>
        <w:rPr>
          <w:rFonts w:hint="eastAsia" w:ascii="楷体_GB2312" w:hAnsi="楷体_GB2312" w:eastAsia="楷体_GB2312" w:cs="楷体_GB2312"/>
          <w:b/>
          <w:bCs/>
          <w:color w:val="auto"/>
          <w:sz w:val="24"/>
          <w:szCs w:val="24"/>
          <w:highlight w:val="none"/>
        </w:rPr>
        <w:t>保洁服务</w:t>
      </w:r>
    </w:p>
    <w:p w14:paraId="7FCD8A0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val="en-US" w:eastAsia="zh-CN"/>
        </w:rPr>
        <w:t>范围</w:t>
      </w:r>
    </w:p>
    <w:p w14:paraId="79BB900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项目范围内所有公共区域，包括但不限于电梯、楼梯厅、消防通道、过道、屋顶、会议室、报告厅、厕所等。</w:t>
      </w:r>
    </w:p>
    <w:p w14:paraId="4800C55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服务标准</w:t>
      </w:r>
    </w:p>
    <w:p w14:paraId="05D10B9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）每天早晨7：50前完成普扫工作，每天清扫不少于2次，拖洗不少于1次，并全天保洁至18:00；</w:t>
      </w:r>
    </w:p>
    <w:p w14:paraId="413057D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（2）门厅、楼道、楼梯、四壁、天花板、灯具无灰尘灰网，无乱写乱画；楼道地面干净，无痰迹污变，无烟头纸屑，无杂物堆放；楼梯扶手干净；卫生工具摆放统一、整齐；</w:t>
      </w:r>
      <w:r>
        <w:rPr>
          <w:rFonts w:hint="eastAsia" w:ascii="仿宋_GB2312" w:hAnsi="仿宋_GB2312" w:eastAsia="仿宋_GB2312" w:cs="仿宋_GB2312"/>
          <w:color w:val="auto"/>
          <w:sz w:val="24"/>
          <w:szCs w:val="24"/>
          <w:highlight w:val="none"/>
          <w:lang w:eastAsia="zh-CN"/>
        </w:rPr>
        <w:t>垃圾桶</w:t>
      </w:r>
      <w:r>
        <w:rPr>
          <w:rFonts w:hint="eastAsia" w:ascii="仿宋_GB2312" w:hAnsi="仿宋_GB2312" w:eastAsia="仿宋_GB2312" w:cs="仿宋_GB2312"/>
          <w:color w:val="auto"/>
          <w:sz w:val="24"/>
          <w:szCs w:val="24"/>
          <w:highlight w:val="none"/>
        </w:rPr>
        <w:t>、袋及时清理，实行垃圾袋装化；垃圾无堆积堵塞现象。</w:t>
      </w:r>
    </w:p>
    <w:p w14:paraId="2BD65F5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厕所：大便池无积存粪便、小便池不积存尿液，无尿碱；下水道畅通；地面无污垢、无积水、无烟头、无纸屑，卫生纸不乱扔；室内无明显异味、基本无蚊蝇、鼠迹；四壁、天花板、灯具干净无灰尘、无蜘蛛网、尘网；墙壁无乱写乱画；门窗、玻璃干净，无损坏。</w:t>
      </w:r>
    </w:p>
    <w:p w14:paraId="39A1D96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（4）各类通道：地面清洁光亮，无杂物；墙壁、墙围无灰网，无污迹；门窗、窗台玻璃干净明亮；灯具</w:t>
      </w:r>
      <w:r>
        <w:rPr>
          <w:rFonts w:hint="eastAsia" w:ascii="仿宋_GB2312" w:hAnsi="仿宋_GB2312" w:eastAsia="仿宋_GB2312" w:cs="仿宋_GB2312"/>
          <w:color w:val="auto"/>
          <w:sz w:val="24"/>
          <w:szCs w:val="24"/>
          <w:highlight w:val="none"/>
          <w:lang w:eastAsia="zh-CN"/>
        </w:rPr>
        <w:t>及其他</w:t>
      </w:r>
      <w:r>
        <w:rPr>
          <w:rFonts w:hint="eastAsia" w:ascii="仿宋_GB2312" w:hAnsi="仿宋_GB2312" w:eastAsia="仿宋_GB2312" w:cs="仿宋_GB2312"/>
          <w:color w:val="auto"/>
          <w:sz w:val="24"/>
          <w:szCs w:val="24"/>
          <w:highlight w:val="none"/>
        </w:rPr>
        <w:t>固定物干净，无尘土；无乱写乱画、无尘土纸屑，无杂物堆放；空气清新。</w:t>
      </w:r>
    </w:p>
    <w:p w14:paraId="151689D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公共办公区域：门窗玻璃干净，无损坏；地面干净，无痰迹、纸屑；墙壁、门窗无污迹、无乱写、乱画、乱贴、乱挂；橱顶不堆放杂物，桌面、书架、物品摆放整齐，无灰尘；室内不乱拉绳子，无蜘蛛网，空气清新。</w:t>
      </w:r>
    </w:p>
    <w:p w14:paraId="7454DA3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（6）外墙无乱张贴；无打洞拉线、布管现象。</w:t>
      </w:r>
    </w:p>
    <w:p w14:paraId="7E8DA18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（7）工具存放：卫生、有序、合理，无乱丢乱放现象。</w:t>
      </w:r>
    </w:p>
    <w:p w14:paraId="3BDC19F4">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（8）各种设施外表（如公告栏、消防栓箱、配电箱等）清洁干净、无积尘、污迹</w:t>
      </w:r>
      <w:r>
        <w:rPr>
          <w:rFonts w:hint="eastAsia" w:ascii="仿宋_GB2312" w:hAnsi="仿宋_GB2312" w:eastAsia="仿宋_GB2312" w:cs="仿宋_GB2312"/>
          <w:color w:val="auto"/>
          <w:sz w:val="24"/>
          <w:szCs w:val="24"/>
          <w:highlight w:val="none"/>
          <w:lang w:eastAsia="zh-CN"/>
        </w:rPr>
        <w:t>。</w:t>
      </w:r>
    </w:p>
    <w:p w14:paraId="675B08E3">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（9）路面、人行道、绿化带等部位无灰沙带、无积水、无果皮纸屑等杂物</w:t>
      </w:r>
      <w:r>
        <w:rPr>
          <w:rFonts w:hint="eastAsia" w:ascii="仿宋_GB2312" w:hAnsi="仿宋_GB2312" w:eastAsia="仿宋_GB2312" w:cs="仿宋_GB2312"/>
          <w:color w:val="auto"/>
          <w:sz w:val="24"/>
          <w:szCs w:val="24"/>
          <w:highlight w:val="none"/>
          <w:lang w:eastAsia="zh-CN"/>
        </w:rPr>
        <w:t>。</w:t>
      </w:r>
    </w:p>
    <w:p w14:paraId="69FC6BA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（10）严禁灰沙、石子、杂物放入窨井、绿化带内，定时清理雨污水道口杂物，以防堵塞下水道，严禁出现外溢，清理出的杂物及时外运。</w:t>
      </w:r>
    </w:p>
    <w:p w14:paraId="4444F58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（11）及时清除</w:t>
      </w:r>
      <w:r>
        <w:rPr>
          <w:rFonts w:hint="eastAsia" w:ascii="仿宋_GB2312" w:hAnsi="仿宋_GB2312" w:eastAsia="仿宋_GB2312" w:cs="仿宋_GB2312"/>
          <w:color w:val="auto"/>
          <w:sz w:val="24"/>
          <w:szCs w:val="24"/>
          <w:highlight w:val="none"/>
          <w:lang w:val="en-US" w:eastAsia="zh-CN"/>
        </w:rPr>
        <w:t>建筑物</w:t>
      </w:r>
      <w:r>
        <w:rPr>
          <w:rFonts w:hint="eastAsia" w:ascii="仿宋_GB2312" w:hAnsi="仿宋_GB2312" w:eastAsia="仿宋_GB2312" w:cs="仿宋_GB2312"/>
          <w:color w:val="auto"/>
          <w:sz w:val="24"/>
          <w:szCs w:val="24"/>
          <w:highlight w:val="none"/>
        </w:rPr>
        <w:t>牛皮癣、小广告等。</w:t>
      </w:r>
    </w:p>
    <w:p w14:paraId="1606B44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（12）果皮箱箱内垃圾随时清，每天至少清理一次，箱体保持清洁、美观，无痰迹污物灰尘；实行垃圾袋装化；加强日常维护，确保箱体完好无损。</w:t>
      </w:r>
    </w:p>
    <w:p w14:paraId="4B65F6A0">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（13）下水道随时检查疏通，保证不堵不溢</w:t>
      </w:r>
      <w:r>
        <w:rPr>
          <w:rFonts w:hint="eastAsia" w:ascii="仿宋_GB2312" w:hAnsi="仿宋_GB2312" w:eastAsia="仿宋_GB2312" w:cs="仿宋_GB2312"/>
          <w:color w:val="auto"/>
          <w:sz w:val="24"/>
          <w:szCs w:val="24"/>
          <w:highlight w:val="none"/>
          <w:lang w:eastAsia="zh-CN"/>
        </w:rPr>
        <w:t>。</w:t>
      </w:r>
    </w:p>
    <w:p w14:paraId="1F10DB03">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（14）按照规范要求，做好</w:t>
      </w:r>
      <w:r>
        <w:rPr>
          <w:rFonts w:hint="eastAsia" w:ascii="仿宋_GB2312" w:hAnsi="仿宋_GB2312" w:eastAsia="仿宋_GB2312" w:cs="仿宋_GB2312"/>
          <w:color w:val="auto"/>
          <w:sz w:val="24"/>
          <w:szCs w:val="24"/>
          <w:highlight w:val="none"/>
        </w:rPr>
        <w:t>垃圾分类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存放与转运</w:t>
      </w:r>
      <w:r>
        <w:rPr>
          <w:rFonts w:hint="eastAsia" w:ascii="仿宋_GB2312" w:hAnsi="仿宋_GB2312" w:eastAsia="仿宋_GB2312" w:cs="仿宋_GB2312"/>
          <w:color w:val="auto"/>
          <w:sz w:val="24"/>
          <w:szCs w:val="24"/>
          <w:highlight w:val="none"/>
          <w:lang w:val="en-US" w:eastAsia="zh-CN"/>
        </w:rPr>
        <w:t>等工作。</w:t>
      </w:r>
    </w:p>
    <w:p w14:paraId="2629E07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楼宇内垃圾桶、垃圾袋、芳香球、空气清新剂、洗手液、擦手纸、卫生卷纸、会议抽纸</w:t>
      </w:r>
      <w:r>
        <w:rPr>
          <w:rFonts w:hint="eastAsia" w:ascii="仿宋_GB2312" w:hAnsi="仿宋_GB2312" w:eastAsia="仿宋_GB2312" w:cs="仿宋_GB2312"/>
          <w:color w:val="auto"/>
          <w:sz w:val="24"/>
          <w:szCs w:val="24"/>
          <w:highlight w:val="none"/>
          <w:lang w:eastAsia="zh-CN"/>
        </w:rPr>
        <w:t>，以及</w:t>
      </w:r>
      <w:r>
        <w:rPr>
          <w:rFonts w:hint="eastAsia" w:ascii="仿宋_GB2312" w:hAnsi="仿宋_GB2312" w:eastAsia="仿宋_GB2312" w:cs="仿宋_GB2312"/>
          <w:color w:val="auto"/>
          <w:sz w:val="24"/>
          <w:szCs w:val="24"/>
          <w:highlight w:val="none"/>
        </w:rPr>
        <w:t>各类清洁剂等低值易耗品应足额配备，保证质量，及时补充，费用由</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自行承担。</w:t>
      </w:r>
    </w:p>
    <w:p w14:paraId="536CBDE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抹布、拖把等各类保洁工具要统一规范，并严格分类使用，及时、定期进行清洗、晾晒和消毒。</w:t>
      </w:r>
    </w:p>
    <w:p w14:paraId="61631D6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日常产生的垃圾清运、处理费由</w:t>
      </w:r>
      <w:r>
        <w:rPr>
          <w:rFonts w:hint="eastAsia" w:ascii="仿宋_GB2312" w:hAnsi="仿宋_GB2312" w:eastAsia="仿宋_GB2312" w:cs="仿宋_GB2312"/>
          <w:color w:val="auto"/>
          <w:sz w:val="24"/>
          <w:szCs w:val="24"/>
          <w:highlight w:val="none"/>
          <w:lang w:val="en-US" w:eastAsia="zh-CN"/>
        </w:rPr>
        <w:t>中标人</w:t>
      </w:r>
      <w:r>
        <w:rPr>
          <w:rFonts w:hint="eastAsia" w:ascii="仿宋_GB2312" w:hAnsi="仿宋_GB2312" w:eastAsia="仿宋_GB2312" w:cs="仿宋_GB2312"/>
          <w:color w:val="auto"/>
          <w:sz w:val="24"/>
          <w:szCs w:val="24"/>
          <w:highlight w:val="none"/>
        </w:rPr>
        <w:t>自行承担（不含食堂产生的厨余垃圾）。</w:t>
      </w:r>
    </w:p>
    <w:p w14:paraId="1ACEF3FF">
      <w:pPr>
        <w:spacing w:line="360" w:lineRule="auto"/>
        <w:ind w:firstLine="437"/>
        <w:rPr>
          <w:rFonts w:hint="eastAsia" w:ascii="楷体_GB2312" w:hAnsi="楷体_GB2312" w:eastAsia="楷体_GB2312" w:cs="楷体_GB2312"/>
          <w:b/>
          <w:bCs/>
          <w:color w:val="auto"/>
          <w:sz w:val="24"/>
          <w:szCs w:val="24"/>
          <w:highlight w:val="none"/>
        </w:rPr>
      </w:pPr>
      <w:r>
        <w:rPr>
          <w:rFonts w:hint="eastAsia" w:ascii="楷体_GB2312" w:hAnsi="楷体_GB2312" w:eastAsia="楷体_GB2312" w:cs="楷体_GB2312"/>
          <w:b/>
          <w:bCs/>
          <w:color w:val="auto"/>
          <w:sz w:val="24"/>
          <w:szCs w:val="24"/>
          <w:highlight w:val="none"/>
        </w:rPr>
        <w:t>（</w:t>
      </w:r>
      <w:r>
        <w:rPr>
          <w:rFonts w:hint="eastAsia" w:ascii="楷体_GB2312" w:hAnsi="楷体_GB2312" w:eastAsia="楷体_GB2312" w:cs="楷体_GB2312"/>
          <w:b/>
          <w:bCs/>
          <w:color w:val="auto"/>
          <w:sz w:val="24"/>
          <w:szCs w:val="24"/>
          <w:highlight w:val="none"/>
          <w:lang w:val="en-US" w:eastAsia="zh-CN"/>
        </w:rPr>
        <w:t>二</w:t>
      </w:r>
      <w:r>
        <w:rPr>
          <w:rFonts w:hint="eastAsia" w:ascii="楷体_GB2312" w:hAnsi="楷体_GB2312" w:eastAsia="楷体_GB2312" w:cs="楷体_GB2312"/>
          <w:b/>
          <w:bCs/>
          <w:color w:val="auto"/>
          <w:sz w:val="24"/>
          <w:szCs w:val="24"/>
          <w:highlight w:val="none"/>
        </w:rPr>
        <w:t>）安全保卫工作</w:t>
      </w:r>
    </w:p>
    <w:p w14:paraId="6F7A769C">
      <w:pPr>
        <w:spacing w:line="360" w:lineRule="auto"/>
        <w:ind w:firstLine="437"/>
        <w:rPr>
          <w:rFonts w:hint="eastAsia" w:ascii="Times New Roman" w:hAnsi="Times New Roman" w:cs="宋体"/>
          <w:b/>
          <w:bCs/>
          <w:color w:val="auto"/>
          <w:sz w:val="24"/>
          <w:szCs w:val="24"/>
          <w:highlight w:val="none"/>
        </w:rPr>
      </w:pPr>
      <w:r>
        <w:rPr>
          <w:rFonts w:hint="eastAsia" w:ascii="Times New Roman" w:hAnsi="Times New Roman" w:eastAsia="宋体" w:cs="宋体"/>
          <w:color w:val="auto"/>
          <w:sz w:val="24"/>
          <w:szCs w:val="24"/>
          <w:highlight w:val="none"/>
        </w:rPr>
        <w:t>主要包括治安安全、消防安全、设施设备安全、人身安全、财产安全、服务范围内交通秩序维护及车辆管理</w:t>
      </w:r>
      <w:r>
        <w:rPr>
          <w:rFonts w:hint="eastAsia" w:ascii="Times New Roman" w:hAnsi="Times New Roman" w:eastAsia="宋体" w:cs="宋体"/>
          <w:color w:val="auto"/>
          <w:sz w:val="24"/>
          <w:szCs w:val="24"/>
          <w:highlight w:val="none"/>
          <w:lang w:eastAsia="zh-CN"/>
        </w:rPr>
        <w:t>以及其他</w:t>
      </w:r>
      <w:r>
        <w:rPr>
          <w:rFonts w:hint="eastAsia" w:ascii="Times New Roman" w:hAnsi="Times New Roman" w:eastAsia="宋体" w:cs="宋体"/>
          <w:color w:val="auto"/>
          <w:sz w:val="24"/>
          <w:szCs w:val="24"/>
          <w:highlight w:val="none"/>
        </w:rPr>
        <w:t>与安全防范保卫有关事项。</w:t>
      </w:r>
    </w:p>
    <w:p w14:paraId="5DC9435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.服务内容</w:t>
      </w:r>
    </w:p>
    <w:p w14:paraId="1D631256">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（1）实行</w:t>
      </w:r>
      <w:r>
        <w:rPr>
          <w:rFonts w:hint="eastAsia" w:ascii="仿宋_GB2312" w:hAnsi="仿宋_GB2312" w:eastAsia="仿宋_GB2312" w:cs="仿宋_GB2312"/>
          <w:color w:val="auto"/>
          <w:sz w:val="24"/>
          <w:szCs w:val="24"/>
          <w:highlight w:val="none"/>
          <w:lang w:eastAsia="zh-CN"/>
        </w:rPr>
        <w:t>运营时间内</w:t>
      </w:r>
      <w:r>
        <w:rPr>
          <w:rFonts w:hint="eastAsia" w:ascii="仿宋_GB2312" w:hAnsi="仿宋_GB2312" w:eastAsia="仿宋_GB2312" w:cs="仿宋_GB2312"/>
          <w:color w:val="auto"/>
          <w:sz w:val="24"/>
          <w:szCs w:val="24"/>
          <w:highlight w:val="none"/>
        </w:rPr>
        <w:t>出入口站岗值勤，严禁易燃易爆等危险物品进入物业管理区域。</w:t>
      </w:r>
      <w:r>
        <w:rPr>
          <w:rFonts w:hint="eastAsia" w:ascii="仿宋_GB2312" w:hAnsi="仿宋_GB2312" w:eastAsia="仿宋_GB2312" w:cs="仿宋_GB2312"/>
          <w:color w:val="auto"/>
          <w:sz w:val="24"/>
          <w:szCs w:val="24"/>
          <w:highlight w:val="none"/>
          <w:lang w:eastAsia="zh-CN"/>
        </w:rPr>
        <w:t>运营时间为早上</w:t>
      </w:r>
      <w:r>
        <w:rPr>
          <w:rFonts w:hint="eastAsia" w:ascii="仿宋_GB2312" w:hAnsi="仿宋_GB2312" w:eastAsia="仿宋_GB2312" w:cs="仿宋_GB2312"/>
          <w:color w:val="auto"/>
          <w:sz w:val="24"/>
          <w:szCs w:val="24"/>
          <w:highlight w:val="none"/>
          <w:lang w:val="en-US" w:eastAsia="zh-CN"/>
        </w:rPr>
        <w:t>9点至晚上10点，无休息日，自行做好调班。</w:t>
      </w:r>
    </w:p>
    <w:p w14:paraId="6D7EC21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（2）做好消防、治安、公共卫生等突发事件应急预案的演练，做到按预案程序、要求及时处置各类突发事件。</w:t>
      </w:r>
    </w:p>
    <w:p w14:paraId="61BB7C4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实行值班巡查制度，确保整个区域内无火灾、无治安事件、交通事故发生，无安全隐患。对消防、治安、防汛、暴恐、公共卫生等突发事件有应急预案，一旦发生，能够做到及时确认、报警、处置，防止事态进一步恶化，事件处理及时率100%。</w:t>
      </w:r>
    </w:p>
    <w:p w14:paraId="5549BB0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（4）着装整齐，仪态稳重，举止规范，语言文明，态度热情，文明执勤，礼貌待客。</w:t>
      </w:r>
    </w:p>
    <w:p w14:paraId="4661783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做好消防服务工作，落实消防安全责任制，建立健全消防安全制度、消防安全操作规程、灭火和应急疏散预案；组织防火检查，及时消除火灾隐患；做好对管理区域安保设施、消防器材和设施的日常检查、维护、更换工作。</w:t>
      </w:r>
    </w:p>
    <w:p w14:paraId="35D2CD4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）做好大件物品的出入问询、检查工作；查验出门人员和出门物品是否一致。</w:t>
      </w:r>
    </w:p>
    <w:p w14:paraId="611D52E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）做好临时物品的保管工作，做到谁接收谁负责。</w:t>
      </w:r>
    </w:p>
    <w:p w14:paraId="534512DA">
      <w:pPr>
        <w:spacing w:line="360" w:lineRule="auto"/>
        <w:ind w:firstLine="480" w:firstLineChars="200"/>
        <w:rPr>
          <w:rFonts w:hint="eastAsia"/>
          <w:color w:val="auto"/>
          <w:highlight w:val="none"/>
        </w:rPr>
      </w:pP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val="en-US" w:eastAsia="zh-CN"/>
        </w:rPr>
        <w:t>8</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eastAsia="zh-CN"/>
        </w:rPr>
        <w:t>保证消控室和监控室正常运行和维护（</w:t>
      </w:r>
      <w:r>
        <w:rPr>
          <w:rFonts w:hint="eastAsia" w:ascii="Times New Roman" w:hAnsi="Times New Roman" w:cs="宋体"/>
          <w:color w:val="auto"/>
          <w:sz w:val="24"/>
          <w:szCs w:val="24"/>
          <w:highlight w:val="none"/>
          <w:lang w:val="en-US" w:eastAsia="zh-CN"/>
        </w:rPr>
        <w:t>如有</w:t>
      </w:r>
      <w:r>
        <w:rPr>
          <w:rFonts w:hint="eastAsia" w:ascii="Times New Roman" w:hAnsi="Times New Roman" w:cs="宋体"/>
          <w:color w:val="auto"/>
          <w:sz w:val="24"/>
          <w:szCs w:val="24"/>
          <w:highlight w:val="none"/>
          <w:lang w:eastAsia="zh-CN"/>
        </w:rPr>
        <w:t>）。</w:t>
      </w:r>
    </w:p>
    <w:p w14:paraId="736B729F">
      <w:pPr>
        <w:spacing w:line="360" w:lineRule="auto"/>
        <w:ind w:firstLine="482" w:firstLineChars="200"/>
        <w:rPr>
          <w:rFonts w:hint="eastAsia" w:ascii="楷体_GB2312" w:hAnsi="楷体_GB2312" w:eastAsia="楷体_GB2312" w:cs="楷体_GB2312"/>
          <w:b/>
          <w:bCs/>
          <w:color w:val="auto"/>
          <w:sz w:val="24"/>
          <w:szCs w:val="24"/>
          <w:highlight w:val="none"/>
          <w:lang w:eastAsia="zh-CN"/>
        </w:rPr>
      </w:pPr>
      <w:r>
        <w:rPr>
          <w:rFonts w:hint="eastAsia" w:ascii="楷体_GB2312" w:hAnsi="楷体_GB2312" w:eastAsia="楷体_GB2312" w:cs="楷体_GB2312"/>
          <w:b/>
          <w:bCs/>
          <w:color w:val="auto"/>
          <w:sz w:val="24"/>
          <w:szCs w:val="24"/>
          <w:highlight w:val="none"/>
          <w:lang w:eastAsia="zh-CN"/>
        </w:rPr>
        <w:t>（</w:t>
      </w:r>
      <w:r>
        <w:rPr>
          <w:rFonts w:hint="eastAsia" w:ascii="楷体_GB2312" w:hAnsi="楷体_GB2312" w:eastAsia="楷体_GB2312" w:cs="楷体_GB2312"/>
          <w:b/>
          <w:bCs/>
          <w:color w:val="auto"/>
          <w:sz w:val="24"/>
          <w:szCs w:val="24"/>
          <w:highlight w:val="none"/>
          <w:lang w:val="en-US" w:eastAsia="zh-CN"/>
        </w:rPr>
        <w:t>三</w:t>
      </w:r>
      <w:r>
        <w:rPr>
          <w:rFonts w:hint="eastAsia" w:ascii="楷体_GB2312" w:hAnsi="楷体_GB2312" w:eastAsia="楷体_GB2312" w:cs="楷体_GB2312"/>
          <w:b/>
          <w:bCs/>
          <w:color w:val="auto"/>
          <w:sz w:val="24"/>
          <w:szCs w:val="24"/>
          <w:highlight w:val="none"/>
          <w:lang w:eastAsia="zh-CN"/>
        </w:rPr>
        <w:t>）</w:t>
      </w:r>
      <w:r>
        <w:rPr>
          <w:rFonts w:hint="eastAsia" w:ascii="楷体_GB2312" w:hAnsi="楷体_GB2312" w:eastAsia="楷体_GB2312" w:cs="楷体_GB2312"/>
          <w:b/>
          <w:bCs/>
          <w:color w:val="auto"/>
          <w:sz w:val="24"/>
          <w:szCs w:val="24"/>
          <w:highlight w:val="none"/>
          <w:lang w:val="en-US" w:eastAsia="zh-CN"/>
        </w:rPr>
        <w:t>设备设施维护维修服务</w:t>
      </w:r>
    </w:p>
    <w:p w14:paraId="65F612E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.服务内容</w:t>
      </w:r>
    </w:p>
    <w:p w14:paraId="3A70E909">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w:t>
      </w:r>
      <w:r>
        <w:rPr>
          <w:rFonts w:hint="eastAsia" w:ascii="Times New Roman" w:hAnsi="Times New Roman" w:eastAsia="宋体" w:cs="宋体"/>
          <w:b w:val="0"/>
          <w:bCs w:val="0"/>
          <w:color w:val="auto"/>
          <w:sz w:val="24"/>
          <w:szCs w:val="24"/>
          <w:highlight w:val="none"/>
          <w:lang w:eastAsia="zh-CN"/>
        </w:rPr>
        <w:t>）建立健全设备物业管理制度，明确各种岗位工作标准，并制定具体的落实措施和考核办法。各层级人员需具有相应的专业技术知识和合法有效的上岗操作证书，定期开展职业素养和专业技术技能培训，考试合格方能上岗操作。</w:t>
      </w:r>
    </w:p>
    <w:p w14:paraId="5A18F361">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2</w:t>
      </w:r>
      <w:r>
        <w:rPr>
          <w:rFonts w:hint="eastAsia" w:ascii="Times New Roman" w:hAnsi="Times New Roman" w:eastAsia="宋体" w:cs="宋体"/>
          <w:b w:val="0"/>
          <w:bCs w:val="0"/>
          <w:color w:val="auto"/>
          <w:sz w:val="24"/>
          <w:szCs w:val="24"/>
          <w:highlight w:val="none"/>
          <w:lang w:eastAsia="zh-CN"/>
        </w:rPr>
        <w:t>）制定设备使用、检查、维修、保养的操作规程。工作人员和工程技术人员熟悉设备的结构和操作规程，严格按规定的程序和操作规程使用、检查、维修、保养设备；正确使用设备，合理维护设备，防止发生事故，保障生产正常运行。</w:t>
      </w:r>
    </w:p>
    <w:p w14:paraId="2B64969F">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3</w:t>
      </w:r>
      <w:r>
        <w:rPr>
          <w:rFonts w:hint="eastAsia" w:ascii="Times New Roman" w:hAnsi="Times New Roman" w:eastAsia="宋体" w:cs="宋体"/>
          <w:b w:val="0"/>
          <w:bCs w:val="0"/>
          <w:color w:val="auto"/>
          <w:sz w:val="24"/>
          <w:szCs w:val="24"/>
          <w:highlight w:val="none"/>
          <w:lang w:eastAsia="zh-CN"/>
        </w:rPr>
        <w:t>）建立日常巡检及日常维护制度。在设备使用前、使用中、使用后对设备进行例行检查；按操作规程对设备适时进行养护，维护设备正常运行，及早发现故障和事故苗头，并视情况对零部件进行修换。要做好常用和急用备件的储备。对设备运行情况、故障发生情况、设备修理及零部件更换情况要做好记录并存档备查。</w:t>
      </w:r>
    </w:p>
    <w:p w14:paraId="1AF179D4">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4</w:t>
      </w:r>
      <w:r>
        <w:rPr>
          <w:rFonts w:hint="eastAsia" w:ascii="Times New Roman" w:hAnsi="Times New Roman" w:eastAsia="宋体" w:cs="宋体"/>
          <w:b w:val="0"/>
          <w:bCs w:val="0"/>
          <w:color w:val="auto"/>
          <w:sz w:val="24"/>
          <w:szCs w:val="24"/>
          <w:highlight w:val="none"/>
          <w:lang w:eastAsia="zh-CN"/>
        </w:rPr>
        <w:t>）建立专项检查和定期保养制度。定期开展设备运行、故障、事故情况分析，掌握设备各部件之劣化趋势或故障征兆。根据需要配备专业检查工具和仪器，准确确定修理、保养的部位、种类和时间。分别制定以状态为基准和以时间为基准的保养计划。组织工程技术人员做好设备专项检查和保养，配合国家质检部门做好年检或强制检测，提示并配合设备维保服务公司做好维保。</w:t>
      </w:r>
    </w:p>
    <w:p w14:paraId="76939C9D">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5</w:t>
      </w:r>
      <w:r>
        <w:rPr>
          <w:rFonts w:hint="eastAsia" w:ascii="Times New Roman" w:hAnsi="Times New Roman" w:eastAsia="宋体" w:cs="宋体"/>
          <w:b w:val="0"/>
          <w:bCs w:val="0"/>
          <w:color w:val="auto"/>
          <w:sz w:val="24"/>
          <w:szCs w:val="24"/>
          <w:highlight w:val="none"/>
          <w:lang w:eastAsia="zh-CN"/>
        </w:rPr>
        <w:t>）建立值班制度、交接班制度，明确职责。建立运行、维护、保养、事故等的记录台账、分析、报告制度，相关资料存档备查。建立应急管理制度及预案，并定期组织演练。</w:t>
      </w:r>
    </w:p>
    <w:p w14:paraId="210D7595">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6</w:t>
      </w:r>
      <w:r>
        <w:rPr>
          <w:rFonts w:hint="eastAsia" w:ascii="Times New Roman" w:hAnsi="Times New Roman" w:eastAsia="宋体" w:cs="宋体"/>
          <w:b w:val="0"/>
          <w:bCs w:val="0"/>
          <w:color w:val="auto"/>
          <w:sz w:val="24"/>
          <w:szCs w:val="24"/>
          <w:highlight w:val="none"/>
          <w:lang w:eastAsia="zh-CN"/>
        </w:rPr>
        <w:t>）做好机房及设备环境的保洁工作，做好防火、防水、防尘、防鼠工作。确保机房温度、湿度和通风达标。防止无关人员、无关物品进入机房，禁止易燃、易爆物品进入机房。及时排除故障。故障受理渠道畅通、响应及时、处置得当，尽量减少对生产、办公的影响。</w:t>
      </w:r>
    </w:p>
    <w:p w14:paraId="5BF73A35">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7</w:t>
      </w:r>
      <w:r>
        <w:rPr>
          <w:rFonts w:hint="eastAsia" w:ascii="Times New Roman" w:hAnsi="Times New Roman" w:eastAsia="宋体" w:cs="宋体"/>
          <w:b w:val="0"/>
          <w:bCs w:val="0"/>
          <w:color w:val="auto"/>
          <w:sz w:val="24"/>
          <w:szCs w:val="24"/>
          <w:highlight w:val="none"/>
          <w:lang w:eastAsia="zh-CN"/>
        </w:rPr>
        <w:t>）落实设备安全运行、岗位责任制；分工明确，定期巡检和维护保养设备，严格执行有关维修保养规程和操作使用规程，并按规定记录设备运行状况。变电所、弱电机房、消防控制室等重要部位应提供每天24小时值守并提供技术与人员保障，确保随时处置各类突发情况。</w:t>
      </w:r>
    </w:p>
    <w:p w14:paraId="715CC0FF">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8</w:t>
      </w:r>
      <w:r>
        <w:rPr>
          <w:rFonts w:hint="eastAsia" w:ascii="Times New Roman" w:hAnsi="Times New Roman" w:eastAsia="宋体" w:cs="宋体"/>
          <w:b w:val="0"/>
          <w:bCs w:val="0"/>
          <w:color w:val="auto"/>
          <w:sz w:val="24"/>
          <w:szCs w:val="24"/>
          <w:highlight w:val="none"/>
          <w:lang w:eastAsia="zh-CN"/>
        </w:rPr>
        <w:t>）保持员工队伍相对稳定，调动技术骨干须提前告知业主。按招投标文件岗位配置配足员工，不得擅自减少。经抽查，发现员工数减少，且无正当理由，中标方应及时补足规定的人数，并愿接受业主处罚。</w:t>
      </w:r>
    </w:p>
    <w:p w14:paraId="2FE2B15F">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9</w:t>
      </w:r>
      <w:r>
        <w:rPr>
          <w:rFonts w:hint="eastAsia" w:ascii="Times New Roman" w:hAnsi="Times New Roman" w:eastAsia="宋体" w:cs="宋体"/>
          <w:b w:val="0"/>
          <w:bCs w:val="0"/>
          <w:color w:val="auto"/>
          <w:sz w:val="24"/>
          <w:szCs w:val="24"/>
          <w:highlight w:val="none"/>
          <w:lang w:eastAsia="zh-CN"/>
        </w:rPr>
        <w:t>）建立各类设备管理台账，记录各类维修材料损耗及流向情况，并定期向业主提交设备管理服务运行情况工作报告并分析物耗情况。设备图纸、档案资料管理完善，收集齐全，分类清晰；建立设备台账，登记详细，账物相符，必须保管好招标人所有的工程设备图纸，因中标方原因遗失图纸所造成的损失，由中标方承担。</w:t>
      </w:r>
    </w:p>
    <w:p w14:paraId="71ABE8A2">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10</w:t>
      </w:r>
      <w:r>
        <w:rPr>
          <w:rFonts w:hint="eastAsia" w:ascii="Times New Roman" w:hAnsi="Times New Roman" w:eastAsia="宋体" w:cs="宋体"/>
          <w:b w:val="0"/>
          <w:bCs w:val="0"/>
          <w:color w:val="auto"/>
          <w:sz w:val="24"/>
          <w:szCs w:val="24"/>
          <w:highlight w:val="none"/>
          <w:lang w:eastAsia="zh-CN"/>
        </w:rPr>
        <w:t>）在设备维修过程中，设备维修期限为小修24小时，中修48小时，大修120小时。要保证维修质量，减少返修，并有回访记录。在接到维修通知后，应在30分钟内到达现场，维修及时率应保证达到100％。</w:t>
      </w:r>
    </w:p>
    <w:p w14:paraId="3C27F7A6">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11</w:t>
      </w:r>
      <w:r>
        <w:rPr>
          <w:rFonts w:hint="eastAsia" w:ascii="Times New Roman" w:hAnsi="Times New Roman" w:eastAsia="宋体" w:cs="宋体"/>
          <w:b w:val="0"/>
          <w:bCs w:val="0"/>
          <w:color w:val="auto"/>
          <w:sz w:val="24"/>
          <w:szCs w:val="24"/>
          <w:highlight w:val="none"/>
          <w:lang w:eastAsia="zh-CN"/>
        </w:rPr>
        <w:t>）灯具、灯带、插座/地插、开关面板（含弱电全控面板开关）、单相、三相电表（含互感器）、智能音箱控制面板、显示屏配件、配电箱内元器件、空调温控面板、门锁、铰链、门禁开关、门禁电源、伸缩门电机、安全出口指示灯、疏散指示、应急照明、消火栓、灭火器、消防喷淋头、烟感、温感、手报、消防水带、绿化喷淋头、水龙头、卫生间排风机、楼层新风机、各类阀门、地下车库排污泵、室外广播等零配件以及其他单次单价在</w:t>
      </w:r>
      <w:r>
        <w:rPr>
          <w:rFonts w:hint="eastAsia" w:ascii="Times New Roman" w:hAnsi="Times New Roman" w:eastAsia="宋体" w:cs="宋体"/>
          <w:b w:val="0"/>
          <w:bCs w:val="0"/>
          <w:color w:val="auto"/>
          <w:sz w:val="24"/>
          <w:szCs w:val="24"/>
          <w:highlight w:val="none"/>
          <w:lang w:val="en-US" w:eastAsia="zh-CN"/>
        </w:rPr>
        <w:t>2</w:t>
      </w:r>
      <w:r>
        <w:rPr>
          <w:rFonts w:hint="eastAsia" w:ascii="Times New Roman" w:hAnsi="Times New Roman" w:eastAsia="宋体" w:cs="宋体"/>
          <w:b w:val="0"/>
          <w:bCs w:val="0"/>
          <w:color w:val="auto"/>
          <w:sz w:val="24"/>
          <w:szCs w:val="24"/>
          <w:highlight w:val="none"/>
          <w:lang w:eastAsia="zh-CN"/>
        </w:rPr>
        <w:t>000元以下的零配件采购、更换、维修（含人工费用）由中标人负责，单次单价在</w:t>
      </w:r>
      <w:r>
        <w:rPr>
          <w:rFonts w:hint="eastAsia" w:ascii="Times New Roman" w:hAnsi="Times New Roman" w:eastAsia="宋体" w:cs="宋体"/>
          <w:b w:val="0"/>
          <w:bCs w:val="0"/>
          <w:color w:val="auto"/>
          <w:sz w:val="24"/>
          <w:szCs w:val="24"/>
          <w:highlight w:val="none"/>
          <w:lang w:val="en-US" w:eastAsia="zh-CN"/>
        </w:rPr>
        <w:t>2</w:t>
      </w:r>
      <w:r>
        <w:rPr>
          <w:rFonts w:hint="eastAsia" w:ascii="Times New Roman" w:hAnsi="Times New Roman" w:eastAsia="宋体" w:cs="宋体"/>
          <w:b w:val="0"/>
          <w:bCs w:val="0"/>
          <w:color w:val="auto"/>
          <w:sz w:val="24"/>
          <w:szCs w:val="24"/>
          <w:highlight w:val="none"/>
          <w:lang w:eastAsia="zh-CN"/>
        </w:rPr>
        <w:t>000元以上的零配件采购、更换、维修项目，中标人应向招标人提出书面申请，待招标人批准后方可执行，费用由招标人支付，所有更换的零配件与原配件同品牌或档次。</w:t>
      </w:r>
    </w:p>
    <w:p w14:paraId="58C6841E">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12</w:t>
      </w:r>
      <w:r>
        <w:rPr>
          <w:rFonts w:hint="eastAsia" w:ascii="Times New Roman" w:hAnsi="Times New Roman" w:eastAsia="宋体" w:cs="宋体"/>
          <w:b w:val="0"/>
          <w:bCs w:val="0"/>
          <w:color w:val="auto"/>
          <w:sz w:val="24"/>
          <w:szCs w:val="24"/>
          <w:highlight w:val="none"/>
          <w:lang w:eastAsia="zh-CN"/>
        </w:rPr>
        <w:t>）积极开展节能降耗工作，每月提供能耗数据分析报告，提出合理化建议。水、电等公共能耗费用由招标人与入驻单位分摊，中标人需协调供电部门办理电表过户，中标人负责</w:t>
      </w:r>
      <w:r>
        <w:rPr>
          <w:rFonts w:hint="eastAsia" w:ascii="Times New Roman" w:hAnsi="Times New Roman" w:eastAsia="宋体" w:cs="宋体"/>
          <w:b w:val="0"/>
          <w:bCs w:val="0"/>
          <w:color w:val="auto"/>
          <w:sz w:val="24"/>
          <w:szCs w:val="24"/>
          <w:highlight w:val="none"/>
          <w:lang w:val="en-US" w:eastAsia="zh-CN"/>
        </w:rPr>
        <w:t>各</w:t>
      </w:r>
      <w:r>
        <w:rPr>
          <w:rFonts w:hint="eastAsia" w:ascii="Times New Roman" w:hAnsi="Times New Roman" w:eastAsia="宋体" w:cs="宋体"/>
          <w:b w:val="0"/>
          <w:bCs w:val="0"/>
          <w:color w:val="auto"/>
          <w:sz w:val="24"/>
          <w:szCs w:val="24"/>
          <w:highlight w:val="none"/>
          <w:lang w:eastAsia="zh-CN"/>
        </w:rPr>
        <w:t>园区电费代收代缴以及协助</w:t>
      </w:r>
      <w:r>
        <w:rPr>
          <w:rFonts w:hint="eastAsia" w:ascii="Times New Roman" w:hAnsi="Times New Roman" w:eastAsia="宋体" w:cs="宋体"/>
          <w:b w:val="0"/>
          <w:bCs w:val="0"/>
          <w:color w:val="auto"/>
          <w:sz w:val="24"/>
          <w:szCs w:val="24"/>
          <w:highlight w:val="none"/>
          <w:lang w:val="en-US" w:eastAsia="zh-CN"/>
        </w:rPr>
        <w:t>招标人</w:t>
      </w:r>
      <w:r>
        <w:rPr>
          <w:rFonts w:hint="eastAsia" w:ascii="Times New Roman" w:hAnsi="Times New Roman" w:eastAsia="宋体" w:cs="宋体"/>
          <w:b w:val="0"/>
          <w:bCs w:val="0"/>
          <w:color w:val="auto"/>
          <w:sz w:val="24"/>
          <w:szCs w:val="24"/>
          <w:highlight w:val="none"/>
          <w:lang w:eastAsia="zh-CN"/>
        </w:rPr>
        <w:t>完成水费抄表和催缴。每月10日前完成上月</w:t>
      </w:r>
      <w:r>
        <w:rPr>
          <w:rFonts w:hint="eastAsia" w:ascii="Times New Roman" w:hAnsi="Times New Roman" w:eastAsia="宋体" w:cs="宋体"/>
          <w:b w:val="0"/>
          <w:bCs w:val="0"/>
          <w:color w:val="auto"/>
          <w:sz w:val="24"/>
          <w:szCs w:val="24"/>
          <w:highlight w:val="none"/>
          <w:lang w:val="en-US" w:eastAsia="zh-CN"/>
        </w:rPr>
        <w:t>各</w:t>
      </w:r>
      <w:r>
        <w:rPr>
          <w:rFonts w:hint="eastAsia" w:ascii="Times New Roman" w:hAnsi="Times New Roman" w:eastAsia="宋体" w:cs="宋体"/>
          <w:b w:val="0"/>
          <w:bCs w:val="0"/>
          <w:color w:val="auto"/>
          <w:sz w:val="24"/>
          <w:szCs w:val="24"/>
          <w:highlight w:val="none"/>
          <w:lang w:eastAsia="zh-CN"/>
        </w:rPr>
        <w:t>园区入驻单位水、电表抄表和费用结算工作，督促入驻单位及时缴纳水电费。每月月底前按区报送上月各入驻单位水电费用消耗和收取情况。</w:t>
      </w:r>
    </w:p>
    <w:p w14:paraId="354266A7">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13</w:t>
      </w:r>
      <w:r>
        <w:rPr>
          <w:rFonts w:hint="eastAsia" w:ascii="Times New Roman" w:hAnsi="Times New Roman" w:eastAsia="宋体" w:cs="宋体"/>
          <w:b w:val="0"/>
          <w:bCs w:val="0"/>
          <w:color w:val="auto"/>
          <w:sz w:val="24"/>
          <w:szCs w:val="24"/>
          <w:highlight w:val="none"/>
          <w:lang w:eastAsia="zh-CN"/>
        </w:rPr>
        <w:t>）对各类消防、器材每月检查或测试一次，并将检查或测试的结果书面报</w:t>
      </w:r>
      <w:r>
        <w:rPr>
          <w:rFonts w:hint="eastAsia" w:ascii="Times New Roman" w:hAnsi="Times New Roman" w:eastAsia="宋体" w:cs="宋体"/>
          <w:b w:val="0"/>
          <w:bCs w:val="0"/>
          <w:color w:val="auto"/>
          <w:sz w:val="24"/>
          <w:szCs w:val="24"/>
          <w:highlight w:val="none"/>
          <w:lang w:val="en-US" w:eastAsia="zh-CN"/>
        </w:rPr>
        <w:t>招标人</w:t>
      </w:r>
      <w:r>
        <w:rPr>
          <w:rFonts w:hint="eastAsia" w:ascii="Times New Roman" w:hAnsi="Times New Roman" w:eastAsia="宋体" w:cs="宋体"/>
          <w:b w:val="0"/>
          <w:bCs w:val="0"/>
          <w:color w:val="auto"/>
          <w:sz w:val="24"/>
          <w:szCs w:val="24"/>
          <w:highlight w:val="none"/>
          <w:lang w:eastAsia="zh-CN"/>
        </w:rPr>
        <w:t>，中标人委托具有相应资质的单位对即将到期的灭火器进行检测、维修或更换，相关费用由中标人承担。</w:t>
      </w:r>
    </w:p>
    <w:p w14:paraId="7AE4EA3D">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14</w:t>
      </w:r>
      <w:r>
        <w:rPr>
          <w:rFonts w:hint="eastAsia" w:ascii="Times New Roman" w:hAnsi="Times New Roman" w:eastAsia="宋体" w:cs="宋体"/>
          <w:b w:val="0"/>
          <w:bCs w:val="0"/>
          <w:color w:val="auto"/>
          <w:sz w:val="24"/>
          <w:szCs w:val="24"/>
          <w:highlight w:val="none"/>
          <w:lang w:eastAsia="zh-CN"/>
        </w:rPr>
        <w:t>）设备维保费（含</w:t>
      </w:r>
      <w:r>
        <w:rPr>
          <w:rFonts w:hint="eastAsia" w:ascii="Times New Roman" w:hAnsi="Times New Roman" w:eastAsia="宋体" w:cs="宋体"/>
          <w:b w:val="0"/>
          <w:bCs w:val="0"/>
          <w:color w:val="auto"/>
          <w:sz w:val="24"/>
          <w:szCs w:val="24"/>
          <w:highlight w:val="none"/>
          <w:lang w:val="en-US" w:eastAsia="zh-CN"/>
        </w:rPr>
        <w:t>各</w:t>
      </w:r>
      <w:r>
        <w:rPr>
          <w:rFonts w:hint="eastAsia" w:ascii="Times New Roman" w:hAnsi="Times New Roman" w:eastAsia="宋体" w:cs="宋体"/>
          <w:b w:val="0"/>
          <w:bCs w:val="0"/>
          <w:color w:val="auto"/>
          <w:sz w:val="24"/>
          <w:szCs w:val="24"/>
          <w:highlight w:val="none"/>
          <w:lang w:eastAsia="zh-CN"/>
        </w:rPr>
        <w:t>园区全部设备日常维保及损毁设备更换，包括但不限于：空调维保费、变配电维保费、电梯维保费、照明维护费、消防系统维保费、给排水系统维护费、智能化系统维保费、</w:t>
      </w:r>
      <w:r>
        <w:rPr>
          <w:rFonts w:hint="eastAsia" w:ascii="Times New Roman" w:hAnsi="Times New Roman" w:eastAsia="宋体" w:cs="宋体"/>
          <w:b w:val="0"/>
          <w:bCs w:val="0"/>
          <w:color w:val="auto"/>
          <w:sz w:val="24"/>
          <w:szCs w:val="24"/>
          <w:highlight w:val="none"/>
          <w:lang w:val="en-US" w:eastAsia="zh-CN"/>
        </w:rPr>
        <w:t>所有</w:t>
      </w:r>
      <w:r>
        <w:rPr>
          <w:rFonts w:hint="eastAsia" w:ascii="Times New Roman" w:hAnsi="Times New Roman" w:eastAsia="宋体" w:cs="宋体"/>
          <w:b w:val="0"/>
          <w:bCs w:val="0"/>
          <w:color w:val="auto"/>
          <w:sz w:val="24"/>
          <w:szCs w:val="24"/>
          <w:highlight w:val="none"/>
          <w:lang w:eastAsia="zh-CN"/>
        </w:rPr>
        <w:t>电梯年检费，费用由中标人承担。</w:t>
      </w:r>
    </w:p>
    <w:p w14:paraId="241678C4">
      <w:pPr>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15</w:t>
      </w:r>
      <w:r>
        <w:rPr>
          <w:rFonts w:hint="eastAsia" w:ascii="Times New Roman" w:hAnsi="Times New Roman" w:eastAsia="宋体" w:cs="宋体"/>
          <w:b w:val="0"/>
          <w:bCs w:val="0"/>
          <w:color w:val="auto"/>
          <w:sz w:val="24"/>
          <w:szCs w:val="24"/>
          <w:highlight w:val="none"/>
          <w:lang w:eastAsia="zh-CN"/>
        </w:rPr>
        <w:t>）配合有关部门做好安全工作，制订和完善各类设备系统突发事件应急处置预案，并定期培训和演练。中标人负责现场秩序和一切安全生产，如外部维保单位在</w:t>
      </w:r>
      <w:r>
        <w:rPr>
          <w:rFonts w:hint="eastAsia" w:ascii="Times New Roman" w:hAnsi="Times New Roman" w:eastAsia="宋体" w:cs="宋体"/>
          <w:b w:val="0"/>
          <w:bCs w:val="0"/>
          <w:color w:val="auto"/>
          <w:sz w:val="24"/>
          <w:szCs w:val="24"/>
          <w:highlight w:val="none"/>
          <w:lang w:val="en-US" w:eastAsia="zh-CN"/>
        </w:rPr>
        <w:t>楼内</w:t>
      </w:r>
      <w:r>
        <w:rPr>
          <w:rFonts w:hint="eastAsia" w:ascii="Times New Roman" w:hAnsi="Times New Roman" w:eastAsia="宋体" w:cs="宋体"/>
          <w:b w:val="0"/>
          <w:bCs w:val="0"/>
          <w:color w:val="auto"/>
          <w:sz w:val="24"/>
          <w:szCs w:val="24"/>
          <w:highlight w:val="none"/>
          <w:lang w:eastAsia="zh-CN"/>
        </w:rPr>
        <w:t>施工发生安全事故，属于中标人监管不到位，须承担相应责任。同时，本项目所有工程设备等的管理、安全等一切责任由中标人承担，不因是否有第三方维保单位而免责。</w:t>
      </w:r>
    </w:p>
    <w:p w14:paraId="14330B71">
      <w:pPr>
        <w:spacing w:line="360" w:lineRule="auto"/>
        <w:ind w:firstLine="480" w:firstLineChars="200"/>
        <w:rPr>
          <w:rFonts w:hint="eastAsia"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lang w:val="en-US" w:eastAsia="zh-CN"/>
        </w:rPr>
        <w:t>16</w:t>
      </w:r>
      <w:r>
        <w:rPr>
          <w:rFonts w:hint="eastAsia" w:ascii="Times New Roman" w:hAnsi="Times New Roman" w:eastAsia="宋体" w:cs="宋体"/>
          <w:b w:val="0"/>
          <w:bCs w:val="0"/>
          <w:color w:val="auto"/>
          <w:sz w:val="24"/>
          <w:szCs w:val="24"/>
          <w:highlight w:val="none"/>
          <w:lang w:eastAsia="zh-CN"/>
        </w:rPr>
        <w:t>）中标人在日常工作中应负责与下列单位进行协调：市政公司（供水、供电、供暖、天然气、环卫）、社居委、街道办事处、文保局、城管、城乡建设等，需参加上述单位组织的与物业管理有关的各种会议、宣传日等活动。</w:t>
      </w:r>
    </w:p>
    <w:p w14:paraId="0CF21871">
      <w:pPr>
        <w:spacing w:line="360" w:lineRule="auto"/>
        <w:ind w:firstLine="480" w:firstLineChars="200"/>
        <w:rPr>
          <w:rFonts w:hint="default"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val="0"/>
          <w:bCs w:val="0"/>
          <w:color w:val="auto"/>
          <w:sz w:val="24"/>
          <w:szCs w:val="24"/>
          <w:highlight w:val="none"/>
          <w:lang w:val="en-US" w:eastAsia="zh-CN"/>
        </w:rPr>
        <w:t>（17）在质保期内的质量维修工作由中标人及时通知施工单位进行维修。</w:t>
      </w:r>
    </w:p>
    <w:p w14:paraId="758C7C00">
      <w:pPr>
        <w:numPr>
          <w:ilvl w:val="0"/>
          <w:numId w:val="0"/>
        </w:numPr>
        <w:spacing w:line="360" w:lineRule="auto"/>
        <w:ind w:left="440" w:leftChars="0"/>
        <w:rPr>
          <w:rFonts w:hint="eastAsia" w:ascii="楷体_GB2312" w:hAnsi="楷体_GB2312" w:eastAsia="楷体_GB2312" w:cs="楷体_GB2312"/>
          <w:b/>
          <w:bCs/>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val="en-US" w:eastAsia="zh-CN"/>
        </w:rPr>
        <w:t>（四）房屋本体维修养护服务</w:t>
      </w:r>
    </w:p>
    <w:p w14:paraId="29D94FF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1.房屋维护养护管理</w:t>
      </w:r>
    </w:p>
    <w:p w14:paraId="1BFFDCB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（1）建立对房屋及其共用部位、共用设施设备等进行日常巡查制度，做好巡检记录，检修记录和保养记录齐全。发现问题及时报告，根据指示安排专项维修。</w:t>
      </w:r>
    </w:p>
    <w:p w14:paraId="4AD88721">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（2）根据房屋的结构类型、用途和使用年限、使用环境等情况，每年对房屋结构进行定期检查，检查中发现问题应及时报告，制定维修计划，进行修缮。</w:t>
      </w:r>
    </w:p>
    <w:p w14:paraId="7568472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（3）每年定期检查屋面、卫生间防水情况，确保无渗漏；检查外墙和外门窗等房屋外围护结构有无渗漏现象，发现渗漏的，应及时处理，确保无渗漏。</w:t>
      </w:r>
    </w:p>
    <w:p w14:paraId="02CEE710">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（4）维修属于小修范围的，及时组织修复；属于大、中修范围的，应及时编制维修方案计划和房屋专项维修资金使用计划，向招标人提出报告与建议，根据招标人的决定，组织维修。</w:t>
      </w:r>
    </w:p>
    <w:p w14:paraId="0A93BD93">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（5）宣传房屋安全使用的规范，检查和协助工作人员正确使用房屋及其设施设备。</w:t>
      </w:r>
    </w:p>
    <w:p w14:paraId="15EC9AF6">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（6）建立健全房屋及其设施设备竣工档案，维修设计方案及审批文件、维修施工监督。</w:t>
      </w:r>
    </w:p>
    <w:p w14:paraId="3F22F26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（7）记录、日常巡查记录等均应做好存档管理。物业服务合同到期后，须全部完整地移交给招标人。</w:t>
      </w:r>
    </w:p>
    <w:p w14:paraId="6E83E347">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8）避雷系统由中标人负责按规定委托专业机构进行检测。房屋本体的防雷设施应在每年3月前做好防雷电设施检查，保持所有的避雷设施及所有的金属物体的接地完好；防雷设施接地电阻不应大于1欧姆。引下线、屋顶避雷网线、中性点接地、设备层的避雷带、网无脱焊。如有生锈，应及时除锈，刷防锈漆和银粉漆进行保护。</w:t>
      </w:r>
    </w:p>
    <w:p w14:paraId="26CC0B61">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（9）每周检查一次重要机房的设备防静电地板的接地是否可靠，并对各楼层的金属窗、钢结构进行外观检查。</w:t>
      </w:r>
    </w:p>
    <w:p w14:paraId="7AD2544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（10）每半年一次对楼层强、弱电间内的接地装置进行检查，遇有问题及时解决。</w:t>
      </w:r>
    </w:p>
    <w:p w14:paraId="6B4EBFF1">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（11）每月一次对变配电室的设备接地带进行检查；每季对各重要机房内的配电柜及设备接地进行检查；保证所有机电设备、管道、构架等金属物接地良好。</w:t>
      </w:r>
    </w:p>
    <w:p w14:paraId="4E3F38D4">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（12）所有避雷设施完好。</w:t>
      </w:r>
    </w:p>
    <w:p w14:paraId="668121B1">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（13）接地电阻：≤4Ω，弱电设备接地电阻：≤1Ω。</w:t>
      </w:r>
    </w:p>
    <w:p w14:paraId="187CEEC7">
      <w:pPr>
        <w:spacing w:line="360" w:lineRule="auto"/>
        <w:ind w:firstLine="480" w:firstLineChars="2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（14）质保期类，房屋质量问题维修，由中标人及时通知施工单位进行维修。</w:t>
      </w:r>
    </w:p>
    <w:p w14:paraId="0BD1DEA9">
      <w:pPr>
        <w:spacing w:line="360" w:lineRule="auto"/>
        <w:ind w:firstLine="720" w:firstLineChars="3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2.装修管理</w:t>
      </w:r>
    </w:p>
    <w:p w14:paraId="4A50CAE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（1）装修工程须事先获得招标人的批准，否则，不得进行任何形式的装修工作。</w:t>
      </w:r>
    </w:p>
    <w:p w14:paraId="29C7CD64">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（2）装修审批手续完整，装修相关人员和材料方可放行。</w:t>
      </w:r>
    </w:p>
    <w:p w14:paraId="57D73C4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（3）装修不得改变建筑物立面外观，不得改变房屋建筑结构及功能，不得改变设施设备功能和最高有效负荷限量。</w:t>
      </w:r>
    </w:p>
    <w:p w14:paraId="5AE5619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（4）中标投标人应对装修施工实施监督，到装修施工现场全程查看施工情况。发现违反装修方案、危害房屋安全和装修管理制度的行为、现象应及时劝阻、制止，并及时报告招标人。</w:t>
      </w:r>
    </w:p>
    <w:p w14:paraId="32FBCEB3">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（5）装饰装修工程涉及的工程内容和施工必须符合国家现行房屋结构安全和建筑装饰装修工程的有关规范规定。</w:t>
      </w:r>
    </w:p>
    <w:p w14:paraId="12B9D227">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（6）建立入驻单位装修档案，内容应包括装修申请、审批、验收资料等。</w:t>
      </w:r>
    </w:p>
    <w:p w14:paraId="35DBCDB3">
      <w:pPr>
        <w:numPr>
          <w:ilvl w:val="0"/>
          <w:numId w:val="0"/>
        </w:numPr>
        <w:spacing w:line="360" w:lineRule="auto"/>
        <w:ind w:left="440" w:leftChars="0"/>
        <w:rPr>
          <w:rFonts w:hint="eastAsia" w:ascii="楷体_GB2312" w:hAnsi="楷体_GB2312" w:eastAsia="楷体_GB2312" w:cs="楷体_GB2312"/>
          <w:b/>
          <w:bCs/>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val="en-US" w:eastAsia="zh-CN"/>
        </w:rPr>
        <w:t>（五）绿化看护与养护服务</w:t>
      </w:r>
    </w:p>
    <w:p w14:paraId="4040A13E">
      <w:pPr>
        <w:numPr>
          <w:ilvl w:val="0"/>
          <w:numId w:val="3"/>
        </w:num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服务内容</w:t>
      </w:r>
    </w:p>
    <w:p w14:paraId="1B424CDB">
      <w:pPr>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1</w:t>
      </w:r>
      <w:r>
        <w:rPr>
          <w:rFonts w:hint="eastAsia" w:ascii="Times New Roman" w:hAnsi="Times New Roman" w:eastAsia="宋体" w:cs="宋体"/>
          <w:color w:val="auto"/>
          <w:sz w:val="24"/>
          <w:szCs w:val="24"/>
          <w:highlight w:val="none"/>
          <w:lang w:eastAsia="zh-CN"/>
        </w:rPr>
        <w:t>）中标人负责</w:t>
      </w:r>
      <w:r>
        <w:rPr>
          <w:rFonts w:hint="eastAsia" w:ascii="Times New Roman" w:hAnsi="Times New Roman" w:eastAsia="宋体" w:cs="宋体"/>
          <w:color w:val="auto"/>
          <w:sz w:val="24"/>
          <w:szCs w:val="24"/>
          <w:highlight w:val="none"/>
          <w:lang w:val="en-US" w:eastAsia="zh-CN"/>
        </w:rPr>
        <w:t>各项目</w:t>
      </w:r>
      <w:r>
        <w:rPr>
          <w:rFonts w:hint="eastAsia" w:ascii="Times New Roman" w:hAnsi="Times New Roman" w:eastAsia="宋体" w:cs="宋体"/>
          <w:color w:val="auto"/>
          <w:sz w:val="24"/>
          <w:szCs w:val="24"/>
          <w:highlight w:val="none"/>
          <w:lang w:eastAsia="zh-CN"/>
        </w:rPr>
        <w:t>室外、屋顶的绿化养护，确保</w:t>
      </w:r>
      <w:r>
        <w:rPr>
          <w:rFonts w:hint="eastAsia" w:ascii="Times New Roman" w:hAnsi="Times New Roman" w:eastAsia="宋体" w:cs="宋体"/>
          <w:color w:val="auto"/>
          <w:sz w:val="24"/>
          <w:szCs w:val="24"/>
          <w:highlight w:val="none"/>
          <w:lang w:val="en-US" w:eastAsia="zh-CN"/>
        </w:rPr>
        <w:t>各项目楼宇</w:t>
      </w:r>
      <w:r>
        <w:rPr>
          <w:rFonts w:hint="eastAsia" w:ascii="Times New Roman" w:hAnsi="Times New Roman" w:eastAsia="宋体" w:cs="宋体"/>
          <w:color w:val="auto"/>
          <w:sz w:val="24"/>
          <w:szCs w:val="24"/>
          <w:highlight w:val="none"/>
          <w:lang w:eastAsia="zh-CN"/>
        </w:rPr>
        <w:t>内外花草树木生长茂盛、不枯黄、无杂草、无死树和枯枝，按时中耕、浇水、施肥、修剪和除虫除害等。</w:t>
      </w:r>
    </w:p>
    <w:p w14:paraId="26E2A695">
      <w:pPr>
        <w:spacing w:line="360" w:lineRule="auto"/>
        <w:ind w:firstLine="480" w:firstLineChars="200"/>
        <w:rPr>
          <w:rFonts w:hint="eastAsia" w:ascii="Times New Roman" w:hAnsi="Times New Roman" w:cs="宋体"/>
          <w:b/>
          <w:bCs/>
          <w:color w:val="auto"/>
          <w:sz w:val="24"/>
          <w:szCs w:val="24"/>
          <w:highlight w:val="none"/>
        </w:rPr>
      </w:pP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lang w:eastAsia="zh-CN"/>
        </w:rPr>
        <w:t>）整修及时，定期修剪、打药、除虫、除草，及时浇灌，冬季及时裹干、涂白，并根据绿地植物分布状况及生长的各个阶段，对植物群落进行合理养护，保持植物季相分明、群落完整、层次得当、生长茂盛，把绿化养护到位。</w:t>
      </w:r>
    </w:p>
    <w:p w14:paraId="27F75EAF">
      <w:pPr>
        <w:numPr>
          <w:ilvl w:val="0"/>
          <w:numId w:val="0"/>
        </w:numPr>
        <w:spacing w:line="360" w:lineRule="auto"/>
        <w:ind w:firstLine="482" w:firstLineChars="200"/>
        <w:rPr>
          <w:rFonts w:hint="eastAsia"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lang w:eastAsia="zh-CN"/>
        </w:rPr>
        <w:t>四、</w:t>
      </w:r>
      <w:r>
        <w:rPr>
          <w:rFonts w:hint="eastAsia" w:ascii="Times New Roman" w:hAnsi="Times New Roman" w:cs="宋体"/>
          <w:b/>
          <w:bCs/>
          <w:color w:val="auto"/>
          <w:sz w:val="24"/>
          <w:szCs w:val="24"/>
          <w:highlight w:val="none"/>
        </w:rPr>
        <w:t>人员配置要求</w:t>
      </w:r>
    </w:p>
    <w:p w14:paraId="52A559EB">
      <w:pPr>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保洁人员2人，</w:t>
      </w:r>
      <w:r>
        <w:rPr>
          <w:rFonts w:hint="eastAsia" w:ascii="宋体" w:hAnsi="宋体" w:eastAsia="宋体" w:cs="宋体"/>
          <w:color w:val="auto"/>
          <w:kern w:val="2"/>
          <w:sz w:val="24"/>
          <w:szCs w:val="24"/>
          <w:highlight w:val="none"/>
          <w:lang w:eastAsia="zh-CN"/>
        </w:rPr>
        <w:t>常驻</w:t>
      </w:r>
      <w:r>
        <w:rPr>
          <w:rFonts w:hint="eastAsia" w:ascii="宋体" w:hAnsi="宋体" w:eastAsia="宋体" w:cs="宋体"/>
          <w:color w:val="auto"/>
          <w:kern w:val="2"/>
          <w:sz w:val="24"/>
          <w:szCs w:val="24"/>
          <w:highlight w:val="none"/>
        </w:rPr>
        <w:t>保安人员1人（</w:t>
      </w:r>
      <w:r>
        <w:rPr>
          <w:rFonts w:hint="eastAsia" w:ascii="宋体" w:hAnsi="宋体" w:eastAsia="宋体" w:cs="宋体"/>
          <w:color w:val="auto"/>
          <w:kern w:val="2"/>
          <w:sz w:val="24"/>
          <w:szCs w:val="24"/>
          <w:highlight w:val="none"/>
          <w:lang w:eastAsia="zh-CN"/>
        </w:rPr>
        <w:t>值班时间为早上</w:t>
      </w:r>
      <w:r>
        <w:rPr>
          <w:rFonts w:hint="eastAsia" w:ascii="宋体" w:hAnsi="宋体" w:eastAsia="宋体" w:cs="宋体"/>
          <w:color w:val="auto"/>
          <w:kern w:val="2"/>
          <w:sz w:val="24"/>
          <w:szCs w:val="24"/>
          <w:highlight w:val="none"/>
          <w:lang w:val="en-US" w:eastAsia="zh-CN"/>
        </w:rPr>
        <w:t>9点至晚上10点，无休息日</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如有需要，招标人有权要求中标人增配</w:t>
      </w:r>
      <w:r>
        <w:rPr>
          <w:rFonts w:hint="eastAsia" w:ascii="宋体" w:hAnsi="宋体" w:eastAsia="宋体" w:cs="宋体"/>
          <w:color w:val="auto"/>
          <w:kern w:val="2"/>
          <w:sz w:val="24"/>
          <w:szCs w:val="24"/>
          <w:highlight w:val="none"/>
          <w:lang w:val="en-US" w:eastAsia="zh-CN"/>
        </w:rPr>
        <w:t>1名项目负责人。</w:t>
      </w:r>
    </w:p>
    <w:p w14:paraId="2751AA32">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.保洁人员基本要求</w:t>
      </w:r>
    </w:p>
    <w:p w14:paraId="0B8AC731">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（1）品德良好，工作态度端正，责任心强，无不良行为记录，身体健康。</w:t>
      </w:r>
    </w:p>
    <w:p w14:paraId="055E4429">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（2）接受过专业培训和训练，业务熟练。</w:t>
      </w:r>
    </w:p>
    <w:p w14:paraId="10A51D2F">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（3）仪容仪表仪态大方，五官端正，统一着装。</w:t>
      </w:r>
    </w:p>
    <w:p w14:paraId="3E08BF09">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（4）身体健康（有健康证），精力充沛，形体符合工作要求。</w:t>
      </w:r>
    </w:p>
    <w:p w14:paraId="2547E87E">
      <w:pPr>
        <w:spacing w:line="360" w:lineRule="auto"/>
        <w:ind w:firstLine="480" w:firstLineChars="200"/>
        <w:rPr>
          <w:rFonts w:hint="eastAsia"/>
          <w:color w:val="auto"/>
          <w:highlight w:val="none"/>
          <w:lang w:val="en-US" w:eastAsia="zh-CN"/>
        </w:rPr>
      </w:pPr>
      <w:r>
        <w:rPr>
          <w:rFonts w:hint="eastAsia" w:ascii="Times New Roman" w:hAnsi="Times New Roman"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到岗工作人员以中青年为主，</w:t>
      </w:r>
      <w:r>
        <w:rPr>
          <w:rFonts w:hint="eastAsia" w:ascii="宋体" w:hAnsi="宋体" w:eastAsia="宋体" w:cs="宋体"/>
          <w:color w:val="auto"/>
          <w:sz w:val="24"/>
          <w:szCs w:val="24"/>
          <w:highlight w:val="none"/>
          <w:lang w:val="en-US" w:eastAsia="zh-CN"/>
        </w:rPr>
        <w:t>男性</w:t>
      </w:r>
      <w:r>
        <w:rPr>
          <w:rFonts w:hint="default" w:ascii="宋体" w:hAnsi="宋体" w:eastAsia="宋体" w:cs="宋体"/>
          <w:color w:val="auto"/>
          <w:sz w:val="24"/>
          <w:szCs w:val="24"/>
          <w:highlight w:val="none"/>
          <w:lang w:val="en-US" w:eastAsia="zh-CN"/>
        </w:rPr>
        <w:t>60周岁以内</w:t>
      </w:r>
      <w:r>
        <w:rPr>
          <w:rFonts w:hint="eastAsia" w:ascii="宋体" w:hAnsi="宋体" w:eastAsia="宋体" w:cs="宋体"/>
          <w:color w:val="auto"/>
          <w:sz w:val="24"/>
          <w:szCs w:val="24"/>
          <w:highlight w:val="none"/>
          <w:lang w:val="en-US" w:eastAsia="zh-CN"/>
        </w:rPr>
        <w:t>，女性55周岁以内</w:t>
      </w:r>
      <w:r>
        <w:rPr>
          <w:rFonts w:hint="default" w:ascii="宋体" w:hAnsi="宋体" w:eastAsia="宋体" w:cs="宋体"/>
          <w:color w:val="auto"/>
          <w:sz w:val="24"/>
          <w:szCs w:val="24"/>
          <w:highlight w:val="none"/>
          <w:lang w:val="en-US" w:eastAsia="zh-CN"/>
        </w:rPr>
        <w:t>。</w:t>
      </w:r>
    </w:p>
    <w:p w14:paraId="212028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安保人员基本要求</w:t>
      </w:r>
    </w:p>
    <w:p w14:paraId="6081E8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（1）政审合格，品德良好，工作态度端正，责任心强，无不良行为记录。</w:t>
      </w:r>
    </w:p>
    <w:p w14:paraId="64B1DE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（2）五官端正，仪态大方，符合环境和角色要求，统一着装。</w:t>
      </w:r>
    </w:p>
    <w:p w14:paraId="5B821E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（3）身体健康，精力充沛，形体符合工作要求，无纹身。</w:t>
      </w:r>
    </w:p>
    <w:p w14:paraId="655E6B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（4）接受过专业训练，业务熟练，机智勇敢。能掌握监控、巡更、周界等系统基本操作。</w:t>
      </w:r>
    </w:p>
    <w:p w14:paraId="3A46AFA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lang w:val="en-US" w:eastAsia="zh-CN"/>
        </w:rPr>
        <w:t>到岗工作人员以中青年为主，</w:t>
      </w:r>
      <w:r>
        <w:rPr>
          <w:rFonts w:hint="eastAsia" w:ascii="宋体" w:hAnsi="宋体" w:eastAsia="宋体" w:cs="宋体"/>
          <w:color w:val="auto"/>
          <w:sz w:val="24"/>
          <w:szCs w:val="24"/>
          <w:highlight w:val="none"/>
          <w:lang w:val="en-US" w:eastAsia="zh-CN"/>
        </w:rPr>
        <w:t>男性</w:t>
      </w:r>
      <w:r>
        <w:rPr>
          <w:rFonts w:hint="default" w:ascii="宋体" w:hAnsi="宋体" w:eastAsia="宋体" w:cs="宋体"/>
          <w:color w:val="auto"/>
          <w:sz w:val="24"/>
          <w:szCs w:val="24"/>
          <w:highlight w:val="none"/>
          <w:lang w:val="en-US" w:eastAsia="zh-CN"/>
        </w:rPr>
        <w:t>60周岁以内</w:t>
      </w:r>
      <w:r>
        <w:rPr>
          <w:rFonts w:hint="eastAsia" w:ascii="宋体" w:hAnsi="宋体" w:eastAsia="宋体" w:cs="宋体"/>
          <w:color w:val="auto"/>
          <w:sz w:val="24"/>
          <w:szCs w:val="24"/>
          <w:highlight w:val="none"/>
          <w:lang w:val="en-US" w:eastAsia="zh-CN"/>
        </w:rPr>
        <w:t>，女性55周岁以内</w:t>
      </w:r>
      <w:r>
        <w:rPr>
          <w:rFonts w:hint="default" w:ascii="宋体" w:hAnsi="宋体" w:eastAsia="宋体" w:cs="宋体"/>
          <w:color w:val="auto"/>
          <w:sz w:val="24"/>
          <w:szCs w:val="24"/>
          <w:highlight w:val="none"/>
          <w:lang w:val="en-US" w:eastAsia="zh-CN"/>
        </w:rPr>
        <w:t>。</w:t>
      </w:r>
    </w:p>
    <w:p w14:paraId="330F113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3.维修</w:t>
      </w:r>
      <w:r>
        <w:rPr>
          <w:rFonts w:hint="default" w:ascii="宋体" w:hAnsi="宋体" w:eastAsia="宋体" w:cs="宋体"/>
          <w:color w:val="auto"/>
          <w:sz w:val="24"/>
          <w:szCs w:val="24"/>
          <w:highlight w:val="none"/>
          <w:lang w:val="en-US" w:eastAsia="zh-CN"/>
        </w:rPr>
        <w:t>人员基本要求</w:t>
      </w:r>
    </w:p>
    <w:p w14:paraId="69C26B54">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（1）品德良好，工作态度端正，责任心强，无不良行为记录，身体健康。</w:t>
      </w:r>
    </w:p>
    <w:p w14:paraId="28CFF8AC">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（2）接受过专业培训和训练，业务熟练,统一着装。</w:t>
      </w:r>
    </w:p>
    <w:p w14:paraId="2626ED62">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（3）水电维修人员，具有与岗位相关的证书，熟悉掌握相关系统原理和操作技能。</w:t>
      </w:r>
    </w:p>
    <w:p w14:paraId="114F89AD">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（4）到岗工作人员以中青年为主，</w:t>
      </w:r>
      <w:r>
        <w:rPr>
          <w:rFonts w:hint="eastAsia" w:ascii="宋体" w:hAnsi="宋体" w:eastAsia="宋体" w:cs="宋体"/>
          <w:color w:val="auto"/>
          <w:sz w:val="24"/>
          <w:szCs w:val="24"/>
          <w:highlight w:val="none"/>
          <w:lang w:val="en-US" w:eastAsia="zh-CN"/>
        </w:rPr>
        <w:t>男性</w:t>
      </w:r>
      <w:r>
        <w:rPr>
          <w:rFonts w:hint="default" w:ascii="宋体" w:hAnsi="宋体" w:eastAsia="宋体" w:cs="宋体"/>
          <w:color w:val="auto"/>
          <w:sz w:val="24"/>
          <w:szCs w:val="24"/>
          <w:highlight w:val="none"/>
          <w:lang w:val="en-US" w:eastAsia="zh-CN"/>
        </w:rPr>
        <w:t>60周岁以内</w:t>
      </w:r>
      <w:r>
        <w:rPr>
          <w:rFonts w:hint="eastAsia" w:ascii="宋体" w:hAnsi="宋体" w:eastAsia="宋体" w:cs="宋体"/>
          <w:color w:val="auto"/>
          <w:sz w:val="24"/>
          <w:szCs w:val="24"/>
          <w:highlight w:val="none"/>
          <w:lang w:val="en-US" w:eastAsia="zh-CN"/>
        </w:rPr>
        <w:t>，女性55周岁以内</w:t>
      </w:r>
      <w:r>
        <w:rPr>
          <w:rFonts w:hint="default" w:ascii="宋体" w:hAnsi="宋体" w:eastAsia="宋体" w:cs="宋体"/>
          <w:color w:val="auto"/>
          <w:sz w:val="24"/>
          <w:szCs w:val="24"/>
          <w:highlight w:val="none"/>
          <w:lang w:val="en-US" w:eastAsia="zh-CN"/>
        </w:rPr>
        <w:t>。。</w:t>
      </w:r>
    </w:p>
    <w:p w14:paraId="4021EAF8">
      <w:pPr>
        <w:spacing w:line="360" w:lineRule="auto"/>
        <w:ind w:firstLine="482" w:firstLineChars="200"/>
        <w:rPr>
          <w:rFonts w:hint="eastAsia" w:ascii="黑体" w:hAnsi="黑体" w:eastAsia="黑体" w:cs="黑体"/>
          <w:b/>
          <w:bCs/>
          <w:color w:val="auto"/>
          <w:kern w:val="2"/>
          <w:sz w:val="24"/>
          <w:szCs w:val="24"/>
          <w:highlight w:val="none"/>
        </w:rPr>
      </w:pPr>
      <w:r>
        <w:rPr>
          <w:rFonts w:hint="eastAsia" w:ascii="黑体" w:hAnsi="黑体" w:eastAsia="黑体" w:cs="黑体"/>
          <w:b/>
          <w:bCs/>
          <w:color w:val="auto"/>
          <w:kern w:val="2"/>
          <w:sz w:val="24"/>
          <w:szCs w:val="24"/>
          <w:highlight w:val="none"/>
          <w:lang w:eastAsia="zh-CN"/>
        </w:rPr>
        <w:t>五</w:t>
      </w:r>
      <w:r>
        <w:rPr>
          <w:rFonts w:hint="eastAsia" w:ascii="黑体" w:hAnsi="黑体" w:eastAsia="黑体" w:cs="黑体"/>
          <w:b/>
          <w:bCs/>
          <w:color w:val="auto"/>
          <w:kern w:val="2"/>
          <w:sz w:val="24"/>
          <w:szCs w:val="24"/>
          <w:highlight w:val="none"/>
        </w:rPr>
        <w:t>、报价要求</w:t>
      </w:r>
    </w:p>
    <w:p w14:paraId="2C4A45AC">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0"/>
          <w:highlight w:val="none"/>
        </w:rPr>
        <w:t>1、</w:t>
      </w:r>
      <w:r>
        <w:rPr>
          <w:rFonts w:hint="eastAsia" w:ascii="宋体" w:hAnsi="宋体" w:eastAsia="宋体" w:cs="宋体"/>
          <w:color w:val="auto"/>
          <w:kern w:val="2"/>
          <w:sz w:val="24"/>
          <w:szCs w:val="24"/>
          <w:highlight w:val="none"/>
        </w:rPr>
        <w:t>本项目采用总价报价</w:t>
      </w:r>
      <w:r>
        <w:rPr>
          <w:rFonts w:hint="eastAsia" w:ascii="宋体" w:hAnsi="宋体" w:eastAsia="宋体" w:cs="宋体"/>
          <w:color w:val="auto"/>
          <w:kern w:val="2"/>
          <w:sz w:val="24"/>
          <w:szCs w:val="24"/>
          <w:highlight w:val="none"/>
          <w:lang w:eastAsia="zh-CN"/>
        </w:rPr>
        <w:t>与单价报价（元</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eastAsia="zh-CN"/>
        </w:rPr>
        <w:t>）相结合</w:t>
      </w:r>
      <w:r>
        <w:rPr>
          <w:rFonts w:hint="eastAsia" w:ascii="宋体" w:hAnsi="宋体" w:eastAsia="宋体" w:cs="宋体"/>
          <w:color w:val="auto"/>
          <w:kern w:val="2"/>
          <w:sz w:val="24"/>
          <w:szCs w:val="24"/>
          <w:highlight w:val="none"/>
        </w:rPr>
        <w:t>的报价方式</w:t>
      </w:r>
      <w:r>
        <w:rPr>
          <w:rFonts w:hint="eastAsia" w:ascii="宋体" w:hAnsi="宋体" w:eastAsia="宋体" w:cs="宋体"/>
          <w:color w:val="auto"/>
          <w:kern w:val="2"/>
          <w:sz w:val="24"/>
          <w:szCs w:val="24"/>
          <w:highlight w:val="none"/>
          <w:lang w:eastAsia="zh-CN"/>
        </w:rPr>
        <w:t>，以报价总价作为项目定标的依据，单价报价作为后期子合同签订的依据</w:t>
      </w:r>
      <w:r>
        <w:rPr>
          <w:rFonts w:hint="eastAsia" w:ascii="宋体" w:hAnsi="宋体" w:eastAsia="宋体" w:cs="宋体"/>
          <w:color w:val="auto"/>
          <w:kern w:val="2"/>
          <w:sz w:val="24"/>
          <w:szCs w:val="24"/>
          <w:highlight w:val="none"/>
        </w:rPr>
        <w:t>。总价为完成本次项目的全费用价格，其组成包括但不限于人员工资、管理费、施工费、服装费、办公费、交通费、通讯费、培训费、税金、利润、劳动保险费、合同工期内的风险费用等为完成本次项目所发生的一切费用。</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自行承担员工养老、失业、医疗、工伤、纳税等保险及劳保、工资、福利、食宿、员工上下班交通、</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采购交通问题及供应商为完成服务所发生的一切费用。</w:t>
      </w:r>
    </w:p>
    <w:p w14:paraId="2A3B38BC">
      <w:pPr>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2.投标报价包含保洁基础工具、消防维保费、电梯维保费用等本招标文件中约定所有应由中标人承担的费用。</w:t>
      </w:r>
    </w:p>
    <w:p w14:paraId="729FFDF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.本项目预算不包含绿植租摆、电梯电费、公共区域（含地下车库）水电、中央空调及其他公共设施设备运行等公</w:t>
      </w:r>
      <w:r>
        <w:rPr>
          <w:rFonts w:hint="eastAsia" w:ascii="宋体" w:hAnsi="宋体" w:eastAsia="宋体" w:cs="宋体"/>
          <w:color w:val="auto"/>
          <w:kern w:val="2"/>
          <w:sz w:val="24"/>
          <w:szCs w:val="24"/>
          <w:highlight w:val="none"/>
          <w:lang w:val="en-US" w:eastAsia="zh-CN"/>
        </w:rPr>
        <w:t>共</w:t>
      </w:r>
      <w:r>
        <w:rPr>
          <w:rFonts w:hint="eastAsia" w:ascii="宋体" w:hAnsi="宋体" w:eastAsia="宋体" w:cs="宋体"/>
          <w:color w:val="auto"/>
          <w:kern w:val="2"/>
          <w:sz w:val="24"/>
          <w:szCs w:val="24"/>
          <w:highlight w:val="none"/>
        </w:rPr>
        <w:t>能耗费由实际使用人或业主据实分摊。</w:t>
      </w:r>
    </w:p>
    <w:p w14:paraId="7BD25AE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在承包期内应按劳动法等相关规定及时足额发放人员工资和有关福利待遇（如加班费等），人员工资不得低于合肥市市区现行最低标准，保险按国家相关规定执行。如发生劳资纠纷，由</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独立承担和解决。承包期内发生的一切事故，如治安、交通事故和劳资纠纷等，均由</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承担。承包期内因省、市政府出台文件调整最低人员保障工资的，</w:t>
      </w:r>
      <w:r>
        <w:rPr>
          <w:rFonts w:hint="eastAsia" w:ascii="宋体" w:hAnsi="宋体" w:eastAsia="宋体" w:cs="宋体"/>
          <w:color w:val="auto"/>
          <w:kern w:val="2"/>
          <w:sz w:val="24"/>
          <w:szCs w:val="24"/>
          <w:highlight w:val="none"/>
          <w:lang w:eastAsia="zh-CN"/>
        </w:rPr>
        <w:t>中标人</w:t>
      </w:r>
      <w:r>
        <w:rPr>
          <w:rFonts w:hint="eastAsia" w:ascii="宋体" w:hAnsi="宋体" w:eastAsia="宋体" w:cs="宋体"/>
          <w:color w:val="auto"/>
          <w:kern w:val="2"/>
          <w:sz w:val="24"/>
          <w:szCs w:val="24"/>
          <w:highlight w:val="none"/>
        </w:rPr>
        <w:t>须无条件予以调整，该风险供应商报价时须综合考虑并承担，以后</w:t>
      </w:r>
      <w:r>
        <w:rPr>
          <w:rFonts w:hint="eastAsia" w:ascii="宋体" w:hAnsi="宋体" w:eastAsia="宋体" w:cs="宋体"/>
          <w:color w:val="auto"/>
          <w:kern w:val="2"/>
          <w:sz w:val="24"/>
          <w:szCs w:val="24"/>
          <w:highlight w:val="none"/>
          <w:lang w:eastAsia="zh-CN"/>
        </w:rPr>
        <w:t>招标人</w:t>
      </w:r>
      <w:r>
        <w:rPr>
          <w:rFonts w:hint="eastAsia" w:ascii="宋体" w:hAnsi="宋体" w:eastAsia="宋体" w:cs="宋体"/>
          <w:color w:val="auto"/>
          <w:kern w:val="2"/>
          <w:sz w:val="24"/>
          <w:szCs w:val="24"/>
          <w:highlight w:val="none"/>
        </w:rPr>
        <w:t>不再给予。</w:t>
      </w:r>
    </w:p>
    <w:p w14:paraId="2C4B7ED1">
      <w:pPr>
        <w:autoSpaceDE/>
        <w:autoSpaceDN/>
        <w:spacing w:before="0" w:after="0" w:line="360" w:lineRule="auto"/>
        <w:ind w:left="0" w:right="0"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5.中标后由招标人指定使用单位分别与中标人签订物业合同。各项目部分空间将对外招租，相关对外招租空间租赁期间，由中标人直接按中标价格与租赁单位签订物业服务协议，并进行相关费用的结算。</w:t>
      </w:r>
    </w:p>
    <w:p w14:paraId="047FC8E4">
      <w:pPr>
        <w:autoSpaceDE/>
        <w:autoSpaceDN/>
        <w:spacing w:before="0" w:after="0" w:line="360" w:lineRule="auto"/>
        <w:ind w:left="0" w:right="0"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6.其他未尽事宜，双方协商解决，经协商不成的，按相关规定执行。</w:t>
      </w:r>
    </w:p>
    <w:p w14:paraId="30B5BE41">
      <w:pPr>
        <w:autoSpaceDE/>
        <w:autoSpaceDN/>
        <w:spacing w:before="0" w:after="0" w:line="360" w:lineRule="auto"/>
        <w:ind w:left="0" w:right="0" w:firstLine="482" w:firstLineChars="200"/>
        <w:jc w:val="both"/>
        <w:rPr>
          <w:rFonts w:hint="eastAsia" w:ascii="黑体" w:hAnsi="黑体" w:eastAsia="黑体" w:cs="黑体"/>
          <w:b/>
          <w:bCs/>
          <w:color w:val="auto"/>
          <w:kern w:val="2"/>
          <w:sz w:val="24"/>
          <w:szCs w:val="24"/>
          <w:highlight w:val="none"/>
          <w:lang w:val="en-US" w:bidi="ar-SA"/>
        </w:rPr>
      </w:pPr>
      <w:r>
        <w:rPr>
          <w:rFonts w:hint="eastAsia" w:ascii="黑体" w:hAnsi="黑体" w:eastAsia="黑体" w:cs="黑体"/>
          <w:b/>
          <w:bCs/>
          <w:color w:val="auto"/>
          <w:kern w:val="2"/>
          <w:sz w:val="24"/>
          <w:szCs w:val="24"/>
          <w:highlight w:val="none"/>
          <w:lang w:val="en-US" w:eastAsia="zh-CN" w:bidi="ar-SA"/>
        </w:rPr>
        <w:t>六</w:t>
      </w:r>
      <w:r>
        <w:rPr>
          <w:rFonts w:hint="eastAsia" w:ascii="黑体" w:hAnsi="黑体" w:eastAsia="黑体" w:cs="黑体"/>
          <w:b/>
          <w:bCs/>
          <w:color w:val="auto"/>
          <w:kern w:val="2"/>
          <w:sz w:val="24"/>
          <w:szCs w:val="24"/>
          <w:highlight w:val="none"/>
          <w:lang w:val="en-US" w:bidi="ar-SA"/>
        </w:rPr>
        <w:t>、考核办法</w:t>
      </w:r>
    </w:p>
    <w:p w14:paraId="528C65DE">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bookmarkStart w:id="32" w:name="_Hlk42624468"/>
      <w:r>
        <w:rPr>
          <w:rFonts w:hint="eastAsia" w:ascii="宋体" w:hAnsi="宋体" w:eastAsia="宋体"/>
          <w:color w:val="auto"/>
          <w:sz w:val="24"/>
          <w:highlight w:val="none"/>
          <w:lang w:val="en-US" w:eastAsia="zh-CN"/>
        </w:rPr>
        <w:t>1.考核形式</w:t>
      </w:r>
    </w:p>
    <w:p w14:paraId="4E172A2D">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（1）日常巡查。由招标人及使用人进行日常巡查，并做好巡查记录。</w:t>
      </w:r>
    </w:p>
    <w:p w14:paraId="4971EA33">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（2）全面检查。由招标人组织各使用单位对物业管理进行全面检测，原则上每月一次，对照招标人制定的物业服务评分细则，现场评分、亮分，并由中标人对检查结果认可签字。</w:t>
      </w:r>
    </w:p>
    <w:p w14:paraId="3EEA6360">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（3）暗查。由招标人组织使用单位不定期进行抽查，并做好记录。</w:t>
      </w:r>
    </w:p>
    <w:p w14:paraId="15BC415E">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（4）若中标人拒不签字，按照考核检查照片和现场考核人员两人签字为准，作为考核依据。</w:t>
      </w:r>
    </w:p>
    <w:p w14:paraId="3F61CD12">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2.考核分值为100分。每次考核按照物业服务评分细则（本细则由招标人制定）规定进行扣分。</w:t>
      </w:r>
    </w:p>
    <w:p w14:paraId="6C439768">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每月度考核得分在90分（含90分）为合格,全额支付月度服务费;80分(含)-90分(不含)为基本合格,每低于90分1分,扣200元/分;80分以下(不含)为不合格,每低于80分1分,扣400元/分;招标人对考核扣分项内容及时通知中标人作出整改。</w:t>
      </w:r>
    </w:p>
    <w:p w14:paraId="3ACAFE69">
      <w:pPr>
        <w:autoSpaceDE/>
        <w:autoSpaceDN/>
        <w:spacing w:before="0" w:after="0" w:line="360" w:lineRule="auto"/>
        <w:ind w:left="0" w:right="0" w:firstLine="480" w:firstLineChars="20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4.连续两次月度考核在90分（含90分）以下的或一年平均考核在85分（含85分）以下的，招标人有权随时解除合同，造成的影响和损失由中标人承担</w:t>
      </w:r>
      <w:bookmarkEnd w:id="32"/>
      <w:r>
        <w:rPr>
          <w:rFonts w:hint="eastAsia" w:ascii="宋体" w:hAnsi="宋体" w:eastAsia="宋体"/>
          <w:color w:val="auto"/>
          <w:sz w:val="24"/>
          <w:highlight w:val="none"/>
          <w:lang w:val="en-US" w:eastAsia="zh-CN"/>
        </w:rPr>
        <w:t>。</w:t>
      </w:r>
    </w:p>
    <w:p w14:paraId="05D3F65E">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5.日常物业服务评分细则（100分）</w:t>
      </w:r>
    </w:p>
    <w:tbl>
      <w:tblPr>
        <w:tblStyle w:val="21"/>
        <w:tblW w:w="5573" w:type="pct"/>
        <w:tblInd w:w="-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09"/>
        <w:gridCol w:w="1507"/>
        <w:gridCol w:w="1799"/>
        <w:gridCol w:w="2490"/>
        <w:gridCol w:w="1004"/>
        <w:gridCol w:w="1039"/>
      </w:tblGrid>
      <w:tr w14:paraId="6C0C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6" w:hRule="atLeast"/>
        </w:trPr>
        <w:tc>
          <w:tcPr>
            <w:tcW w:w="851" w:type="pct"/>
            <w:shd w:val="clear" w:color="auto" w:fill="auto"/>
            <w:tcMar>
              <w:top w:w="120" w:type="dxa"/>
              <w:left w:w="0" w:type="dxa"/>
              <w:bottom w:w="120" w:type="dxa"/>
              <w:right w:w="192" w:type="dxa"/>
            </w:tcMar>
            <w:vAlign w:val="center"/>
          </w:tcPr>
          <w:p w14:paraId="584953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考核大类</w:t>
            </w:r>
          </w:p>
        </w:tc>
        <w:tc>
          <w:tcPr>
            <w:tcW w:w="797" w:type="pct"/>
            <w:shd w:val="clear" w:color="auto" w:fill="auto"/>
            <w:tcMar>
              <w:top w:w="120" w:type="dxa"/>
              <w:left w:w="192" w:type="dxa"/>
              <w:bottom w:w="120" w:type="dxa"/>
              <w:right w:w="192" w:type="dxa"/>
            </w:tcMar>
            <w:vAlign w:val="center"/>
          </w:tcPr>
          <w:p w14:paraId="612EF5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考核细项</w:t>
            </w:r>
          </w:p>
        </w:tc>
        <w:tc>
          <w:tcPr>
            <w:tcW w:w="2270" w:type="pct"/>
            <w:gridSpan w:val="2"/>
            <w:shd w:val="clear" w:color="auto" w:fill="auto"/>
            <w:tcMar>
              <w:top w:w="120" w:type="dxa"/>
              <w:left w:w="192" w:type="dxa"/>
              <w:bottom w:w="120" w:type="dxa"/>
              <w:right w:w="192" w:type="dxa"/>
            </w:tcMar>
            <w:vAlign w:val="center"/>
          </w:tcPr>
          <w:p w14:paraId="7CBDE9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考核标准与评分细则</w:t>
            </w:r>
          </w:p>
        </w:tc>
        <w:tc>
          <w:tcPr>
            <w:tcW w:w="531" w:type="pct"/>
            <w:shd w:val="clear" w:color="auto" w:fill="auto"/>
            <w:tcMar>
              <w:top w:w="120" w:type="dxa"/>
              <w:left w:w="192" w:type="dxa"/>
              <w:bottom w:w="120" w:type="dxa"/>
              <w:right w:w="192" w:type="dxa"/>
            </w:tcMar>
            <w:vAlign w:val="center"/>
          </w:tcPr>
          <w:p w14:paraId="36134B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标准分值</w:t>
            </w:r>
          </w:p>
        </w:tc>
        <w:tc>
          <w:tcPr>
            <w:tcW w:w="549" w:type="pct"/>
            <w:shd w:val="clear" w:color="auto" w:fill="auto"/>
            <w:tcMar>
              <w:top w:w="120" w:type="dxa"/>
              <w:left w:w="192" w:type="dxa"/>
              <w:bottom w:w="120" w:type="dxa"/>
              <w:right w:w="192" w:type="dxa"/>
            </w:tcMar>
            <w:vAlign w:val="center"/>
          </w:tcPr>
          <w:p w14:paraId="081494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h" w:cs="Times New Roman"/>
                <w:b/>
                <w:bCs/>
                <w:color w:val="auto"/>
                <w:highlight w:val="none"/>
              </w:rPr>
            </w:pPr>
            <w:r>
              <w:rPr>
                <w:rStyle w:val="24"/>
                <w:rFonts w:hint="default" w:ascii="Times New Roman" w:hAnsi="Times New Roman" w:eastAsia="var(--dsw-font-markdown-table-h" w:cs="Times New Roman"/>
                <w:b/>
                <w:bCs/>
                <w:color w:val="auto"/>
                <w:kern w:val="0"/>
                <w:sz w:val="24"/>
                <w:szCs w:val="24"/>
                <w:highlight w:val="none"/>
                <w:lang w:val="en-US" w:eastAsia="zh-CN" w:bidi="ar"/>
              </w:rPr>
              <w:t>得分</w:t>
            </w:r>
          </w:p>
        </w:tc>
      </w:tr>
      <w:tr w14:paraId="5D8D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30" w:hRule="atLeast"/>
        </w:trPr>
        <w:tc>
          <w:tcPr>
            <w:tcW w:w="851" w:type="pct"/>
            <w:vMerge w:val="restart"/>
            <w:shd w:val="clear" w:color="auto" w:fill="auto"/>
            <w:tcMar>
              <w:top w:w="120" w:type="dxa"/>
              <w:left w:w="0" w:type="dxa"/>
              <w:bottom w:w="120" w:type="dxa"/>
              <w:right w:w="192" w:type="dxa"/>
            </w:tcMar>
            <w:vAlign w:val="center"/>
          </w:tcPr>
          <w:p w14:paraId="6B064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一、日常保洁服务 (25分)</w:t>
            </w:r>
          </w:p>
        </w:tc>
        <w:tc>
          <w:tcPr>
            <w:tcW w:w="797" w:type="pct"/>
            <w:shd w:val="clear" w:color="auto" w:fill="auto"/>
            <w:tcMar>
              <w:top w:w="120" w:type="dxa"/>
              <w:left w:w="192" w:type="dxa"/>
              <w:bottom w:w="120" w:type="dxa"/>
              <w:right w:w="192" w:type="dxa"/>
            </w:tcMar>
            <w:vAlign w:val="center"/>
          </w:tcPr>
          <w:p w14:paraId="3D87D7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1.1普扫与全天保洁</w:t>
            </w:r>
          </w:p>
        </w:tc>
        <w:tc>
          <w:tcPr>
            <w:tcW w:w="2270" w:type="pct"/>
            <w:gridSpan w:val="2"/>
            <w:shd w:val="clear" w:color="auto" w:fill="auto"/>
            <w:tcMar>
              <w:top w:w="120" w:type="dxa"/>
              <w:left w:w="192" w:type="dxa"/>
              <w:bottom w:w="120" w:type="dxa"/>
              <w:right w:w="192" w:type="dxa"/>
            </w:tcMar>
            <w:vAlign w:val="center"/>
          </w:tcPr>
          <w:p w14:paraId="7A4FB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按规定时间完成普扫，每日清扫、拖洗次数达标，并实现全天候保洁。每发现一次未达标扣1分。</w:t>
            </w:r>
          </w:p>
        </w:tc>
        <w:tc>
          <w:tcPr>
            <w:tcW w:w="531" w:type="pct"/>
            <w:shd w:val="clear" w:color="auto" w:fill="auto"/>
            <w:tcMar>
              <w:top w:w="120" w:type="dxa"/>
              <w:left w:w="192" w:type="dxa"/>
              <w:bottom w:w="120" w:type="dxa"/>
              <w:right w:w="192" w:type="dxa"/>
            </w:tcMar>
            <w:vAlign w:val="center"/>
          </w:tcPr>
          <w:p w14:paraId="05CF90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05881C5C">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20DF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83892E3">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3CD85E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1.2公共区域清洁度</w:t>
            </w:r>
          </w:p>
        </w:tc>
        <w:tc>
          <w:tcPr>
            <w:tcW w:w="2270" w:type="pct"/>
            <w:gridSpan w:val="2"/>
            <w:shd w:val="clear" w:color="auto" w:fill="auto"/>
            <w:tcMar>
              <w:top w:w="120" w:type="dxa"/>
              <w:left w:w="192" w:type="dxa"/>
              <w:bottom w:w="120" w:type="dxa"/>
              <w:right w:w="192" w:type="dxa"/>
            </w:tcMar>
            <w:vAlign w:val="center"/>
          </w:tcPr>
          <w:p w14:paraId="4FD522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门厅、楼道、楼梯、天台、会议室等区域地面、墙面、天花板、灯具洁净，无杂物、无污迹、无灰尘。每发现一处不合格扣1分。</w:t>
            </w:r>
          </w:p>
        </w:tc>
        <w:tc>
          <w:tcPr>
            <w:tcW w:w="531" w:type="pct"/>
            <w:shd w:val="clear" w:color="auto" w:fill="auto"/>
            <w:tcMar>
              <w:top w:w="120" w:type="dxa"/>
              <w:left w:w="192" w:type="dxa"/>
              <w:bottom w:w="120" w:type="dxa"/>
              <w:right w:w="192" w:type="dxa"/>
            </w:tcMar>
            <w:vAlign w:val="center"/>
          </w:tcPr>
          <w:p w14:paraId="3D76E9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548E9D6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7B8F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06A7D0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42AD3B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1.3卫生间清洁度与无异味</w:t>
            </w:r>
          </w:p>
        </w:tc>
        <w:tc>
          <w:tcPr>
            <w:tcW w:w="2270" w:type="pct"/>
            <w:gridSpan w:val="2"/>
            <w:shd w:val="clear" w:color="auto" w:fill="auto"/>
            <w:tcMar>
              <w:top w:w="120" w:type="dxa"/>
              <w:left w:w="192" w:type="dxa"/>
              <w:bottom w:w="120" w:type="dxa"/>
              <w:right w:w="192" w:type="dxa"/>
            </w:tcMar>
            <w:vAlign w:val="center"/>
          </w:tcPr>
          <w:p w14:paraId="53254B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厕位洁净无污物，下水通畅，地面干燥，无明显异味，设施完好，耗品（洗手液、卫生纸等）补充及时。每发现一处不合格扣1分。</w:t>
            </w:r>
          </w:p>
        </w:tc>
        <w:tc>
          <w:tcPr>
            <w:tcW w:w="531" w:type="pct"/>
            <w:shd w:val="clear" w:color="auto" w:fill="auto"/>
            <w:tcMar>
              <w:top w:w="120" w:type="dxa"/>
              <w:left w:w="192" w:type="dxa"/>
              <w:bottom w:w="120" w:type="dxa"/>
              <w:right w:w="192" w:type="dxa"/>
            </w:tcMar>
            <w:vAlign w:val="center"/>
          </w:tcPr>
          <w:p w14:paraId="65DE11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5F840E52">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0DA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783EF7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21357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1.4垃圾处理</w:t>
            </w:r>
          </w:p>
        </w:tc>
        <w:tc>
          <w:tcPr>
            <w:tcW w:w="2270" w:type="pct"/>
            <w:gridSpan w:val="2"/>
            <w:shd w:val="clear" w:color="auto" w:fill="auto"/>
            <w:tcMar>
              <w:top w:w="120" w:type="dxa"/>
              <w:left w:w="192" w:type="dxa"/>
              <w:bottom w:w="120" w:type="dxa"/>
              <w:right w:w="192" w:type="dxa"/>
            </w:tcMar>
            <w:vAlign w:val="center"/>
          </w:tcPr>
          <w:p w14:paraId="501BB1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垃圾袋装化，垃圾桶清洁、无满溢，日产日清；垃圾分类、存放、转运规范。每发现一处不合格扣1分。</w:t>
            </w:r>
          </w:p>
        </w:tc>
        <w:tc>
          <w:tcPr>
            <w:tcW w:w="531" w:type="pct"/>
            <w:shd w:val="clear" w:color="auto" w:fill="auto"/>
            <w:tcMar>
              <w:top w:w="120" w:type="dxa"/>
              <w:left w:w="192" w:type="dxa"/>
              <w:bottom w:w="120" w:type="dxa"/>
              <w:right w:w="192" w:type="dxa"/>
            </w:tcMar>
            <w:vAlign w:val="center"/>
          </w:tcPr>
          <w:p w14:paraId="111D01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020C8EA0">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4B26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22DAAC3F">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53D695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1.5细节与专项清洁</w:t>
            </w:r>
          </w:p>
        </w:tc>
        <w:tc>
          <w:tcPr>
            <w:tcW w:w="2270" w:type="pct"/>
            <w:gridSpan w:val="2"/>
            <w:shd w:val="clear" w:color="auto" w:fill="auto"/>
            <w:tcMar>
              <w:top w:w="120" w:type="dxa"/>
              <w:left w:w="192" w:type="dxa"/>
              <w:bottom w:w="120" w:type="dxa"/>
              <w:right w:w="192" w:type="dxa"/>
            </w:tcMar>
            <w:vAlign w:val="center"/>
          </w:tcPr>
          <w:p w14:paraId="3F4CA7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各类设施外表（消防箱、公告栏等）无积尘；及时清理“牛皮癣”；下水道无堵塞外溢；工具存放规范。每发现一处不合格扣1分。</w:t>
            </w:r>
          </w:p>
        </w:tc>
        <w:tc>
          <w:tcPr>
            <w:tcW w:w="531" w:type="pct"/>
            <w:shd w:val="clear" w:color="auto" w:fill="auto"/>
            <w:tcMar>
              <w:top w:w="120" w:type="dxa"/>
              <w:left w:w="192" w:type="dxa"/>
              <w:bottom w:w="120" w:type="dxa"/>
              <w:right w:w="192" w:type="dxa"/>
            </w:tcMar>
            <w:vAlign w:val="center"/>
          </w:tcPr>
          <w:p w14:paraId="6078C1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1D81AD89">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4C10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07D31FB">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5880CF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1.6低值易耗品管理</w:t>
            </w:r>
          </w:p>
        </w:tc>
        <w:tc>
          <w:tcPr>
            <w:tcW w:w="2270" w:type="pct"/>
            <w:gridSpan w:val="2"/>
            <w:shd w:val="clear" w:color="auto" w:fill="auto"/>
            <w:tcMar>
              <w:top w:w="120" w:type="dxa"/>
              <w:left w:w="192" w:type="dxa"/>
              <w:bottom w:w="120" w:type="dxa"/>
              <w:right w:w="192" w:type="dxa"/>
            </w:tcMar>
            <w:vAlign w:val="center"/>
          </w:tcPr>
          <w:p w14:paraId="1DDE84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按需求足额配备垃圾袋、洗手液、卫生纸等，质量符合要求，费用由中标人承担。检查每发现一次短缺或质量不符，扣1分。</w:t>
            </w:r>
          </w:p>
        </w:tc>
        <w:tc>
          <w:tcPr>
            <w:tcW w:w="531" w:type="pct"/>
            <w:shd w:val="clear" w:color="auto" w:fill="auto"/>
            <w:tcMar>
              <w:top w:w="120" w:type="dxa"/>
              <w:left w:w="192" w:type="dxa"/>
              <w:bottom w:w="120" w:type="dxa"/>
              <w:right w:w="192" w:type="dxa"/>
            </w:tcMar>
            <w:vAlign w:val="center"/>
          </w:tcPr>
          <w:p w14:paraId="1F53CF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3DAE8D5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3613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C91B176">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57FE6E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1.7清洁工具管理</w:t>
            </w:r>
          </w:p>
        </w:tc>
        <w:tc>
          <w:tcPr>
            <w:tcW w:w="2270" w:type="pct"/>
            <w:gridSpan w:val="2"/>
            <w:shd w:val="clear" w:color="auto" w:fill="auto"/>
            <w:tcMar>
              <w:top w:w="120" w:type="dxa"/>
              <w:left w:w="192" w:type="dxa"/>
              <w:bottom w:w="120" w:type="dxa"/>
              <w:right w:w="192" w:type="dxa"/>
            </w:tcMar>
            <w:vAlign w:val="center"/>
          </w:tcPr>
          <w:p w14:paraId="05F333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抹布、拖把等工具规范分类、清洁、消毒。检查发现混用或脏污，扣2分。</w:t>
            </w:r>
          </w:p>
        </w:tc>
        <w:tc>
          <w:tcPr>
            <w:tcW w:w="531" w:type="pct"/>
            <w:shd w:val="clear" w:color="auto" w:fill="auto"/>
            <w:tcMar>
              <w:top w:w="120" w:type="dxa"/>
              <w:left w:w="192" w:type="dxa"/>
              <w:bottom w:w="120" w:type="dxa"/>
              <w:right w:w="192" w:type="dxa"/>
            </w:tcMar>
            <w:vAlign w:val="center"/>
          </w:tcPr>
          <w:p w14:paraId="5E0784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w:t>
            </w:r>
          </w:p>
        </w:tc>
        <w:tc>
          <w:tcPr>
            <w:tcW w:w="549" w:type="pct"/>
            <w:shd w:val="clear" w:color="auto" w:fill="auto"/>
            <w:tcMar>
              <w:top w:w="120" w:type="dxa"/>
              <w:left w:w="192" w:type="dxa"/>
              <w:bottom w:w="120" w:type="dxa"/>
              <w:right w:w="192" w:type="dxa"/>
            </w:tcMar>
            <w:vAlign w:val="center"/>
          </w:tcPr>
          <w:p w14:paraId="16E1926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41A3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3253F9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二、安全保卫工作 (25分)</w:t>
            </w:r>
          </w:p>
        </w:tc>
        <w:tc>
          <w:tcPr>
            <w:tcW w:w="797" w:type="pct"/>
            <w:shd w:val="clear" w:color="auto" w:fill="auto"/>
            <w:tcMar>
              <w:top w:w="120" w:type="dxa"/>
              <w:left w:w="192" w:type="dxa"/>
              <w:bottom w:w="120" w:type="dxa"/>
              <w:right w:w="192" w:type="dxa"/>
            </w:tcMar>
            <w:vAlign w:val="center"/>
          </w:tcPr>
          <w:p w14:paraId="5FB14B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2.1门岗执勤</w:t>
            </w:r>
          </w:p>
        </w:tc>
        <w:tc>
          <w:tcPr>
            <w:tcW w:w="2270" w:type="pct"/>
            <w:gridSpan w:val="2"/>
            <w:shd w:val="clear" w:color="auto" w:fill="auto"/>
            <w:tcMar>
              <w:top w:w="120" w:type="dxa"/>
              <w:left w:w="192" w:type="dxa"/>
              <w:bottom w:w="120" w:type="dxa"/>
              <w:right w:w="192" w:type="dxa"/>
            </w:tcMar>
            <w:vAlign w:val="center"/>
          </w:tcPr>
          <w:p w14:paraId="469B33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出入口站岗执勤，严格核查人员与物品，严禁危险品进入。发现脱岗或执行不力，每次扣2分。</w:t>
            </w:r>
          </w:p>
        </w:tc>
        <w:tc>
          <w:tcPr>
            <w:tcW w:w="531" w:type="pct"/>
            <w:shd w:val="clear" w:color="auto" w:fill="auto"/>
            <w:tcMar>
              <w:top w:w="120" w:type="dxa"/>
              <w:left w:w="192" w:type="dxa"/>
              <w:bottom w:w="120" w:type="dxa"/>
              <w:right w:w="192" w:type="dxa"/>
            </w:tcMar>
            <w:vAlign w:val="center"/>
          </w:tcPr>
          <w:p w14:paraId="4AC7D9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133F6BAA">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CC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3E76396">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2A0E4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2.2巡逻巡查</w:t>
            </w:r>
          </w:p>
        </w:tc>
        <w:tc>
          <w:tcPr>
            <w:tcW w:w="2270" w:type="pct"/>
            <w:gridSpan w:val="2"/>
            <w:shd w:val="clear" w:color="auto" w:fill="auto"/>
            <w:tcMar>
              <w:top w:w="120" w:type="dxa"/>
              <w:left w:w="192" w:type="dxa"/>
              <w:bottom w:w="120" w:type="dxa"/>
              <w:right w:w="192" w:type="dxa"/>
            </w:tcMar>
            <w:vAlign w:val="center"/>
          </w:tcPr>
          <w:p w14:paraId="261F92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巡逻制度落实，路线、频次符合规定，记录完整。无记录或未按规巡逻，每次扣2分。</w:t>
            </w:r>
          </w:p>
        </w:tc>
        <w:tc>
          <w:tcPr>
            <w:tcW w:w="531" w:type="pct"/>
            <w:shd w:val="clear" w:color="auto" w:fill="auto"/>
            <w:tcMar>
              <w:top w:w="120" w:type="dxa"/>
              <w:left w:w="192" w:type="dxa"/>
              <w:bottom w:w="120" w:type="dxa"/>
              <w:right w:w="192" w:type="dxa"/>
            </w:tcMar>
            <w:vAlign w:val="center"/>
          </w:tcPr>
          <w:p w14:paraId="60BD61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1DB03D9B">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000C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45F685F">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5C0765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2.3应急预案与演练</w:t>
            </w:r>
          </w:p>
        </w:tc>
        <w:tc>
          <w:tcPr>
            <w:tcW w:w="2270" w:type="pct"/>
            <w:gridSpan w:val="2"/>
            <w:shd w:val="clear" w:color="auto" w:fill="auto"/>
            <w:tcMar>
              <w:top w:w="120" w:type="dxa"/>
              <w:left w:w="192" w:type="dxa"/>
              <w:bottom w:w="120" w:type="dxa"/>
              <w:right w:w="192" w:type="dxa"/>
            </w:tcMar>
            <w:vAlign w:val="center"/>
          </w:tcPr>
          <w:p w14:paraId="05F790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制定完善的消防、治安等应急预案并定期演练。无预案扣2分，未演练扣2分。</w:t>
            </w:r>
          </w:p>
        </w:tc>
        <w:tc>
          <w:tcPr>
            <w:tcW w:w="531" w:type="pct"/>
            <w:shd w:val="clear" w:color="auto" w:fill="auto"/>
            <w:tcMar>
              <w:top w:w="120" w:type="dxa"/>
              <w:left w:w="192" w:type="dxa"/>
              <w:bottom w:w="120" w:type="dxa"/>
              <w:right w:w="192" w:type="dxa"/>
            </w:tcMar>
            <w:vAlign w:val="center"/>
          </w:tcPr>
          <w:p w14:paraId="5559AC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3018506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36B4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EA396E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7E2C27B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2.4消防安全管理</w:t>
            </w:r>
          </w:p>
        </w:tc>
        <w:tc>
          <w:tcPr>
            <w:tcW w:w="2270" w:type="pct"/>
            <w:gridSpan w:val="2"/>
            <w:shd w:val="clear" w:color="auto" w:fill="auto"/>
            <w:tcMar>
              <w:top w:w="120" w:type="dxa"/>
              <w:left w:w="192" w:type="dxa"/>
              <w:bottom w:w="120" w:type="dxa"/>
              <w:right w:w="192" w:type="dxa"/>
            </w:tcMar>
            <w:vAlign w:val="center"/>
          </w:tcPr>
          <w:p w14:paraId="5DC01D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定期检查消防设施器材，完好有效；消防安全责任制落实；无安全隐患。发现一处隐患或器材失效扣1分。</w:t>
            </w:r>
          </w:p>
        </w:tc>
        <w:tc>
          <w:tcPr>
            <w:tcW w:w="531" w:type="pct"/>
            <w:shd w:val="clear" w:color="auto" w:fill="auto"/>
            <w:tcMar>
              <w:top w:w="120" w:type="dxa"/>
              <w:left w:w="192" w:type="dxa"/>
              <w:bottom w:w="120" w:type="dxa"/>
              <w:right w:w="192" w:type="dxa"/>
            </w:tcMar>
            <w:vAlign w:val="center"/>
          </w:tcPr>
          <w:p w14:paraId="7BF7FA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0C0922C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22A6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0A6994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2EB658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2.5形象与纪律</w:t>
            </w:r>
          </w:p>
        </w:tc>
        <w:tc>
          <w:tcPr>
            <w:tcW w:w="2270" w:type="pct"/>
            <w:gridSpan w:val="2"/>
            <w:shd w:val="clear" w:color="auto" w:fill="auto"/>
            <w:tcMar>
              <w:top w:w="120" w:type="dxa"/>
              <w:left w:w="192" w:type="dxa"/>
              <w:bottom w:w="120" w:type="dxa"/>
              <w:right w:w="192" w:type="dxa"/>
            </w:tcMar>
            <w:vAlign w:val="center"/>
          </w:tcPr>
          <w:p w14:paraId="7E9F38A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人员着装整齐，言行规范，文明执勤。发现不合格者，每人次扣1分。</w:t>
            </w:r>
          </w:p>
        </w:tc>
        <w:tc>
          <w:tcPr>
            <w:tcW w:w="531" w:type="pct"/>
            <w:shd w:val="clear" w:color="auto" w:fill="auto"/>
            <w:tcMar>
              <w:top w:w="120" w:type="dxa"/>
              <w:left w:w="192" w:type="dxa"/>
              <w:bottom w:w="120" w:type="dxa"/>
              <w:right w:w="192" w:type="dxa"/>
            </w:tcMar>
            <w:vAlign w:val="center"/>
          </w:tcPr>
          <w:p w14:paraId="0EC7CC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55F7AA6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2AE4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851" w:type="pct"/>
            <w:vMerge w:val="continue"/>
            <w:shd w:val="clear" w:color="auto" w:fill="auto"/>
            <w:tcMar>
              <w:top w:w="120" w:type="dxa"/>
              <w:left w:w="0" w:type="dxa"/>
              <w:bottom w:w="120" w:type="dxa"/>
              <w:right w:w="192" w:type="dxa"/>
            </w:tcMar>
            <w:vAlign w:val="center"/>
          </w:tcPr>
          <w:p w14:paraId="64D411C9">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044640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2.6物品与车辆管理</w:t>
            </w:r>
          </w:p>
        </w:tc>
        <w:tc>
          <w:tcPr>
            <w:tcW w:w="2270" w:type="pct"/>
            <w:gridSpan w:val="2"/>
            <w:shd w:val="clear" w:color="auto" w:fill="auto"/>
            <w:tcMar>
              <w:top w:w="120" w:type="dxa"/>
              <w:left w:w="192" w:type="dxa"/>
              <w:bottom w:w="120" w:type="dxa"/>
              <w:right w:w="192" w:type="dxa"/>
            </w:tcMar>
            <w:vAlign w:val="center"/>
          </w:tcPr>
          <w:p w14:paraId="334CA5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大件物品出入登记核查规范；车辆管理有序，交通畅通。登记不全或管理混乱，每发现一次扣2分。</w:t>
            </w:r>
          </w:p>
        </w:tc>
        <w:tc>
          <w:tcPr>
            <w:tcW w:w="531" w:type="pct"/>
            <w:shd w:val="clear" w:color="auto" w:fill="auto"/>
            <w:tcMar>
              <w:top w:w="120" w:type="dxa"/>
              <w:left w:w="192" w:type="dxa"/>
              <w:bottom w:w="120" w:type="dxa"/>
              <w:right w:w="192" w:type="dxa"/>
            </w:tcMar>
            <w:vAlign w:val="center"/>
          </w:tcPr>
          <w:p w14:paraId="73E299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3BF7BD8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576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4B18F0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三、设备设施维护维修 (30分)</w:t>
            </w:r>
          </w:p>
        </w:tc>
        <w:tc>
          <w:tcPr>
            <w:tcW w:w="797" w:type="pct"/>
            <w:shd w:val="clear" w:color="auto" w:fill="auto"/>
            <w:tcMar>
              <w:top w:w="120" w:type="dxa"/>
              <w:left w:w="192" w:type="dxa"/>
              <w:bottom w:w="120" w:type="dxa"/>
              <w:right w:w="192" w:type="dxa"/>
            </w:tcMar>
            <w:vAlign w:val="center"/>
          </w:tcPr>
          <w:p w14:paraId="11BDA2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3.1制度与人员</w:t>
            </w:r>
          </w:p>
        </w:tc>
        <w:tc>
          <w:tcPr>
            <w:tcW w:w="2270" w:type="pct"/>
            <w:gridSpan w:val="2"/>
            <w:shd w:val="clear" w:color="auto" w:fill="auto"/>
            <w:tcMar>
              <w:top w:w="120" w:type="dxa"/>
              <w:left w:w="192" w:type="dxa"/>
              <w:bottom w:w="120" w:type="dxa"/>
              <w:right w:w="192" w:type="dxa"/>
            </w:tcMar>
            <w:vAlign w:val="center"/>
          </w:tcPr>
          <w:p w14:paraId="0198B2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各项管理制度、操作规程健全；人员持证上岗，定期培训。制度缺失或发现无证操作，每发现一次扣2分。</w:t>
            </w:r>
          </w:p>
        </w:tc>
        <w:tc>
          <w:tcPr>
            <w:tcW w:w="531" w:type="pct"/>
            <w:shd w:val="clear" w:color="auto" w:fill="auto"/>
            <w:tcMar>
              <w:top w:w="120" w:type="dxa"/>
              <w:left w:w="192" w:type="dxa"/>
              <w:bottom w:w="120" w:type="dxa"/>
              <w:right w:w="192" w:type="dxa"/>
            </w:tcMar>
            <w:vAlign w:val="center"/>
          </w:tcPr>
          <w:p w14:paraId="589B38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559FC204">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910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A4672C0">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4E3F9F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3.2巡检与保养记录</w:t>
            </w:r>
          </w:p>
        </w:tc>
        <w:tc>
          <w:tcPr>
            <w:tcW w:w="2270" w:type="pct"/>
            <w:gridSpan w:val="2"/>
            <w:shd w:val="clear" w:color="auto" w:fill="auto"/>
            <w:tcMar>
              <w:top w:w="120" w:type="dxa"/>
              <w:left w:w="192" w:type="dxa"/>
              <w:bottom w:w="120" w:type="dxa"/>
              <w:right w:w="192" w:type="dxa"/>
            </w:tcMar>
            <w:vAlign w:val="center"/>
          </w:tcPr>
          <w:p w14:paraId="1D164B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建立日常巡检、定期保养制度，记录齐全、真实。记录缺失或不实，每发现一次扣1分。</w:t>
            </w:r>
          </w:p>
        </w:tc>
        <w:tc>
          <w:tcPr>
            <w:tcW w:w="531" w:type="pct"/>
            <w:shd w:val="clear" w:color="auto" w:fill="auto"/>
            <w:tcMar>
              <w:top w:w="120" w:type="dxa"/>
              <w:left w:w="192" w:type="dxa"/>
              <w:bottom w:w="120" w:type="dxa"/>
              <w:right w:w="192" w:type="dxa"/>
            </w:tcMar>
            <w:vAlign w:val="center"/>
          </w:tcPr>
          <w:p w14:paraId="3072E5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01BDDBF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ADC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8B6110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663428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3.3维修响应与质量</w:t>
            </w:r>
          </w:p>
        </w:tc>
        <w:tc>
          <w:tcPr>
            <w:tcW w:w="2270" w:type="pct"/>
            <w:gridSpan w:val="2"/>
            <w:shd w:val="clear" w:color="auto" w:fill="auto"/>
            <w:tcMar>
              <w:top w:w="120" w:type="dxa"/>
              <w:left w:w="192" w:type="dxa"/>
              <w:bottom w:w="120" w:type="dxa"/>
              <w:right w:w="192" w:type="dxa"/>
            </w:tcMar>
            <w:vAlign w:val="center"/>
          </w:tcPr>
          <w:p w14:paraId="35200D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小修24小时、中修48小时、大修120小时内完成；接报后30分钟内到场。每超时一次扣2分。返修率高扣2分。</w:t>
            </w:r>
          </w:p>
        </w:tc>
        <w:tc>
          <w:tcPr>
            <w:tcW w:w="531" w:type="pct"/>
            <w:shd w:val="clear" w:color="auto" w:fill="auto"/>
            <w:tcMar>
              <w:top w:w="120" w:type="dxa"/>
              <w:left w:w="192" w:type="dxa"/>
              <w:bottom w:w="120" w:type="dxa"/>
              <w:right w:w="192" w:type="dxa"/>
            </w:tcMar>
            <w:vAlign w:val="center"/>
          </w:tcPr>
          <w:p w14:paraId="2277EC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8</w:t>
            </w:r>
          </w:p>
        </w:tc>
        <w:tc>
          <w:tcPr>
            <w:tcW w:w="549" w:type="pct"/>
            <w:shd w:val="clear" w:color="auto" w:fill="auto"/>
            <w:tcMar>
              <w:top w:w="120" w:type="dxa"/>
              <w:left w:w="192" w:type="dxa"/>
              <w:bottom w:w="120" w:type="dxa"/>
              <w:right w:w="192" w:type="dxa"/>
            </w:tcMar>
            <w:vAlign w:val="center"/>
          </w:tcPr>
          <w:p w14:paraId="5C5DDCF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7E69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7B134CB">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0F0F03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3.4配件管理与台账</w:t>
            </w:r>
          </w:p>
        </w:tc>
        <w:tc>
          <w:tcPr>
            <w:tcW w:w="2270" w:type="pct"/>
            <w:gridSpan w:val="2"/>
            <w:shd w:val="clear" w:color="auto" w:fill="auto"/>
            <w:tcMar>
              <w:top w:w="120" w:type="dxa"/>
              <w:left w:w="192" w:type="dxa"/>
              <w:bottom w:w="120" w:type="dxa"/>
              <w:right w:w="192" w:type="dxa"/>
            </w:tcMar>
            <w:vAlign w:val="center"/>
          </w:tcPr>
          <w:p w14:paraId="3079E1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建立设备台账、维修材料台账，账物相符；千元以下配件更换及时；千元以上报批流程规范。台账不清或流程错误，每发现一次扣1分。</w:t>
            </w:r>
          </w:p>
        </w:tc>
        <w:tc>
          <w:tcPr>
            <w:tcW w:w="531" w:type="pct"/>
            <w:shd w:val="clear" w:color="auto" w:fill="auto"/>
            <w:tcMar>
              <w:top w:w="120" w:type="dxa"/>
              <w:left w:w="192" w:type="dxa"/>
              <w:bottom w:w="120" w:type="dxa"/>
              <w:right w:w="192" w:type="dxa"/>
            </w:tcMar>
            <w:vAlign w:val="center"/>
          </w:tcPr>
          <w:p w14:paraId="50F6EF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7099379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1C0B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3D2316D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079A8C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3.5能耗管理与协调</w:t>
            </w:r>
          </w:p>
        </w:tc>
        <w:tc>
          <w:tcPr>
            <w:tcW w:w="2270" w:type="pct"/>
            <w:gridSpan w:val="2"/>
            <w:shd w:val="clear" w:color="auto" w:fill="auto"/>
            <w:tcMar>
              <w:top w:w="120" w:type="dxa"/>
              <w:left w:w="192" w:type="dxa"/>
              <w:bottom w:w="120" w:type="dxa"/>
              <w:right w:w="192" w:type="dxa"/>
            </w:tcMar>
            <w:vAlign w:val="center"/>
          </w:tcPr>
          <w:p w14:paraId="29F46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每月提交能耗分析报告；按时完成水电费抄表、代收代缴工作。报告未提交或收费工作延误，每发现一次扣1分。</w:t>
            </w:r>
          </w:p>
        </w:tc>
        <w:tc>
          <w:tcPr>
            <w:tcW w:w="531" w:type="pct"/>
            <w:shd w:val="clear" w:color="auto" w:fill="auto"/>
            <w:tcMar>
              <w:top w:w="120" w:type="dxa"/>
              <w:left w:w="192" w:type="dxa"/>
              <w:bottom w:w="120" w:type="dxa"/>
              <w:right w:w="192" w:type="dxa"/>
            </w:tcMar>
            <w:vAlign w:val="center"/>
          </w:tcPr>
          <w:p w14:paraId="583D6E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6F187796">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4D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526EC61">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33957A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3.6专项系统维保</w:t>
            </w:r>
          </w:p>
        </w:tc>
        <w:tc>
          <w:tcPr>
            <w:tcW w:w="2270" w:type="pct"/>
            <w:gridSpan w:val="2"/>
            <w:shd w:val="clear" w:color="auto" w:fill="auto"/>
            <w:tcMar>
              <w:top w:w="120" w:type="dxa"/>
              <w:left w:w="192" w:type="dxa"/>
              <w:bottom w:w="120" w:type="dxa"/>
              <w:right w:w="192" w:type="dxa"/>
            </w:tcMar>
            <w:vAlign w:val="center"/>
          </w:tcPr>
          <w:p w14:paraId="3358453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空调、电梯、配电等系统维保及时，年检合规，费用承担明确。维保不到位或年检过期，每发现一次扣2分。</w:t>
            </w:r>
          </w:p>
        </w:tc>
        <w:tc>
          <w:tcPr>
            <w:tcW w:w="531" w:type="pct"/>
            <w:shd w:val="clear" w:color="auto" w:fill="auto"/>
            <w:tcMar>
              <w:top w:w="120" w:type="dxa"/>
              <w:left w:w="192" w:type="dxa"/>
              <w:bottom w:w="120" w:type="dxa"/>
              <w:right w:w="192" w:type="dxa"/>
            </w:tcMar>
            <w:vAlign w:val="center"/>
          </w:tcPr>
          <w:p w14:paraId="4ECA33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0D495EB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F5F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543BB8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四、房屋本体维修养护 (15分)</w:t>
            </w:r>
          </w:p>
        </w:tc>
        <w:tc>
          <w:tcPr>
            <w:tcW w:w="797" w:type="pct"/>
            <w:shd w:val="clear" w:color="auto" w:fill="auto"/>
            <w:tcMar>
              <w:top w:w="120" w:type="dxa"/>
              <w:left w:w="192" w:type="dxa"/>
              <w:bottom w:w="120" w:type="dxa"/>
              <w:right w:w="192" w:type="dxa"/>
            </w:tcMar>
            <w:vAlign w:val="center"/>
          </w:tcPr>
          <w:p w14:paraId="5EB5C1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4.1日常巡查与记录</w:t>
            </w:r>
          </w:p>
        </w:tc>
        <w:tc>
          <w:tcPr>
            <w:tcW w:w="2270" w:type="pct"/>
            <w:gridSpan w:val="2"/>
            <w:shd w:val="clear" w:color="auto" w:fill="auto"/>
            <w:tcMar>
              <w:top w:w="120" w:type="dxa"/>
              <w:left w:w="192" w:type="dxa"/>
              <w:bottom w:w="120" w:type="dxa"/>
              <w:right w:w="192" w:type="dxa"/>
            </w:tcMar>
            <w:vAlign w:val="center"/>
          </w:tcPr>
          <w:p w14:paraId="42E111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建立房屋及共用部位日常巡查制度，记录齐全。无记录或未巡查，扣2分。</w:t>
            </w:r>
          </w:p>
        </w:tc>
        <w:tc>
          <w:tcPr>
            <w:tcW w:w="531" w:type="pct"/>
            <w:shd w:val="clear" w:color="auto" w:fill="auto"/>
            <w:tcMar>
              <w:top w:w="120" w:type="dxa"/>
              <w:left w:w="192" w:type="dxa"/>
              <w:bottom w:w="120" w:type="dxa"/>
              <w:right w:w="192" w:type="dxa"/>
            </w:tcMar>
            <w:vAlign w:val="center"/>
          </w:tcPr>
          <w:p w14:paraId="0EB5FD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0B72796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1D47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2CFB14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1625C9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4.2定期检查与维修</w:t>
            </w:r>
          </w:p>
        </w:tc>
        <w:tc>
          <w:tcPr>
            <w:tcW w:w="2270" w:type="pct"/>
            <w:gridSpan w:val="2"/>
            <w:shd w:val="clear" w:color="auto" w:fill="auto"/>
            <w:tcMar>
              <w:top w:w="120" w:type="dxa"/>
              <w:left w:w="192" w:type="dxa"/>
              <w:bottom w:w="120" w:type="dxa"/>
              <w:right w:w="192" w:type="dxa"/>
            </w:tcMar>
            <w:vAlign w:val="center"/>
          </w:tcPr>
          <w:p w14:paraId="511AFE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每年定期检查房屋结构、屋面防水等，发现问题及时报告和处理。未检查或问题处理不及时，每发现一次扣2分。</w:t>
            </w:r>
          </w:p>
        </w:tc>
        <w:tc>
          <w:tcPr>
            <w:tcW w:w="531" w:type="pct"/>
            <w:shd w:val="clear" w:color="auto" w:fill="auto"/>
            <w:tcMar>
              <w:top w:w="120" w:type="dxa"/>
              <w:left w:w="192" w:type="dxa"/>
              <w:bottom w:w="120" w:type="dxa"/>
              <w:right w:w="192" w:type="dxa"/>
            </w:tcMar>
            <w:vAlign w:val="center"/>
          </w:tcPr>
          <w:p w14:paraId="096E8E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5ECC99ED">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A61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387806C">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6FA453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4.3档案管理与移交</w:t>
            </w:r>
          </w:p>
        </w:tc>
        <w:tc>
          <w:tcPr>
            <w:tcW w:w="2270" w:type="pct"/>
            <w:gridSpan w:val="2"/>
            <w:shd w:val="clear" w:color="auto" w:fill="auto"/>
            <w:tcMar>
              <w:top w:w="120" w:type="dxa"/>
              <w:left w:w="192" w:type="dxa"/>
              <w:bottom w:w="120" w:type="dxa"/>
              <w:right w:w="192" w:type="dxa"/>
            </w:tcMar>
            <w:vAlign w:val="center"/>
          </w:tcPr>
          <w:p w14:paraId="13E42C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房屋及设备档案齐全，记录完整。合同到期后完整移交。档案缺失或不规范，扣3分。</w:t>
            </w:r>
          </w:p>
        </w:tc>
        <w:tc>
          <w:tcPr>
            <w:tcW w:w="531" w:type="pct"/>
            <w:shd w:val="clear" w:color="auto" w:fill="auto"/>
            <w:tcMar>
              <w:top w:w="120" w:type="dxa"/>
              <w:left w:w="192" w:type="dxa"/>
              <w:bottom w:w="120" w:type="dxa"/>
              <w:right w:w="192" w:type="dxa"/>
            </w:tcMar>
            <w:vAlign w:val="center"/>
          </w:tcPr>
          <w:p w14:paraId="3253EB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413EC60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30E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shd w:val="clear" w:color="auto" w:fill="auto"/>
            <w:tcMar>
              <w:top w:w="120" w:type="dxa"/>
              <w:left w:w="0" w:type="dxa"/>
              <w:bottom w:w="120" w:type="dxa"/>
              <w:right w:w="192" w:type="dxa"/>
            </w:tcMar>
            <w:vAlign w:val="center"/>
          </w:tcPr>
          <w:p w14:paraId="583EA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五、绿化看护与养护 (5分)</w:t>
            </w:r>
          </w:p>
        </w:tc>
        <w:tc>
          <w:tcPr>
            <w:tcW w:w="797" w:type="pct"/>
            <w:shd w:val="clear" w:color="auto" w:fill="auto"/>
            <w:tcMar>
              <w:top w:w="120" w:type="dxa"/>
              <w:left w:w="192" w:type="dxa"/>
              <w:bottom w:w="120" w:type="dxa"/>
              <w:right w:w="192" w:type="dxa"/>
            </w:tcMar>
            <w:vAlign w:val="center"/>
          </w:tcPr>
          <w:p w14:paraId="25756C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5.1绿化养护综合效果</w:t>
            </w:r>
          </w:p>
        </w:tc>
        <w:tc>
          <w:tcPr>
            <w:tcW w:w="2270" w:type="pct"/>
            <w:gridSpan w:val="2"/>
            <w:shd w:val="clear" w:color="auto" w:fill="auto"/>
            <w:tcMar>
              <w:top w:w="120" w:type="dxa"/>
              <w:left w:w="192" w:type="dxa"/>
              <w:bottom w:w="120" w:type="dxa"/>
              <w:right w:w="192" w:type="dxa"/>
            </w:tcMar>
            <w:vAlign w:val="center"/>
          </w:tcPr>
          <w:p w14:paraId="172156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花草树木生长茂盛，无枯黄、无死树枯枝、无杂草；按时修剪、施肥、除虫；冬季防护措施到位。发现养护明显不到位，每处扣1分。</w:t>
            </w:r>
          </w:p>
        </w:tc>
        <w:tc>
          <w:tcPr>
            <w:tcW w:w="531" w:type="pct"/>
            <w:shd w:val="clear" w:color="auto" w:fill="auto"/>
            <w:tcMar>
              <w:top w:w="120" w:type="dxa"/>
              <w:left w:w="192" w:type="dxa"/>
              <w:bottom w:w="120" w:type="dxa"/>
              <w:right w:w="192" w:type="dxa"/>
            </w:tcMar>
            <w:vAlign w:val="center"/>
          </w:tcPr>
          <w:p w14:paraId="3525BC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06DDB20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273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40B04492">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六、加分项/减分项</w:t>
            </w:r>
          </w:p>
        </w:tc>
        <w:tc>
          <w:tcPr>
            <w:tcW w:w="797" w:type="pct"/>
            <w:shd w:val="clear" w:color="auto" w:fill="auto"/>
            <w:tcMar>
              <w:top w:w="120" w:type="dxa"/>
              <w:left w:w="192" w:type="dxa"/>
              <w:bottom w:w="120" w:type="dxa"/>
              <w:right w:w="192" w:type="dxa"/>
            </w:tcMar>
            <w:vAlign w:val="center"/>
          </w:tcPr>
          <w:p w14:paraId="2BB0FF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r>
              <w:rPr>
                <w:rFonts w:hint="eastAsia" w:ascii="Times New Roman" w:hAnsi="Times New Roman" w:eastAsia="var(--dsw-font-markdown-table)" w:cs="Times New Roman"/>
                <w:color w:val="auto"/>
                <w:kern w:val="0"/>
                <w:sz w:val="24"/>
                <w:szCs w:val="24"/>
                <w:highlight w:val="none"/>
                <w:lang w:val="en-US" w:eastAsia="zh-CN" w:bidi="ar"/>
              </w:rPr>
              <w:t>1</w:t>
            </w:r>
            <w:r>
              <w:rPr>
                <w:rStyle w:val="24"/>
                <w:rFonts w:hint="default" w:ascii="Times New Roman" w:hAnsi="Times New Roman" w:eastAsia="var(--dsw-font-markdown-table)" w:cs="Times New Roman"/>
                <w:b/>
                <w:bCs/>
                <w:color w:val="auto"/>
                <w:kern w:val="0"/>
                <w:sz w:val="24"/>
                <w:szCs w:val="24"/>
                <w:highlight w:val="none"/>
                <w:lang w:val="en-US" w:eastAsia="zh-CN" w:bidi="ar"/>
              </w:rPr>
              <w:t>媒体曝光扣分</w:t>
            </w:r>
          </w:p>
        </w:tc>
        <w:tc>
          <w:tcPr>
            <w:tcW w:w="2270" w:type="pct"/>
            <w:gridSpan w:val="2"/>
            <w:shd w:val="clear" w:color="auto" w:fill="auto"/>
            <w:tcMar>
              <w:top w:w="120" w:type="dxa"/>
              <w:left w:w="192" w:type="dxa"/>
              <w:bottom w:w="120" w:type="dxa"/>
              <w:right w:w="192" w:type="dxa"/>
            </w:tcMar>
            <w:vAlign w:val="center"/>
          </w:tcPr>
          <w:p w14:paraId="6A5595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因本职工作失误或失职，被省级、市级、区级媒体曝光并造成不良影响的，当季度考核总分中分别扣10、8、6分。</w:t>
            </w:r>
          </w:p>
        </w:tc>
        <w:tc>
          <w:tcPr>
            <w:tcW w:w="531" w:type="pct"/>
            <w:shd w:val="clear" w:color="auto" w:fill="auto"/>
            <w:tcMar>
              <w:top w:w="120" w:type="dxa"/>
              <w:left w:w="192" w:type="dxa"/>
              <w:bottom w:w="120" w:type="dxa"/>
              <w:right w:w="192" w:type="dxa"/>
            </w:tcMar>
            <w:vAlign w:val="center"/>
          </w:tcPr>
          <w:p w14:paraId="703D3E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-10/</w:t>
            </w:r>
            <w:r>
              <w:rPr>
                <w:rStyle w:val="24"/>
                <w:rFonts w:hint="eastAsia" w:ascii="Times New Roman" w:hAnsi="Times New Roman" w:eastAsia="var(--dsw-font-markdown-table)" w:cs="Times New Roman"/>
                <w:b/>
                <w:bCs/>
                <w:color w:val="auto"/>
                <w:kern w:val="0"/>
                <w:sz w:val="24"/>
                <w:szCs w:val="24"/>
                <w:highlight w:val="none"/>
                <w:lang w:val="en-US" w:eastAsia="zh-CN" w:bidi="ar"/>
              </w:rPr>
              <w:t>-</w:t>
            </w:r>
            <w:r>
              <w:rPr>
                <w:rStyle w:val="24"/>
                <w:rFonts w:hint="default" w:ascii="Times New Roman" w:hAnsi="Times New Roman" w:eastAsia="var(--dsw-font-markdown-table)" w:cs="Times New Roman"/>
                <w:b/>
                <w:bCs/>
                <w:color w:val="auto"/>
                <w:kern w:val="0"/>
                <w:sz w:val="24"/>
                <w:szCs w:val="24"/>
                <w:highlight w:val="none"/>
                <w:lang w:val="en-US" w:eastAsia="zh-CN" w:bidi="ar"/>
              </w:rPr>
              <w:t>8/</w:t>
            </w:r>
            <w:r>
              <w:rPr>
                <w:rStyle w:val="24"/>
                <w:rFonts w:hint="eastAsia" w:ascii="Times New Roman" w:hAnsi="Times New Roman" w:eastAsia="var(--dsw-font-markdown-table)" w:cs="Times New Roman"/>
                <w:b/>
                <w:bCs/>
                <w:color w:val="auto"/>
                <w:kern w:val="0"/>
                <w:sz w:val="24"/>
                <w:szCs w:val="24"/>
                <w:highlight w:val="none"/>
                <w:lang w:val="en-US" w:eastAsia="zh-CN" w:bidi="ar"/>
              </w:rPr>
              <w:t>-</w:t>
            </w:r>
            <w:r>
              <w:rPr>
                <w:rStyle w:val="24"/>
                <w:rFonts w:hint="default" w:ascii="Times New Roman" w:hAnsi="Times New Roman" w:eastAsia="var(--dsw-font-markdown-table)" w:cs="Times New Roman"/>
                <w:b/>
                <w:bCs/>
                <w:color w:val="auto"/>
                <w:kern w:val="0"/>
                <w:sz w:val="24"/>
                <w:szCs w:val="24"/>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5E27FE60">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6B55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73E71B9">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312BFE9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r>
              <w:rPr>
                <w:rFonts w:hint="eastAsia" w:ascii="Times New Roman" w:hAnsi="Times New Roman" w:eastAsia="var(--dsw-font-markdown-table)" w:cs="Times New Roman"/>
                <w:color w:val="auto"/>
                <w:kern w:val="0"/>
                <w:sz w:val="24"/>
                <w:szCs w:val="24"/>
                <w:highlight w:val="none"/>
                <w:lang w:val="en-US" w:eastAsia="zh-CN" w:bidi="ar"/>
              </w:rPr>
              <w:t>2</w:t>
            </w:r>
            <w:r>
              <w:rPr>
                <w:rStyle w:val="24"/>
                <w:rFonts w:hint="default" w:ascii="Times New Roman" w:hAnsi="Times New Roman" w:eastAsia="var(--dsw-font-markdown-table)" w:cs="Times New Roman"/>
                <w:b/>
                <w:bCs/>
                <w:color w:val="auto"/>
                <w:kern w:val="0"/>
                <w:sz w:val="24"/>
                <w:szCs w:val="24"/>
                <w:highlight w:val="none"/>
                <w:lang w:val="en-US" w:eastAsia="zh-CN" w:bidi="ar"/>
              </w:rPr>
              <w:t>重大活动期间失误扣分</w:t>
            </w:r>
          </w:p>
        </w:tc>
        <w:tc>
          <w:tcPr>
            <w:tcW w:w="2270" w:type="pct"/>
            <w:gridSpan w:val="2"/>
            <w:shd w:val="clear" w:color="auto" w:fill="auto"/>
            <w:tcMar>
              <w:top w:w="120" w:type="dxa"/>
              <w:left w:w="192" w:type="dxa"/>
              <w:bottom w:w="120" w:type="dxa"/>
              <w:right w:w="192" w:type="dxa"/>
            </w:tcMar>
            <w:vAlign w:val="center"/>
          </w:tcPr>
          <w:p w14:paraId="578298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在法定节假日和省、市重大活动期间，因管理不到位，引起入驻企业强烈反映的，当季度考核总分中扣5分。</w:t>
            </w:r>
          </w:p>
        </w:tc>
        <w:tc>
          <w:tcPr>
            <w:tcW w:w="531" w:type="pct"/>
            <w:shd w:val="clear" w:color="auto" w:fill="auto"/>
            <w:tcMar>
              <w:top w:w="120" w:type="dxa"/>
              <w:left w:w="192" w:type="dxa"/>
              <w:bottom w:w="120" w:type="dxa"/>
              <w:right w:w="192" w:type="dxa"/>
            </w:tcMar>
            <w:vAlign w:val="center"/>
          </w:tcPr>
          <w:p w14:paraId="465DD5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Style w:val="24"/>
                <w:rFonts w:hint="default" w:ascii="Times New Roman" w:hAnsi="Times New Roman" w:eastAsia="var(--dsw-font-markdown-table)" w:cs="Times New Roman"/>
                <w:b/>
                <w:bCs/>
                <w:color w:val="auto"/>
                <w:kern w:val="0"/>
                <w:sz w:val="24"/>
                <w:szCs w:val="24"/>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482EA68C">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04A9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875872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c>
          <w:tcPr>
            <w:tcW w:w="797" w:type="pct"/>
            <w:shd w:val="clear" w:color="auto" w:fill="auto"/>
            <w:tcMar>
              <w:top w:w="120" w:type="dxa"/>
              <w:left w:w="192" w:type="dxa"/>
              <w:bottom w:w="120" w:type="dxa"/>
              <w:right w:w="192" w:type="dxa"/>
            </w:tcMar>
            <w:vAlign w:val="center"/>
          </w:tcPr>
          <w:p w14:paraId="32DF3A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6.</w:t>
            </w:r>
            <w:r>
              <w:rPr>
                <w:rFonts w:hint="eastAsia" w:ascii="Times New Roman" w:hAnsi="Times New Roman" w:eastAsia="var(--dsw-font-markdown-table)" w:cs="Times New Roman"/>
                <w:color w:val="auto"/>
                <w:kern w:val="0"/>
                <w:sz w:val="24"/>
                <w:szCs w:val="24"/>
                <w:highlight w:val="none"/>
                <w:lang w:val="en-US" w:eastAsia="zh-CN" w:bidi="ar"/>
              </w:rPr>
              <w:t>3</w:t>
            </w:r>
            <w:r>
              <w:rPr>
                <w:rFonts w:hint="default" w:ascii="Times New Roman" w:hAnsi="Times New Roman" w:eastAsia="var(--dsw-font-markdown-table)" w:cs="Times New Roman"/>
                <w:color w:val="auto"/>
                <w:kern w:val="0"/>
                <w:sz w:val="24"/>
                <w:szCs w:val="24"/>
                <w:highlight w:val="none"/>
                <w:lang w:val="en-US" w:eastAsia="zh-CN" w:bidi="ar"/>
              </w:rPr>
              <w:t>安全事故</w:t>
            </w:r>
          </w:p>
        </w:tc>
        <w:tc>
          <w:tcPr>
            <w:tcW w:w="2270" w:type="pct"/>
            <w:gridSpan w:val="2"/>
            <w:shd w:val="clear" w:color="auto" w:fill="auto"/>
            <w:tcMar>
              <w:top w:w="120" w:type="dxa"/>
              <w:left w:w="192" w:type="dxa"/>
              <w:bottom w:w="120" w:type="dxa"/>
              <w:right w:w="192" w:type="dxa"/>
            </w:tcMar>
            <w:vAlign w:val="center"/>
          </w:tcPr>
          <w:p w14:paraId="5B2E81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因管理责任发生安全责任事故，本项目整体得分扣10分，并视为重大违约。</w:t>
            </w:r>
          </w:p>
        </w:tc>
        <w:tc>
          <w:tcPr>
            <w:tcW w:w="531" w:type="pct"/>
            <w:shd w:val="clear" w:color="auto" w:fill="auto"/>
            <w:tcMar>
              <w:top w:w="120" w:type="dxa"/>
              <w:left w:w="192" w:type="dxa"/>
              <w:bottom w:w="120" w:type="dxa"/>
              <w:right w:w="192" w:type="dxa"/>
            </w:tcMar>
            <w:vAlign w:val="center"/>
          </w:tcPr>
          <w:p w14:paraId="158CDB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var(--dsw-font-markdown-table)" w:cs="Times New Roman"/>
                <w:color w:val="auto"/>
                <w:highlight w:val="none"/>
              </w:rPr>
            </w:pPr>
            <w:r>
              <w:rPr>
                <w:rFonts w:hint="default" w:ascii="Times New Roman" w:hAnsi="Times New Roman" w:eastAsia="var(--dsw-font-markdown-table)" w:cs="Times New Roman"/>
                <w:color w:val="auto"/>
                <w:kern w:val="0"/>
                <w:sz w:val="24"/>
                <w:szCs w:val="24"/>
                <w:highlight w:val="none"/>
                <w:lang w:val="en-US" w:eastAsia="zh-CN" w:bidi="ar"/>
              </w:rPr>
              <w:t>-10</w:t>
            </w:r>
          </w:p>
        </w:tc>
        <w:tc>
          <w:tcPr>
            <w:tcW w:w="549" w:type="pct"/>
            <w:shd w:val="clear" w:color="auto" w:fill="auto"/>
            <w:tcMar>
              <w:top w:w="120" w:type="dxa"/>
              <w:left w:w="192" w:type="dxa"/>
              <w:bottom w:w="120" w:type="dxa"/>
              <w:right w:w="192" w:type="dxa"/>
            </w:tcMar>
            <w:vAlign w:val="center"/>
          </w:tcPr>
          <w:p w14:paraId="22FAAB8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var(--dsw-font-markdown-table)" w:cs="Times New Roman"/>
                <w:color w:val="auto"/>
                <w:sz w:val="24"/>
                <w:szCs w:val="24"/>
                <w:highlight w:val="none"/>
              </w:rPr>
            </w:pPr>
          </w:p>
        </w:tc>
      </w:tr>
      <w:tr w14:paraId="542B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1" w:type="pct"/>
            <w:vMerge w:val="continue"/>
            <w:shd w:val="clear" w:color="auto" w:fill="FFFFFF"/>
            <w:tcMar>
              <w:top w:w="120" w:type="dxa"/>
              <w:left w:w="0" w:type="dxa"/>
              <w:bottom w:w="120" w:type="dxa"/>
              <w:right w:w="192" w:type="dxa"/>
            </w:tcMar>
            <w:vAlign w:val="center"/>
          </w:tcPr>
          <w:p w14:paraId="401CF7E6">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Ubuntu" w:cs="Times New Roman"/>
                <w:i w:val="0"/>
                <w:iCs w:val="0"/>
                <w:caps w:val="0"/>
                <w:color w:val="auto"/>
                <w:spacing w:val="0"/>
                <w:sz w:val="24"/>
                <w:szCs w:val="24"/>
                <w:highlight w:val="none"/>
              </w:rPr>
            </w:pPr>
          </w:p>
        </w:tc>
        <w:tc>
          <w:tcPr>
            <w:tcW w:w="797" w:type="pct"/>
            <w:shd w:val="clear" w:color="auto" w:fill="FFFFFF"/>
            <w:tcMar>
              <w:top w:w="120" w:type="dxa"/>
              <w:left w:w="192" w:type="dxa"/>
              <w:bottom w:w="120" w:type="dxa"/>
              <w:right w:w="192" w:type="dxa"/>
            </w:tcMar>
            <w:vAlign w:val="center"/>
          </w:tcPr>
          <w:p w14:paraId="1A7ECE26">
            <w:pPr>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left"/>
              <w:textAlignment w:val="auto"/>
              <w:rPr>
                <w:rFonts w:hint="default" w:ascii="Times New Roman" w:hAnsi="Times New Roman" w:eastAsia="Ubuntu" w:cs="Times New Roman"/>
                <w:i w:val="0"/>
                <w:iCs w:val="0"/>
                <w:caps w:val="0"/>
                <w:color w:val="auto"/>
                <w:spacing w:val="0"/>
                <w:highlight w:val="none"/>
              </w:rPr>
            </w:pPr>
            <w:r>
              <w:rPr>
                <w:rFonts w:hint="default" w:ascii="Times New Roman" w:hAnsi="Times New Roman" w:eastAsia="Ubuntu" w:cs="Times New Roman"/>
                <w:i w:val="0"/>
                <w:iCs w:val="0"/>
                <w:caps w:val="0"/>
                <w:color w:val="auto"/>
                <w:spacing w:val="0"/>
                <w:kern w:val="0"/>
                <w:sz w:val="24"/>
                <w:szCs w:val="24"/>
                <w:highlight w:val="none"/>
                <w:lang w:val="en-US" w:eastAsia="zh-CN" w:bidi="ar"/>
              </w:rPr>
              <w:t>6.</w:t>
            </w:r>
            <w:r>
              <w:rPr>
                <w:rFonts w:hint="eastAsia" w:ascii="Times New Roman" w:hAnsi="Times New Roman" w:eastAsia="Ubuntu" w:cs="Times New Roman"/>
                <w:i w:val="0"/>
                <w:iCs w:val="0"/>
                <w:caps w:val="0"/>
                <w:color w:val="auto"/>
                <w:spacing w:val="0"/>
                <w:kern w:val="0"/>
                <w:sz w:val="24"/>
                <w:szCs w:val="24"/>
                <w:highlight w:val="none"/>
                <w:lang w:val="en-US" w:eastAsia="zh-CN" w:bidi="ar"/>
              </w:rPr>
              <w:t>4</w:t>
            </w:r>
            <w:r>
              <w:rPr>
                <w:rFonts w:hint="default" w:ascii="Times New Roman" w:hAnsi="Times New Roman" w:eastAsia="Ubuntu" w:cs="Times New Roman"/>
                <w:i w:val="0"/>
                <w:iCs w:val="0"/>
                <w:caps w:val="0"/>
                <w:color w:val="auto"/>
                <w:spacing w:val="0"/>
                <w:kern w:val="0"/>
                <w:sz w:val="24"/>
                <w:szCs w:val="24"/>
                <w:highlight w:val="none"/>
                <w:lang w:val="en-US" w:eastAsia="zh-CN" w:bidi="ar"/>
              </w:rPr>
              <w:t>人员配备</w:t>
            </w:r>
          </w:p>
        </w:tc>
        <w:tc>
          <w:tcPr>
            <w:tcW w:w="2270" w:type="pct"/>
            <w:gridSpan w:val="2"/>
            <w:shd w:val="clear" w:color="auto" w:fill="FFFFFF"/>
            <w:tcMar>
              <w:top w:w="120" w:type="dxa"/>
              <w:left w:w="192" w:type="dxa"/>
              <w:bottom w:w="120" w:type="dxa"/>
              <w:right w:w="192" w:type="dxa"/>
            </w:tcMar>
            <w:vAlign w:val="center"/>
          </w:tcPr>
          <w:p w14:paraId="7A517629">
            <w:pPr>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left"/>
              <w:textAlignment w:val="auto"/>
              <w:rPr>
                <w:rFonts w:hint="default" w:ascii="Times New Roman" w:hAnsi="Times New Roman" w:eastAsia="Ubuntu" w:cs="Times New Roman"/>
                <w:i w:val="0"/>
                <w:iCs w:val="0"/>
                <w:caps w:val="0"/>
                <w:color w:val="auto"/>
                <w:spacing w:val="0"/>
                <w:highlight w:val="none"/>
              </w:rPr>
            </w:pPr>
            <w:r>
              <w:rPr>
                <w:rFonts w:hint="default" w:ascii="Times New Roman" w:hAnsi="Times New Roman" w:eastAsia="Ubuntu" w:cs="Times New Roman"/>
                <w:i w:val="0"/>
                <w:iCs w:val="0"/>
                <w:caps w:val="0"/>
                <w:color w:val="auto"/>
                <w:spacing w:val="0"/>
                <w:kern w:val="0"/>
                <w:sz w:val="24"/>
                <w:szCs w:val="24"/>
                <w:highlight w:val="none"/>
                <w:lang w:val="en-US" w:eastAsia="zh-CN" w:bidi="ar"/>
              </w:rPr>
              <w:t>抽查发现人员配备不足，且未及时补足，扣5分。</w:t>
            </w:r>
          </w:p>
        </w:tc>
        <w:tc>
          <w:tcPr>
            <w:tcW w:w="531" w:type="pct"/>
            <w:shd w:val="clear" w:color="auto" w:fill="FFFFFF"/>
            <w:tcMar>
              <w:top w:w="120" w:type="dxa"/>
              <w:left w:w="192" w:type="dxa"/>
              <w:bottom w:w="120" w:type="dxa"/>
              <w:right w:w="192" w:type="dxa"/>
            </w:tcMar>
            <w:vAlign w:val="center"/>
          </w:tcPr>
          <w:p w14:paraId="1FAAE83D">
            <w:pPr>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Times New Roman" w:hAnsi="Times New Roman" w:eastAsia="Ubuntu" w:cs="Times New Roman"/>
                <w:i w:val="0"/>
                <w:iCs w:val="0"/>
                <w:caps w:val="0"/>
                <w:color w:val="auto"/>
                <w:spacing w:val="0"/>
                <w:highlight w:val="none"/>
              </w:rPr>
            </w:pPr>
            <w:r>
              <w:rPr>
                <w:rFonts w:hint="default" w:ascii="Times New Roman" w:hAnsi="Times New Roman" w:eastAsia="Ubuntu" w:cs="Times New Roman"/>
                <w:i w:val="0"/>
                <w:iCs w:val="0"/>
                <w:caps w:val="0"/>
                <w:color w:val="auto"/>
                <w:spacing w:val="0"/>
                <w:sz w:val="24"/>
                <w:szCs w:val="24"/>
                <w:highlight w:val="none"/>
              </w:rPr>
              <w:t>-5</w:t>
            </w:r>
            <w:r>
              <w:rPr>
                <w:rFonts w:hint="default" w:ascii="Times New Roman" w:hAnsi="Times New Roman" w:eastAsia="宋体" w:cs="Times New Roman"/>
                <w:color w:val="auto"/>
                <w:kern w:val="0"/>
                <w:sz w:val="24"/>
                <w:szCs w:val="24"/>
                <w:highlight w:val="none"/>
                <w:lang w:val="en-US" w:eastAsia="zh-CN" w:bidi="ar"/>
              </w:rPr>
              <w:br w:type="textWrapping"/>
            </w:r>
          </w:p>
        </w:tc>
        <w:tc>
          <w:tcPr>
            <w:tcW w:w="549" w:type="pct"/>
            <w:shd w:val="clear" w:color="auto" w:fill="auto"/>
            <w:vAlign w:val="center"/>
          </w:tcPr>
          <w:p w14:paraId="74591A7E">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sz w:val="24"/>
                <w:szCs w:val="24"/>
                <w:highlight w:val="none"/>
              </w:rPr>
            </w:pPr>
          </w:p>
        </w:tc>
      </w:tr>
      <w:tr w14:paraId="5A06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000" w:type="pct"/>
            <w:gridSpan w:val="6"/>
            <w:shd w:val="clear" w:color="auto" w:fill="FFFFFF"/>
            <w:tcMar>
              <w:top w:w="120" w:type="dxa"/>
              <w:left w:w="0" w:type="dxa"/>
              <w:bottom w:w="120" w:type="dxa"/>
              <w:right w:w="192" w:type="dxa"/>
            </w:tcMar>
            <w:vAlign w:val="center"/>
          </w:tcPr>
          <w:p w14:paraId="16C219D7">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sz w:val="24"/>
                <w:szCs w:val="24"/>
                <w:highlight w:val="none"/>
              </w:rPr>
            </w:pPr>
            <w:r>
              <w:rPr>
                <w:rFonts w:hint="eastAsia" w:ascii="宋体" w:hAnsi="宋体" w:eastAsia="宋体" w:cs="宋体"/>
                <w:b/>
                <w:bCs/>
                <w:color w:val="auto"/>
                <w:kern w:val="2"/>
                <w:sz w:val="24"/>
                <w:szCs w:val="24"/>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p>
        </w:tc>
      </w:tr>
      <w:tr w14:paraId="4E4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70" w:hRule="atLeast"/>
        </w:trPr>
        <w:tc>
          <w:tcPr>
            <w:tcW w:w="1649" w:type="pct"/>
            <w:gridSpan w:val="2"/>
            <w:shd w:val="clear" w:color="auto" w:fill="FFFFFF"/>
            <w:tcMar>
              <w:top w:w="120" w:type="dxa"/>
              <w:left w:w="0" w:type="dxa"/>
              <w:bottom w:w="120" w:type="dxa"/>
              <w:right w:w="192" w:type="dxa"/>
            </w:tcMar>
            <w:vAlign w:val="center"/>
          </w:tcPr>
          <w:p w14:paraId="7C78CEF4">
            <w:pPr>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Times New Roman" w:hAnsi="Times New Roman" w:eastAsia="Ubuntu" w:cs="Times New Roman"/>
                <w:i w:val="0"/>
                <w:iCs w:val="0"/>
                <w:caps w:val="0"/>
                <w:color w:val="auto"/>
                <w:spacing w:val="0"/>
                <w:kern w:val="0"/>
                <w:sz w:val="24"/>
                <w:szCs w:val="24"/>
                <w:highlight w:val="none"/>
                <w:lang w:val="en-US" w:eastAsia="zh-CN" w:bidi="ar"/>
              </w:rPr>
            </w:pPr>
            <w:r>
              <w:rPr>
                <w:rFonts w:hint="eastAsia" w:ascii="Times New Roman" w:hAnsi="Times New Roman" w:eastAsia="Ubuntu" w:cs="Times New Roman"/>
                <w:i w:val="0"/>
                <w:iCs w:val="0"/>
                <w:caps w:val="0"/>
                <w:color w:val="auto"/>
                <w:spacing w:val="0"/>
                <w:kern w:val="0"/>
                <w:sz w:val="24"/>
                <w:szCs w:val="24"/>
                <w:highlight w:val="none"/>
                <w:lang w:val="en-US" w:eastAsia="zh-CN" w:bidi="ar"/>
              </w:rPr>
              <w:t>考核总分</w:t>
            </w:r>
          </w:p>
        </w:tc>
        <w:tc>
          <w:tcPr>
            <w:tcW w:w="3350" w:type="pct"/>
            <w:gridSpan w:val="4"/>
            <w:shd w:val="clear" w:color="auto" w:fill="FFFFFF"/>
            <w:tcMar>
              <w:top w:w="120" w:type="dxa"/>
              <w:left w:w="192" w:type="dxa"/>
              <w:bottom w:w="120" w:type="dxa"/>
              <w:right w:w="192" w:type="dxa"/>
            </w:tcMar>
            <w:vAlign w:val="center"/>
          </w:tcPr>
          <w:p w14:paraId="388B6315">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sz w:val="24"/>
                <w:szCs w:val="24"/>
                <w:highlight w:val="none"/>
              </w:rPr>
            </w:pPr>
          </w:p>
        </w:tc>
      </w:tr>
      <w:tr w14:paraId="43B9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25" w:hRule="atLeast"/>
        </w:trPr>
        <w:tc>
          <w:tcPr>
            <w:tcW w:w="2601" w:type="pct"/>
            <w:gridSpan w:val="3"/>
            <w:shd w:val="clear" w:color="auto" w:fill="auto"/>
            <w:tcMar>
              <w:top w:w="120" w:type="dxa"/>
              <w:left w:w="0" w:type="dxa"/>
              <w:bottom w:w="120" w:type="dxa"/>
              <w:right w:w="192" w:type="dxa"/>
            </w:tcMar>
            <w:vAlign w:val="center"/>
          </w:tcPr>
          <w:p w14:paraId="5DF36870">
            <w:pPr>
              <w:spacing w:line="360" w:lineRule="auto"/>
              <w:ind w:left="0" w:leftChars="0" w:firstLine="0" w:firstLineChars="0"/>
              <w:jc w:val="both"/>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eastAsia="zh-CN"/>
              </w:rPr>
              <w:t>甲方签字：</w:t>
            </w:r>
          </w:p>
        </w:tc>
        <w:tc>
          <w:tcPr>
            <w:tcW w:w="2398" w:type="pct"/>
            <w:gridSpan w:val="3"/>
            <w:shd w:val="clear" w:color="auto" w:fill="auto"/>
            <w:tcMar>
              <w:top w:w="120" w:type="dxa"/>
              <w:left w:w="0" w:type="dxa"/>
              <w:bottom w:w="120" w:type="dxa"/>
              <w:right w:w="192" w:type="dxa"/>
            </w:tcMar>
            <w:vAlign w:val="center"/>
          </w:tcPr>
          <w:p w14:paraId="06CC775F">
            <w:pPr>
              <w:spacing w:line="360" w:lineRule="auto"/>
              <w:ind w:left="0" w:leftChars="0" w:firstLine="0" w:firstLineChars="0"/>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eastAsia="zh-CN"/>
              </w:rPr>
              <w:t>乙方签字：</w:t>
            </w:r>
          </w:p>
        </w:tc>
      </w:tr>
    </w:tbl>
    <w:p w14:paraId="7E05255B">
      <w:pPr>
        <w:autoSpaceDE/>
        <w:autoSpaceDN/>
        <w:spacing w:before="0" w:after="0" w:line="360" w:lineRule="auto"/>
        <w:ind w:right="0"/>
        <w:jc w:val="both"/>
        <w:rPr>
          <w:rFonts w:hint="eastAsia" w:ascii="宋体" w:hAnsi="宋体" w:eastAsia="宋体" w:cs="宋体"/>
          <w:b/>
          <w:bCs/>
          <w:color w:val="auto"/>
          <w:kern w:val="2"/>
          <w:sz w:val="24"/>
          <w:szCs w:val="24"/>
          <w:highlight w:val="none"/>
          <w:lang w:val="en-US" w:eastAsia="zh-CN" w:bidi="ar-SA"/>
        </w:rPr>
      </w:pPr>
    </w:p>
    <w:p w14:paraId="756C8D71">
      <w:pPr>
        <w:autoSpaceDE/>
        <w:autoSpaceDN/>
        <w:spacing w:before="0" w:after="0" w:line="360" w:lineRule="auto"/>
        <w:ind w:right="0" w:firstLine="482" w:firstLineChars="200"/>
        <w:jc w:val="both"/>
        <w:rPr>
          <w:rFonts w:hint="eastAsia" w:ascii="黑体" w:hAnsi="黑体" w:eastAsia="黑体" w:cs="黑体"/>
          <w:b/>
          <w:bCs/>
          <w:color w:val="auto"/>
          <w:kern w:val="2"/>
          <w:sz w:val="24"/>
          <w:szCs w:val="24"/>
          <w:highlight w:val="none"/>
          <w:lang w:val="en-US" w:eastAsia="zh-CN" w:bidi="ar-SA"/>
        </w:rPr>
      </w:pPr>
      <w:r>
        <w:rPr>
          <w:rFonts w:hint="eastAsia" w:ascii="黑体" w:hAnsi="黑体" w:eastAsia="黑体" w:cs="黑体"/>
          <w:b/>
          <w:bCs/>
          <w:color w:val="auto"/>
          <w:kern w:val="2"/>
          <w:sz w:val="24"/>
          <w:szCs w:val="24"/>
          <w:highlight w:val="none"/>
          <w:lang w:val="en-US" w:eastAsia="zh-CN" w:bidi="ar-SA"/>
        </w:rPr>
        <w:t>七</w:t>
      </w:r>
      <w:r>
        <w:rPr>
          <w:rFonts w:hint="eastAsia" w:ascii="黑体" w:hAnsi="黑体" w:eastAsia="黑体" w:cs="黑体"/>
          <w:b/>
          <w:bCs/>
          <w:color w:val="auto"/>
          <w:kern w:val="2"/>
          <w:sz w:val="24"/>
          <w:szCs w:val="24"/>
          <w:highlight w:val="none"/>
          <w:lang w:val="en-US" w:bidi="ar-SA"/>
        </w:rPr>
        <w:t>、</w:t>
      </w:r>
      <w:r>
        <w:rPr>
          <w:rFonts w:hint="eastAsia" w:ascii="黑体" w:hAnsi="黑体" w:eastAsia="黑体" w:cs="黑体"/>
          <w:b/>
          <w:bCs/>
          <w:color w:val="auto"/>
          <w:kern w:val="2"/>
          <w:sz w:val="24"/>
          <w:szCs w:val="24"/>
          <w:highlight w:val="none"/>
          <w:lang w:val="en-US" w:eastAsia="zh-CN" w:bidi="ar-SA"/>
        </w:rPr>
        <w:t>其他要求</w:t>
      </w:r>
    </w:p>
    <w:p w14:paraId="59FF3879">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1.如中标人物业管理服务标准低于本项目规定，造成服务不达标，招标人可以按合同约定解除合同，并不退还中标人履约保证金。</w:t>
      </w:r>
    </w:p>
    <w:p w14:paraId="0EFB1359">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2.中标人应依据国家、地方关于物业管理的有关法律法规、招标文件、投标文件、物业管理服务合同的规定，编制完成详细且有针对性的物业管理方案。</w:t>
      </w:r>
    </w:p>
    <w:p w14:paraId="642AD0DE">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3.合同期内中标人未按照合同履行义务，造成重大影响的；恶意退出物业服务项目的；发生重大责任事故，造成较大影响的；违反法律法规，不诚信服务，不接受监管部门监管等情况的，履约保证金不予退还。</w:t>
      </w:r>
    </w:p>
    <w:p w14:paraId="6A3DD0A5">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4.合同执行期间，有下列情况之一的，招标人有权单方面解除合同，且不承担违约责任。</w:t>
      </w:r>
    </w:p>
    <w:p w14:paraId="264B4638">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strike w:val="0"/>
          <w:dstrike w:val="0"/>
          <w:color w:val="auto"/>
          <w:sz w:val="24"/>
          <w:highlight w:val="none"/>
          <w:u w:val="none"/>
          <w:lang w:val="en-US" w:eastAsia="zh-CN"/>
        </w:rPr>
        <w:t>合同期内如果经测评，物业服务满意度低于85%，</w:t>
      </w:r>
      <w:r>
        <w:rPr>
          <w:rFonts w:hint="eastAsia" w:ascii="宋体" w:hAnsi="宋体" w:eastAsia="宋体" w:cs="Times New Roman"/>
          <w:strike w:val="0"/>
          <w:dstrike w:val="0"/>
          <w:color w:val="auto"/>
          <w:sz w:val="24"/>
          <w:highlight w:val="none"/>
          <w:lang w:val="en-US" w:eastAsia="zh-CN"/>
        </w:rPr>
        <w:t>或</w:t>
      </w:r>
      <w:r>
        <w:rPr>
          <w:rFonts w:hint="eastAsia" w:ascii="宋体" w:hAnsi="宋体" w:eastAsia="宋体" w:cs="Times New Roman"/>
          <w:color w:val="auto"/>
          <w:sz w:val="24"/>
          <w:highlight w:val="none"/>
          <w:lang w:val="en-US" w:eastAsia="zh-CN"/>
        </w:rPr>
        <w:t>在服务期内，出现较大事故或较大经济损失的，招标人可以解除本合同。</w:t>
      </w:r>
    </w:p>
    <w:p w14:paraId="3D06665C">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（2）中标人未按上述要求严格履行合同，不能按照要求提供物业服务，经招标人责令限期整改仍不予改正。</w:t>
      </w:r>
    </w:p>
    <w:p w14:paraId="3EFFA94D">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本合同终止时，中标人应将物业服务用房、物业服务相关资料、全套档案资料（含电子文档）等及时完整地移交给招标人，经过招标人验收合格，并与招标人依法选聘新的物业服务企业或其他管理人完成交接手续，方可退出。按照《物业承接查验办法》《安徽省物业管理条例》等相关规定办理移交和项目退出手续，未交接清楚或未妥善处理，按合同约定扣除中标人履约保证金。</w:t>
      </w:r>
    </w:p>
    <w:p w14:paraId="63E2169D">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6.物业管理区域出现失窃，经鉴定属于中标人管理疏漏的，中标人应按损失原值赔偿。</w:t>
      </w:r>
    </w:p>
    <w:p w14:paraId="79F3D6B5">
      <w:pPr>
        <w:autoSpaceDE/>
        <w:autoSpaceDN/>
        <w:spacing w:before="0" w:after="0" w:line="360" w:lineRule="auto"/>
        <w:ind w:left="0" w:right="0" w:firstLine="480" w:firstLineChars="200"/>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7.投标人自行踏勘服务现场（需提前预约），如投标人因未及时踏勘现场而导致的报价缺项漏项或成交后无法兑现服务，投标人自行承担一切后果。</w:t>
      </w:r>
    </w:p>
    <w:p w14:paraId="058DE7AB">
      <w:pPr>
        <w:autoSpaceDE/>
        <w:autoSpaceDN/>
        <w:spacing w:before="0" w:after="0" w:line="360" w:lineRule="auto"/>
        <w:ind w:left="0" w:right="0" w:firstLine="480" w:firstLineChars="200"/>
        <w:jc w:val="both"/>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8.中标人进驻前须与招标人确定设备用房数量和具体位置，不得占用或允许任何第三方占用园区设备用房等含有强弱电设备设施用房。</w:t>
      </w:r>
    </w:p>
    <w:p w14:paraId="69D99AD9">
      <w:pPr>
        <w:autoSpaceDE/>
        <w:autoSpaceDN/>
        <w:spacing w:before="0" w:after="0" w:line="360" w:lineRule="auto"/>
        <w:ind w:left="0" w:right="0" w:firstLine="480" w:firstLineChars="200"/>
        <w:jc w:val="both"/>
        <w:rPr>
          <w:rFonts w:hint="eastAsia" w:ascii="宋体" w:hAnsi="宋体" w:eastAsia="宋体" w:cs="宋体"/>
          <w:color w:val="auto"/>
          <w:kern w:val="2"/>
          <w:sz w:val="24"/>
          <w:szCs w:val="20"/>
          <w:highlight w:val="none"/>
        </w:rPr>
      </w:pPr>
      <w:r>
        <w:rPr>
          <w:rFonts w:hint="eastAsia" w:ascii="宋体" w:hAnsi="宋体" w:eastAsia="宋体" w:cs="Times New Roman"/>
          <w:color w:val="auto"/>
          <w:sz w:val="24"/>
          <w:highlight w:val="none"/>
          <w:lang w:val="en-US" w:eastAsia="zh-CN"/>
        </w:rPr>
        <w:t>9.特别说明：本项目严禁转包或挂靠（随时发现，随时解除合同）。中标人须按照投标文件中承诺的人员进行配置，投标文件确定的相关人员须驻场管理，在合同签订后接到招标人通知后3个工作日内进场，否则招标人有权解除合同。入驻的物业公司必须与中标物业公司一致，在管理期间如发现未经认可的分包、挂靠行为等，将被视为违约。</w:t>
      </w:r>
    </w:p>
    <w:p w14:paraId="6D4C436E">
      <w:pPr>
        <w:rPr>
          <w:rFonts w:hint="eastAsia" w:ascii="宋体" w:hAnsi="宋体" w:eastAsia="宋体" w:cs="宋体"/>
          <w:b/>
          <w:color w:val="auto"/>
          <w:kern w:val="2"/>
          <w:sz w:val="28"/>
          <w:szCs w:val="20"/>
          <w:highlight w:val="none"/>
        </w:rPr>
      </w:pPr>
      <w:bookmarkStart w:id="33" w:name="_Toc1706413528"/>
      <w:r>
        <w:rPr>
          <w:rFonts w:hint="eastAsia" w:ascii="宋体" w:hAnsi="宋体" w:eastAsia="宋体" w:cs="宋体"/>
          <w:b/>
          <w:color w:val="auto"/>
          <w:kern w:val="2"/>
          <w:sz w:val="28"/>
          <w:szCs w:val="20"/>
          <w:highlight w:val="none"/>
        </w:rPr>
        <w:br w:type="page"/>
      </w:r>
    </w:p>
    <w:p w14:paraId="49526DEB">
      <w:pPr>
        <w:spacing w:line="360" w:lineRule="auto"/>
        <w:jc w:val="center"/>
        <w:outlineLvl w:val="0"/>
        <w:rPr>
          <w:rFonts w:hint="eastAsia" w:ascii="宋体" w:hAnsi="宋体" w:eastAsia="宋体" w:cs="宋体"/>
          <w:b/>
          <w:color w:val="auto"/>
          <w:kern w:val="2"/>
          <w:sz w:val="28"/>
          <w:szCs w:val="20"/>
          <w:highlight w:val="none"/>
        </w:rPr>
      </w:pPr>
      <w:r>
        <w:rPr>
          <w:rFonts w:hint="eastAsia" w:ascii="宋体" w:hAnsi="宋体" w:eastAsia="宋体" w:cs="宋体"/>
          <w:b/>
          <w:color w:val="auto"/>
          <w:kern w:val="2"/>
          <w:sz w:val="28"/>
          <w:szCs w:val="20"/>
          <w:highlight w:val="none"/>
        </w:rPr>
        <w:t>第四章  评审方法和标准</w:t>
      </w:r>
      <w:bookmarkEnd w:id="33"/>
    </w:p>
    <w:p w14:paraId="7A4F9DD8">
      <w:pPr>
        <w:spacing w:line="360" w:lineRule="auto"/>
        <w:ind w:firstLine="437"/>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一、总则</w:t>
      </w:r>
    </w:p>
    <w:p w14:paraId="5B6760A0">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本项目将按照招标文件第二章 供应商须知的相关要求及本章的规定评审。</w:t>
      </w:r>
    </w:p>
    <w:p w14:paraId="27F2CF64">
      <w:pPr>
        <w:spacing w:line="360" w:lineRule="auto"/>
        <w:ind w:firstLine="437"/>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二、评审方法</w:t>
      </w:r>
    </w:p>
    <w:p w14:paraId="290AED12">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2.1初审</w:t>
      </w:r>
    </w:p>
    <w:p w14:paraId="233598CB">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招标小组对供应商的响应文件进行初审，以确定其是否满足招标文件的实质性要求。初审表如下：</w:t>
      </w:r>
    </w:p>
    <w:tbl>
      <w:tblPr>
        <w:tblStyle w:val="2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0035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5A3361A3">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b/>
                <w:color w:val="auto"/>
                <w:kern w:val="2"/>
                <w:sz w:val="24"/>
                <w:szCs w:val="22"/>
                <w:highlight w:val="none"/>
              </w:rPr>
              <w:t>初审表</w:t>
            </w:r>
          </w:p>
        </w:tc>
      </w:tr>
      <w:tr w14:paraId="7765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4B9C6F">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序号</w:t>
            </w:r>
          </w:p>
        </w:tc>
        <w:tc>
          <w:tcPr>
            <w:tcW w:w="1653" w:type="dxa"/>
            <w:tcBorders>
              <w:bottom w:val="single" w:color="auto" w:sz="4" w:space="0"/>
            </w:tcBorders>
            <w:vAlign w:val="center"/>
          </w:tcPr>
          <w:p w14:paraId="0FBD03E7">
            <w:pPr>
              <w:adjustRightInd w:val="0"/>
              <w:snapToGrid w:val="0"/>
              <w:spacing w:line="360" w:lineRule="auto"/>
              <w:ind w:right="-1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评审指标</w:t>
            </w:r>
          </w:p>
        </w:tc>
        <w:tc>
          <w:tcPr>
            <w:tcW w:w="2260" w:type="dxa"/>
            <w:tcBorders>
              <w:bottom w:val="single" w:color="auto" w:sz="4" w:space="0"/>
            </w:tcBorders>
            <w:vAlign w:val="center"/>
          </w:tcPr>
          <w:p w14:paraId="614B71E8">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评审标准</w:t>
            </w:r>
          </w:p>
        </w:tc>
        <w:tc>
          <w:tcPr>
            <w:tcW w:w="3867" w:type="dxa"/>
            <w:tcBorders>
              <w:bottom w:val="single" w:color="auto" w:sz="4" w:space="0"/>
            </w:tcBorders>
            <w:vAlign w:val="center"/>
          </w:tcPr>
          <w:p w14:paraId="265DCBF1">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格式及材料要求</w:t>
            </w:r>
          </w:p>
        </w:tc>
      </w:tr>
      <w:tr w14:paraId="39E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104FF754">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w:t>
            </w:r>
          </w:p>
        </w:tc>
        <w:tc>
          <w:tcPr>
            <w:tcW w:w="1653" w:type="dxa"/>
            <w:tcBorders>
              <w:bottom w:val="single" w:color="auto" w:sz="4" w:space="0"/>
            </w:tcBorders>
            <w:vAlign w:val="center"/>
          </w:tcPr>
          <w:p w14:paraId="66D00417">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营业执照</w:t>
            </w:r>
          </w:p>
        </w:tc>
        <w:tc>
          <w:tcPr>
            <w:tcW w:w="2260" w:type="dxa"/>
            <w:tcBorders>
              <w:bottom w:val="single" w:color="auto" w:sz="4" w:space="0"/>
            </w:tcBorders>
            <w:vAlign w:val="center"/>
          </w:tcPr>
          <w:p w14:paraId="5539D77F">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合法有效</w:t>
            </w:r>
          </w:p>
        </w:tc>
        <w:tc>
          <w:tcPr>
            <w:tcW w:w="3867" w:type="dxa"/>
            <w:vMerge w:val="restart"/>
            <w:vAlign w:val="center"/>
          </w:tcPr>
          <w:p w14:paraId="270D079E">
            <w:pPr>
              <w:spacing w:line="360" w:lineRule="auto"/>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7507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1607BA3">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2</w:t>
            </w:r>
          </w:p>
        </w:tc>
        <w:tc>
          <w:tcPr>
            <w:tcW w:w="1653" w:type="dxa"/>
            <w:tcBorders>
              <w:bottom w:val="single" w:color="auto" w:sz="4" w:space="0"/>
            </w:tcBorders>
            <w:vAlign w:val="center"/>
          </w:tcPr>
          <w:p w14:paraId="4D73F946">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税务登记证</w:t>
            </w:r>
          </w:p>
        </w:tc>
        <w:tc>
          <w:tcPr>
            <w:tcW w:w="2260" w:type="dxa"/>
            <w:tcBorders>
              <w:bottom w:val="single" w:color="auto" w:sz="4" w:space="0"/>
            </w:tcBorders>
            <w:vAlign w:val="center"/>
          </w:tcPr>
          <w:p w14:paraId="752EE332">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合法有效</w:t>
            </w:r>
          </w:p>
        </w:tc>
        <w:tc>
          <w:tcPr>
            <w:tcW w:w="3867" w:type="dxa"/>
            <w:vMerge w:val="continue"/>
            <w:tcBorders>
              <w:bottom w:val="single" w:color="auto" w:sz="4" w:space="0"/>
            </w:tcBorders>
            <w:vAlign w:val="center"/>
          </w:tcPr>
          <w:p w14:paraId="22CEDD2B">
            <w:pPr>
              <w:adjustRightInd w:val="0"/>
              <w:snapToGrid w:val="0"/>
              <w:spacing w:line="360" w:lineRule="auto"/>
              <w:ind w:right="-10"/>
              <w:jc w:val="left"/>
              <w:rPr>
                <w:rFonts w:hint="eastAsia" w:ascii="宋体" w:hAnsi="宋体" w:eastAsia="宋体" w:cs="宋体"/>
                <w:color w:val="auto"/>
                <w:kern w:val="2"/>
                <w:sz w:val="24"/>
                <w:szCs w:val="20"/>
                <w:highlight w:val="none"/>
              </w:rPr>
            </w:pPr>
          </w:p>
        </w:tc>
      </w:tr>
      <w:tr w14:paraId="56A5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C3FEFF">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3</w:t>
            </w:r>
          </w:p>
        </w:tc>
        <w:tc>
          <w:tcPr>
            <w:tcW w:w="1653" w:type="dxa"/>
            <w:tcBorders>
              <w:bottom w:val="single" w:color="auto" w:sz="4" w:space="0"/>
            </w:tcBorders>
            <w:vAlign w:val="center"/>
          </w:tcPr>
          <w:p w14:paraId="2F1A4518">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无不良信用记录声明函</w:t>
            </w:r>
          </w:p>
        </w:tc>
        <w:tc>
          <w:tcPr>
            <w:tcW w:w="2260" w:type="dxa"/>
            <w:tcBorders>
              <w:bottom w:val="single" w:color="auto" w:sz="4" w:space="0"/>
            </w:tcBorders>
            <w:vAlign w:val="center"/>
          </w:tcPr>
          <w:p w14:paraId="1DD97600">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格式、填写要求符合招标文件规定并加盖供应商电子签章</w:t>
            </w:r>
          </w:p>
        </w:tc>
        <w:tc>
          <w:tcPr>
            <w:tcW w:w="3867" w:type="dxa"/>
            <w:tcBorders>
              <w:bottom w:val="single" w:color="auto" w:sz="4" w:space="0"/>
            </w:tcBorders>
            <w:vAlign w:val="center"/>
          </w:tcPr>
          <w:p w14:paraId="3A908E08">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详见第六章响应文件格式五</w:t>
            </w:r>
          </w:p>
        </w:tc>
      </w:tr>
      <w:tr w14:paraId="08CE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81CD0B2">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4</w:t>
            </w:r>
          </w:p>
        </w:tc>
        <w:tc>
          <w:tcPr>
            <w:tcW w:w="1653" w:type="dxa"/>
            <w:tcBorders>
              <w:bottom w:val="single" w:color="auto" w:sz="4" w:space="0"/>
            </w:tcBorders>
            <w:vAlign w:val="center"/>
          </w:tcPr>
          <w:p w14:paraId="747EF9A7">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响应函</w:t>
            </w:r>
          </w:p>
        </w:tc>
        <w:tc>
          <w:tcPr>
            <w:tcW w:w="2260" w:type="dxa"/>
            <w:tcBorders>
              <w:bottom w:val="single" w:color="auto" w:sz="4" w:space="0"/>
            </w:tcBorders>
            <w:vAlign w:val="center"/>
          </w:tcPr>
          <w:p w14:paraId="463C7653">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格式、填写要求符合招标文件规定并加盖供应商电子签章</w:t>
            </w:r>
          </w:p>
        </w:tc>
        <w:tc>
          <w:tcPr>
            <w:tcW w:w="3867" w:type="dxa"/>
            <w:tcBorders>
              <w:bottom w:val="single" w:color="auto" w:sz="4" w:space="0"/>
            </w:tcBorders>
            <w:vAlign w:val="center"/>
          </w:tcPr>
          <w:p w14:paraId="18943555">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详见第六章响应文件格式三</w:t>
            </w:r>
          </w:p>
        </w:tc>
      </w:tr>
      <w:tr w14:paraId="12B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7D2619D7">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5</w:t>
            </w:r>
          </w:p>
        </w:tc>
        <w:tc>
          <w:tcPr>
            <w:tcW w:w="1653" w:type="dxa"/>
            <w:tcBorders>
              <w:bottom w:val="single" w:color="auto" w:sz="4" w:space="0"/>
            </w:tcBorders>
            <w:vAlign w:val="center"/>
          </w:tcPr>
          <w:p w14:paraId="39BA37A7">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授权书</w:t>
            </w:r>
          </w:p>
        </w:tc>
        <w:tc>
          <w:tcPr>
            <w:tcW w:w="2260" w:type="dxa"/>
            <w:tcBorders>
              <w:bottom w:val="single" w:color="auto" w:sz="4" w:space="0"/>
            </w:tcBorders>
            <w:vAlign w:val="center"/>
          </w:tcPr>
          <w:p w14:paraId="37F5E6E6">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格式、填写要求符合招标文件规定并加盖供应商电子签章</w:t>
            </w:r>
          </w:p>
        </w:tc>
        <w:tc>
          <w:tcPr>
            <w:tcW w:w="3867" w:type="dxa"/>
            <w:tcBorders>
              <w:bottom w:val="single" w:color="auto" w:sz="4" w:space="0"/>
            </w:tcBorders>
            <w:vAlign w:val="center"/>
          </w:tcPr>
          <w:p w14:paraId="6FA7C83D">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法定代表人参加招标的无需此件，提供身份证明即可。详见第六章响应文件格式六</w:t>
            </w:r>
          </w:p>
        </w:tc>
      </w:tr>
      <w:tr w14:paraId="7AC7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AEDB408">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6</w:t>
            </w:r>
          </w:p>
        </w:tc>
        <w:tc>
          <w:tcPr>
            <w:tcW w:w="1653" w:type="dxa"/>
            <w:vAlign w:val="center"/>
          </w:tcPr>
          <w:p w14:paraId="0C2091CB">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投标报价</w:t>
            </w:r>
          </w:p>
        </w:tc>
        <w:tc>
          <w:tcPr>
            <w:tcW w:w="2260" w:type="dxa"/>
            <w:vAlign w:val="center"/>
          </w:tcPr>
          <w:p w14:paraId="5885C806">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符合招标文件</w:t>
            </w:r>
            <w:r>
              <w:rPr>
                <w:rFonts w:hint="eastAsia" w:ascii="宋体" w:hAnsi="宋体" w:eastAsia="宋体" w:cs="宋体"/>
                <w:color w:val="auto"/>
                <w:kern w:val="2"/>
                <w:sz w:val="24"/>
                <w:szCs w:val="20"/>
                <w:highlight w:val="none"/>
              </w:rPr>
              <w:t>供应商须知正文第12、22条要求</w:t>
            </w:r>
          </w:p>
        </w:tc>
        <w:tc>
          <w:tcPr>
            <w:tcW w:w="3867" w:type="dxa"/>
            <w:vAlign w:val="center"/>
          </w:tcPr>
          <w:p w14:paraId="1F577FA0">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详见第六章响应文件格式一</w:t>
            </w:r>
          </w:p>
        </w:tc>
      </w:tr>
      <w:tr w14:paraId="10FF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EA0355B">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7</w:t>
            </w:r>
          </w:p>
        </w:tc>
        <w:tc>
          <w:tcPr>
            <w:tcW w:w="1653" w:type="dxa"/>
            <w:vAlign w:val="center"/>
          </w:tcPr>
          <w:p w14:paraId="432BDB92">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仿宋_GB2312"/>
                <w:b/>
                <w:bCs/>
                <w:color w:val="auto"/>
                <w:kern w:val="2"/>
                <w:sz w:val="24"/>
                <w:szCs w:val="28"/>
                <w:highlight w:val="none"/>
              </w:rPr>
              <w:t>供应商业绩</w:t>
            </w:r>
          </w:p>
        </w:tc>
        <w:tc>
          <w:tcPr>
            <w:tcW w:w="2260" w:type="dxa"/>
            <w:vAlign w:val="center"/>
          </w:tcPr>
          <w:p w14:paraId="04933F04">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仿宋_GB2312"/>
                <w:b/>
                <w:bCs/>
                <w:color w:val="auto"/>
                <w:kern w:val="2"/>
                <w:sz w:val="24"/>
                <w:szCs w:val="28"/>
                <w:highlight w:val="none"/>
              </w:rPr>
              <w:t>符合供应商资格中的业绩要求</w:t>
            </w:r>
          </w:p>
        </w:tc>
        <w:tc>
          <w:tcPr>
            <w:tcW w:w="3867" w:type="dxa"/>
            <w:vAlign w:val="center"/>
          </w:tcPr>
          <w:p w14:paraId="1FE5412A">
            <w:pPr>
              <w:adjustRightInd w:val="0"/>
              <w:snapToGrid w:val="0"/>
              <w:spacing w:line="360" w:lineRule="auto"/>
              <w:jc w:val="left"/>
              <w:rPr>
                <w:rFonts w:hint="eastAsia" w:ascii="宋体" w:hAnsi="宋体" w:eastAsia="宋体" w:cs="@仿宋_GB2312"/>
                <w:b/>
                <w:bCs/>
                <w:color w:val="auto"/>
                <w:kern w:val="2"/>
                <w:sz w:val="24"/>
                <w:szCs w:val="20"/>
                <w:highlight w:val="none"/>
              </w:rPr>
            </w:pPr>
            <w:r>
              <w:rPr>
                <w:rFonts w:hint="eastAsia" w:ascii="宋体" w:hAnsi="宋体" w:eastAsia="宋体" w:cs="@仿宋_GB2312"/>
                <w:b/>
                <w:bCs/>
                <w:color w:val="auto"/>
                <w:kern w:val="2"/>
                <w:sz w:val="24"/>
                <w:szCs w:val="18"/>
                <w:highlight w:val="none"/>
              </w:rPr>
              <w:t>注：（1）</w:t>
            </w:r>
            <w:r>
              <w:rPr>
                <w:rFonts w:hint="eastAsia" w:ascii="宋体" w:hAnsi="宋体" w:eastAsia="宋体" w:cs="@仿宋_GB2312"/>
                <w:b/>
                <w:bCs/>
                <w:color w:val="auto"/>
                <w:kern w:val="2"/>
                <w:sz w:val="24"/>
                <w:szCs w:val="20"/>
                <w:highlight w:val="none"/>
              </w:rPr>
              <w:t>本项目对正在履约或履约完成的业绩均予以认可；</w:t>
            </w:r>
          </w:p>
          <w:p w14:paraId="3901B163">
            <w:pPr>
              <w:spacing w:line="360" w:lineRule="auto"/>
              <w:rPr>
                <w:rFonts w:hint="eastAsia" w:ascii="宋体" w:hAnsi="宋体" w:eastAsia="宋体" w:cs="宋体"/>
                <w:bCs/>
                <w:color w:val="auto"/>
                <w:kern w:val="2"/>
                <w:sz w:val="24"/>
                <w:szCs w:val="32"/>
                <w:highlight w:val="none"/>
              </w:rPr>
            </w:pPr>
            <w:r>
              <w:rPr>
                <w:rFonts w:hint="eastAsia" w:ascii="宋体" w:hAnsi="宋体" w:eastAsia="宋体" w:cs="@仿宋_GB2312"/>
                <w:b/>
                <w:bCs/>
                <w:color w:val="auto"/>
                <w:kern w:val="2"/>
                <w:sz w:val="24"/>
                <w:szCs w:val="32"/>
                <w:highlight w:val="none"/>
              </w:rPr>
              <w:t>（2）响应文件中提供业绩合同的扫描件（或影印件），若业绩合同中无法体现合同签订时间、供应商名称、总建筑面积、项目内容等关键评审要素的，须另附业主单位</w:t>
            </w:r>
            <w:r>
              <w:rPr>
                <w:rFonts w:ascii="宋体" w:hAnsi="宋体" w:eastAsia="宋体" w:cs="@仿宋_GB2312"/>
                <w:b/>
                <w:bCs/>
                <w:color w:val="auto"/>
                <w:kern w:val="2"/>
                <w:sz w:val="24"/>
                <w:szCs w:val="32"/>
                <w:highlight w:val="none"/>
              </w:rPr>
              <w:t>（或合同甲方）出具的</w:t>
            </w:r>
            <w:r>
              <w:rPr>
                <w:rFonts w:hint="eastAsia" w:ascii="宋体" w:hAnsi="宋体" w:eastAsia="宋体" w:cs="@仿宋_GB2312"/>
                <w:b/>
                <w:bCs/>
                <w:color w:val="auto"/>
                <w:kern w:val="2"/>
                <w:sz w:val="24"/>
                <w:szCs w:val="32"/>
                <w:highlight w:val="none"/>
              </w:rPr>
              <w:t>证明材料扫描件（或影印件）加以证明，否则不予认可</w:t>
            </w:r>
            <w:r>
              <w:rPr>
                <w:rFonts w:hint="eastAsia" w:ascii="宋体" w:hAnsi="宋体" w:eastAsia="宋体" w:cs="@仿宋_GB2312"/>
                <w:b/>
                <w:bCs/>
                <w:color w:val="auto"/>
                <w:kern w:val="2"/>
                <w:sz w:val="24"/>
                <w:szCs w:val="18"/>
                <w:highlight w:val="none"/>
              </w:rPr>
              <w:t>。</w:t>
            </w:r>
          </w:p>
        </w:tc>
      </w:tr>
      <w:tr w14:paraId="369C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2D329E3">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8</w:t>
            </w:r>
          </w:p>
        </w:tc>
        <w:tc>
          <w:tcPr>
            <w:tcW w:w="1653" w:type="dxa"/>
            <w:vAlign w:val="center"/>
          </w:tcPr>
          <w:p w14:paraId="19FAB0E0">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商务响应情况</w:t>
            </w:r>
          </w:p>
        </w:tc>
        <w:tc>
          <w:tcPr>
            <w:tcW w:w="2260" w:type="dxa"/>
            <w:vAlign w:val="center"/>
          </w:tcPr>
          <w:p w14:paraId="416038D2">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符合招标文件采购需求中付款方式、服务期限、服务地点的要求</w:t>
            </w:r>
          </w:p>
        </w:tc>
        <w:tc>
          <w:tcPr>
            <w:tcW w:w="3867" w:type="dxa"/>
            <w:vAlign w:val="center"/>
          </w:tcPr>
          <w:p w14:paraId="2370BA04">
            <w:pPr>
              <w:adjustRightInd w:val="0"/>
              <w:snapToGrid w:val="0"/>
              <w:spacing w:line="360" w:lineRule="auto"/>
              <w:ind w:right="-10"/>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详见第六章响应文件格式七</w:t>
            </w:r>
          </w:p>
        </w:tc>
      </w:tr>
      <w:tr w14:paraId="18D8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CD32E9B">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9</w:t>
            </w:r>
          </w:p>
        </w:tc>
        <w:tc>
          <w:tcPr>
            <w:tcW w:w="1653" w:type="dxa"/>
            <w:vAlign w:val="center"/>
          </w:tcPr>
          <w:p w14:paraId="0CAFC13C">
            <w:pPr>
              <w:spacing w:after="50"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8"/>
                <w:highlight w:val="none"/>
              </w:rPr>
              <w:t>文件获取情况</w:t>
            </w:r>
          </w:p>
        </w:tc>
        <w:tc>
          <w:tcPr>
            <w:tcW w:w="2260" w:type="dxa"/>
            <w:vAlign w:val="center"/>
          </w:tcPr>
          <w:p w14:paraId="4D94D4DE">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在招标文件获取截 </w:t>
            </w:r>
          </w:p>
          <w:p w14:paraId="61B719B8">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止时间前完成响应 </w:t>
            </w:r>
          </w:p>
          <w:p w14:paraId="48629637">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文件获取</w:t>
            </w:r>
          </w:p>
        </w:tc>
        <w:tc>
          <w:tcPr>
            <w:tcW w:w="3867" w:type="dxa"/>
            <w:vAlign w:val="center"/>
          </w:tcPr>
          <w:p w14:paraId="092984D0">
            <w:pPr>
              <w:adjustRightInd w:val="0"/>
              <w:snapToGrid w:val="0"/>
              <w:spacing w:line="360" w:lineRule="auto"/>
              <w:ind w:right="-10"/>
              <w:jc w:val="left"/>
              <w:rPr>
                <w:rFonts w:hint="eastAsia" w:ascii="宋体" w:hAnsi="宋体" w:eastAsia="宋体" w:cs="宋体"/>
                <w:color w:val="auto"/>
                <w:kern w:val="2"/>
                <w:sz w:val="24"/>
                <w:szCs w:val="20"/>
                <w:highlight w:val="none"/>
              </w:rPr>
            </w:pPr>
          </w:p>
        </w:tc>
      </w:tr>
      <w:tr w14:paraId="4ECB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BAEF016">
            <w:pPr>
              <w:adjustRightInd w:val="0"/>
              <w:snapToGrid w:val="0"/>
              <w:spacing w:line="360" w:lineRule="auto"/>
              <w:ind w:right="-10"/>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10</w:t>
            </w:r>
          </w:p>
        </w:tc>
        <w:tc>
          <w:tcPr>
            <w:tcW w:w="1653" w:type="dxa"/>
            <w:vAlign w:val="center"/>
          </w:tcPr>
          <w:p w14:paraId="313D6964">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其他要求</w:t>
            </w:r>
          </w:p>
        </w:tc>
        <w:tc>
          <w:tcPr>
            <w:tcW w:w="2260" w:type="dxa"/>
            <w:vAlign w:val="center"/>
          </w:tcPr>
          <w:p w14:paraId="1C00DC4D">
            <w:pPr>
              <w:spacing w:after="50" w:line="360" w:lineRule="auto"/>
              <w:ind w:right="-10"/>
              <w:jc w:val="center"/>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符合法律、行政法规规定的其他条件或招标文件列明的其他要求</w:t>
            </w:r>
          </w:p>
        </w:tc>
        <w:tc>
          <w:tcPr>
            <w:tcW w:w="3867" w:type="dxa"/>
            <w:vAlign w:val="center"/>
          </w:tcPr>
          <w:p w14:paraId="68102793">
            <w:pPr>
              <w:adjustRightInd w:val="0"/>
              <w:snapToGrid w:val="0"/>
              <w:spacing w:line="360" w:lineRule="auto"/>
              <w:ind w:right="-10"/>
              <w:jc w:val="left"/>
              <w:rPr>
                <w:rFonts w:hint="eastAsia" w:ascii="宋体" w:hAnsi="宋体" w:eastAsia="宋体" w:cs="宋体"/>
                <w:color w:val="auto"/>
                <w:kern w:val="2"/>
                <w:sz w:val="24"/>
                <w:szCs w:val="20"/>
                <w:highlight w:val="none"/>
              </w:rPr>
            </w:pPr>
          </w:p>
        </w:tc>
      </w:tr>
      <w:tr w14:paraId="205E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5" w:type="dxa"/>
            <w:gridSpan w:val="4"/>
            <w:vAlign w:val="center"/>
          </w:tcPr>
          <w:p w14:paraId="600BA7E6">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评审指标通过标准：供应商必须通过上述全部指标。</w:t>
            </w:r>
          </w:p>
          <w:p w14:paraId="3A350DC7">
            <w:pPr>
              <w:adjustRightInd w:val="0"/>
              <w:snapToGrid w:val="0"/>
              <w:spacing w:line="360" w:lineRule="auto"/>
              <w:ind w:right="-10"/>
              <w:jc w:val="left"/>
              <w:rPr>
                <w:rFonts w:hint="eastAsia" w:ascii="宋体" w:hAnsi="宋体" w:eastAsia="宋体" w:cs="宋体"/>
                <w:color w:val="auto"/>
                <w:kern w:val="2"/>
                <w:sz w:val="24"/>
                <w:szCs w:val="20"/>
                <w:highlight w:val="none"/>
                <w:lang w:eastAsia="zh-CN"/>
              </w:rPr>
            </w:pPr>
            <w:r>
              <w:rPr>
                <w:rFonts w:hint="eastAsia" w:ascii="宋体" w:hAnsi="宋体" w:eastAsia="宋体" w:cs="宋体"/>
                <w:b/>
                <w:bCs/>
                <w:color w:val="auto"/>
                <w:kern w:val="2"/>
                <w:sz w:val="24"/>
                <w:szCs w:val="24"/>
                <w:highlight w:val="none"/>
              </w:rPr>
              <w:t>备注：</w:t>
            </w:r>
            <w:r>
              <w:rPr>
                <w:rFonts w:ascii="宋体" w:hAnsi="宋体" w:eastAsia="宋体" w:cs="@仿宋_GB2312"/>
                <w:b/>
                <w:color w:val="auto"/>
                <w:kern w:val="2"/>
                <w:sz w:val="24"/>
                <w:szCs w:val="18"/>
                <w:highlight w:val="none"/>
              </w:rPr>
              <w:t>本项目递交响应文件大于</w:t>
            </w:r>
            <w:r>
              <w:rPr>
                <w:rFonts w:hint="eastAsia" w:ascii="宋体" w:hAnsi="宋体" w:eastAsia="宋体" w:cs="@仿宋_GB2312"/>
                <w:b/>
                <w:color w:val="auto"/>
                <w:kern w:val="2"/>
                <w:sz w:val="24"/>
                <w:szCs w:val="18"/>
                <w:highlight w:val="none"/>
                <w:lang w:val="en-US" w:eastAsia="zh-CN"/>
              </w:rPr>
              <w:t>3</w:t>
            </w:r>
            <w:r>
              <w:rPr>
                <w:rFonts w:ascii="宋体" w:hAnsi="宋体" w:eastAsia="宋体" w:cs="@仿宋_GB2312"/>
                <w:b/>
                <w:color w:val="auto"/>
                <w:kern w:val="2"/>
                <w:sz w:val="24"/>
                <w:szCs w:val="18"/>
                <w:highlight w:val="none"/>
              </w:rPr>
              <w:t>家（含</w:t>
            </w:r>
            <w:r>
              <w:rPr>
                <w:rFonts w:hint="eastAsia" w:ascii="宋体" w:hAnsi="宋体" w:eastAsia="宋体" w:cs="@仿宋_GB2312"/>
                <w:b/>
                <w:color w:val="auto"/>
                <w:kern w:val="2"/>
                <w:sz w:val="24"/>
                <w:szCs w:val="18"/>
                <w:highlight w:val="none"/>
                <w:lang w:val="en-US" w:eastAsia="zh-CN"/>
              </w:rPr>
              <w:t>3</w:t>
            </w:r>
            <w:r>
              <w:rPr>
                <w:rFonts w:ascii="宋体" w:hAnsi="宋体" w:eastAsia="宋体" w:cs="@仿宋_GB2312"/>
                <w:b/>
                <w:color w:val="auto"/>
                <w:kern w:val="2"/>
                <w:sz w:val="24"/>
                <w:szCs w:val="18"/>
                <w:highlight w:val="none"/>
              </w:rPr>
              <w:t>家）的可继续在规定时间开启响应文件</w:t>
            </w:r>
            <w:r>
              <w:rPr>
                <w:rFonts w:hint="eastAsia" w:ascii="宋体" w:hAnsi="宋体" w:eastAsia="宋体" w:cs="@仿宋_GB2312"/>
                <w:b/>
                <w:color w:val="auto"/>
                <w:kern w:val="2"/>
                <w:sz w:val="24"/>
                <w:szCs w:val="18"/>
                <w:highlight w:val="none"/>
                <w:lang w:eastAsia="zh-CN"/>
              </w:rPr>
              <w:t>，否则项目流标。</w:t>
            </w:r>
          </w:p>
        </w:tc>
      </w:tr>
    </w:tbl>
    <w:p w14:paraId="5FF03FCF">
      <w:pPr>
        <w:spacing w:line="360" w:lineRule="auto"/>
        <w:ind w:firstLine="435"/>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2.2综合评分</w:t>
      </w:r>
    </w:p>
    <w:p w14:paraId="1ECCC09E">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2.2.1招标小组按照下表对进入综合评分的所有供应商的响应文件进行综合评分。</w:t>
      </w:r>
    </w:p>
    <w:p w14:paraId="30062DC3">
      <w:pPr>
        <w:spacing w:line="360" w:lineRule="auto"/>
        <w:ind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2.2.2本项目综合评分满分为100分。具体评分细则如下：</w:t>
      </w:r>
    </w:p>
    <w:tbl>
      <w:tblPr>
        <w:tblStyle w:val="2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1E68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78166CCD">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
                <w:bCs/>
                <w:color w:val="auto"/>
                <w:kern w:val="2"/>
                <w:sz w:val="24"/>
                <w:szCs w:val="20"/>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0F58E1F2">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
                <w:bCs/>
                <w:color w:val="auto"/>
                <w:kern w:val="2"/>
                <w:sz w:val="24"/>
                <w:szCs w:val="20"/>
                <w:highlight w:val="none"/>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5FE0C2ED">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
                <w:bCs/>
                <w:color w:val="auto"/>
                <w:kern w:val="2"/>
                <w:sz w:val="24"/>
                <w:szCs w:val="20"/>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4CA2D8E9">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
                <w:bCs/>
                <w:color w:val="auto"/>
                <w:kern w:val="2"/>
                <w:sz w:val="24"/>
                <w:szCs w:val="20"/>
                <w:highlight w:val="none"/>
              </w:rPr>
              <w:t>分值范围</w:t>
            </w:r>
          </w:p>
        </w:tc>
      </w:tr>
      <w:tr w14:paraId="77E2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0BFA8E4">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技术资信分</w:t>
            </w:r>
          </w:p>
          <w:p w14:paraId="73BF05EC">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u w:val="single"/>
              </w:rPr>
              <w:t xml:space="preserve"> 8</w:t>
            </w:r>
            <w:r>
              <w:rPr>
                <w:rFonts w:hint="eastAsia" w:ascii="宋体" w:hAnsi="宋体" w:eastAsia="宋体" w:cs="宋体"/>
                <w:color w:val="auto"/>
                <w:kern w:val="2"/>
                <w:sz w:val="24"/>
                <w:szCs w:val="20"/>
                <w:highlight w:val="none"/>
                <w:u w:val="single"/>
                <w:lang w:val="en-US" w:eastAsia="zh-CN"/>
              </w:rPr>
              <w:t>0</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65444375">
            <w:pPr>
              <w:spacing w:line="360" w:lineRule="auto"/>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物业策划方案</w:t>
            </w:r>
          </w:p>
        </w:tc>
        <w:tc>
          <w:tcPr>
            <w:tcW w:w="3734" w:type="dxa"/>
            <w:tcBorders>
              <w:top w:val="single" w:color="auto" w:sz="4" w:space="0"/>
              <w:left w:val="single" w:color="auto" w:sz="4" w:space="0"/>
              <w:bottom w:val="single" w:color="auto" w:sz="4" w:space="0"/>
              <w:right w:val="single" w:color="auto" w:sz="4" w:space="0"/>
            </w:tcBorders>
            <w:vAlign w:val="center"/>
          </w:tcPr>
          <w:p w14:paraId="490383FA">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供应商提供针对本项目的</w:t>
            </w:r>
            <w:r>
              <w:rPr>
                <w:rFonts w:hint="eastAsia" w:ascii="宋体" w:hAnsi="宋体" w:eastAsia="宋体" w:cs="宋体"/>
                <w:bCs/>
                <w:color w:val="auto"/>
                <w:kern w:val="2"/>
                <w:sz w:val="24"/>
                <w:szCs w:val="24"/>
                <w:highlight w:val="none"/>
              </w:rPr>
              <w:t>物业策划方案</w:t>
            </w:r>
            <w:r>
              <w:rPr>
                <w:rFonts w:hint="eastAsia" w:ascii="宋体" w:hAnsi="宋体" w:eastAsia="宋体" w:cs="宋体"/>
                <w:bCs/>
                <w:color w:val="auto"/>
                <w:kern w:val="2"/>
                <w:sz w:val="24"/>
                <w:szCs w:val="20"/>
                <w:highlight w:val="none"/>
              </w:rPr>
              <w:t>，主要内容包括：①结合项目特色提出较为完善的准确的项目调研分析；②合理的服务定位；具备超前性、创造性、全方位贴心服务的意识；③具备创造优美舒适、安全文明、洁净环境的设想；④高标准、高水平管理的措施等，</w:t>
            </w:r>
            <w:r>
              <w:rPr>
                <w:rFonts w:hint="eastAsia" w:ascii="宋体" w:hAnsi="宋体" w:eastAsia="宋体" w:cs="宋体"/>
                <w:color w:val="auto"/>
                <w:kern w:val="2"/>
                <w:sz w:val="24"/>
                <w:szCs w:val="24"/>
                <w:highlight w:val="none"/>
              </w:rPr>
              <w:t>评标委员会</w:t>
            </w:r>
            <w:r>
              <w:rPr>
                <w:rFonts w:hint="eastAsia" w:ascii="宋体" w:hAnsi="宋体" w:eastAsia="宋体" w:cs="宋体"/>
                <w:bCs/>
                <w:color w:val="auto"/>
                <w:kern w:val="2"/>
                <w:sz w:val="24"/>
                <w:szCs w:val="20"/>
                <w:highlight w:val="none"/>
              </w:rPr>
              <w:t xml:space="preserve">根据招标文件进行综合评审： </w:t>
            </w:r>
          </w:p>
          <w:p w14:paraId="26EAE0B2">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科学合理，能够完全满足本项目的实际需求，得10＜F≤15分； </w:t>
            </w:r>
          </w:p>
          <w:p w14:paraId="1BBAD319">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较合理，能够基本满足本项目的实际需求，得5＜F≤10分； </w:t>
            </w:r>
          </w:p>
          <w:p w14:paraId="69413607">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有待进一步提升完善的，得0＜F≤5分； </w:t>
            </w:r>
          </w:p>
          <w:p w14:paraId="05C2A37B">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bCs/>
                <w:color w:val="auto"/>
                <w:kern w:val="2"/>
                <w:sz w:val="24"/>
                <w:szCs w:val="24"/>
                <w:highlight w:val="none"/>
              </w:rPr>
              <w:t>方案</w:t>
            </w:r>
            <w:r>
              <w:rPr>
                <w:rFonts w:hint="eastAsia" w:ascii="宋体" w:hAnsi="宋体" w:eastAsia="宋体" w:cs="宋体"/>
                <w:color w:val="auto"/>
                <w:kern w:val="2"/>
                <w:sz w:val="24"/>
                <w:szCs w:val="24"/>
                <w:highlight w:val="none"/>
              </w:rPr>
              <w:t>差或未提供的不得分。</w:t>
            </w:r>
          </w:p>
          <w:p w14:paraId="17065F9B">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
                <w:bCs/>
                <w:color w:val="auto"/>
                <w:kern w:val="2"/>
                <w:sz w:val="24"/>
                <w:szCs w:val="24"/>
                <w:highlight w:val="none"/>
              </w:rPr>
              <w:t>注：“F”为供应商此项得分。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6A8E8071">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0-15分</w:t>
            </w:r>
          </w:p>
        </w:tc>
      </w:tr>
      <w:tr w14:paraId="714F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362F2D7">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60AF20E">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4"/>
                <w:highlight w:val="none"/>
              </w:rPr>
              <w:t>日常物业管理方案</w:t>
            </w:r>
          </w:p>
        </w:tc>
        <w:tc>
          <w:tcPr>
            <w:tcW w:w="3734" w:type="dxa"/>
            <w:tcBorders>
              <w:top w:val="single" w:color="auto" w:sz="4" w:space="0"/>
              <w:left w:val="single" w:color="auto" w:sz="4" w:space="0"/>
              <w:bottom w:val="single" w:color="auto" w:sz="4" w:space="0"/>
              <w:right w:val="single" w:color="auto" w:sz="4" w:space="0"/>
            </w:tcBorders>
            <w:vAlign w:val="center"/>
          </w:tcPr>
          <w:p w14:paraId="2CF4D5A9">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供应商提供针对本项目的日常物业管理方案，主要内容包括①物业管理区域内的环境卫生保洁方案；；②物业管理区域内的公共秩序维护方案；③物业管理区域内的共用设施设备零星维修养护方案，</w:t>
            </w:r>
            <w:r>
              <w:rPr>
                <w:rFonts w:hint="eastAsia" w:ascii="宋体" w:hAnsi="宋体" w:eastAsia="宋体" w:cs="宋体"/>
                <w:color w:val="auto"/>
                <w:kern w:val="2"/>
                <w:sz w:val="24"/>
                <w:szCs w:val="24"/>
                <w:highlight w:val="none"/>
              </w:rPr>
              <w:t>评标委员会</w:t>
            </w:r>
            <w:r>
              <w:rPr>
                <w:rFonts w:hint="eastAsia" w:ascii="宋体" w:hAnsi="宋体" w:eastAsia="宋体" w:cs="宋体"/>
                <w:bCs/>
                <w:color w:val="auto"/>
                <w:kern w:val="2"/>
                <w:sz w:val="24"/>
                <w:szCs w:val="20"/>
                <w:highlight w:val="none"/>
              </w:rPr>
              <w:t xml:space="preserve">根据招标文件进行综合评审： </w:t>
            </w:r>
          </w:p>
          <w:p w14:paraId="47B56E50">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科学合理，能够完全满足本项目的实际需求，10＜F≤15分； </w:t>
            </w:r>
          </w:p>
          <w:p w14:paraId="1655DC90">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较合理，能够基本满足本项目的实际需求，得</w:t>
            </w:r>
            <w:r>
              <w:rPr>
                <w:rFonts w:hint="eastAsia" w:ascii="宋体" w:hAnsi="宋体" w:eastAsia="宋体" w:cs="宋体"/>
                <w:bCs/>
                <w:color w:val="auto"/>
                <w:kern w:val="2"/>
                <w:sz w:val="24"/>
                <w:szCs w:val="20"/>
                <w:highlight w:val="none"/>
                <w:lang w:val="en-US" w:eastAsia="zh-CN"/>
              </w:rPr>
              <w:t>5</w:t>
            </w:r>
            <w:r>
              <w:rPr>
                <w:rFonts w:hint="eastAsia" w:ascii="宋体" w:hAnsi="宋体" w:eastAsia="宋体" w:cs="宋体"/>
                <w:bCs/>
                <w:color w:val="auto"/>
                <w:kern w:val="2"/>
                <w:sz w:val="24"/>
                <w:szCs w:val="20"/>
                <w:highlight w:val="none"/>
              </w:rPr>
              <w:t>＜F≤1</w:t>
            </w:r>
            <w:r>
              <w:rPr>
                <w:rFonts w:hint="eastAsia" w:ascii="宋体" w:hAnsi="宋体" w:eastAsia="宋体" w:cs="宋体"/>
                <w:bCs/>
                <w:color w:val="auto"/>
                <w:kern w:val="2"/>
                <w:sz w:val="24"/>
                <w:szCs w:val="20"/>
                <w:highlight w:val="none"/>
                <w:lang w:val="en-US" w:eastAsia="zh-CN"/>
              </w:rPr>
              <w:t>0</w:t>
            </w:r>
            <w:r>
              <w:rPr>
                <w:rFonts w:hint="eastAsia" w:ascii="宋体" w:hAnsi="宋体" w:eastAsia="宋体" w:cs="宋体"/>
                <w:bCs/>
                <w:color w:val="auto"/>
                <w:kern w:val="2"/>
                <w:sz w:val="24"/>
                <w:szCs w:val="20"/>
                <w:highlight w:val="none"/>
              </w:rPr>
              <w:t xml:space="preserve">分； </w:t>
            </w:r>
          </w:p>
          <w:p w14:paraId="76FB508F">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有待进一步提升完善的，得0＜F≤5分； </w:t>
            </w:r>
          </w:p>
          <w:p w14:paraId="224E6C65">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4.方案差或未提供的不得分。</w:t>
            </w:r>
          </w:p>
          <w:p w14:paraId="35A12EA4">
            <w:pPr>
              <w:spacing w:line="360" w:lineRule="auto"/>
              <w:rPr>
                <w:rFonts w:hint="eastAsia" w:ascii="宋体" w:hAnsi="宋体" w:eastAsia="宋体" w:cs="宋体"/>
                <w:color w:val="auto"/>
                <w:kern w:val="2"/>
                <w:sz w:val="24"/>
                <w:szCs w:val="20"/>
                <w:highlight w:val="none"/>
              </w:rPr>
            </w:pPr>
            <w:r>
              <w:rPr>
                <w:rFonts w:hint="eastAsia" w:ascii="宋体" w:hAnsi="宋体" w:eastAsia="宋体" w:cs="宋体"/>
                <w:b/>
                <w:bCs/>
                <w:color w:val="auto"/>
                <w:kern w:val="2"/>
                <w:sz w:val="24"/>
                <w:szCs w:val="24"/>
                <w:highlight w:val="none"/>
              </w:rPr>
              <w:t>注：“F”为供应商此项得分。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3871C27">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0-15分</w:t>
            </w:r>
          </w:p>
        </w:tc>
      </w:tr>
      <w:tr w14:paraId="2008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B3C3B7E">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0C32105">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企业日常管理制度，物资方案、人员配备方案、培训方案</w:t>
            </w:r>
          </w:p>
        </w:tc>
        <w:tc>
          <w:tcPr>
            <w:tcW w:w="3734" w:type="dxa"/>
            <w:tcBorders>
              <w:top w:val="single" w:color="auto" w:sz="4" w:space="0"/>
              <w:left w:val="single" w:color="auto" w:sz="4" w:space="0"/>
              <w:bottom w:val="single" w:color="auto" w:sz="4" w:space="0"/>
              <w:right w:val="single" w:color="auto" w:sz="4" w:space="0"/>
            </w:tcBorders>
            <w:vAlign w:val="center"/>
          </w:tcPr>
          <w:p w14:paraId="08D6AB44">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提供针对本项目的企业日常管理方式，物资方案、人员配备方案、培训方案等，主要内容包括①管理方式：内部管理架构、激励机制、监督机制、自我约束机制、信息反馈及处理机制等；②工作计划：工作流程、各项管理服务的短期安排和长期计划等；③物资装备：保洁保安器械、交通工具及通讯等情况；④人员配置：现场人员配置合理，岗位职责明确；⑤人员培训：针对各类人员的培训计划、方式、目标和行为规范的培训等；⑥人员管理：录用与考核、淘汰机制、奖罚、协调关系、服务意识、量化管理及标准运作等，</w:t>
            </w:r>
            <w:r>
              <w:rPr>
                <w:rFonts w:hint="eastAsia" w:ascii="宋体" w:hAnsi="宋体" w:eastAsia="宋体" w:cs="宋体"/>
                <w:color w:val="auto"/>
                <w:kern w:val="2"/>
                <w:sz w:val="24"/>
                <w:szCs w:val="24"/>
                <w:highlight w:val="none"/>
              </w:rPr>
              <w:t>评标委员会</w:t>
            </w:r>
            <w:r>
              <w:rPr>
                <w:rFonts w:hint="eastAsia" w:ascii="宋体" w:hAnsi="宋体" w:eastAsia="宋体" w:cs="宋体"/>
                <w:bCs/>
                <w:color w:val="auto"/>
                <w:kern w:val="2"/>
                <w:sz w:val="24"/>
                <w:szCs w:val="20"/>
                <w:highlight w:val="none"/>
              </w:rPr>
              <w:t xml:space="preserve">根据招标文件进行综合评审： </w:t>
            </w:r>
          </w:p>
          <w:p w14:paraId="2E74F94A">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科学合理，能够完全满足本项目的实际需求，得10＜F≤15分； </w:t>
            </w:r>
          </w:p>
          <w:p w14:paraId="588C5E74">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较合理，能够基本满足本项目的实际需求，得5＜F≤10分； </w:t>
            </w:r>
          </w:p>
          <w:p w14:paraId="1C10686D">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r>
              <w:rPr>
                <w:rFonts w:hint="eastAsia" w:ascii="宋体" w:hAnsi="宋体" w:eastAsia="宋体" w:cs="宋体"/>
                <w:color w:val="auto"/>
                <w:kern w:val="2"/>
                <w:sz w:val="24"/>
                <w:szCs w:val="24"/>
                <w:highlight w:val="none"/>
              </w:rPr>
              <w:t>方案</w:t>
            </w:r>
            <w:r>
              <w:rPr>
                <w:rFonts w:hint="eastAsia" w:ascii="宋体" w:hAnsi="宋体" w:eastAsia="宋体" w:cs="宋体"/>
                <w:bCs/>
                <w:color w:val="auto"/>
                <w:kern w:val="2"/>
                <w:sz w:val="24"/>
                <w:szCs w:val="20"/>
                <w:highlight w:val="none"/>
              </w:rPr>
              <w:t xml:space="preserve">有待进一步提升完善的，得0＜F≤5分； </w:t>
            </w:r>
          </w:p>
          <w:p w14:paraId="3C82E0B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4.方案差或未提供的不得分。</w:t>
            </w:r>
          </w:p>
          <w:p w14:paraId="03F45C8D">
            <w:pPr>
              <w:spacing w:line="360" w:lineRule="auto"/>
              <w:rPr>
                <w:rFonts w:hint="eastAsia" w:ascii="宋体" w:hAnsi="宋体" w:eastAsia="宋体" w:cs="宋体"/>
                <w:color w:val="auto"/>
                <w:kern w:val="2"/>
                <w:sz w:val="21"/>
                <w:szCs w:val="20"/>
                <w:highlight w:val="none"/>
              </w:rPr>
            </w:pPr>
            <w:r>
              <w:rPr>
                <w:rFonts w:hint="eastAsia" w:ascii="宋体" w:hAnsi="宋体" w:eastAsia="宋体" w:cs="宋体"/>
                <w:b/>
                <w:bCs/>
                <w:color w:val="auto"/>
                <w:kern w:val="2"/>
                <w:sz w:val="24"/>
                <w:szCs w:val="24"/>
                <w:highlight w:val="none"/>
              </w:rPr>
              <w:t>注：“F”为供应商此项得分。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508F2EF1">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0-15分</w:t>
            </w:r>
          </w:p>
        </w:tc>
      </w:tr>
      <w:tr w14:paraId="1D71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66F7855">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68170A">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突发事件应急预案</w:t>
            </w:r>
          </w:p>
        </w:tc>
        <w:tc>
          <w:tcPr>
            <w:tcW w:w="3734" w:type="dxa"/>
            <w:tcBorders>
              <w:top w:val="single" w:color="auto" w:sz="4" w:space="0"/>
              <w:left w:val="single" w:color="auto" w:sz="4" w:space="0"/>
              <w:bottom w:val="single" w:color="auto" w:sz="4" w:space="0"/>
              <w:right w:val="single" w:color="auto" w:sz="4" w:space="0"/>
            </w:tcBorders>
            <w:vAlign w:val="center"/>
          </w:tcPr>
          <w:p w14:paraId="1D48C363">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供应商提供针对本项目的</w:t>
            </w:r>
            <w:r>
              <w:rPr>
                <w:rFonts w:hint="eastAsia" w:ascii="宋体" w:hAnsi="宋体" w:eastAsia="宋体" w:cs="宋体"/>
                <w:color w:val="auto"/>
                <w:kern w:val="2"/>
                <w:sz w:val="24"/>
                <w:szCs w:val="24"/>
                <w:highlight w:val="none"/>
              </w:rPr>
              <w:t>突发事件应急预案</w:t>
            </w:r>
            <w:r>
              <w:rPr>
                <w:rFonts w:hint="eastAsia" w:ascii="宋体" w:hAnsi="宋体" w:eastAsia="宋体" w:cs="宋体"/>
                <w:bCs/>
                <w:color w:val="auto"/>
                <w:kern w:val="2"/>
                <w:sz w:val="24"/>
                <w:szCs w:val="20"/>
                <w:highlight w:val="none"/>
              </w:rPr>
              <w:t>，主要内容包括</w:t>
            </w:r>
            <w:r>
              <w:rPr>
                <w:rFonts w:hint="eastAsia" w:ascii="宋体" w:hAnsi="宋体" w:eastAsia="宋体" w:cs="宋体"/>
                <w:color w:val="auto"/>
                <w:kern w:val="2"/>
                <w:sz w:val="24"/>
                <w:szCs w:val="20"/>
                <w:highlight w:val="none"/>
              </w:rPr>
              <w:t>应急事件处理预案、是否具备消防安全演练</w:t>
            </w:r>
            <w:r>
              <w:rPr>
                <w:rFonts w:hint="eastAsia" w:ascii="宋体" w:hAnsi="宋体" w:eastAsia="宋体" w:cs="宋体"/>
                <w:bCs/>
                <w:color w:val="auto"/>
                <w:kern w:val="2"/>
                <w:sz w:val="24"/>
                <w:szCs w:val="20"/>
                <w:highlight w:val="none"/>
              </w:rPr>
              <w:t>等，</w:t>
            </w:r>
            <w:r>
              <w:rPr>
                <w:rFonts w:hint="eastAsia" w:ascii="宋体" w:hAnsi="宋体" w:eastAsia="宋体" w:cs="宋体"/>
                <w:color w:val="auto"/>
                <w:kern w:val="2"/>
                <w:sz w:val="24"/>
                <w:szCs w:val="24"/>
                <w:highlight w:val="none"/>
              </w:rPr>
              <w:t>评标委员会</w:t>
            </w:r>
            <w:r>
              <w:rPr>
                <w:rFonts w:hint="eastAsia" w:ascii="宋体" w:hAnsi="宋体" w:eastAsia="宋体" w:cs="宋体"/>
                <w:bCs/>
                <w:color w:val="auto"/>
                <w:kern w:val="2"/>
                <w:sz w:val="24"/>
                <w:szCs w:val="20"/>
                <w:highlight w:val="none"/>
              </w:rPr>
              <w:t xml:space="preserve">根据招标文件进行综合评审： </w:t>
            </w:r>
          </w:p>
          <w:p w14:paraId="0B7C5E0C">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w:t>
            </w:r>
            <w:r>
              <w:rPr>
                <w:rFonts w:hint="eastAsia" w:ascii="宋体" w:hAnsi="宋体" w:eastAsia="宋体" w:cs="宋体"/>
                <w:color w:val="auto"/>
                <w:kern w:val="2"/>
                <w:sz w:val="24"/>
                <w:szCs w:val="24"/>
                <w:highlight w:val="none"/>
              </w:rPr>
              <w:t>预案</w:t>
            </w:r>
            <w:r>
              <w:rPr>
                <w:rFonts w:hint="eastAsia" w:ascii="宋体" w:hAnsi="宋体" w:eastAsia="宋体" w:cs="宋体"/>
                <w:bCs/>
                <w:color w:val="auto"/>
                <w:kern w:val="2"/>
                <w:sz w:val="24"/>
                <w:szCs w:val="20"/>
                <w:highlight w:val="none"/>
              </w:rPr>
              <w:t xml:space="preserve">科学合理，能够完全满足本项目的实际需求，得7＜F≤10分； </w:t>
            </w:r>
          </w:p>
          <w:p w14:paraId="3D30A4DD">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2"/>
                <w:sz w:val="24"/>
                <w:szCs w:val="24"/>
                <w:highlight w:val="none"/>
              </w:rPr>
              <w:t>预案</w:t>
            </w:r>
            <w:r>
              <w:rPr>
                <w:rFonts w:hint="eastAsia" w:ascii="宋体" w:hAnsi="宋体" w:eastAsia="宋体" w:cs="宋体"/>
                <w:bCs/>
                <w:color w:val="auto"/>
                <w:kern w:val="2"/>
                <w:sz w:val="24"/>
                <w:szCs w:val="20"/>
                <w:highlight w:val="none"/>
              </w:rPr>
              <w:t xml:space="preserve">较合理，能够基本满足本项目的实际需求，得4＜F≤7分； </w:t>
            </w:r>
          </w:p>
          <w:p w14:paraId="0E317619">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w:t>
            </w:r>
            <w:r>
              <w:rPr>
                <w:rFonts w:hint="eastAsia" w:ascii="宋体" w:hAnsi="宋体" w:eastAsia="宋体" w:cs="宋体"/>
                <w:color w:val="auto"/>
                <w:kern w:val="2"/>
                <w:sz w:val="24"/>
                <w:szCs w:val="24"/>
                <w:highlight w:val="none"/>
              </w:rPr>
              <w:t>预案</w:t>
            </w:r>
            <w:r>
              <w:rPr>
                <w:rFonts w:hint="eastAsia" w:ascii="宋体" w:hAnsi="宋体" w:eastAsia="宋体" w:cs="宋体"/>
                <w:bCs/>
                <w:color w:val="auto"/>
                <w:kern w:val="2"/>
                <w:sz w:val="24"/>
                <w:szCs w:val="20"/>
                <w:highlight w:val="none"/>
              </w:rPr>
              <w:t xml:space="preserve">有待进一步提升完善的，得0＜F≤4分； </w:t>
            </w:r>
          </w:p>
          <w:p w14:paraId="1A8C5F5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4.预案差或未提供的不得分。</w:t>
            </w:r>
          </w:p>
          <w:p w14:paraId="16319626">
            <w:pPr>
              <w:spacing w:line="360" w:lineRule="auto"/>
              <w:rPr>
                <w:rFonts w:hint="eastAsia" w:ascii="宋体" w:hAnsi="宋体" w:eastAsia="宋体" w:cs="宋体"/>
                <w:b/>
                <w:color w:val="auto"/>
                <w:kern w:val="2"/>
                <w:sz w:val="24"/>
                <w:szCs w:val="20"/>
                <w:highlight w:val="none"/>
              </w:rPr>
            </w:pPr>
            <w:r>
              <w:rPr>
                <w:rFonts w:hint="eastAsia" w:ascii="宋体" w:hAnsi="宋体" w:eastAsia="宋体" w:cs="宋体"/>
                <w:b/>
                <w:bCs/>
                <w:color w:val="auto"/>
                <w:kern w:val="2"/>
                <w:sz w:val="24"/>
                <w:szCs w:val="24"/>
                <w:highlight w:val="none"/>
              </w:rPr>
              <w:t>注：“F”为供应商此项得分。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759DC9E">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0-10分</w:t>
            </w:r>
          </w:p>
        </w:tc>
      </w:tr>
      <w:tr w14:paraId="3B6B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C715823">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34F09F6">
            <w:pPr>
              <w:spacing w:line="360" w:lineRule="auto"/>
              <w:jc w:val="center"/>
              <w:rPr>
                <w:rFonts w:hint="eastAsia" w:ascii="宋体" w:hAnsi="宋体" w:eastAsia="宋体" w:cs="宋体"/>
                <w:bCs/>
                <w:color w:val="auto"/>
                <w:kern w:val="2"/>
                <w:sz w:val="24"/>
                <w:szCs w:val="20"/>
                <w:highlight w:val="none"/>
              </w:rPr>
            </w:pPr>
            <w:r>
              <w:rPr>
                <w:rFonts w:hint="eastAsia" w:ascii="宋体" w:hAnsi="宋体" w:eastAsia="宋体" w:cs="宋体"/>
                <w:color w:val="auto"/>
                <w:kern w:val="2"/>
                <w:sz w:val="24"/>
                <w:szCs w:val="24"/>
                <w:highlight w:val="none"/>
              </w:rPr>
              <w:t>人员配备</w:t>
            </w:r>
          </w:p>
        </w:tc>
        <w:tc>
          <w:tcPr>
            <w:tcW w:w="3734" w:type="dxa"/>
            <w:tcBorders>
              <w:top w:val="single" w:color="auto" w:sz="4" w:space="0"/>
              <w:left w:val="single" w:color="auto" w:sz="4" w:space="0"/>
              <w:bottom w:val="single" w:color="auto" w:sz="4" w:space="0"/>
              <w:right w:val="single" w:color="auto" w:sz="4" w:space="0"/>
            </w:tcBorders>
            <w:vAlign w:val="center"/>
          </w:tcPr>
          <w:p w14:paraId="291390B3">
            <w:pPr>
              <w:keepNext/>
              <w:keepLines/>
              <w:spacing w:line="360" w:lineRule="auto"/>
              <w:outlineLvl w:val="2"/>
              <w:rPr>
                <w:rFonts w:hint="eastAsia" w:ascii="宋体" w:hAnsi="宋体" w:eastAsia="宋体" w:cs="宋体"/>
                <w:b/>
                <w:color w:val="auto"/>
                <w:kern w:val="2"/>
                <w:sz w:val="24"/>
                <w:szCs w:val="32"/>
                <w:highlight w:val="none"/>
              </w:rPr>
            </w:pPr>
            <w:r>
              <w:rPr>
                <w:rFonts w:hint="eastAsia" w:ascii="宋体" w:hAnsi="宋体" w:eastAsia="宋体" w:cs="宋体"/>
                <w:b/>
                <w:color w:val="auto"/>
                <w:kern w:val="2"/>
                <w:sz w:val="24"/>
                <w:szCs w:val="20"/>
                <w:highlight w:val="none"/>
              </w:rPr>
              <w:t>1.</w:t>
            </w:r>
            <w:r>
              <w:rPr>
                <w:rFonts w:hint="eastAsia" w:ascii="宋体" w:hAnsi="宋体" w:eastAsia="宋体" w:cs="宋体"/>
                <w:b/>
                <w:color w:val="auto"/>
                <w:kern w:val="2"/>
                <w:sz w:val="24"/>
                <w:szCs w:val="32"/>
                <w:highlight w:val="none"/>
              </w:rPr>
              <w:t>拟委任本项目保安人员（1人，本小项满分</w:t>
            </w:r>
            <w:r>
              <w:rPr>
                <w:rFonts w:hint="default" w:ascii="宋体" w:hAnsi="宋体" w:eastAsia="宋体" w:cs="宋体"/>
                <w:b/>
                <w:color w:val="auto"/>
                <w:kern w:val="2"/>
                <w:sz w:val="24"/>
                <w:szCs w:val="32"/>
                <w:highlight w:val="none"/>
                <w:lang w:val="en-US" w:eastAsia="zh-CN"/>
              </w:rPr>
              <w:t>4</w:t>
            </w:r>
            <w:r>
              <w:rPr>
                <w:rFonts w:hint="eastAsia" w:ascii="宋体" w:hAnsi="宋体" w:eastAsia="宋体" w:cs="宋体"/>
                <w:b/>
                <w:color w:val="auto"/>
                <w:kern w:val="2"/>
                <w:sz w:val="24"/>
                <w:szCs w:val="32"/>
                <w:highlight w:val="none"/>
              </w:rPr>
              <w:t>分）</w:t>
            </w:r>
          </w:p>
          <w:p w14:paraId="0C2AFF86">
            <w:pPr>
              <w:spacing w:line="360" w:lineRule="auto"/>
              <w:rPr>
                <w:rFonts w:hint="eastAsia" w:ascii="@仿宋_GB2312" w:hAnsi="@仿宋_GB2312" w:eastAsia="@仿宋_GB2312" w:cs="@仿宋_GB2312"/>
                <w:strike/>
                <w:dstrike w:val="0"/>
                <w:color w:val="auto"/>
                <w:kern w:val="2"/>
                <w:sz w:val="32"/>
                <w:szCs w:val="32"/>
                <w:highlight w:val="none"/>
              </w:rPr>
            </w:pPr>
            <w:r>
              <w:rPr>
                <w:rFonts w:hint="eastAsia" w:ascii="宋体" w:hAnsi="宋体" w:eastAsia="宋体" w:cs="宋体"/>
                <w:bCs/>
                <w:color w:val="auto"/>
                <w:kern w:val="2"/>
                <w:sz w:val="24"/>
                <w:szCs w:val="20"/>
                <w:highlight w:val="none"/>
              </w:rPr>
              <w:t>具有有四级（中级）及以上建（构）筑物消防员或消防设施操作员证书的，得</w:t>
            </w:r>
            <w:r>
              <w:rPr>
                <w:rFonts w:hint="default" w:ascii="宋体" w:hAnsi="宋体" w:eastAsia="宋体" w:cs="宋体"/>
                <w:bCs/>
                <w:color w:val="auto"/>
                <w:kern w:val="2"/>
                <w:sz w:val="24"/>
                <w:szCs w:val="20"/>
                <w:highlight w:val="none"/>
                <w:lang w:val="en-US"/>
              </w:rPr>
              <w:t>4</w:t>
            </w:r>
            <w:r>
              <w:rPr>
                <w:rFonts w:hint="eastAsia" w:ascii="宋体" w:hAnsi="宋体" w:eastAsia="宋体" w:cs="宋体"/>
                <w:bCs/>
                <w:color w:val="auto"/>
                <w:kern w:val="2"/>
                <w:sz w:val="24"/>
                <w:szCs w:val="20"/>
                <w:highlight w:val="none"/>
              </w:rPr>
              <w:t>分。</w:t>
            </w:r>
          </w:p>
          <w:p w14:paraId="3FF257D8">
            <w:pPr>
              <w:spacing w:line="440" w:lineRule="exact"/>
              <w:rPr>
                <w:rFonts w:hint="eastAsia" w:ascii="宋体" w:hAnsi="宋体" w:eastAsia="宋体" w:cs="宋体"/>
                <w:bCs/>
                <w:color w:val="auto"/>
                <w:kern w:val="2"/>
                <w:sz w:val="28"/>
                <w:szCs w:val="32"/>
                <w:highlight w:val="none"/>
              </w:rPr>
            </w:pPr>
            <w:r>
              <w:rPr>
                <w:rFonts w:hint="eastAsia" w:ascii="宋体" w:hAnsi="宋体" w:eastAsia="宋体" w:cs="宋体"/>
                <w:b/>
                <w:color w:val="auto"/>
                <w:kern w:val="2"/>
                <w:sz w:val="24"/>
                <w:szCs w:val="20"/>
                <w:highlight w:val="none"/>
              </w:rPr>
              <w:t>注:（1）招标文件中同时提供以下材料：①以上人员名单（格式自拟）；②上述相关证书扫描件（或影印件）；③供应商为上述人员缴纳的自2025年1月1日以来任意连续3个月的社保缴费证明（或其他能够证明上述人员参加社保的有效证明）材料，人员的社保缴纳单位应当是供应商或者供应商不具备独立法人资格的分支机构（社保缴费证明或社保的有效证明材料至少含养老保险）；</w:t>
            </w:r>
          </w:p>
        </w:tc>
        <w:tc>
          <w:tcPr>
            <w:tcW w:w="1574" w:type="dxa"/>
            <w:tcBorders>
              <w:top w:val="single" w:color="auto" w:sz="4" w:space="0"/>
              <w:left w:val="single" w:color="auto" w:sz="4" w:space="0"/>
              <w:bottom w:val="single" w:color="auto" w:sz="4" w:space="0"/>
              <w:right w:val="single" w:color="auto" w:sz="4" w:space="0"/>
            </w:tcBorders>
            <w:vAlign w:val="center"/>
          </w:tcPr>
          <w:p w14:paraId="4F20E12B">
            <w:pPr>
              <w:spacing w:line="400" w:lineRule="exact"/>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w:t>
            </w:r>
            <w:r>
              <w:rPr>
                <w:rFonts w:hint="eastAsia" w:ascii="宋体" w:hAnsi="宋体" w:eastAsia="宋体" w:cs="宋体"/>
                <w:color w:val="auto"/>
                <w:kern w:val="2"/>
                <w:sz w:val="24"/>
                <w:szCs w:val="20"/>
                <w:highlight w:val="none"/>
                <w:lang w:val="en-US" w:eastAsia="zh-CN"/>
              </w:rPr>
              <w:t>4</w:t>
            </w:r>
            <w:r>
              <w:rPr>
                <w:rFonts w:hint="eastAsia" w:ascii="宋体" w:hAnsi="宋体" w:eastAsia="宋体" w:cs="宋体"/>
                <w:color w:val="auto"/>
                <w:kern w:val="2"/>
                <w:sz w:val="24"/>
                <w:szCs w:val="20"/>
                <w:highlight w:val="none"/>
              </w:rPr>
              <w:t>分</w:t>
            </w:r>
          </w:p>
        </w:tc>
      </w:tr>
      <w:tr w14:paraId="54BF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66F4EAD">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72A09A8">
            <w:pPr>
              <w:snapToGrid w:val="0"/>
              <w:ind w:left="163" w:right="154"/>
              <w:jc w:val="center"/>
              <w:rPr>
                <w:rFonts w:hint="eastAsia" w:ascii="宋体" w:hAnsi="宋体" w:eastAsia="宋体" w:cs="宋体"/>
                <w:color w:val="auto"/>
                <w:kern w:val="2"/>
                <w:sz w:val="24"/>
                <w:szCs w:val="24"/>
                <w:highlight w:val="none"/>
                <w:lang w:bidi="zh-CN"/>
              </w:rPr>
            </w:pPr>
            <w:r>
              <w:rPr>
                <w:rFonts w:hint="eastAsia" w:ascii="宋体" w:hAnsi="宋体" w:eastAsia="宋体" w:cs="宋体"/>
                <w:bCs/>
                <w:color w:val="auto"/>
                <w:kern w:val="2"/>
                <w:sz w:val="24"/>
                <w:szCs w:val="20"/>
                <w:highlight w:val="none"/>
              </w:rPr>
              <w:t>体系认证</w:t>
            </w:r>
          </w:p>
        </w:tc>
        <w:tc>
          <w:tcPr>
            <w:tcW w:w="3734" w:type="dxa"/>
            <w:tcBorders>
              <w:top w:val="single" w:color="auto" w:sz="4" w:space="0"/>
              <w:left w:val="single" w:color="auto" w:sz="4" w:space="0"/>
              <w:bottom w:val="single" w:color="auto" w:sz="4" w:space="0"/>
              <w:right w:val="single" w:color="auto" w:sz="4" w:space="0"/>
            </w:tcBorders>
          </w:tcPr>
          <w:p w14:paraId="32C13E76">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供应商具有经中国国家认证认可监督管理委员会认可的认证机构颁发的且在有效期内的下列证书：</w:t>
            </w:r>
          </w:p>
          <w:p w14:paraId="3A85F2D5">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1.质量管理体系认证证书，得2分；</w:t>
            </w:r>
          </w:p>
          <w:p w14:paraId="3FC1B789">
            <w:pPr>
              <w:widowControl/>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2.</w:t>
            </w:r>
            <w:r>
              <w:rPr>
                <w:rFonts w:hint="eastAsia" w:ascii="宋体" w:hAnsi="宋体" w:eastAsia="宋体" w:cs="宋体"/>
                <w:color w:val="auto"/>
                <w:kern w:val="0"/>
                <w:sz w:val="24"/>
                <w:szCs w:val="24"/>
                <w:highlight w:val="none"/>
                <w:lang w:bidi="ar"/>
              </w:rPr>
              <w:t>物业服务认证证书</w:t>
            </w:r>
            <w:r>
              <w:rPr>
                <w:rFonts w:hint="eastAsia" w:ascii="宋体" w:hAnsi="宋体" w:eastAsia="宋体" w:cs="宋体"/>
                <w:bCs/>
                <w:color w:val="auto"/>
                <w:kern w:val="2"/>
                <w:sz w:val="24"/>
                <w:szCs w:val="20"/>
                <w:highlight w:val="none"/>
              </w:rPr>
              <w:t>，得2分；</w:t>
            </w:r>
          </w:p>
          <w:p w14:paraId="05AADAAA">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3.环境管理体系认证证书，得2分；</w:t>
            </w:r>
          </w:p>
          <w:p w14:paraId="069361B6">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每提供一类证书得2分，本项满分6分。</w:t>
            </w:r>
          </w:p>
          <w:p w14:paraId="5F182E33">
            <w:pPr>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
                <w:color w:val="auto"/>
                <w:kern w:val="2"/>
                <w:sz w:val="24"/>
                <w:szCs w:val="20"/>
                <w:highlight w:val="none"/>
              </w:rPr>
              <w:t>注：响应文件中同时提供以上证书扫描件（或影印件）及全国认证认可信息公共服务平台证书信息查询截图，未提供不得分。</w:t>
            </w:r>
          </w:p>
        </w:tc>
        <w:tc>
          <w:tcPr>
            <w:tcW w:w="1574" w:type="dxa"/>
            <w:tcBorders>
              <w:top w:val="single" w:color="auto" w:sz="4" w:space="0"/>
              <w:left w:val="single" w:color="auto" w:sz="4" w:space="0"/>
              <w:bottom w:val="single" w:color="auto" w:sz="4" w:space="0"/>
              <w:right w:val="single" w:color="auto" w:sz="4" w:space="0"/>
            </w:tcBorders>
            <w:vAlign w:val="center"/>
          </w:tcPr>
          <w:p w14:paraId="3DB14560">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0-6分</w:t>
            </w:r>
          </w:p>
        </w:tc>
      </w:tr>
      <w:tr w14:paraId="527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A31F5DC">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9B1CF76">
            <w:pPr>
              <w:snapToGrid w:val="0"/>
              <w:ind w:right="154"/>
              <w:jc w:val="center"/>
              <w:rPr>
                <w:rFonts w:hint="eastAsia" w:ascii="宋体" w:hAnsi="宋体" w:eastAsia="宋体" w:cs="宋体"/>
                <w:bCs/>
                <w:color w:val="auto"/>
                <w:kern w:val="2"/>
                <w:sz w:val="24"/>
                <w:szCs w:val="20"/>
                <w:highlight w:val="none"/>
              </w:rPr>
            </w:pPr>
            <w:r>
              <w:rPr>
                <w:rFonts w:hint="eastAsia" w:ascii="宋体" w:hAnsi="宋体" w:eastAsia="宋体" w:cs="宋体"/>
                <w:color w:val="auto"/>
                <w:kern w:val="2"/>
                <w:sz w:val="24"/>
                <w:szCs w:val="24"/>
                <w:highlight w:val="none"/>
                <w:lang w:bidi="zh-CN"/>
              </w:rPr>
              <w:t>人员奖项和荣誉</w:t>
            </w:r>
          </w:p>
        </w:tc>
        <w:tc>
          <w:tcPr>
            <w:tcW w:w="3734" w:type="dxa"/>
            <w:tcBorders>
              <w:top w:val="single" w:color="auto" w:sz="4" w:space="0"/>
              <w:left w:val="single" w:color="auto" w:sz="4" w:space="0"/>
              <w:bottom w:val="single" w:color="auto" w:sz="4" w:space="0"/>
              <w:right w:val="single" w:color="auto" w:sz="4" w:space="0"/>
            </w:tcBorders>
            <w:vAlign w:val="center"/>
          </w:tcPr>
          <w:p w14:paraId="3570DA34">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202</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年1月1日以来供应商为本项目拟配备的人员获得县（区）级及以上党政机关（或事业单位</w:t>
            </w:r>
            <w:r>
              <w:rPr>
                <w:rFonts w:hint="eastAsia" w:ascii="宋体" w:hAnsi="宋体" w:eastAsia="宋体" w:cs="宋体"/>
                <w:color w:val="auto"/>
                <w:kern w:val="2"/>
                <w:sz w:val="24"/>
                <w:szCs w:val="24"/>
                <w:highlight w:val="none"/>
                <w:lang w:eastAsia="zh-CN"/>
              </w:rPr>
              <w:t>或协会</w:t>
            </w:r>
            <w:r>
              <w:rPr>
                <w:rFonts w:hint="eastAsia" w:ascii="宋体" w:hAnsi="宋体" w:eastAsia="宋体" w:cs="宋体"/>
                <w:color w:val="auto"/>
                <w:kern w:val="2"/>
                <w:sz w:val="24"/>
                <w:szCs w:val="24"/>
                <w:highlight w:val="none"/>
              </w:rPr>
              <w:t>）颁发的</w:t>
            </w:r>
            <w:r>
              <w:rPr>
                <w:rFonts w:hint="eastAsia" w:ascii="宋体" w:hAnsi="宋体" w:eastAsia="宋体" w:cs="宋体"/>
                <w:color w:val="auto"/>
                <w:kern w:val="2"/>
                <w:sz w:val="24"/>
                <w:szCs w:val="24"/>
                <w:highlight w:val="none"/>
                <w:lang w:eastAsia="zh-CN"/>
              </w:rPr>
              <w:t>优秀（或先进）个人</w:t>
            </w:r>
            <w:r>
              <w:rPr>
                <w:rFonts w:hint="eastAsia" w:ascii="宋体" w:hAnsi="宋体" w:eastAsia="宋体" w:cs="宋体"/>
                <w:color w:val="auto"/>
                <w:kern w:val="2"/>
                <w:sz w:val="24"/>
                <w:szCs w:val="24"/>
                <w:highlight w:val="none"/>
              </w:rPr>
              <w:t>荣誉（或奖项）的，每提供一人得2分，本小项满分</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 xml:space="preserve"> 分。</w:t>
            </w:r>
          </w:p>
          <w:p w14:paraId="456FCBF1">
            <w:pPr>
              <w:keepNext/>
              <w:keepLines/>
              <w:spacing w:line="360" w:lineRule="auto"/>
              <w:outlineLvl w:val="2"/>
              <w:rPr>
                <w:rFonts w:hint="eastAsia" w:ascii="宋体" w:hAnsi="宋体" w:eastAsia="宋体" w:cs="宋体"/>
                <w:b/>
                <w:color w:val="auto"/>
                <w:kern w:val="2"/>
                <w:sz w:val="24"/>
                <w:szCs w:val="32"/>
                <w:highlight w:val="none"/>
              </w:rPr>
            </w:pPr>
            <w:r>
              <w:rPr>
                <w:rFonts w:hint="eastAsia" w:ascii="宋体" w:hAnsi="宋体" w:eastAsia="宋体" w:cs="宋体"/>
                <w:b/>
                <w:color w:val="auto"/>
                <w:kern w:val="2"/>
                <w:sz w:val="24"/>
                <w:szCs w:val="32"/>
                <w:highlight w:val="none"/>
              </w:rPr>
              <w:t>注：（1）本项满分</w:t>
            </w:r>
            <w:r>
              <w:rPr>
                <w:rFonts w:hint="eastAsia" w:ascii="宋体" w:hAnsi="宋体" w:eastAsia="宋体" w:cs="宋体"/>
                <w:b/>
                <w:color w:val="auto"/>
                <w:kern w:val="2"/>
                <w:sz w:val="24"/>
                <w:szCs w:val="32"/>
                <w:highlight w:val="none"/>
                <w:lang w:val="en-US" w:eastAsia="zh-CN"/>
              </w:rPr>
              <w:t>2</w:t>
            </w:r>
            <w:r>
              <w:rPr>
                <w:rFonts w:hint="eastAsia" w:ascii="宋体" w:hAnsi="宋体" w:eastAsia="宋体" w:cs="宋体"/>
                <w:b/>
                <w:color w:val="auto"/>
                <w:kern w:val="2"/>
                <w:sz w:val="24"/>
                <w:szCs w:val="32"/>
                <w:highlight w:val="none"/>
              </w:rPr>
              <w:t>分；</w:t>
            </w:r>
          </w:p>
          <w:p w14:paraId="6CEFA83A">
            <w:pPr>
              <w:keepNext/>
              <w:keepLines/>
              <w:numPr>
                <w:ilvl w:val="0"/>
                <w:numId w:val="4"/>
              </w:numPr>
              <w:spacing w:line="360" w:lineRule="auto"/>
              <w:outlineLvl w:val="2"/>
              <w:rPr>
                <w:rFonts w:hint="eastAsia" w:ascii="宋体" w:hAnsi="宋体" w:eastAsia="宋体" w:cs="宋体"/>
                <w:b/>
                <w:color w:val="auto"/>
                <w:kern w:val="2"/>
                <w:sz w:val="24"/>
                <w:szCs w:val="32"/>
                <w:highlight w:val="none"/>
              </w:rPr>
            </w:pPr>
            <w:r>
              <w:rPr>
                <w:rFonts w:hint="eastAsia" w:ascii="宋体" w:hAnsi="宋体" w:eastAsia="宋体" w:cs="宋体"/>
                <w:b/>
                <w:color w:val="auto"/>
                <w:kern w:val="2"/>
                <w:sz w:val="24"/>
                <w:szCs w:val="32"/>
                <w:highlight w:val="none"/>
              </w:rPr>
              <w:t>招标文件中提供获奖证书、批复、颁奖单位颁奖文件、网上公示截图（具有其中之一即可）等证明材料，若材料中无法体现颁奖时间、姓名等关键评审因素的，须另附颁奖单位的相关证明材料，未提供或提供不全的不得分；</w:t>
            </w:r>
          </w:p>
          <w:p w14:paraId="4115A471">
            <w:pPr>
              <w:keepNext/>
              <w:keepLines/>
              <w:spacing w:line="360" w:lineRule="auto"/>
              <w:outlineLvl w:val="2"/>
              <w:rPr>
                <w:rFonts w:hint="eastAsia" w:ascii="宋体" w:hAnsi="宋体" w:eastAsia="宋体" w:cs="宋体"/>
                <w:b/>
                <w:bCs/>
                <w:color w:val="auto"/>
                <w:kern w:val="2"/>
                <w:sz w:val="32"/>
                <w:szCs w:val="32"/>
                <w:highlight w:val="none"/>
              </w:rPr>
            </w:pPr>
            <w:r>
              <w:rPr>
                <w:rFonts w:hint="eastAsia" w:ascii="宋体" w:hAnsi="宋体" w:eastAsia="宋体" w:cs="宋体"/>
                <w:b/>
                <w:color w:val="auto"/>
                <w:kern w:val="2"/>
                <w:sz w:val="24"/>
                <w:szCs w:val="32"/>
                <w:highlight w:val="none"/>
              </w:rPr>
              <w:t>（3）供应商为上述人员缴纳的自2025年1月1日以来任意连续3个月的社保缴费证明（或其他能够证明上述人员参加社保的有效证明）材料，人员的社保缴纳单位应当是供应商或者供应商不具备独立法人资格的分支机构（社保缴费证明或社保的有效证明材料至少含养老保险）；（4）党政机关包括党的机关、人大机关、行政机关、政协机关、审判机关、检察机关，及各级党政机关派出机构、省市直属企事业单位及工会、共青团、妇联等。</w:t>
            </w:r>
          </w:p>
        </w:tc>
        <w:tc>
          <w:tcPr>
            <w:tcW w:w="1574" w:type="dxa"/>
            <w:tcBorders>
              <w:top w:val="single" w:color="auto" w:sz="4" w:space="0"/>
              <w:left w:val="single" w:color="auto" w:sz="4" w:space="0"/>
              <w:bottom w:val="single" w:color="auto" w:sz="4" w:space="0"/>
              <w:right w:val="single" w:color="auto" w:sz="4" w:space="0"/>
            </w:tcBorders>
            <w:vAlign w:val="center"/>
          </w:tcPr>
          <w:p w14:paraId="76526820">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0-</w:t>
            </w:r>
            <w:r>
              <w:rPr>
                <w:rFonts w:hint="eastAsia" w:ascii="宋体" w:hAnsi="宋体" w:eastAsia="宋体" w:cs="宋体"/>
                <w:color w:val="auto"/>
                <w:kern w:val="2"/>
                <w:sz w:val="24"/>
                <w:szCs w:val="20"/>
                <w:highlight w:val="none"/>
                <w:lang w:val="en-US" w:eastAsia="zh-CN"/>
              </w:rPr>
              <w:t>2</w:t>
            </w:r>
            <w:r>
              <w:rPr>
                <w:rFonts w:hint="eastAsia" w:ascii="宋体" w:hAnsi="宋体" w:eastAsia="宋体" w:cs="宋体"/>
                <w:color w:val="auto"/>
                <w:kern w:val="2"/>
                <w:sz w:val="24"/>
                <w:szCs w:val="20"/>
                <w:highlight w:val="none"/>
              </w:rPr>
              <w:t>分</w:t>
            </w:r>
          </w:p>
        </w:tc>
      </w:tr>
      <w:tr w14:paraId="4ACC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E0DF746">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8D411E4">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0"/>
                <w:highlight w:val="none"/>
              </w:rPr>
              <w:t>供应商业绩</w:t>
            </w:r>
          </w:p>
        </w:tc>
        <w:tc>
          <w:tcPr>
            <w:tcW w:w="3734" w:type="dxa"/>
            <w:tcBorders>
              <w:top w:val="single" w:color="auto" w:sz="4" w:space="0"/>
              <w:left w:val="single" w:color="auto" w:sz="4" w:space="0"/>
              <w:bottom w:val="single" w:color="auto" w:sz="4" w:space="0"/>
              <w:right w:val="single" w:color="auto" w:sz="4" w:space="0"/>
            </w:tcBorders>
            <w:vAlign w:val="center"/>
          </w:tcPr>
          <w:p w14:paraId="0D734017">
            <w:pPr>
              <w:adjustRightInd w:val="0"/>
              <w:snapToGrid w:val="0"/>
              <w:spacing w:line="360" w:lineRule="auto"/>
              <w:rPr>
                <w:rFonts w:hint="eastAsia" w:ascii="宋体" w:hAnsi="宋体" w:eastAsia="宋体" w:cs="宋体"/>
                <w:bCs/>
                <w:color w:val="auto"/>
                <w:w w:val="101"/>
                <w:kern w:val="2"/>
                <w:sz w:val="24"/>
                <w:szCs w:val="20"/>
                <w:highlight w:val="none"/>
              </w:rPr>
            </w:pPr>
            <w:r>
              <w:rPr>
                <w:rFonts w:hint="eastAsia" w:ascii="宋体" w:hAnsi="宋体" w:eastAsia="宋体" w:cs="宋体"/>
                <w:bCs/>
                <w:color w:val="auto"/>
                <w:kern w:val="2"/>
                <w:sz w:val="24"/>
                <w:szCs w:val="20"/>
                <w:highlight w:val="none"/>
              </w:rPr>
              <w:t>自202</w:t>
            </w:r>
            <w:r>
              <w:rPr>
                <w:rFonts w:hint="eastAsia" w:ascii="宋体" w:hAnsi="宋体" w:eastAsia="宋体" w:cs="宋体"/>
                <w:bCs/>
                <w:color w:val="auto"/>
                <w:kern w:val="2"/>
                <w:sz w:val="24"/>
                <w:szCs w:val="20"/>
                <w:highlight w:val="none"/>
                <w:lang w:val="en-US" w:eastAsia="zh-CN"/>
              </w:rPr>
              <w:t>0</w:t>
            </w:r>
            <w:r>
              <w:rPr>
                <w:rFonts w:hint="eastAsia" w:ascii="宋体" w:hAnsi="宋体" w:eastAsia="宋体" w:cs="宋体"/>
                <w:bCs/>
                <w:color w:val="auto"/>
                <w:kern w:val="2"/>
                <w:sz w:val="24"/>
                <w:szCs w:val="20"/>
                <w:highlight w:val="none"/>
              </w:rPr>
              <w:t>年1月1日以来（以合同签订时间为准），</w:t>
            </w:r>
            <w:r>
              <w:rPr>
                <w:rFonts w:hint="eastAsia" w:ascii="宋体" w:hAnsi="宋体" w:eastAsia="宋体" w:cs="宋体"/>
                <w:bCs/>
                <w:color w:val="auto"/>
                <w:kern w:val="2"/>
                <w:sz w:val="24"/>
                <w:szCs w:val="24"/>
                <w:highlight w:val="none"/>
              </w:rPr>
              <w:t>供应商具有公共建筑物业服务业绩</w:t>
            </w:r>
            <w:r>
              <w:rPr>
                <w:rFonts w:hint="eastAsia" w:ascii="宋体" w:hAnsi="宋体" w:eastAsia="宋体" w:cs="宋体"/>
                <w:color w:val="auto"/>
                <w:kern w:val="2"/>
                <w:sz w:val="24"/>
                <w:szCs w:val="18"/>
                <w:highlight w:val="none"/>
              </w:rPr>
              <w:t>，且单个合同中总建筑面积不少于2000平方米</w:t>
            </w:r>
            <w:r>
              <w:rPr>
                <w:rFonts w:hint="eastAsia" w:ascii="宋体" w:hAnsi="宋体" w:eastAsia="宋体" w:cs="宋体"/>
                <w:color w:val="auto"/>
                <w:kern w:val="2"/>
                <w:sz w:val="24"/>
                <w:szCs w:val="18"/>
                <w:highlight w:val="none"/>
                <w:lang w:eastAsia="zh-CN"/>
              </w:rPr>
              <w:t>或合同金额达到</w:t>
            </w:r>
            <w:r>
              <w:rPr>
                <w:rFonts w:hint="eastAsia" w:ascii="宋体" w:hAnsi="宋体" w:eastAsia="宋体" w:cs="宋体"/>
                <w:color w:val="auto"/>
                <w:kern w:val="2"/>
                <w:sz w:val="24"/>
                <w:szCs w:val="18"/>
                <w:highlight w:val="none"/>
                <w:lang w:val="en-US" w:eastAsia="zh-CN"/>
              </w:rPr>
              <w:t>19万元</w:t>
            </w:r>
            <w:r>
              <w:rPr>
                <w:rFonts w:hint="eastAsia" w:ascii="宋体" w:hAnsi="宋体" w:eastAsia="宋体" w:cs="宋体"/>
                <w:bCs/>
                <w:color w:val="auto"/>
                <w:kern w:val="2"/>
                <w:sz w:val="24"/>
                <w:szCs w:val="24"/>
                <w:highlight w:val="none"/>
              </w:rPr>
              <w:t>的，每提供一个业绩得</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分，</w:t>
            </w:r>
            <w:r>
              <w:rPr>
                <w:rFonts w:hint="eastAsia" w:ascii="宋体" w:hAnsi="宋体" w:eastAsia="宋体" w:cs="宋体"/>
                <w:color w:val="auto"/>
                <w:kern w:val="2"/>
                <w:sz w:val="24"/>
                <w:szCs w:val="24"/>
                <w:highlight w:val="none"/>
              </w:rPr>
              <w:t>本项满分</w:t>
            </w: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分</w:t>
            </w:r>
            <w:r>
              <w:rPr>
                <w:rFonts w:hint="eastAsia" w:ascii="宋体" w:hAnsi="宋体" w:eastAsia="宋体" w:cs="宋体"/>
                <w:bCs/>
                <w:color w:val="auto"/>
                <w:kern w:val="2"/>
                <w:sz w:val="24"/>
                <w:szCs w:val="24"/>
                <w:highlight w:val="none"/>
              </w:rPr>
              <w:t>。</w:t>
            </w:r>
          </w:p>
          <w:p w14:paraId="13C8B844">
            <w:pPr>
              <w:autoSpaceDE w:val="0"/>
              <w:autoSpaceDN w:val="0"/>
              <w:spacing w:line="360" w:lineRule="auto"/>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lang w:bidi="zh-CN"/>
              </w:rPr>
              <w:t>注：（1）本项对正在履约或已履约完成的业绩 均予认可；（2）招标文件中提供业绩合同扫描件或影印件，若合同中无法体现供应商名称、合同签订时间、项目内容等关键评审因素的，须另附业主单位（或合同甲方）出具的加盖公章的相关证明材料扫描件（或影印件），否则不予认可；（3）同一业绩不同年份续签的合同仅计取一次，不累计得分。</w:t>
            </w:r>
          </w:p>
        </w:tc>
        <w:tc>
          <w:tcPr>
            <w:tcW w:w="1574" w:type="dxa"/>
            <w:tcBorders>
              <w:top w:val="single" w:color="auto" w:sz="4" w:space="0"/>
              <w:left w:val="single" w:color="auto" w:sz="4" w:space="0"/>
              <w:bottom w:val="single" w:color="auto" w:sz="4" w:space="0"/>
              <w:right w:val="single" w:color="auto" w:sz="4" w:space="0"/>
            </w:tcBorders>
            <w:vAlign w:val="center"/>
          </w:tcPr>
          <w:p w14:paraId="4AF8EDEF">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0-</w:t>
            </w:r>
            <w:r>
              <w:rPr>
                <w:rFonts w:hint="eastAsia" w:ascii="宋体" w:hAnsi="宋体" w:eastAsia="宋体" w:cs="宋体"/>
                <w:color w:val="auto"/>
                <w:kern w:val="2"/>
                <w:sz w:val="24"/>
                <w:szCs w:val="20"/>
                <w:highlight w:val="none"/>
                <w:lang w:val="en-US" w:eastAsia="zh-CN"/>
              </w:rPr>
              <w:t>9</w:t>
            </w:r>
            <w:r>
              <w:rPr>
                <w:rFonts w:hint="eastAsia" w:ascii="宋体" w:hAnsi="宋体" w:eastAsia="宋体" w:cs="宋体"/>
                <w:color w:val="auto"/>
                <w:kern w:val="2"/>
                <w:sz w:val="24"/>
                <w:szCs w:val="20"/>
                <w:highlight w:val="none"/>
              </w:rPr>
              <w:t>分</w:t>
            </w:r>
          </w:p>
        </w:tc>
      </w:tr>
      <w:tr w14:paraId="10ED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D023C5A">
            <w:pPr>
              <w:spacing w:line="360" w:lineRule="auto"/>
              <w:ind w:firstLine="435"/>
              <w:jc w:val="center"/>
              <w:rPr>
                <w:rFonts w:hint="eastAsia" w:ascii="宋体" w:hAnsi="宋体" w:eastAsia="宋体" w:cs="宋体"/>
                <w:b/>
                <w:bCs/>
                <w:color w:val="auto"/>
                <w:kern w:val="2"/>
                <w:sz w:val="24"/>
                <w:szCs w:val="20"/>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9D22036">
            <w:pPr>
              <w:spacing w:line="360" w:lineRule="auto"/>
              <w:jc w:val="center"/>
              <w:rPr>
                <w:rFonts w:hint="eastAsia" w:ascii="宋体" w:hAnsi="宋体" w:eastAsia="宋体" w:cs="宋体"/>
                <w:color w:val="auto"/>
                <w:kern w:val="2"/>
                <w:sz w:val="24"/>
                <w:szCs w:val="20"/>
                <w:highlight w:val="none"/>
                <w:lang w:eastAsia="zh-CN"/>
              </w:rPr>
            </w:pPr>
            <w:r>
              <w:rPr>
                <w:rFonts w:hint="eastAsia" w:ascii="宋体" w:hAnsi="宋体" w:eastAsia="宋体" w:cs="宋体"/>
                <w:color w:val="auto"/>
                <w:kern w:val="2"/>
                <w:sz w:val="24"/>
                <w:szCs w:val="20"/>
                <w:highlight w:val="none"/>
                <w:lang w:eastAsia="zh-CN"/>
              </w:rPr>
              <w:t>业绩评价</w:t>
            </w:r>
          </w:p>
        </w:tc>
        <w:tc>
          <w:tcPr>
            <w:tcW w:w="3734" w:type="dxa"/>
            <w:tcBorders>
              <w:top w:val="single" w:color="auto" w:sz="4" w:space="0"/>
              <w:left w:val="single" w:color="auto" w:sz="4" w:space="0"/>
              <w:bottom w:val="single" w:color="auto" w:sz="4" w:space="0"/>
              <w:right w:val="single" w:color="auto" w:sz="4" w:space="0"/>
            </w:tcBorders>
            <w:vAlign w:val="center"/>
          </w:tcPr>
          <w:p w14:paraId="44EC39BF">
            <w:pPr>
              <w:autoSpaceDE w:val="0"/>
              <w:autoSpaceDN w:val="0"/>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上述经评标委员会认可的投标人业绩中，获得业主单位(或合同甲方)业绩履约反馈评价为正向评价(优秀或满意或先进或良好或合格等)的，每个另加</w:t>
            </w:r>
            <w:r>
              <w:rPr>
                <w:rFonts w:hint="eastAsia" w:ascii="宋体" w:hAnsi="宋体" w:eastAsia="宋体" w:cs="宋体"/>
                <w:bCs/>
                <w:color w:val="auto"/>
                <w:kern w:val="2"/>
                <w:sz w:val="24"/>
                <w:szCs w:val="20"/>
                <w:highlight w:val="none"/>
                <w:lang w:val="en-US" w:eastAsia="zh-CN"/>
              </w:rPr>
              <w:t>2</w:t>
            </w:r>
            <w:r>
              <w:rPr>
                <w:rFonts w:hint="eastAsia" w:ascii="宋体" w:hAnsi="宋体" w:eastAsia="宋体" w:cs="宋体"/>
                <w:bCs/>
                <w:color w:val="auto"/>
                <w:kern w:val="2"/>
                <w:sz w:val="24"/>
                <w:szCs w:val="20"/>
                <w:highlight w:val="none"/>
              </w:rPr>
              <w:t>分，本项满分</w:t>
            </w:r>
            <w:r>
              <w:rPr>
                <w:rFonts w:hint="eastAsia" w:ascii="宋体" w:hAnsi="宋体" w:eastAsia="宋体" w:cs="宋体"/>
                <w:bCs/>
                <w:color w:val="auto"/>
                <w:kern w:val="2"/>
                <w:sz w:val="24"/>
                <w:szCs w:val="20"/>
                <w:highlight w:val="none"/>
                <w:lang w:val="en-US" w:eastAsia="zh-CN"/>
              </w:rPr>
              <w:t>4</w:t>
            </w:r>
            <w:r>
              <w:rPr>
                <w:rFonts w:hint="eastAsia" w:ascii="宋体" w:hAnsi="宋体" w:eastAsia="宋体" w:cs="宋体"/>
                <w:bCs/>
                <w:color w:val="auto"/>
                <w:kern w:val="2"/>
                <w:sz w:val="24"/>
                <w:szCs w:val="20"/>
                <w:highlight w:val="none"/>
              </w:rPr>
              <w:t>分。</w:t>
            </w:r>
          </w:p>
          <w:p w14:paraId="483B6AAB">
            <w:pPr>
              <w:autoSpaceDE w:val="0"/>
              <w:autoSpaceDN w:val="0"/>
              <w:spacing w:line="360" w:lineRule="auto"/>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注:(1)投标文件中须提供加盖业主单位(或合同甲方)公章的履约反馈等相关证明材料扫描件。</w:t>
            </w:r>
          </w:p>
          <w:p w14:paraId="0600FCD5">
            <w:pPr>
              <w:autoSpaceDE w:val="0"/>
              <w:autoSpaceDN w:val="0"/>
              <w:spacing w:line="360" w:lineRule="auto"/>
              <w:rPr>
                <w:rFonts w:hint="eastAsia" w:ascii="宋体" w:hAnsi="宋体" w:eastAsia="宋体" w:cs="宋体"/>
                <w:b/>
                <w:bCs/>
                <w:color w:val="auto"/>
                <w:kern w:val="2"/>
                <w:sz w:val="24"/>
                <w:szCs w:val="20"/>
                <w:highlight w:val="none"/>
                <w:lang w:bidi="zh-CN"/>
              </w:rPr>
            </w:pPr>
            <w:r>
              <w:rPr>
                <w:rFonts w:hint="eastAsia" w:ascii="宋体" w:hAnsi="宋体" w:eastAsia="宋体" w:cs="宋体"/>
                <w:bCs/>
                <w:color w:val="auto"/>
                <w:kern w:val="2"/>
                <w:sz w:val="24"/>
                <w:szCs w:val="20"/>
                <w:highlight w:val="none"/>
              </w:rPr>
              <w:t>(2)同一业绩提供多个正向评价的，仅计分一次，不累计计分。</w:t>
            </w:r>
          </w:p>
        </w:tc>
        <w:tc>
          <w:tcPr>
            <w:tcW w:w="1574" w:type="dxa"/>
            <w:tcBorders>
              <w:top w:val="single" w:color="auto" w:sz="4" w:space="0"/>
              <w:left w:val="single" w:color="auto" w:sz="4" w:space="0"/>
              <w:bottom w:val="single" w:color="auto" w:sz="4" w:space="0"/>
              <w:right w:val="single" w:color="auto" w:sz="4" w:space="0"/>
            </w:tcBorders>
            <w:vAlign w:val="center"/>
          </w:tcPr>
          <w:p w14:paraId="6EF039FD">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bCs/>
                <w:color w:val="auto"/>
                <w:kern w:val="2"/>
                <w:sz w:val="24"/>
                <w:szCs w:val="20"/>
                <w:highlight w:val="none"/>
              </w:rPr>
              <w:t>0-</w:t>
            </w:r>
            <w:r>
              <w:rPr>
                <w:rFonts w:hint="eastAsia" w:ascii="宋体" w:hAnsi="宋体" w:eastAsia="宋体" w:cs="宋体"/>
                <w:bCs/>
                <w:color w:val="auto"/>
                <w:kern w:val="2"/>
                <w:sz w:val="24"/>
                <w:szCs w:val="20"/>
                <w:highlight w:val="none"/>
                <w:lang w:val="en-US" w:eastAsia="zh-CN"/>
              </w:rPr>
              <w:t>4</w:t>
            </w:r>
            <w:r>
              <w:rPr>
                <w:rFonts w:hint="eastAsia" w:ascii="宋体" w:hAnsi="宋体" w:eastAsia="宋体" w:cs="宋体"/>
                <w:bCs/>
                <w:color w:val="auto"/>
                <w:kern w:val="2"/>
                <w:sz w:val="24"/>
                <w:szCs w:val="20"/>
                <w:highlight w:val="none"/>
              </w:rPr>
              <w:t>分</w:t>
            </w:r>
          </w:p>
        </w:tc>
      </w:tr>
      <w:tr w14:paraId="0A3F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03FE6FBE">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价格分</w:t>
            </w:r>
          </w:p>
          <w:p w14:paraId="531172D6">
            <w:pPr>
              <w:spacing w:line="360" w:lineRule="auto"/>
              <w:jc w:val="center"/>
              <w:rPr>
                <w:rFonts w:hint="eastAsia" w:ascii="宋体" w:hAnsi="宋体" w:eastAsia="宋体" w:cs="宋体"/>
                <w:b/>
                <w:bCs/>
                <w:color w:val="auto"/>
                <w:kern w:val="2"/>
                <w:sz w:val="24"/>
                <w:szCs w:val="20"/>
                <w:highlight w:val="none"/>
              </w:rPr>
            </w:pP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lang w:val="en-US" w:eastAsia="zh-CN"/>
              </w:rPr>
              <w:t>20</w:t>
            </w:r>
            <w:r>
              <w:rPr>
                <w:rFonts w:hint="eastAsia" w:ascii="宋体" w:hAnsi="宋体" w:eastAsia="宋体" w:cs="宋体"/>
                <w:color w:val="auto"/>
                <w:kern w:val="2"/>
                <w:sz w:val="24"/>
                <w:szCs w:val="20"/>
                <w:highlight w:val="none"/>
              </w:rPr>
              <w:t>分）</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5F6F5907">
            <w:pPr>
              <w:spacing w:line="360" w:lineRule="auto"/>
              <w:jc w:val="left"/>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价格分统一采用低价优先法，即满足招标文件要求且投标价格最低的投标报价为评标基准价，其价格分为满分</w:t>
            </w:r>
            <w:r>
              <w:rPr>
                <w:rFonts w:hint="eastAsia" w:ascii="宋体" w:hAnsi="宋体" w:eastAsia="宋体" w:cs="宋体"/>
                <w:bCs/>
                <w:color w:val="auto"/>
                <w:kern w:val="2"/>
                <w:sz w:val="24"/>
                <w:szCs w:val="20"/>
                <w:highlight w:val="none"/>
                <w:lang w:val="en-US" w:eastAsia="zh-CN"/>
              </w:rPr>
              <w:t>20</w:t>
            </w:r>
            <w:r>
              <w:rPr>
                <w:rFonts w:hint="eastAsia" w:ascii="宋体" w:hAnsi="宋体" w:eastAsia="宋体" w:cs="宋体"/>
                <w:bCs/>
                <w:color w:val="auto"/>
                <w:kern w:val="2"/>
                <w:sz w:val="24"/>
                <w:szCs w:val="20"/>
                <w:highlight w:val="none"/>
              </w:rPr>
              <w:t>分。其他供应商的价格分统一按照下列公式计算：</w:t>
            </w:r>
          </w:p>
          <w:p w14:paraId="4DB740DA">
            <w:pPr>
              <w:spacing w:line="360" w:lineRule="auto"/>
              <w:jc w:val="center"/>
              <w:rPr>
                <w:rFonts w:hint="eastAsia" w:ascii="宋体" w:hAnsi="宋体" w:eastAsia="宋体" w:cs="宋体"/>
                <w:bCs/>
                <w:color w:val="auto"/>
                <w:kern w:val="2"/>
                <w:sz w:val="24"/>
                <w:szCs w:val="20"/>
                <w:highlight w:val="none"/>
              </w:rPr>
            </w:pPr>
            <w:r>
              <w:rPr>
                <w:rFonts w:hint="eastAsia" w:ascii="宋体" w:hAnsi="宋体" w:eastAsia="宋体" w:cs="宋体"/>
                <w:bCs/>
                <w:color w:val="auto"/>
                <w:kern w:val="2"/>
                <w:sz w:val="24"/>
                <w:szCs w:val="20"/>
                <w:highlight w:val="none"/>
              </w:rPr>
              <w:t>投标报价得分＝（评标基准价/投标报价）×</w:t>
            </w:r>
            <w:r>
              <w:rPr>
                <w:rFonts w:hint="eastAsia" w:ascii="宋体" w:hAnsi="宋体" w:eastAsia="宋体" w:cs="宋体"/>
                <w:bCs/>
                <w:color w:val="auto"/>
                <w:kern w:val="2"/>
                <w:sz w:val="24"/>
                <w:szCs w:val="20"/>
                <w:highlight w:val="none"/>
                <w:lang w:val="en-US" w:eastAsia="zh-CN"/>
              </w:rPr>
              <w:t>2</w:t>
            </w:r>
            <w:r>
              <w:rPr>
                <w:rFonts w:hint="eastAsia" w:ascii="宋体" w:hAnsi="宋体" w:eastAsia="宋体" w:cs="宋体"/>
                <w:bCs/>
                <w:color w:val="auto"/>
                <w:kern w:val="2"/>
                <w:sz w:val="24"/>
                <w:szCs w:val="20"/>
                <w:highlight w:val="none"/>
              </w:rPr>
              <w:t>0％×100</w:t>
            </w:r>
          </w:p>
        </w:tc>
      </w:tr>
    </w:tbl>
    <w:p w14:paraId="0C064A23">
      <w:pPr>
        <w:rPr>
          <w:rFonts w:hint="eastAsia" w:ascii="宋体" w:hAnsi="宋体" w:eastAsia="宋体" w:cs="宋体"/>
          <w:color w:val="auto"/>
          <w:kern w:val="2"/>
          <w:sz w:val="24"/>
          <w:szCs w:val="20"/>
          <w:highlight w:val="none"/>
        </w:rPr>
      </w:pPr>
    </w:p>
    <w:p w14:paraId="7BAED350">
      <w:pP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2.2.3分值汇总</w:t>
      </w:r>
    </w:p>
    <w:p w14:paraId="7CEDA1A4">
      <w:pPr>
        <w:numPr>
          <w:ilvl w:val="0"/>
          <w:numId w:val="5"/>
        </w:numPr>
        <w:spacing w:line="360" w:lineRule="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招标小组各成员应当独立对每个有效响应的文件进行评价、打分，然后汇总每个供应商每项评分因素的得分（四舍五入保留至小数点后两位数），再取各位评委评分之平均值，四舍五入保留至小数点后两位数，得到该供应商的技术资信分。</w:t>
      </w:r>
    </w:p>
    <w:p w14:paraId="435EFAE7">
      <w:pPr>
        <w:rPr>
          <w:rFonts w:hint="eastAsia" w:ascii="@仿宋_GB2312" w:hAnsi="@仿宋_GB2312" w:eastAsia="@仿宋_GB2312" w:cs="@仿宋_GB2312"/>
          <w:color w:val="auto"/>
          <w:kern w:val="2"/>
          <w:sz w:val="21"/>
          <w:szCs w:val="20"/>
          <w:highlight w:val="none"/>
        </w:rPr>
      </w:pPr>
      <w:r>
        <w:rPr>
          <w:rFonts w:hint="eastAsia" w:ascii="宋体" w:hAnsi="宋体" w:eastAsia="宋体" w:cs="宋体"/>
          <w:color w:val="auto"/>
          <w:kern w:val="2"/>
          <w:sz w:val="24"/>
          <w:szCs w:val="20"/>
          <w:highlight w:val="none"/>
        </w:rPr>
        <w:t>（2）每个供应商的技术资信分即为该供应商的综合总得分。</w:t>
      </w:r>
    </w:p>
    <w:p w14:paraId="682FEE3D">
      <w:pPr>
        <w:rPr>
          <w:rFonts w:ascii="Times New Roman" w:hAnsi="Times New Roman" w:eastAsia="宋体" w:cs="Times New Roman"/>
          <w:b/>
          <w:color w:val="auto"/>
          <w:sz w:val="28"/>
          <w:highlight w:val="none"/>
        </w:rPr>
      </w:pPr>
      <w:bookmarkStart w:id="34" w:name="_Toc74896746"/>
      <w:bookmarkStart w:id="35" w:name="_Toc7286"/>
      <w:r>
        <w:rPr>
          <w:rFonts w:ascii="Times New Roman" w:hAnsi="Times New Roman" w:eastAsia="宋体" w:cs="Times New Roman"/>
          <w:b/>
          <w:color w:val="auto"/>
          <w:sz w:val="28"/>
          <w:highlight w:val="none"/>
        </w:rPr>
        <w:br w:type="page"/>
      </w:r>
    </w:p>
    <w:bookmarkEnd w:id="34"/>
    <w:bookmarkEnd w:id="35"/>
    <w:p w14:paraId="433B4999">
      <w:pPr>
        <w:spacing w:line="360" w:lineRule="auto"/>
        <w:ind w:right="266"/>
        <w:jc w:val="center"/>
        <w:outlineLvl w:val="0"/>
        <w:rPr>
          <w:rFonts w:hint="eastAsia" w:ascii="宋体" w:hAnsi="宋体" w:eastAsia="宋体" w:cs="宋体"/>
          <w:b/>
          <w:color w:val="auto"/>
          <w:kern w:val="2"/>
          <w:sz w:val="28"/>
          <w:szCs w:val="20"/>
          <w:highlight w:val="none"/>
        </w:rPr>
      </w:pPr>
      <w:bookmarkStart w:id="36" w:name="_Toc1669141835"/>
      <w:bookmarkStart w:id="37" w:name="_Toc47026336"/>
      <w:bookmarkStart w:id="38" w:name="_Toc130919123"/>
      <w:bookmarkStart w:id="39" w:name="_Toc47026337"/>
      <w:bookmarkStart w:id="40" w:name="_Toc833396007"/>
      <w:r>
        <w:rPr>
          <w:rFonts w:hint="eastAsia" w:ascii="宋体" w:hAnsi="宋体" w:eastAsia="宋体" w:cs="宋体"/>
          <w:b/>
          <w:color w:val="auto"/>
          <w:kern w:val="2"/>
          <w:sz w:val="28"/>
          <w:szCs w:val="20"/>
          <w:highlight w:val="none"/>
        </w:rPr>
        <w:t>第五章  合同模板</w:t>
      </w:r>
      <w:bookmarkEnd w:id="36"/>
      <w:bookmarkEnd w:id="37"/>
    </w:p>
    <w:p w14:paraId="79237CA8">
      <w:pPr>
        <w:spacing w:line="480" w:lineRule="auto"/>
        <w:ind w:right="267"/>
        <w:jc w:val="center"/>
        <w:rPr>
          <w:rFonts w:hint="eastAsia" w:ascii="宋体" w:hAnsi="宋体" w:eastAsia="宋体" w:cs="宋体"/>
          <w:b/>
          <w:color w:val="auto"/>
          <w:kern w:val="2"/>
          <w:sz w:val="24"/>
          <w:szCs w:val="20"/>
          <w:highlight w:val="none"/>
        </w:rPr>
      </w:pPr>
    </w:p>
    <w:p w14:paraId="274E1FE1">
      <w:pPr>
        <w:spacing w:line="480" w:lineRule="auto"/>
        <w:ind w:right="267"/>
        <w:jc w:val="center"/>
        <w:rPr>
          <w:rFonts w:hint="eastAsia" w:ascii="宋体" w:hAnsi="宋体" w:eastAsia="宋体" w:cs="宋体"/>
          <w:b/>
          <w:color w:val="auto"/>
          <w:kern w:val="2"/>
          <w:sz w:val="24"/>
          <w:szCs w:val="20"/>
          <w:highlight w:val="none"/>
        </w:rPr>
      </w:pPr>
    </w:p>
    <w:p w14:paraId="3A6742CF">
      <w:pPr>
        <w:spacing w:line="480" w:lineRule="auto"/>
        <w:ind w:right="267"/>
        <w:jc w:val="center"/>
        <w:rPr>
          <w:rFonts w:hint="eastAsia" w:ascii="宋体" w:hAnsi="宋体" w:eastAsia="宋体" w:cs="宋体"/>
          <w:b/>
          <w:color w:val="auto"/>
          <w:kern w:val="2"/>
          <w:sz w:val="24"/>
          <w:szCs w:val="20"/>
          <w:highlight w:val="none"/>
        </w:rPr>
      </w:pPr>
    </w:p>
    <w:p w14:paraId="6C81D492">
      <w:pPr>
        <w:spacing w:line="480" w:lineRule="auto"/>
        <w:ind w:right="267"/>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合同参考范本</w:t>
      </w:r>
    </w:p>
    <w:p w14:paraId="06A60426">
      <w:pPr>
        <w:spacing w:line="480" w:lineRule="auto"/>
        <w:ind w:right="267"/>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（服务类）</w:t>
      </w:r>
    </w:p>
    <w:p w14:paraId="70154D8E">
      <w:pPr>
        <w:spacing w:line="480" w:lineRule="auto"/>
        <w:ind w:right="267"/>
        <w:jc w:val="center"/>
        <w:rPr>
          <w:rFonts w:hint="eastAsia" w:ascii="宋体" w:hAnsi="宋体" w:eastAsia="宋体" w:cs="宋体"/>
          <w:b/>
          <w:color w:val="auto"/>
          <w:kern w:val="2"/>
          <w:sz w:val="24"/>
          <w:szCs w:val="20"/>
          <w:highlight w:val="none"/>
        </w:rPr>
      </w:pPr>
    </w:p>
    <w:p w14:paraId="49A01217">
      <w:pPr>
        <w:spacing w:line="480" w:lineRule="auto"/>
        <w:ind w:right="267"/>
        <w:jc w:val="center"/>
        <w:rPr>
          <w:rFonts w:hint="eastAsia" w:ascii="宋体" w:hAnsi="宋体" w:eastAsia="宋体" w:cs="宋体"/>
          <w:b/>
          <w:color w:val="auto"/>
          <w:kern w:val="2"/>
          <w:sz w:val="24"/>
          <w:szCs w:val="20"/>
          <w:highlight w:val="none"/>
        </w:rPr>
      </w:pPr>
    </w:p>
    <w:p w14:paraId="4A067BE4">
      <w:pPr>
        <w:spacing w:line="480" w:lineRule="auto"/>
        <w:ind w:right="267"/>
        <w:jc w:val="center"/>
        <w:rPr>
          <w:rFonts w:hint="eastAsia" w:ascii="宋体" w:hAnsi="宋体" w:eastAsia="宋体" w:cs="宋体"/>
          <w:b/>
          <w:color w:val="auto"/>
          <w:kern w:val="2"/>
          <w:sz w:val="24"/>
          <w:szCs w:val="20"/>
          <w:highlight w:val="none"/>
        </w:rPr>
      </w:pPr>
    </w:p>
    <w:p w14:paraId="5B67433B">
      <w:pPr>
        <w:spacing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第一部分 合同书</w:t>
      </w:r>
    </w:p>
    <w:p w14:paraId="4C908AB1">
      <w:pPr>
        <w:spacing w:line="480" w:lineRule="auto"/>
        <w:ind w:right="267"/>
        <w:jc w:val="center"/>
        <w:rPr>
          <w:rFonts w:hint="eastAsia" w:ascii="宋体" w:hAnsi="宋体" w:eastAsia="宋体" w:cs="宋体"/>
          <w:b/>
          <w:color w:val="auto"/>
          <w:kern w:val="2"/>
          <w:sz w:val="24"/>
          <w:szCs w:val="20"/>
          <w:highlight w:val="none"/>
        </w:rPr>
      </w:pPr>
    </w:p>
    <w:p w14:paraId="0AD9C9D4">
      <w:pPr>
        <w:spacing w:line="480" w:lineRule="auto"/>
        <w:ind w:right="267"/>
        <w:jc w:val="center"/>
        <w:rPr>
          <w:rFonts w:hint="eastAsia" w:ascii="宋体" w:hAnsi="宋体" w:eastAsia="宋体" w:cs="宋体"/>
          <w:b/>
          <w:color w:val="auto"/>
          <w:kern w:val="2"/>
          <w:sz w:val="24"/>
          <w:szCs w:val="20"/>
          <w:highlight w:val="none"/>
        </w:rPr>
      </w:pPr>
    </w:p>
    <w:p w14:paraId="6160559F">
      <w:pPr>
        <w:spacing w:line="480" w:lineRule="auto"/>
        <w:ind w:right="267"/>
        <w:jc w:val="center"/>
        <w:rPr>
          <w:rFonts w:hint="eastAsia" w:ascii="宋体" w:hAnsi="宋体" w:eastAsia="宋体" w:cs="宋体"/>
          <w:b/>
          <w:color w:val="auto"/>
          <w:kern w:val="2"/>
          <w:sz w:val="24"/>
          <w:szCs w:val="20"/>
          <w:highlight w:val="none"/>
        </w:rPr>
      </w:pPr>
    </w:p>
    <w:p w14:paraId="08CA5701">
      <w:pPr>
        <w:spacing w:before="240" w:line="480" w:lineRule="auto"/>
        <w:ind w:left="960" w:right="267"/>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项目名称：</w:t>
      </w:r>
      <w:r>
        <w:rPr>
          <w:rFonts w:hint="eastAsia" w:ascii="宋体" w:hAnsi="宋体" w:eastAsia="宋体" w:cs="宋体"/>
          <w:color w:val="auto"/>
          <w:kern w:val="2"/>
          <w:sz w:val="24"/>
          <w:szCs w:val="20"/>
          <w:highlight w:val="none"/>
          <w:u w:val="single"/>
        </w:rPr>
        <w:t>常青街道邻里坊3号楼时光成长空间物业单位招标</w:t>
      </w:r>
    </w:p>
    <w:p w14:paraId="5FD37FF8">
      <w:pPr>
        <w:spacing w:before="240" w:line="480" w:lineRule="auto"/>
        <w:ind w:left="960" w:right="267"/>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项目编号：</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eastAsia="zh-CN"/>
        </w:rPr>
        <w:t>BHSG-ZTB-2025-49</w:t>
      </w:r>
      <w:r>
        <w:rPr>
          <w:rFonts w:hint="eastAsia" w:ascii="宋体" w:hAnsi="宋体" w:eastAsia="宋体" w:cs="宋体"/>
          <w:color w:val="auto"/>
          <w:kern w:val="2"/>
          <w:sz w:val="24"/>
          <w:szCs w:val="20"/>
          <w:highlight w:val="none"/>
          <w:u w:val="single"/>
        </w:rPr>
        <w:t xml:space="preserve"> </w:t>
      </w:r>
    </w:p>
    <w:p w14:paraId="7A3383F2">
      <w:pPr>
        <w:spacing w:before="240" w:line="480" w:lineRule="auto"/>
        <w:ind w:left="960" w:right="267"/>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甲方（招标人）：</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eastAsia="zh-CN"/>
        </w:rPr>
        <w:t>合肥滨湖时光空间运营管理有限公司</w:t>
      </w:r>
      <w:r>
        <w:rPr>
          <w:rFonts w:hint="eastAsia" w:ascii="宋体" w:hAnsi="宋体" w:eastAsia="宋体" w:cs="宋体"/>
          <w:color w:val="auto"/>
          <w:kern w:val="2"/>
          <w:sz w:val="24"/>
          <w:szCs w:val="20"/>
          <w:highlight w:val="none"/>
          <w:u w:val="single"/>
        </w:rPr>
        <w:t xml:space="preserve">  </w:t>
      </w:r>
    </w:p>
    <w:p w14:paraId="5D59D6CE">
      <w:pPr>
        <w:spacing w:before="240" w:line="480" w:lineRule="auto"/>
        <w:ind w:left="960" w:right="267"/>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乙方（中标人）：</w:t>
      </w:r>
      <w:r>
        <w:rPr>
          <w:rFonts w:hint="eastAsia" w:ascii="宋体" w:hAnsi="宋体" w:eastAsia="宋体" w:cs="宋体"/>
          <w:color w:val="auto"/>
          <w:kern w:val="2"/>
          <w:sz w:val="24"/>
          <w:szCs w:val="20"/>
          <w:highlight w:val="none"/>
          <w:u w:val="single"/>
        </w:rPr>
        <w:t xml:space="preserve">                              </w:t>
      </w:r>
    </w:p>
    <w:p w14:paraId="271BBB5B">
      <w:pPr>
        <w:spacing w:before="240" w:line="480" w:lineRule="auto"/>
        <w:ind w:right="267" w:firstLine="960" w:firstLineChars="400"/>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签订地：</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eastAsia="zh-CN"/>
        </w:rPr>
        <w:t>合肥市包河区</w:t>
      </w:r>
      <w:r>
        <w:rPr>
          <w:rFonts w:hint="eastAsia" w:ascii="宋体" w:hAnsi="宋体" w:eastAsia="宋体" w:cs="宋体"/>
          <w:color w:val="auto"/>
          <w:kern w:val="2"/>
          <w:sz w:val="24"/>
          <w:szCs w:val="20"/>
          <w:highlight w:val="none"/>
          <w:u w:val="single"/>
        </w:rPr>
        <w:t xml:space="preserve">             </w:t>
      </w:r>
    </w:p>
    <w:p w14:paraId="6AD0A5C9">
      <w:pPr>
        <w:spacing w:before="240" w:line="480" w:lineRule="auto"/>
        <w:ind w:right="267" w:firstLine="960" w:firstLineChars="400"/>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签订日期：</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年</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月</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日</w:t>
      </w:r>
    </w:p>
    <w:p w14:paraId="4E93A7D6">
      <w:pPr>
        <w:autoSpaceDE w:val="0"/>
        <w:autoSpaceDN w:val="0"/>
        <w:adjustRightInd w:val="0"/>
        <w:spacing w:line="600" w:lineRule="exact"/>
        <w:ind w:right="267" w:firstLine="640"/>
        <w:jc w:val="center"/>
        <w:rPr>
          <w:rFonts w:hint="eastAsia" w:ascii="宋体" w:hAnsi="宋体" w:eastAsia="宋体" w:cs="宋体"/>
          <w:color w:val="auto"/>
          <w:kern w:val="2"/>
          <w:sz w:val="24"/>
          <w:szCs w:val="20"/>
          <w:highlight w:val="none"/>
        </w:rPr>
        <w:sectPr>
          <w:headerReference r:id="rId4" w:type="default"/>
          <w:footerReference r:id="rId5" w:type="default"/>
          <w:pgSz w:w="11907" w:h="16840"/>
          <w:pgMar w:top="1474" w:right="1814" w:bottom="1474" w:left="1814" w:header="851" w:footer="992" w:gutter="0"/>
          <w:cols w:space="720" w:num="1"/>
          <w:docGrid w:linePitch="462" w:charSpace="0"/>
        </w:sectPr>
      </w:pPr>
    </w:p>
    <w:p w14:paraId="2872850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u w:val="single"/>
        </w:rPr>
        <w:t>合肥滨湖时光空间运营管理有限公司</w:t>
      </w: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lang w:val="zh-CN"/>
        </w:rPr>
        <w:t>以下简称：甲方</w:t>
      </w:r>
      <w:r>
        <w:rPr>
          <w:rFonts w:hint="eastAsia" w:ascii="宋体" w:hAnsi="宋体" w:eastAsia="宋体" w:cs="宋体"/>
          <w:color w:val="auto"/>
          <w:kern w:val="2"/>
          <w:sz w:val="24"/>
          <w:szCs w:val="20"/>
          <w:highlight w:val="none"/>
        </w:rPr>
        <w:t>）通过</w:t>
      </w:r>
      <w:r>
        <w:rPr>
          <w:rFonts w:hint="eastAsia" w:ascii="宋体" w:hAnsi="宋体" w:eastAsia="宋体" w:cs="宋体"/>
          <w:color w:val="auto"/>
          <w:kern w:val="2"/>
          <w:sz w:val="24"/>
          <w:szCs w:val="20"/>
          <w:highlight w:val="none"/>
          <w:u w:val="single"/>
        </w:rPr>
        <w:t>公开招标</w:t>
      </w:r>
      <w:r>
        <w:rPr>
          <w:rFonts w:hint="eastAsia" w:ascii="宋体" w:hAnsi="宋体" w:eastAsia="宋体" w:cs="宋体"/>
          <w:color w:val="auto"/>
          <w:kern w:val="2"/>
          <w:sz w:val="24"/>
          <w:szCs w:val="20"/>
          <w:highlight w:val="none"/>
        </w:rPr>
        <w:t>方式招标活动，经</w:t>
      </w:r>
      <w:r>
        <w:rPr>
          <w:rFonts w:hint="eastAsia" w:ascii="宋体" w:hAnsi="宋体" w:eastAsia="宋体" w:cs="宋体"/>
          <w:color w:val="auto"/>
          <w:kern w:val="2"/>
          <w:sz w:val="24"/>
          <w:szCs w:val="20"/>
          <w:highlight w:val="none"/>
          <w:u w:val="single"/>
        </w:rPr>
        <w:t>招标小组</w:t>
      </w:r>
      <w:r>
        <w:rPr>
          <w:rFonts w:hint="eastAsia" w:ascii="宋体" w:hAnsi="宋体" w:eastAsia="宋体" w:cs="宋体"/>
          <w:color w:val="auto"/>
          <w:kern w:val="2"/>
          <w:sz w:val="24"/>
          <w:szCs w:val="20"/>
          <w:highlight w:val="none"/>
        </w:rPr>
        <w:t>评定</w:t>
      </w:r>
      <w:r>
        <w:rPr>
          <w:rFonts w:hint="eastAsia" w:ascii="宋体" w:hAnsi="宋体" w:eastAsia="宋体" w:cs="宋体"/>
          <w:color w:val="auto"/>
          <w:kern w:val="2"/>
          <w:sz w:val="24"/>
          <w:szCs w:val="20"/>
          <w:highlight w:val="none"/>
          <w:lang w:val="en-US" w:eastAsia="zh-CN"/>
        </w:rPr>
        <w:t>并经公示无异议</w:t>
      </w:r>
      <w:r>
        <w:rPr>
          <w:rFonts w:hint="eastAsia" w:ascii="宋体" w:hAnsi="宋体" w:eastAsia="宋体" w:cs="宋体"/>
          <w:color w:val="auto"/>
          <w:kern w:val="2"/>
          <w:sz w:val="24"/>
          <w:szCs w:val="20"/>
          <w:highlight w:val="none"/>
        </w:rPr>
        <w:t>，</w:t>
      </w:r>
      <w:r>
        <w:rPr>
          <w:rFonts w:hint="eastAsia" w:ascii="宋体" w:hAnsi="宋体" w:eastAsia="宋体" w:cs="宋体"/>
          <w:i/>
          <w:iCs/>
          <w:color w:val="auto"/>
          <w:kern w:val="2"/>
          <w:sz w:val="24"/>
          <w:szCs w:val="20"/>
          <w:highlight w:val="none"/>
          <w:u w:val="single"/>
        </w:rPr>
        <w:t>（中标人名称）</w:t>
      </w: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lang w:val="zh-CN"/>
        </w:rPr>
        <w:t>以下简称：乙方</w:t>
      </w:r>
      <w:r>
        <w:rPr>
          <w:rFonts w:hint="eastAsia" w:ascii="宋体" w:hAnsi="宋体" w:eastAsia="宋体" w:cs="宋体"/>
          <w:color w:val="auto"/>
          <w:kern w:val="2"/>
          <w:sz w:val="24"/>
          <w:szCs w:val="20"/>
          <w:highlight w:val="none"/>
        </w:rPr>
        <w:t>）为本项目中标人，现按照响应文件确定的事项签订本合同。</w:t>
      </w:r>
    </w:p>
    <w:p w14:paraId="2E63EA0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bookmarkStart w:id="41" w:name="_Toc24059"/>
      <w:bookmarkStart w:id="42" w:name="_Toc3029"/>
      <w:bookmarkStart w:id="43" w:name="_Toc2232"/>
      <w:r>
        <w:rPr>
          <w:rFonts w:hint="eastAsia" w:ascii="宋体" w:hAnsi="宋体" w:eastAsia="宋体" w:cs="宋体"/>
          <w:color w:val="auto"/>
          <w:kern w:val="2"/>
          <w:sz w:val="24"/>
          <w:szCs w:val="20"/>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117097E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r>
        <w:rPr>
          <w:rFonts w:hint="eastAsia" w:ascii="宋体" w:hAnsi="宋体" w:eastAsia="宋体" w:cs="宋体"/>
          <w:b/>
          <w:bCs/>
          <w:color w:val="auto"/>
          <w:kern w:val="2"/>
          <w:sz w:val="24"/>
          <w:szCs w:val="20"/>
          <w:highlight w:val="none"/>
          <w:lang w:val="zh-CN"/>
        </w:rPr>
        <w:t>一、合同组成部分</w:t>
      </w:r>
      <w:bookmarkEnd w:id="41"/>
      <w:bookmarkEnd w:id="42"/>
      <w:bookmarkEnd w:id="43"/>
    </w:p>
    <w:p w14:paraId="0F857CA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A6063E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（一）本合同及其补充合同、变更协议；</w:t>
      </w:r>
    </w:p>
    <w:p w14:paraId="78E3725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（二）中标通知书；</w:t>
      </w:r>
    </w:p>
    <w:p w14:paraId="066312F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（三）响应文件（含澄清或者说明文件）；</w:t>
      </w:r>
    </w:p>
    <w:p w14:paraId="3E32E65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（四）招标文件（含澄清或者修改文件）；</w:t>
      </w:r>
    </w:p>
    <w:p w14:paraId="2D1E7931">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（五）其他相关采购文件。</w:t>
      </w:r>
    </w:p>
    <w:p w14:paraId="1B2ECE8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r>
        <w:rPr>
          <w:rFonts w:hint="eastAsia" w:ascii="宋体" w:hAnsi="宋体" w:eastAsia="宋体" w:cs="宋体"/>
          <w:b/>
          <w:bCs/>
          <w:color w:val="auto"/>
          <w:kern w:val="2"/>
          <w:sz w:val="24"/>
          <w:szCs w:val="20"/>
          <w:highlight w:val="none"/>
          <w:lang w:val="zh-CN"/>
        </w:rPr>
        <w:t>二、服务</w:t>
      </w:r>
    </w:p>
    <w:p w14:paraId="4C94363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（一）</w:t>
      </w:r>
      <w:r>
        <w:rPr>
          <w:rFonts w:hint="eastAsia" w:ascii="宋体" w:hAnsi="宋体" w:eastAsia="宋体" w:cs="宋体"/>
          <w:color w:val="auto"/>
          <w:kern w:val="2"/>
          <w:sz w:val="24"/>
          <w:szCs w:val="20"/>
          <w:highlight w:val="none"/>
        </w:rPr>
        <w:t>服务名称：</w:t>
      </w:r>
      <w:r>
        <w:rPr>
          <w:rFonts w:hint="eastAsia" w:ascii="宋体" w:hAnsi="宋体" w:eastAsia="宋体" w:cs="宋体"/>
          <w:color w:val="auto"/>
          <w:kern w:val="2"/>
          <w:sz w:val="24"/>
          <w:szCs w:val="20"/>
          <w:highlight w:val="none"/>
          <w:u w:val="single"/>
        </w:rPr>
        <w:t>常青街道邻里坊3号楼时光成长空间物业单位招标</w:t>
      </w:r>
      <w:r>
        <w:rPr>
          <w:rFonts w:hint="eastAsia" w:ascii="宋体" w:hAnsi="宋体" w:eastAsia="宋体" w:cs="宋体"/>
          <w:color w:val="auto"/>
          <w:kern w:val="2"/>
          <w:sz w:val="24"/>
          <w:szCs w:val="20"/>
          <w:highlight w:val="none"/>
        </w:rPr>
        <w:t>；</w:t>
      </w:r>
    </w:p>
    <w:p w14:paraId="61AE846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（二）</w:t>
      </w:r>
      <w:r>
        <w:rPr>
          <w:rFonts w:hint="eastAsia" w:ascii="宋体" w:hAnsi="宋体" w:eastAsia="宋体" w:cs="宋体"/>
          <w:color w:val="auto"/>
          <w:kern w:val="2"/>
          <w:sz w:val="24"/>
          <w:szCs w:val="20"/>
          <w:highlight w:val="none"/>
        </w:rPr>
        <w:t>服务内容：</w:t>
      </w:r>
      <w:r>
        <w:rPr>
          <w:rFonts w:hint="eastAsia" w:ascii="宋体" w:hAnsi="宋体" w:eastAsia="宋体" w:cs="宋体"/>
          <w:color w:val="auto"/>
          <w:kern w:val="2"/>
          <w:sz w:val="24"/>
          <w:szCs w:val="20"/>
          <w:highlight w:val="none"/>
          <w:u w:val="single"/>
        </w:rPr>
        <w:t>常青街道邻里坊3号楼时光成长空间物业服务，位于包河区龙图路与关麓路交口东南角，本项目管理总面积约4400 ㎡（以最后测绘为准），服务内容包括但不仅限于办公、经营场所保洁、安全保卫、水电零星维修等。</w:t>
      </w:r>
    </w:p>
    <w:p w14:paraId="7C4C417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（三）</w:t>
      </w:r>
      <w:r>
        <w:rPr>
          <w:rFonts w:hint="eastAsia" w:ascii="宋体" w:hAnsi="宋体" w:eastAsia="宋体" w:cs="宋体"/>
          <w:color w:val="auto"/>
          <w:kern w:val="2"/>
          <w:sz w:val="24"/>
          <w:szCs w:val="20"/>
          <w:highlight w:val="none"/>
        </w:rPr>
        <w:t>服务</w:t>
      </w:r>
      <w:r>
        <w:rPr>
          <w:rFonts w:hint="eastAsia" w:ascii="宋体" w:hAnsi="宋体" w:eastAsia="宋体" w:cs="宋体"/>
          <w:color w:val="auto"/>
          <w:kern w:val="2"/>
          <w:sz w:val="24"/>
          <w:szCs w:val="20"/>
          <w:highlight w:val="none"/>
          <w:lang w:eastAsia="zh-CN"/>
        </w:rPr>
        <w:t>要求</w:t>
      </w: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u w:val="single"/>
        </w:rPr>
        <w:t>物业管理服务区域内的安全保卫、消防安全维护；物业管理服务区域内的日常环境卫生保洁（包含垃圾处理）、四害消杀，绿化养护管理；物业管理服务区域内的所有资产管理以及基础设施设备的日常维护保养；物业管理服务区域内相关场地的活动保障；负责建筑本体及附属设施的日常运行、小修、保养及配电系统、电梯系统、中央空调系统、给排水系统、通风排烟系统、消防系统、智能化系统、照明系统等的日常养护管理、维保、及时做好维护保养。物业管理服务区域的日常档案资料管理以及协助做好招标人提出的其他临时性事务工作。</w:t>
      </w:r>
    </w:p>
    <w:p w14:paraId="7BA4658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1.日常保洁服务</w:t>
      </w:r>
    </w:p>
    <w:p w14:paraId="6B33376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（1）服务范围</w:t>
      </w:r>
    </w:p>
    <w:p w14:paraId="719FEA2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项目范围内所有公共区域，包括但不限于电梯、楼梯厅、消防通道、过道、屋顶、会议室、报告厅、厕所等。</w:t>
      </w:r>
    </w:p>
    <w:p w14:paraId="1633961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（2）服务标准</w:t>
      </w:r>
    </w:p>
    <w:p w14:paraId="78FAB46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1）每天早晨7：50前完成普扫工作，每天清扫不少于2次，拖洗不少于1次，并全天保洁至18:00；</w:t>
      </w:r>
    </w:p>
    <w:p w14:paraId="3332C01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门厅、楼道、楼梯、四壁、天花板、灯具无灰尘灰网，无乱写乱画；楼道地面干净，无痰迹污变，无烟头纸屑，无杂物堆放；楼梯扶手干净；卫生工具摆放统一、整齐；垃圾桶、袋及时清理，实行垃圾袋装化；垃圾无堆积堵塞现象。</w:t>
      </w:r>
    </w:p>
    <w:p w14:paraId="0AF4E11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厕所：大便池无积存粪便、小便池不积存尿液，无尿碱；下水道畅通；地面无污垢、无积水、无烟头、无纸屑，卫生纸不乱扔；室内无明显异味、基本无蚊蝇、鼠迹；四壁、天花板、灯具干净无灰尘、无蜘蛛网、尘网；墙壁无乱写乱画；门窗、玻璃干净，无损坏。</w:t>
      </w:r>
    </w:p>
    <w:p w14:paraId="5233E65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4）各类通道：地面清洁光亮，无杂物；墙壁、墙围无灰网，无污迹；门窗、窗台玻璃干净明亮；灯具及其他固定物干净，无尘土；无乱写乱画、无尘土纸屑，无杂物堆放；空气清新。</w:t>
      </w:r>
    </w:p>
    <w:p w14:paraId="05C6ABC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公共办公区域：门窗玻璃干净，无损坏；地面干净，无痰迹、纸屑；墙壁、门窗无污迹、无乱写、乱画、乱贴、乱挂；橱顶不堆放杂物，桌面、书架、物品摆放整齐，无灰尘；室内不乱拉绳子，无蜘蛛网，空气清新。</w:t>
      </w:r>
    </w:p>
    <w:p w14:paraId="53844B6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6）外墙无乱张贴；无打洞拉线、布管现象。</w:t>
      </w:r>
    </w:p>
    <w:p w14:paraId="124410F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7）工具存放：卫生、有序、合理，无乱丢乱放现象。</w:t>
      </w:r>
    </w:p>
    <w:p w14:paraId="19E2408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8）各种设施外表（如公告栏、消防栓箱、配电箱等）清洁干净、无积尘、污迹。</w:t>
      </w:r>
    </w:p>
    <w:p w14:paraId="5C6542D1">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9）路面、人行道、绿化带等部位无灰沙带、无积水、无果皮纸屑等杂物。</w:t>
      </w:r>
    </w:p>
    <w:p w14:paraId="2AB57BA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10）严禁灰沙、石子、杂物放入窨井、绿化带内，定时清理雨污水道口杂物，以防堵塞下水道，严禁出现外溢，清理出的杂物及时外运。</w:t>
      </w:r>
    </w:p>
    <w:p w14:paraId="6B5F5CE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11）及时清除建筑物牛皮癣、小广告等。</w:t>
      </w:r>
    </w:p>
    <w:p w14:paraId="50B42E2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12）果皮箱箱内垃圾随时清，每天至少清理一次，箱体保持清洁、美观，无痰迹污物灰尘；实行垃圾袋装化；加强日常维护，确保箱体完好无损。</w:t>
      </w:r>
    </w:p>
    <w:p w14:paraId="378F64C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13）下水道随时检查疏通，保证不堵不溢。</w:t>
      </w:r>
    </w:p>
    <w:p w14:paraId="4108155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14）按照规范要求，做好垃圾分类、存放与转运等工作。</w:t>
      </w:r>
    </w:p>
    <w:p w14:paraId="006E3F6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15）楼宇内垃圾桶、垃圾袋、芳香球、空气清新剂、洗手液、擦手纸、卫生卷纸、会议抽纸，以及各类清洁剂等低值易耗品应足额配备，保证质量，及时补充，费用由中标人自行承担。</w:t>
      </w:r>
    </w:p>
    <w:p w14:paraId="0360B95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16）抹布、拖把等各类保洁工具要统一规范，并严格分类使用，及时、定期进行清洗、晾晒和消毒。</w:t>
      </w:r>
    </w:p>
    <w:p w14:paraId="393EBC8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17）日常产生的垃圾清运、处理费由中标人自行承担（不含食堂产生的厨余垃圾）。</w:t>
      </w:r>
    </w:p>
    <w:p w14:paraId="4109D08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2.安全保卫工作</w:t>
      </w:r>
    </w:p>
    <w:p w14:paraId="77B45EE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主要包括治安安全、消防安全、设施设备安全、人身安全、财产安全、服务范围内交通秩序维护及车辆管理以及其他与安全防范保卫有关事项。</w:t>
      </w:r>
    </w:p>
    <w:p w14:paraId="4B1A119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（1）服务内容</w:t>
      </w:r>
    </w:p>
    <w:p w14:paraId="2791072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1）实行运营时间内出入口站岗值勤，严禁易燃易爆等危险物品进入物业管理区域。运营时间为早上9点至晚上10点，无休息日，自行做好调班。</w:t>
      </w:r>
    </w:p>
    <w:p w14:paraId="1141DD3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2）做好消防、治安、公共卫生等突发事件应急预案的演练，做到按预案程序、要求及时处置各类突发事件。</w:t>
      </w:r>
    </w:p>
    <w:p w14:paraId="1B3AFCD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实行值班巡查制度，确保整个区域内无火灾、无治安事件、交通事故发生，无安全隐患。对消防、治安、防汛、暴恐、公共卫生等突发事件有应急预案，一旦发生，能够做到及时确认、报警、处置，防止事态进一步恶化，事件处理及时率100%。</w:t>
      </w:r>
    </w:p>
    <w:p w14:paraId="6A8AC0D1">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4）着装整齐，仪态稳重，举止规范，语言文明，态度热情，文明执勤，礼貌待客。</w:t>
      </w:r>
    </w:p>
    <w:p w14:paraId="5282AB7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做好消防服务工作，落实消防安全责任制，建立健全消防安全制度、消防安全操作规程、灭火和应急疏散预案；组织防火检查，及时消除火灾隐患；做好对管理区域安保设施、消防器材和设施的日常检查、维护、更换工作。</w:t>
      </w:r>
    </w:p>
    <w:p w14:paraId="20298D4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6）做好大件物品的出入问询、检查工作；查验出门人员和出门物品是否一致。</w:t>
      </w:r>
    </w:p>
    <w:p w14:paraId="2FAAE4D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7）做好临时物品的保管工作，做到谁接收谁负责。</w:t>
      </w:r>
    </w:p>
    <w:p w14:paraId="2E436AE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8）保证消控室和监控室正常运行和维护（如有）。</w:t>
      </w:r>
    </w:p>
    <w:p w14:paraId="341EA64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3.设备设施维护维修服务</w:t>
      </w:r>
    </w:p>
    <w:p w14:paraId="2E36DA1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（1）服务内容</w:t>
      </w:r>
    </w:p>
    <w:p w14:paraId="036D629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建立健全设备物业管理制度，明确各种岗位工作标准，并制定具体的落实措施和考核办法。各层级人员需具有相应的专业技术知识和合法有效的上岗操作证书，定期开展职业素养和专业技术技能培训，考试合格方能上岗操作。</w:t>
      </w:r>
    </w:p>
    <w:p w14:paraId="6C3F3E1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制定设备使用、检查、维修、保养的操作规程。工作人员和工程技术人员熟悉设备的结构和操作规程，严格按规定的程序和操作规程使用、检查、维修、保养设备；正确使用设备，合理维护设备，防止发生事故，保障生产正常运行。</w:t>
      </w:r>
    </w:p>
    <w:p w14:paraId="7668FA4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建立日常巡检及日常维护制度。在设备使用前、使用中、使用后对设备进行例行检查；按操作规程对设备适时进行养护，维护设备正常运行，及早发现故障和事故苗头，并视情况对零部件进行修换。要做好常用和急用备件的储备。对设备运行情况、故障发生情况、设备修理及零部件更换情况要做好记录并存档备查。</w:t>
      </w:r>
    </w:p>
    <w:p w14:paraId="0E3F59A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建立专项检查和定期保养制度。定期开展设备运行、故障、事故情况分析，掌握设备各部件之劣化趋势或故障征兆。根据需要配备专业检查工具和仪器，准确确定修理、保养的部位、种类和时间。分别制定以状态为基准和以时间为基准的保养计划。组织工程技术人员做好设备专项检查和保养，配合国家质检部门做好年检或强制检测，提示并配合设备维保服务公司做好维保。</w:t>
      </w:r>
    </w:p>
    <w:p w14:paraId="2DC050C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5）建立值班制度、交接班制度，明确职责。建立运行、维护、保养、事故等的记录台账、分析、报告制度，相关资料存档备查。建立应急管理制度及预案，并定期组织演练。</w:t>
      </w:r>
    </w:p>
    <w:p w14:paraId="2F0377C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做好机房及设备环境的保洁工作，做好防火、防水、防尘、防鼠工作。确保机房温度、湿度和通风达标。防止无关人员、无关物品进入机房，禁止易燃、易爆物品进入机房。及时排除故障。故障受理渠道畅通、响应及时、处置得当，尽量减少对生产、办公的影响。</w:t>
      </w:r>
    </w:p>
    <w:p w14:paraId="7A7BA2D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7）落实设备安全运行、岗位责任制；分工明确，定期巡检和维护保养设备，严格执行有关维修保养规程和操作使用规程，并按规定记录设备运行状况。变电所、弱电机房、消防控制室等重要部位应提供每天24小时值守并提供技术与人员保障，确保随时处置各类突发情况。</w:t>
      </w:r>
    </w:p>
    <w:p w14:paraId="4CD2BA0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8）保持员工队伍相对稳定，调动技术骨干须提前告知业主。按招投标文件岗位配置配足员工，不得擅自减少。经抽查，发现员工数减少，且无正当理由，中标方应及时补足规定的人数，并愿接受业主处罚。</w:t>
      </w:r>
    </w:p>
    <w:p w14:paraId="00D94268">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9）建立各类设备管理台账，记录各类维修材料损耗及流向情况，并定期向业主提交设备管理服务运行情况工作报告并分析物耗情况。设备图纸、档案资料管理完善，收集齐全，分类清晰；建立设备台账，登记详细，账物相符，必须保管好招标人所有的工程设备图纸，因中标方原因遗失图纸所造成的损失，由中标方承担。</w:t>
      </w:r>
    </w:p>
    <w:p w14:paraId="4540712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10）在设备维修过程中，设备维修期限为小修24小时，中修48小时，大修120小时。要保证维修质量，减少返修，并有回访记录。在接到维修通知后，应在30分钟内到达现场，维修及时率应保证达到100％。</w:t>
      </w:r>
    </w:p>
    <w:p w14:paraId="45DA0AC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11）灯具、灯带、插座/地插、开关面板（含弱电全控面板开关）、单相、三相电表（含互感器）、智能音箱控制面板、显示屏配件、配电箱内元器件、空调温控面板、门锁、铰链、门禁开关、门禁电源、伸缩门电机、安全出口指示灯、疏散指示、应急照明、消火栓、灭火器、消防喷淋头、烟感、温感、手报、消防水带、绿化喷淋头、水龙头、卫生间排风机、楼层新风机、各类阀门、地下车库排污泵、室外广播等零配件以及其他单次单价在2000元以下的零配件采购、更换、维修（含人工费用）由中标人负责，单次单价在2000元以上的零配件采购、更换、维修项目，中标人应向招标人提出书面申请，待招标人批准后方可执行，费用由招标人支付，所有更换的零配件与原配件同品牌或档次。</w:t>
      </w:r>
    </w:p>
    <w:p w14:paraId="13C5B27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12）积极开展节能降耗工作，每月提供能耗数据分析报告，提出合理化建议。水、电等公共能耗费用由招标人与入驻单位分摊，中标人需协调供电部门办理电表过户，中标人负责各园区电费代收代缴以及协助招标人完成水费抄表和催缴。每月10日前完成上月各园区入驻单位水、电表抄表和费用结算工作，督促入驻单位及时缴纳水电费。每月月底前按区报送上月各入驻单位水电费用消耗和收取情况。</w:t>
      </w:r>
    </w:p>
    <w:p w14:paraId="4E080EB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13）对各类消防、器材每月检查或测试一次，并将检查或测试的结果书面报招标人，中标人委托具有相应资质的单位对即将到期的灭火器进行检测、维修或更换，相关费用由中标人承担。</w:t>
      </w:r>
    </w:p>
    <w:p w14:paraId="21608A9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14）设备维保费（含各园区全部设备日常维保及损毁设备更换，包括但不限于：空调维保费、变配电维保费、电梯维保费、照明维护费、消防系统维保费、给排水系统维护费、智能化系统维保费、所有电梯年检费，费用由中标人承担。</w:t>
      </w:r>
    </w:p>
    <w:p w14:paraId="520C831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15）配合有关部门做好安全工作，制订和完善各类设备系统突发事件应急处置预案，并定期培训和演练。中标人负责现场秩序和一切安全生产，如外部维保单位在楼内施工发生安全事故，属于中标人监管不到位，须承担相应责任。同时，本项目所有工程设备等的管理、安全等一切责任由中标人承担，不因是否有第三方维保单位而免责。</w:t>
      </w:r>
    </w:p>
    <w:p w14:paraId="4BFE441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16）中标人在日常工作中应负责与下列单位进行协调：市政公司（供水、供电、供暖、天然气、环卫）、社居委、街道办事处、文保局、城管、城乡建设等，需参加上述单位组织的与物业管理有关的各种会议、宣传日等活动。</w:t>
      </w:r>
    </w:p>
    <w:p w14:paraId="7D7DD3D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17）在质保期内的质量维修工作由中标人及时通知施工单位进行维修。</w:t>
      </w:r>
    </w:p>
    <w:p w14:paraId="2133D95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4.房屋本体维修养护服务</w:t>
      </w:r>
    </w:p>
    <w:p w14:paraId="159C2B7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（1）房屋维护养护管理</w:t>
      </w:r>
    </w:p>
    <w:p w14:paraId="3410511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1）建立对房屋及其共用部位、共用设施设备等进行日常巡查制度，做好巡检记录，检修记录和保养记录齐全。发现问题及时报告，根据指示安排专项维修。</w:t>
      </w:r>
    </w:p>
    <w:p w14:paraId="3681570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2）根据房屋的结构类型、用途和使用年限、使用环境等情况，每年对房屋结构进行定期检查，检查中发现问题应及时报告，制定维修计划，进行修缮。</w:t>
      </w:r>
    </w:p>
    <w:p w14:paraId="70A863F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3）每年定期检查屋面、卫生间防水情况，确保无渗漏；检查外墙和外门窗等房屋外围护结构有无渗漏现象，发现渗漏的，应及时处理，确保无渗漏。</w:t>
      </w:r>
    </w:p>
    <w:p w14:paraId="6A73F6B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4）维修属于小修范围的，及时组织修复；属于大、中修范围的，应及时编制维修方案计划和房屋专项维修资金使用计划，向招标人提出报告与建议，根据招标人的决定，组织维修。</w:t>
      </w:r>
    </w:p>
    <w:p w14:paraId="4A0E9BE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5）宣传房屋安全使用的规范，检查和协助工作人员正确使用房屋及其设施设备。</w:t>
      </w:r>
    </w:p>
    <w:p w14:paraId="7B38E3D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6）建立健全房屋及其设施设备竣工档案，维修设计方案及审批文件、维修施工监督。</w:t>
      </w:r>
    </w:p>
    <w:p w14:paraId="733D9AF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7）记录、日常巡查记录等均应做好存档管理。物业服务合同到期后，须全部完整地移交给招标人。</w:t>
      </w:r>
    </w:p>
    <w:p w14:paraId="7E5DF78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8）避雷系统由中标人负责按规定委托专业机构进行检测。房屋本体的防雷设施应在每年3月前做好防雷电设施检查，保持所有的避雷设施及所有的金属物体的接地完好；防雷设施接地电阻不应大于1欧姆。引下线、屋顶避雷网线、中性点接地、设备层的避雷带、网无脱焊。如有生锈，应及时除锈，刷防锈漆和银粉漆进行保护。</w:t>
      </w:r>
    </w:p>
    <w:p w14:paraId="3E3B826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9）每周检查一次重要机房的设备防静电地板的接地是否可靠，并对各楼层的金属窗、钢结构进行外观检查。</w:t>
      </w:r>
    </w:p>
    <w:p w14:paraId="37384C21">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10）每半年一次对楼层强、弱电间内的接地装置进行检查，遇有问题及时解决。</w:t>
      </w:r>
    </w:p>
    <w:p w14:paraId="6566776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11）每月一次对变配电室的设备接地带进行检查；每季对各重要机房内的配电柜及设备接地进行检查；保证所有机电设备、管道、构架等金属物接地良好。</w:t>
      </w:r>
    </w:p>
    <w:p w14:paraId="3DB7CC5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12）所有避雷设施完好。</w:t>
      </w:r>
    </w:p>
    <w:p w14:paraId="3075140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13）接地电阻：≤4Ω，弱电设备接地电阻：≤1Ω。</w:t>
      </w:r>
    </w:p>
    <w:p w14:paraId="530B2D5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14）质保期类，房屋质量问题维修，由中标人及时通知施工单位进行维修。</w:t>
      </w:r>
    </w:p>
    <w:p w14:paraId="43F3E8E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（2）装修管理</w:t>
      </w:r>
    </w:p>
    <w:p w14:paraId="29D65C1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1）装修工程须事先获得招标人的批准，否则，不得进行任何形式的装修工作。</w:t>
      </w:r>
    </w:p>
    <w:p w14:paraId="5D7D112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2）装修审批手续完整，装修相关人员和材料方可放行。</w:t>
      </w:r>
    </w:p>
    <w:p w14:paraId="5C45836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3）装修不得改变建筑物立面外观，不得改变房屋建筑结构及功能，不得改变设施设备功能和最高有效负荷限量。</w:t>
      </w:r>
    </w:p>
    <w:p w14:paraId="651AA99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4）中标投标人应对装修施工实施监督，到装修施工现场全程查看施工情况。发现违反装修方案、危害房屋安全和装修管理制度的行为、现象应及时劝阻、制止，并及时报告招标人。</w:t>
      </w:r>
    </w:p>
    <w:p w14:paraId="566BDE6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5）装饰装修工程涉及的工程内容和施工必须符合国家现行房屋结构安全和建筑装饰装修工程的有关规范规定。</w:t>
      </w:r>
    </w:p>
    <w:p w14:paraId="67B7705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6）建立入驻单位装修档案，内容应包括装修申请、审批、验收资料等。</w:t>
      </w:r>
    </w:p>
    <w:p w14:paraId="59D138B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5.绿化看护与养护服务</w:t>
      </w:r>
    </w:p>
    <w:p w14:paraId="08D5D30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（1）服务内容</w:t>
      </w:r>
    </w:p>
    <w:p w14:paraId="43E8746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1）中标人负责各项目室外、屋顶的绿化养护，确保各项目楼宇内外花草树木生长茂盛、不枯黄、无杂草、无死树和枯枝，按时中耕、浇水、施肥、修剪和除虫除害等。</w:t>
      </w:r>
    </w:p>
    <w:p w14:paraId="77E5B97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整修及时，定期修剪、打药、除虫、除草，及时浇灌，冬季及时裹干、涂白，并根据绿地植物分布状况及生长的各个阶段，对植物群落进行合理养护，保持植物季相分明、群落完整、层次得当、生长茂盛，把绿化养护到位。</w:t>
      </w:r>
    </w:p>
    <w:p w14:paraId="176331C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2"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b/>
          <w:bCs/>
          <w:color w:val="auto"/>
          <w:kern w:val="2"/>
          <w:sz w:val="24"/>
          <w:szCs w:val="20"/>
          <w:highlight w:val="none"/>
          <w:lang w:val="en-US" w:eastAsia="zh-CN"/>
        </w:rPr>
        <w:t>（四）人员配置要求</w:t>
      </w:r>
      <w:r>
        <w:rPr>
          <w:rFonts w:hint="eastAsia" w:ascii="宋体" w:hAnsi="宋体" w:eastAsia="宋体" w:cs="宋体"/>
          <w:color w:val="auto"/>
          <w:kern w:val="2"/>
          <w:sz w:val="24"/>
          <w:szCs w:val="20"/>
          <w:highlight w:val="none"/>
          <w:lang w:val="en-US" w:eastAsia="zh-CN"/>
        </w:rPr>
        <w:t>:</w:t>
      </w:r>
      <w:r>
        <w:rPr>
          <w:rFonts w:hint="eastAsia" w:ascii="宋体" w:hAnsi="宋体" w:eastAsia="宋体" w:cs="宋体"/>
          <w:color w:val="auto"/>
          <w:kern w:val="2"/>
          <w:sz w:val="24"/>
          <w:szCs w:val="20"/>
          <w:highlight w:val="none"/>
          <w:u w:val="single"/>
          <w:lang w:val="en-US" w:eastAsia="zh-CN"/>
        </w:rPr>
        <w:t>保洁人员2人，常驻保安人员1人（值班时间为早上9点至晚上10点，无休息日）。如有需要，招标人有权要求中标人增配1名项目负责人。乙方实际提供的团队人员与投标文件团队人员严重不符的，甲方有权要求更换或解除合同。</w:t>
      </w:r>
    </w:p>
    <w:p w14:paraId="7DE8F19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1.保洁人员基本要求</w:t>
      </w:r>
    </w:p>
    <w:p w14:paraId="13854A47">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（1）品德良好，工作态度端正，责任心强，无不良行为记录，身体健康。</w:t>
      </w:r>
    </w:p>
    <w:p w14:paraId="6D9D9E0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（2）接受过专业培训和训练，业务熟练。</w:t>
      </w:r>
    </w:p>
    <w:p w14:paraId="4151CB5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（3）仪容仪表仪态大方，五官端正，统一着装。</w:t>
      </w:r>
    </w:p>
    <w:p w14:paraId="30DC602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（4）身体健康（有健康证），精力充沛，形体符合工作要求。</w:t>
      </w:r>
    </w:p>
    <w:p w14:paraId="4846620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（5）到岗工作人员以中青年为主，男性60周岁以内，女性55周岁以内。</w:t>
      </w:r>
    </w:p>
    <w:p w14:paraId="5BF69FE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2.安保人员基本要求</w:t>
      </w:r>
    </w:p>
    <w:p w14:paraId="5C8EB5C2">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（1）政审合格，品德良好，工作态度端正，责任心强，无不良行为记录。</w:t>
      </w:r>
    </w:p>
    <w:p w14:paraId="46E434F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（2）五官端正，仪态大方，符合环境和角色要求，统一着装。</w:t>
      </w:r>
    </w:p>
    <w:p w14:paraId="47F79A3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（3）身体健康，精力充沛，形体符合工作要求，无纹身。</w:t>
      </w:r>
    </w:p>
    <w:p w14:paraId="68E6C06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（4）接受过专业训练，业务熟练，机智勇敢。能掌握监控、巡更、周界等系统基本操作。</w:t>
      </w:r>
    </w:p>
    <w:p w14:paraId="1C7BC1F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（5）到岗工作人员以中青年为主，男性60周岁以内，女性55周岁以内。</w:t>
      </w:r>
    </w:p>
    <w:p w14:paraId="48300BF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3.维修人员基本要求</w:t>
      </w:r>
    </w:p>
    <w:p w14:paraId="01189FC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（1）品德良好，工作态度端正，责任心强，无不良行为记录，身体健康。</w:t>
      </w:r>
    </w:p>
    <w:p w14:paraId="6B1D9AB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（2）接受过专业培训和训练，业务熟练,统一着装。</w:t>
      </w:r>
    </w:p>
    <w:p w14:paraId="1830194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（3）水电维修人员，具有与岗位相关的证书，熟悉掌握相关系统原理和操作技能。</w:t>
      </w:r>
    </w:p>
    <w:p w14:paraId="28A1CE7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80" w:firstLineChars="200"/>
        <w:textAlignment w:val="auto"/>
        <w:rPr>
          <w:rFonts w:hint="eastAsia" w:ascii="宋体" w:hAnsi="宋体" w:eastAsia="宋体" w:cs="宋体"/>
          <w:color w:val="auto"/>
          <w:kern w:val="2"/>
          <w:sz w:val="24"/>
          <w:szCs w:val="20"/>
          <w:highlight w:val="none"/>
          <w:u w:val="single"/>
          <w:lang w:val="en-US" w:eastAsia="zh-CN"/>
        </w:rPr>
      </w:pPr>
      <w:r>
        <w:rPr>
          <w:rFonts w:hint="eastAsia" w:ascii="宋体" w:hAnsi="宋体" w:eastAsia="宋体" w:cs="宋体"/>
          <w:color w:val="auto"/>
          <w:kern w:val="2"/>
          <w:sz w:val="24"/>
          <w:szCs w:val="20"/>
          <w:highlight w:val="none"/>
          <w:u w:val="single"/>
          <w:lang w:val="en-US" w:eastAsia="zh-CN"/>
        </w:rPr>
        <w:t>（4）到岗工作人员以中青年为主，男性60周岁以内，女性55周岁以内。</w:t>
      </w:r>
    </w:p>
    <w:p w14:paraId="00F0EB30">
      <w:pPr>
        <w:pStyle w:val="2"/>
        <w:ind w:firstLine="482" w:firstLineChars="200"/>
        <w:rPr>
          <w:rFonts w:hint="eastAsia" w:ascii="宋体" w:hAnsi="宋体" w:eastAsia="宋体" w:cs="宋体"/>
          <w:b/>
          <w:bCs/>
          <w:color w:val="auto"/>
          <w:kern w:val="2"/>
          <w:sz w:val="24"/>
          <w:szCs w:val="20"/>
          <w:highlight w:val="none"/>
          <w:lang w:eastAsia="zh-CN"/>
        </w:rPr>
      </w:pPr>
      <w:r>
        <w:rPr>
          <w:rFonts w:hint="eastAsia" w:ascii="宋体" w:hAnsi="宋体" w:eastAsia="宋体" w:cs="宋体"/>
          <w:b/>
          <w:bCs/>
          <w:color w:val="auto"/>
          <w:kern w:val="2"/>
          <w:sz w:val="24"/>
          <w:szCs w:val="20"/>
          <w:highlight w:val="none"/>
          <w:lang w:eastAsia="zh-CN"/>
        </w:rPr>
        <w:t>（五）考核办法：</w:t>
      </w:r>
    </w:p>
    <w:p w14:paraId="7CBD0AB6">
      <w:pPr>
        <w:pStyle w:val="8"/>
        <w:bidi w:val="0"/>
        <w:rPr>
          <w:rFonts w:hint="eastAsia"/>
          <w:color w:val="auto"/>
          <w:highlight w:val="none"/>
          <w:lang w:val="en-US" w:eastAsia="zh-CN"/>
        </w:rPr>
      </w:pPr>
      <w:r>
        <w:rPr>
          <w:rFonts w:hint="eastAsia"/>
          <w:color w:val="auto"/>
          <w:highlight w:val="none"/>
          <w:lang w:val="en-US" w:eastAsia="zh-CN"/>
        </w:rPr>
        <w:t>1.考核形式</w:t>
      </w:r>
    </w:p>
    <w:p w14:paraId="78CEA6ED">
      <w:pPr>
        <w:pStyle w:val="8"/>
        <w:bidi w:val="0"/>
        <w:rPr>
          <w:rFonts w:hint="eastAsia"/>
          <w:color w:val="auto"/>
          <w:highlight w:val="none"/>
          <w:lang w:val="en-US" w:eastAsia="zh-CN"/>
        </w:rPr>
      </w:pPr>
      <w:r>
        <w:rPr>
          <w:rFonts w:hint="eastAsia"/>
          <w:color w:val="auto"/>
          <w:highlight w:val="none"/>
          <w:lang w:val="en-US" w:eastAsia="zh-CN"/>
        </w:rPr>
        <w:t>（1）日常巡查。由招标人及使用人进行日常巡查，并做好巡查记录。</w:t>
      </w:r>
    </w:p>
    <w:p w14:paraId="0AA9AD15">
      <w:pPr>
        <w:pStyle w:val="8"/>
        <w:bidi w:val="0"/>
        <w:rPr>
          <w:rFonts w:hint="eastAsia"/>
          <w:color w:val="auto"/>
          <w:highlight w:val="none"/>
          <w:lang w:val="en-US" w:eastAsia="zh-CN"/>
        </w:rPr>
      </w:pPr>
      <w:r>
        <w:rPr>
          <w:rFonts w:hint="eastAsia"/>
          <w:color w:val="auto"/>
          <w:highlight w:val="none"/>
          <w:lang w:val="en-US" w:eastAsia="zh-CN"/>
        </w:rPr>
        <w:t>（2）全面检查。由招标人组织各使用单位对物业管理进行全面检测，原则上每月一次，对照招标人制定的物业服务评分细则，现场评分、亮分，并由中标人对检查结果认可签字。</w:t>
      </w:r>
    </w:p>
    <w:p w14:paraId="330F0BF7">
      <w:pPr>
        <w:pStyle w:val="8"/>
        <w:bidi w:val="0"/>
        <w:rPr>
          <w:rFonts w:hint="eastAsia"/>
          <w:color w:val="auto"/>
          <w:highlight w:val="none"/>
          <w:lang w:val="en-US" w:eastAsia="zh-CN"/>
        </w:rPr>
      </w:pPr>
      <w:r>
        <w:rPr>
          <w:rFonts w:hint="eastAsia"/>
          <w:color w:val="auto"/>
          <w:highlight w:val="none"/>
          <w:lang w:val="en-US" w:eastAsia="zh-CN"/>
        </w:rPr>
        <w:t>（3）暗查。由招标人组织使用单位不定期进行抽查，并做好记录。</w:t>
      </w:r>
    </w:p>
    <w:p w14:paraId="6ABEF79C">
      <w:pPr>
        <w:pStyle w:val="8"/>
        <w:bidi w:val="0"/>
        <w:rPr>
          <w:rFonts w:hint="eastAsia"/>
          <w:color w:val="auto"/>
          <w:highlight w:val="none"/>
          <w:lang w:val="en-US" w:eastAsia="zh-CN"/>
        </w:rPr>
      </w:pPr>
      <w:r>
        <w:rPr>
          <w:rFonts w:hint="eastAsia"/>
          <w:color w:val="auto"/>
          <w:highlight w:val="none"/>
          <w:lang w:val="en-US" w:eastAsia="zh-CN"/>
        </w:rPr>
        <w:t>（4）若中标人拒不签字，按照考核检查照片和现场考核人员两人签字为准，作为考核依据。</w:t>
      </w:r>
    </w:p>
    <w:p w14:paraId="56444B66">
      <w:pPr>
        <w:pStyle w:val="8"/>
        <w:bidi w:val="0"/>
        <w:rPr>
          <w:rFonts w:hint="eastAsia"/>
          <w:color w:val="auto"/>
          <w:highlight w:val="none"/>
          <w:lang w:val="en-US" w:eastAsia="zh-CN"/>
        </w:rPr>
      </w:pPr>
      <w:r>
        <w:rPr>
          <w:rFonts w:hint="eastAsia"/>
          <w:color w:val="auto"/>
          <w:highlight w:val="none"/>
          <w:lang w:val="en-US" w:eastAsia="zh-CN"/>
        </w:rPr>
        <w:t>2.考核分值为100分。每次考核按照物业服务评分细则（本细则由招标人制定）规定进行扣分。</w:t>
      </w:r>
    </w:p>
    <w:p w14:paraId="60DEB1F3">
      <w:pPr>
        <w:pStyle w:val="8"/>
        <w:bidi w:val="0"/>
        <w:rPr>
          <w:rFonts w:hint="eastAsia"/>
          <w:color w:val="auto"/>
          <w:highlight w:val="none"/>
          <w:lang w:val="en-US" w:eastAsia="zh-CN"/>
        </w:rPr>
      </w:pPr>
      <w:r>
        <w:rPr>
          <w:rFonts w:hint="eastAsia"/>
          <w:color w:val="auto"/>
          <w:highlight w:val="none"/>
          <w:lang w:val="en-US" w:eastAsia="zh-CN"/>
        </w:rPr>
        <w:t>3.每月度考核得分在90分（含90分）为合格,全额支付月度服务费;80分(含)-90分(不含)为基本合格,每低于90分1分,扣200元/分;80分以下(不含)为不合格,每低于80分1分,扣400元/分;招标人对考核扣分项内容及时通知中标人作出整改。</w:t>
      </w:r>
    </w:p>
    <w:p w14:paraId="51D55F21">
      <w:pPr>
        <w:pStyle w:val="8"/>
        <w:bidi w:val="0"/>
        <w:rPr>
          <w:rFonts w:hint="eastAsia"/>
          <w:color w:val="auto"/>
          <w:highlight w:val="none"/>
          <w:lang w:val="en-US" w:eastAsia="zh-CN"/>
        </w:rPr>
      </w:pPr>
      <w:r>
        <w:rPr>
          <w:rFonts w:hint="eastAsia"/>
          <w:color w:val="auto"/>
          <w:highlight w:val="none"/>
          <w:lang w:val="en-US" w:eastAsia="zh-CN"/>
        </w:rPr>
        <w:t>4.连续两次月度考核在90分（含90分）以下的或一年平均考核在85分（含85分）以下的，招标人有权随时解除合同，造成的影响和损失由中标人承担。</w:t>
      </w:r>
    </w:p>
    <w:p w14:paraId="575F9647">
      <w:pPr>
        <w:pStyle w:val="8"/>
        <w:bidi w:val="0"/>
        <w:rPr>
          <w:rFonts w:hint="eastAsia" w:ascii="宋体" w:hAnsi="宋体" w:eastAsia="宋体" w:cs="Times New Roman"/>
          <w:color w:val="auto"/>
          <w:highlight w:val="none"/>
          <w:lang w:val="en-US" w:eastAsia="zh-CN"/>
        </w:rPr>
      </w:pPr>
      <w:r>
        <w:rPr>
          <w:rFonts w:hint="eastAsia"/>
          <w:color w:val="auto"/>
          <w:highlight w:val="none"/>
          <w:lang w:val="en-US" w:eastAsia="zh-CN"/>
        </w:rPr>
        <w:t>5.日常物业服务评分细则（100分）</w:t>
      </w:r>
    </w:p>
    <w:tbl>
      <w:tblPr>
        <w:tblStyle w:val="21"/>
        <w:tblpPr w:leftFromText="180" w:rightFromText="180" w:vertAnchor="text" w:horzAnchor="page" w:tblpX="907" w:tblpY="488"/>
        <w:tblOverlap w:val="never"/>
        <w:tblW w:w="55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17"/>
        <w:gridCol w:w="1608"/>
        <w:gridCol w:w="1590"/>
        <w:gridCol w:w="2987"/>
        <w:gridCol w:w="1072"/>
        <w:gridCol w:w="1109"/>
      </w:tblGrid>
      <w:tr w14:paraId="1832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6" w:hRule="atLeast"/>
        </w:trPr>
        <w:tc>
          <w:tcPr>
            <w:tcW w:w="851" w:type="pct"/>
            <w:shd w:val="clear" w:color="auto" w:fill="auto"/>
            <w:tcMar>
              <w:top w:w="120" w:type="dxa"/>
              <w:left w:w="0" w:type="dxa"/>
              <w:bottom w:w="120" w:type="dxa"/>
              <w:right w:w="192" w:type="dxa"/>
            </w:tcMar>
            <w:vAlign w:val="center"/>
          </w:tcPr>
          <w:p w14:paraId="1690C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考核大类</w:t>
            </w:r>
          </w:p>
        </w:tc>
        <w:tc>
          <w:tcPr>
            <w:tcW w:w="797" w:type="pct"/>
            <w:shd w:val="clear" w:color="auto" w:fill="auto"/>
            <w:tcMar>
              <w:top w:w="120" w:type="dxa"/>
              <w:left w:w="192" w:type="dxa"/>
              <w:bottom w:w="120" w:type="dxa"/>
              <w:right w:w="192" w:type="dxa"/>
            </w:tcMar>
            <w:vAlign w:val="center"/>
          </w:tcPr>
          <w:p w14:paraId="68A0F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考核细项</w:t>
            </w:r>
          </w:p>
        </w:tc>
        <w:tc>
          <w:tcPr>
            <w:tcW w:w="2270" w:type="pct"/>
            <w:gridSpan w:val="2"/>
            <w:shd w:val="clear" w:color="auto" w:fill="auto"/>
            <w:tcMar>
              <w:top w:w="120" w:type="dxa"/>
              <w:left w:w="192" w:type="dxa"/>
              <w:bottom w:w="120" w:type="dxa"/>
              <w:right w:w="192" w:type="dxa"/>
            </w:tcMar>
            <w:vAlign w:val="center"/>
          </w:tcPr>
          <w:p w14:paraId="76BB4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考核标准与评分细则</w:t>
            </w:r>
          </w:p>
        </w:tc>
        <w:tc>
          <w:tcPr>
            <w:tcW w:w="531" w:type="pct"/>
            <w:shd w:val="clear" w:color="auto" w:fill="auto"/>
            <w:tcMar>
              <w:top w:w="120" w:type="dxa"/>
              <w:left w:w="192" w:type="dxa"/>
              <w:bottom w:w="120" w:type="dxa"/>
              <w:right w:w="192" w:type="dxa"/>
            </w:tcMar>
            <w:vAlign w:val="center"/>
          </w:tcPr>
          <w:p w14:paraId="398D7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标准分值</w:t>
            </w:r>
          </w:p>
        </w:tc>
        <w:tc>
          <w:tcPr>
            <w:tcW w:w="549" w:type="pct"/>
            <w:shd w:val="clear" w:color="auto" w:fill="auto"/>
            <w:tcMar>
              <w:top w:w="120" w:type="dxa"/>
              <w:left w:w="192" w:type="dxa"/>
              <w:bottom w:w="120" w:type="dxa"/>
              <w:right w:w="192" w:type="dxa"/>
            </w:tcMar>
            <w:vAlign w:val="center"/>
          </w:tcPr>
          <w:p w14:paraId="78A9A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得分</w:t>
            </w:r>
          </w:p>
        </w:tc>
      </w:tr>
      <w:tr w14:paraId="5BB0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0" w:hRule="atLeast"/>
        </w:trPr>
        <w:tc>
          <w:tcPr>
            <w:tcW w:w="851" w:type="pct"/>
            <w:vMerge w:val="restart"/>
            <w:shd w:val="clear" w:color="auto" w:fill="auto"/>
            <w:tcMar>
              <w:top w:w="120" w:type="dxa"/>
              <w:left w:w="0" w:type="dxa"/>
              <w:bottom w:w="120" w:type="dxa"/>
              <w:right w:w="192" w:type="dxa"/>
            </w:tcMar>
            <w:vAlign w:val="center"/>
          </w:tcPr>
          <w:p w14:paraId="28258B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一、日常保洁服务 (25分)</w:t>
            </w:r>
          </w:p>
        </w:tc>
        <w:tc>
          <w:tcPr>
            <w:tcW w:w="797" w:type="pct"/>
            <w:shd w:val="clear" w:color="auto" w:fill="auto"/>
            <w:tcMar>
              <w:top w:w="120" w:type="dxa"/>
              <w:left w:w="192" w:type="dxa"/>
              <w:bottom w:w="120" w:type="dxa"/>
              <w:right w:w="192" w:type="dxa"/>
            </w:tcMar>
            <w:vAlign w:val="center"/>
          </w:tcPr>
          <w:p w14:paraId="7C7300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1.1普扫与全天保洁</w:t>
            </w:r>
          </w:p>
        </w:tc>
        <w:tc>
          <w:tcPr>
            <w:tcW w:w="2270" w:type="pct"/>
            <w:gridSpan w:val="2"/>
            <w:shd w:val="clear" w:color="auto" w:fill="auto"/>
            <w:tcMar>
              <w:top w:w="120" w:type="dxa"/>
              <w:left w:w="192" w:type="dxa"/>
              <w:bottom w:w="120" w:type="dxa"/>
              <w:right w:w="192" w:type="dxa"/>
            </w:tcMar>
            <w:vAlign w:val="center"/>
          </w:tcPr>
          <w:p w14:paraId="4C4759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按规定时间完成普扫，每日清扫、拖洗次数达标，并实现全天候保洁。每发现一次未达标扣1分。</w:t>
            </w:r>
          </w:p>
        </w:tc>
        <w:tc>
          <w:tcPr>
            <w:tcW w:w="531" w:type="pct"/>
            <w:shd w:val="clear" w:color="auto" w:fill="auto"/>
            <w:tcMar>
              <w:top w:w="120" w:type="dxa"/>
              <w:left w:w="192" w:type="dxa"/>
              <w:bottom w:w="120" w:type="dxa"/>
              <w:right w:w="192" w:type="dxa"/>
            </w:tcMar>
            <w:vAlign w:val="center"/>
          </w:tcPr>
          <w:p w14:paraId="6F943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56B321BA">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366A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41F306EF">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133C0F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1.2公共区域清洁度</w:t>
            </w:r>
          </w:p>
        </w:tc>
        <w:tc>
          <w:tcPr>
            <w:tcW w:w="2270" w:type="pct"/>
            <w:gridSpan w:val="2"/>
            <w:shd w:val="clear" w:color="auto" w:fill="auto"/>
            <w:tcMar>
              <w:top w:w="120" w:type="dxa"/>
              <w:left w:w="192" w:type="dxa"/>
              <w:bottom w:w="120" w:type="dxa"/>
              <w:right w:w="192" w:type="dxa"/>
            </w:tcMar>
            <w:vAlign w:val="center"/>
          </w:tcPr>
          <w:p w14:paraId="76E98A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门厅、楼道、楼梯、天台、会议室等区域地面、墙面、天花板、灯具洁净，无杂物、无污迹、无灰尘。每发现一处不合格扣1分。</w:t>
            </w:r>
          </w:p>
        </w:tc>
        <w:tc>
          <w:tcPr>
            <w:tcW w:w="531" w:type="pct"/>
            <w:shd w:val="clear" w:color="auto" w:fill="auto"/>
            <w:tcMar>
              <w:top w:w="120" w:type="dxa"/>
              <w:left w:w="192" w:type="dxa"/>
              <w:bottom w:w="120" w:type="dxa"/>
              <w:right w:w="192" w:type="dxa"/>
            </w:tcMar>
            <w:vAlign w:val="center"/>
          </w:tcPr>
          <w:p w14:paraId="30AFC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66EB82A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48B7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CC2C260">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4DD400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1.3卫生间清洁度与无异味</w:t>
            </w:r>
          </w:p>
        </w:tc>
        <w:tc>
          <w:tcPr>
            <w:tcW w:w="2270" w:type="pct"/>
            <w:gridSpan w:val="2"/>
            <w:shd w:val="clear" w:color="auto" w:fill="auto"/>
            <w:tcMar>
              <w:top w:w="120" w:type="dxa"/>
              <w:left w:w="192" w:type="dxa"/>
              <w:bottom w:w="120" w:type="dxa"/>
              <w:right w:w="192" w:type="dxa"/>
            </w:tcMar>
            <w:vAlign w:val="center"/>
          </w:tcPr>
          <w:p w14:paraId="71F9F6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厕位洁净无污物，下水通畅，地面干燥，无明显异味，设施完好，耗品（洗手液、卫生纸等）补充及时。每发现一处不合格扣1分。</w:t>
            </w:r>
          </w:p>
        </w:tc>
        <w:tc>
          <w:tcPr>
            <w:tcW w:w="531" w:type="pct"/>
            <w:shd w:val="clear" w:color="auto" w:fill="auto"/>
            <w:tcMar>
              <w:top w:w="120" w:type="dxa"/>
              <w:left w:w="192" w:type="dxa"/>
              <w:bottom w:w="120" w:type="dxa"/>
              <w:right w:w="192" w:type="dxa"/>
            </w:tcMar>
            <w:vAlign w:val="center"/>
          </w:tcPr>
          <w:p w14:paraId="7E369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4763C5F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55E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5A1105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D9EFB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1.4垃圾处理</w:t>
            </w:r>
          </w:p>
        </w:tc>
        <w:tc>
          <w:tcPr>
            <w:tcW w:w="2270" w:type="pct"/>
            <w:gridSpan w:val="2"/>
            <w:shd w:val="clear" w:color="auto" w:fill="auto"/>
            <w:tcMar>
              <w:top w:w="120" w:type="dxa"/>
              <w:left w:w="192" w:type="dxa"/>
              <w:bottom w:w="120" w:type="dxa"/>
              <w:right w:w="192" w:type="dxa"/>
            </w:tcMar>
            <w:vAlign w:val="center"/>
          </w:tcPr>
          <w:p w14:paraId="69F554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垃圾袋装化，垃圾桶清洁、无满溢，日产日清；垃圾分类、存放、转运规范。每发现一处不合格扣1分。</w:t>
            </w:r>
          </w:p>
        </w:tc>
        <w:tc>
          <w:tcPr>
            <w:tcW w:w="531" w:type="pct"/>
            <w:shd w:val="clear" w:color="auto" w:fill="auto"/>
            <w:tcMar>
              <w:top w:w="120" w:type="dxa"/>
              <w:left w:w="192" w:type="dxa"/>
              <w:bottom w:w="120" w:type="dxa"/>
              <w:right w:w="192" w:type="dxa"/>
            </w:tcMar>
            <w:vAlign w:val="center"/>
          </w:tcPr>
          <w:p w14:paraId="35866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5A738A0D">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93C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0BA30B3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67D447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1.5细节与专项清洁</w:t>
            </w:r>
          </w:p>
        </w:tc>
        <w:tc>
          <w:tcPr>
            <w:tcW w:w="2270" w:type="pct"/>
            <w:gridSpan w:val="2"/>
            <w:shd w:val="clear" w:color="auto" w:fill="auto"/>
            <w:tcMar>
              <w:top w:w="120" w:type="dxa"/>
              <w:left w:w="192" w:type="dxa"/>
              <w:bottom w:w="120" w:type="dxa"/>
              <w:right w:w="192" w:type="dxa"/>
            </w:tcMar>
            <w:vAlign w:val="center"/>
          </w:tcPr>
          <w:p w14:paraId="1918F5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各类设施外表（消防箱、公告栏等）无积尘；及时清理“牛皮癣”；下水道无堵塞外溢；工具存放规范。每发现一处不合格扣1分。</w:t>
            </w:r>
          </w:p>
        </w:tc>
        <w:tc>
          <w:tcPr>
            <w:tcW w:w="531" w:type="pct"/>
            <w:shd w:val="clear" w:color="auto" w:fill="auto"/>
            <w:tcMar>
              <w:top w:w="120" w:type="dxa"/>
              <w:left w:w="192" w:type="dxa"/>
              <w:bottom w:w="120" w:type="dxa"/>
              <w:right w:w="192" w:type="dxa"/>
            </w:tcMar>
            <w:vAlign w:val="center"/>
          </w:tcPr>
          <w:p w14:paraId="1607D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7F6C91B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7A62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78EAF42">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5F6B11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1.6低值易耗品管理</w:t>
            </w:r>
          </w:p>
        </w:tc>
        <w:tc>
          <w:tcPr>
            <w:tcW w:w="2270" w:type="pct"/>
            <w:gridSpan w:val="2"/>
            <w:shd w:val="clear" w:color="auto" w:fill="auto"/>
            <w:tcMar>
              <w:top w:w="120" w:type="dxa"/>
              <w:left w:w="192" w:type="dxa"/>
              <w:bottom w:w="120" w:type="dxa"/>
              <w:right w:w="192" w:type="dxa"/>
            </w:tcMar>
            <w:vAlign w:val="center"/>
          </w:tcPr>
          <w:p w14:paraId="3A209F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按需求足额配备垃圾袋、洗手液、卫生纸等，质量符合要求，费用由中标人承担。检查每发现一次短缺或质量不符，扣1分。</w:t>
            </w:r>
          </w:p>
        </w:tc>
        <w:tc>
          <w:tcPr>
            <w:tcW w:w="531" w:type="pct"/>
            <w:shd w:val="clear" w:color="auto" w:fill="auto"/>
            <w:tcMar>
              <w:top w:w="120" w:type="dxa"/>
              <w:left w:w="192" w:type="dxa"/>
              <w:bottom w:w="120" w:type="dxa"/>
              <w:right w:w="192" w:type="dxa"/>
            </w:tcMar>
            <w:vAlign w:val="center"/>
          </w:tcPr>
          <w:p w14:paraId="35FBB2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5D6D782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33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40265DD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B35BF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1.7清洁工具管理</w:t>
            </w:r>
          </w:p>
        </w:tc>
        <w:tc>
          <w:tcPr>
            <w:tcW w:w="2270" w:type="pct"/>
            <w:gridSpan w:val="2"/>
            <w:shd w:val="clear" w:color="auto" w:fill="auto"/>
            <w:tcMar>
              <w:top w:w="120" w:type="dxa"/>
              <w:left w:w="192" w:type="dxa"/>
              <w:bottom w:w="120" w:type="dxa"/>
              <w:right w:w="192" w:type="dxa"/>
            </w:tcMar>
            <w:vAlign w:val="center"/>
          </w:tcPr>
          <w:p w14:paraId="476171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抹布、拖把等工具规范分类、清洁、消毒。检查发现混用或脏污，扣2分。</w:t>
            </w:r>
          </w:p>
        </w:tc>
        <w:tc>
          <w:tcPr>
            <w:tcW w:w="531" w:type="pct"/>
            <w:shd w:val="clear" w:color="auto" w:fill="auto"/>
            <w:tcMar>
              <w:top w:w="120" w:type="dxa"/>
              <w:left w:w="192" w:type="dxa"/>
              <w:bottom w:w="120" w:type="dxa"/>
              <w:right w:w="192" w:type="dxa"/>
            </w:tcMar>
            <w:vAlign w:val="center"/>
          </w:tcPr>
          <w:p w14:paraId="0BE2B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w:t>
            </w:r>
          </w:p>
        </w:tc>
        <w:tc>
          <w:tcPr>
            <w:tcW w:w="549" w:type="pct"/>
            <w:shd w:val="clear" w:color="auto" w:fill="auto"/>
            <w:tcMar>
              <w:top w:w="120" w:type="dxa"/>
              <w:left w:w="192" w:type="dxa"/>
              <w:bottom w:w="120" w:type="dxa"/>
              <w:right w:w="192" w:type="dxa"/>
            </w:tcMar>
            <w:vAlign w:val="center"/>
          </w:tcPr>
          <w:p w14:paraId="0C2E8B0D">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456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0C1C5E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二、安全保卫工作 (25分)</w:t>
            </w:r>
          </w:p>
        </w:tc>
        <w:tc>
          <w:tcPr>
            <w:tcW w:w="797" w:type="pct"/>
            <w:shd w:val="clear" w:color="auto" w:fill="auto"/>
            <w:tcMar>
              <w:top w:w="120" w:type="dxa"/>
              <w:left w:w="192" w:type="dxa"/>
              <w:bottom w:w="120" w:type="dxa"/>
              <w:right w:w="192" w:type="dxa"/>
            </w:tcMar>
            <w:vAlign w:val="center"/>
          </w:tcPr>
          <w:p w14:paraId="54A0BC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2.1门岗执勤</w:t>
            </w:r>
          </w:p>
        </w:tc>
        <w:tc>
          <w:tcPr>
            <w:tcW w:w="2270" w:type="pct"/>
            <w:gridSpan w:val="2"/>
            <w:shd w:val="clear" w:color="auto" w:fill="auto"/>
            <w:tcMar>
              <w:top w:w="120" w:type="dxa"/>
              <w:left w:w="192" w:type="dxa"/>
              <w:bottom w:w="120" w:type="dxa"/>
              <w:right w:w="192" w:type="dxa"/>
            </w:tcMar>
            <w:vAlign w:val="center"/>
          </w:tcPr>
          <w:p w14:paraId="344275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出入口站岗执勤，严格核查人员与物品，严禁危险品进入。发现脱岗或执行不力，每次扣2分。</w:t>
            </w:r>
          </w:p>
        </w:tc>
        <w:tc>
          <w:tcPr>
            <w:tcW w:w="531" w:type="pct"/>
            <w:shd w:val="clear" w:color="auto" w:fill="auto"/>
            <w:tcMar>
              <w:top w:w="120" w:type="dxa"/>
              <w:left w:w="192" w:type="dxa"/>
              <w:bottom w:w="120" w:type="dxa"/>
              <w:right w:w="192" w:type="dxa"/>
            </w:tcMar>
            <w:vAlign w:val="center"/>
          </w:tcPr>
          <w:p w14:paraId="1BA5E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59E2074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F6C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F214A11">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020446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2.2巡逻巡查</w:t>
            </w:r>
          </w:p>
        </w:tc>
        <w:tc>
          <w:tcPr>
            <w:tcW w:w="2270" w:type="pct"/>
            <w:gridSpan w:val="2"/>
            <w:shd w:val="clear" w:color="auto" w:fill="auto"/>
            <w:tcMar>
              <w:top w:w="120" w:type="dxa"/>
              <w:left w:w="192" w:type="dxa"/>
              <w:bottom w:w="120" w:type="dxa"/>
              <w:right w:w="192" w:type="dxa"/>
            </w:tcMar>
            <w:vAlign w:val="center"/>
          </w:tcPr>
          <w:p w14:paraId="022F7B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巡逻制度落实，路线、频次符合规定，记录完整。无记录或未按规巡逻，每次扣2分。</w:t>
            </w:r>
          </w:p>
        </w:tc>
        <w:tc>
          <w:tcPr>
            <w:tcW w:w="531" w:type="pct"/>
            <w:shd w:val="clear" w:color="auto" w:fill="auto"/>
            <w:tcMar>
              <w:top w:w="120" w:type="dxa"/>
              <w:left w:w="192" w:type="dxa"/>
              <w:bottom w:w="120" w:type="dxa"/>
              <w:right w:w="192" w:type="dxa"/>
            </w:tcMar>
            <w:vAlign w:val="center"/>
          </w:tcPr>
          <w:p w14:paraId="103EB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7CAA2F0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26B4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CB645F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03EA5B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2.3应急预案与演练</w:t>
            </w:r>
          </w:p>
        </w:tc>
        <w:tc>
          <w:tcPr>
            <w:tcW w:w="2270" w:type="pct"/>
            <w:gridSpan w:val="2"/>
            <w:shd w:val="clear" w:color="auto" w:fill="auto"/>
            <w:tcMar>
              <w:top w:w="120" w:type="dxa"/>
              <w:left w:w="192" w:type="dxa"/>
              <w:bottom w:w="120" w:type="dxa"/>
              <w:right w:w="192" w:type="dxa"/>
            </w:tcMar>
            <w:vAlign w:val="center"/>
          </w:tcPr>
          <w:p w14:paraId="476FA7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制定完善的消防、治安等应急预案并定期演练。无预案扣2分，未演练扣2分。</w:t>
            </w:r>
          </w:p>
        </w:tc>
        <w:tc>
          <w:tcPr>
            <w:tcW w:w="531" w:type="pct"/>
            <w:shd w:val="clear" w:color="auto" w:fill="auto"/>
            <w:tcMar>
              <w:top w:w="120" w:type="dxa"/>
              <w:left w:w="192" w:type="dxa"/>
              <w:bottom w:w="120" w:type="dxa"/>
              <w:right w:w="192" w:type="dxa"/>
            </w:tcMar>
            <w:vAlign w:val="center"/>
          </w:tcPr>
          <w:p w14:paraId="111DE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66E970F2">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49E4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1D2D90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697475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2.4消防安全管理</w:t>
            </w:r>
          </w:p>
        </w:tc>
        <w:tc>
          <w:tcPr>
            <w:tcW w:w="2270" w:type="pct"/>
            <w:gridSpan w:val="2"/>
            <w:shd w:val="clear" w:color="auto" w:fill="auto"/>
            <w:tcMar>
              <w:top w:w="120" w:type="dxa"/>
              <w:left w:w="192" w:type="dxa"/>
              <w:bottom w:w="120" w:type="dxa"/>
              <w:right w:w="192" w:type="dxa"/>
            </w:tcMar>
            <w:vAlign w:val="center"/>
          </w:tcPr>
          <w:p w14:paraId="49CC47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定期检查消防设施器材，完好有效；消防安全责任制落实；无安全隐患。发现一处隐患或器材失效扣1分。</w:t>
            </w:r>
          </w:p>
        </w:tc>
        <w:tc>
          <w:tcPr>
            <w:tcW w:w="531" w:type="pct"/>
            <w:shd w:val="clear" w:color="auto" w:fill="auto"/>
            <w:tcMar>
              <w:top w:w="120" w:type="dxa"/>
              <w:left w:w="192" w:type="dxa"/>
              <w:bottom w:w="120" w:type="dxa"/>
              <w:right w:w="192" w:type="dxa"/>
            </w:tcMar>
            <w:vAlign w:val="center"/>
          </w:tcPr>
          <w:p w14:paraId="71D5A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4B42152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0843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3670CC4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1131E4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2.5形象与纪律</w:t>
            </w:r>
          </w:p>
        </w:tc>
        <w:tc>
          <w:tcPr>
            <w:tcW w:w="2270" w:type="pct"/>
            <w:gridSpan w:val="2"/>
            <w:shd w:val="clear" w:color="auto" w:fill="auto"/>
            <w:tcMar>
              <w:top w:w="120" w:type="dxa"/>
              <w:left w:w="192" w:type="dxa"/>
              <w:bottom w:w="120" w:type="dxa"/>
              <w:right w:w="192" w:type="dxa"/>
            </w:tcMar>
            <w:vAlign w:val="center"/>
          </w:tcPr>
          <w:p w14:paraId="0F40BB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人员着装整齐，言行规范，文明执勤。发现不合格者，每人次扣1分。</w:t>
            </w:r>
          </w:p>
        </w:tc>
        <w:tc>
          <w:tcPr>
            <w:tcW w:w="531" w:type="pct"/>
            <w:shd w:val="clear" w:color="auto" w:fill="auto"/>
            <w:tcMar>
              <w:top w:w="120" w:type="dxa"/>
              <w:left w:w="192" w:type="dxa"/>
              <w:bottom w:w="120" w:type="dxa"/>
              <w:right w:w="192" w:type="dxa"/>
            </w:tcMar>
            <w:vAlign w:val="center"/>
          </w:tcPr>
          <w:p w14:paraId="6DB9E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1C7C35C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2C41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pct"/>
            <w:vMerge w:val="continue"/>
            <w:shd w:val="clear" w:color="auto" w:fill="auto"/>
            <w:tcMar>
              <w:top w:w="120" w:type="dxa"/>
              <w:left w:w="0" w:type="dxa"/>
              <w:bottom w:w="120" w:type="dxa"/>
              <w:right w:w="192" w:type="dxa"/>
            </w:tcMar>
            <w:vAlign w:val="center"/>
          </w:tcPr>
          <w:p w14:paraId="41AF674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708F20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2.6物品与车辆管理</w:t>
            </w:r>
          </w:p>
        </w:tc>
        <w:tc>
          <w:tcPr>
            <w:tcW w:w="2270" w:type="pct"/>
            <w:gridSpan w:val="2"/>
            <w:shd w:val="clear" w:color="auto" w:fill="auto"/>
            <w:tcMar>
              <w:top w:w="120" w:type="dxa"/>
              <w:left w:w="192" w:type="dxa"/>
              <w:bottom w:w="120" w:type="dxa"/>
              <w:right w:w="192" w:type="dxa"/>
            </w:tcMar>
            <w:vAlign w:val="center"/>
          </w:tcPr>
          <w:p w14:paraId="482718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大件物品出入登记核查规范；车辆管理有序，交通畅通。登记不全或管理混乱，每发现一次扣2分。</w:t>
            </w:r>
          </w:p>
        </w:tc>
        <w:tc>
          <w:tcPr>
            <w:tcW w:w="531" w:type="pct"/>
            <w:shd w:val="clear" w:color="auto" w:fill="auto"/>
            <w:tcMar>
              <w:top w:w="120" w:type="dxa"/>
              <w:left w:w="192" w:type="dxa"/>
              <w:bottom w:w="120" w:type="dxa"/>
              <w:right w:w="192" w:type="dxa"/>
            </w:tcMar>
            <w:vAlign w:val="center"/>
          </w:tcPr>
          <w:p w14:paraId="5FF35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2BB10CF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5EDA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247DEC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三、设备设施维护维修 (30分)</w:t>
            </w:r>
          </w:p>
        </w:tc>
        <w:tc>
          <w:tcPr>
            <w:tcW w:w="797" w:type="pct"/>
            <w:shd w:val="clear" w:color="auto" w:fill="auto"/>
            <w:tcMar>
              <w:top w:w="120" w:type="dxa"/>
              <w:left w:w="192" w:type="dxa"/>
              <w:bottom w:w="120" w:type="dxa"/>
              <w:right w:w="192" w:type="dxa"/>
            </w:tcMar>
            <w:vAlign w:val="center"/>
          </w:tcPr>
          <w:p w14:paraId="6ACE27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3.1制度与人员</w:t>
            </w:r>
          </w:p>
        </w:tc>
        <w:tc>
          <w:tcPr>
            <w:tcW w:w="2270" w:type="pct"/>
            <w:gridSpan w:val="2"/>
            <w:shd w:val="clear" w:color="auto" w:fill="auto"/>
            <w:tcMar>
              <w:top w:w="120" w:type="dxa"/>
              <w:left w:w="192" w:type="dxa"/>
              <w:bottom w:w="120" w:type="dxa"/>
              <w:right w:w="192" w:type="dxa"/>
            </w:tcMar>
            <w:vAlign w:val="center"/>
          </w:tcPr>
          <w:p w14:paraId="13CCB6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各项管理制度、操作规程健全；人员持证上岗，定期培训。制度缺失或发现无证操作，每发现一次扣2分。</w:t>
            </w:r>
          </w:p>
        </w:tc>
        <w:tc>
          <w:tcPr>
            <w:tcW w:w="531" w:type="pct"/>
            <w:shd w:val="clear" w:color="auto" w:fill="auto"/>
            <w:tcMar>
              <w:top w:w="120" w:type="dxa"/>
              <w:left w:w="192" w:type="dxa"/>
              <w:bottom w:w="120" w:type="dxa"/>
              <w:right w:w="192" w:type="dxa"/>
            </w:tcMar>
            <w:vAlign w:val="center"/>
          </w:tcPr>
          <w:p w14:paraId="1510E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372BFDA1">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367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30BE49F">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89894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3.2巡检与保养记录</w:t>
            </w:r>
          </w:p>
        </w:tc>
        <w:tc>
          <w:tcPr>
            <w:tcW w:w="2270" w:type="pct"/>
            <w:gridSpan w:val="2"/>
            <w:shd w:val="clear" w:color="auto" w:fill="auto"/>
            <w:tcMar>
              <w:top w:w="120" w:type="dxa"/>
              <w:left w:w="192" w:type="dxa"/>
              <w:bottom w:w="120" w:type="dxa"/>
              <w:right w:w="192" w:type="dxa"/>
            </w:tcMar>
            <w:vAlign w:val="center"/>
          </w:tcPr>
          <w:p w14:paraId="17E7D9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建立日常巡检、定期保养制度，记录齐全、真实。记录缺失或不实，每发现一次扣1分。</w:t>
            </w:r>
          </w:p>
        </w:tc>
        <w:tc>
          <w:tcPr>
            <w:tcW w:w="531" w:type="pct"/>
            <w:shd w:val="clear" w:color="auto" w:fill="auto"/>
            <w:tcMar>
              <w:top w:w="120" w:type="dxa"/>
              <w:left w:w="192" w:type="dxa"/>
              <w:bottom w:w="120" w:type="dxa"/>
              <w:right w:w="192" w:type="dxa"/>
            </w:tcMar>
            <w:vAlign w:val="center"/>
          </w:tcPr>
          <w:p w14:paraId="1AF0A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03BAB14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21F1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58124920">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4CBB98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3.3维修响应与质量</w:t>
            </w:r>
          </w:p>
        </w:tc>
        <w:tc>
          <w:tcPr>
            <w:tcW w:w="2270" w:type="pct"/>
            <w:gridSpan w:val="2"/>
            <w:shd w:val="clear" w:color="auto" w:fill="auto"/>
            <w:tcMar>
              <w:top w:w="120" w:type="dxa"/>
              <w:left w:w="192" w:type="dxa"/>
              <w:bottom w:w="120" w:type="dxa"/>
              <w:right w:w="192" w:type="dxa"/>
            </w:tcMar>
            <w:vAlign w:val="center"/>
          </w:tcPr>
          <w:p w14:paraId="7C975A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小修24小时、中修48小时、大修120小时内完成；接报后30分钟内到场。每超时一次扣2分。返修率高扣2分。</w:t>
            </w:r>
          </w:p>
        </w:tc>
        <w:tc>
          <w:tcPr>
            <w:tcW w:w="531" w:type="pct"/>
            <w:shd w:val="clear" w:color="auto" w:fill="auto"/>
            <w:tcMar>
              <w:top w:w="120" w:type="dxa"/>
              <w:left w:w="192" w:type="dxa"/>
              <w:bottom w:w="120" w:type="dxa"/>
              <w:right w:w="192" w:type="dxa"/>
            </w:tcMar>
            <w:vAlign w:val="center"/>
          </w:tcPr>
          <w:p w14:paraId="2C35E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8</w:t>
            </w:r>
          </w:p>
        </w:tc>
        <w:tc>
          <w:tcPr>
            <w:tcW w:w="549" w:type="pct"/>
            <w:shd w:val="clear" w:color="auto" w:fill="auto"/>
            <w:tcMar>
              <w:top w:w="120" w:type="dxa"/>
              <w:left w:w="192" w:type="dxa"/>
              <w:bottom w:w="120" w:type="dxa"/>
              <w:right w:w="192" w:type="dxa"/>
            </w:tcMar>
            <w:vAlign w:val="center"/>
          </w:tcPr>
          <w:p w14:paraId="0716CAF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35D0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2E6D930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257DA8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3.4配件管理与台账</w:t>
            </w:r>
          </w:p>
        </w:tc>
        <w:tc>
          <w:tcPr>
            <w:tcW w:w="2270" w:type="pct"/>
            <w:gridSpan w:val="2"/>
            <w:shd w:val="clear" w:color="auto" w:fill="auto"/>
            <w:tcMar>
              <w:top w:w="120" w:type="dxa"/>
              <w:left w:w="192" w:type="dxa"/>
              <w:bottom w:w="120" w:type="dxa"/>
              <w:right w:w="192" w:type="dxa"/>
            </w:tcMar>
            <w:vAlign w:val="center"/>
          </w:tcPr>
          <w:p w14:paraId="6A2D80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建立设备台账、维修材料台账，账物相符；千元以下配件更换及时；千元以上报批流程规范。台账不清或流程错误，每发现一次扣1分。</w:t>
            </w:r>
          </w:p>
        </w:tc>
        <w:tc>
          <w:tcPr>
            <w:tcW w:w="531" w:type="pct"/>
            <w:shd w:val="clear" w:color="auto" w:fill="auto"/>
            <w:tcMar>
              <w:top w:w="120" w:type="dxa"/>
              <w:left w:w="192" w:type="dxa"/>
              <w:bottom w:w="120" w:type="dxa"/>
              <w:right w:w="192" w:type="dxa"/>
            </w:tcMar>
            <w:vAlign w:val="center"/>
          </w:tcPr>
          <w:p w14:paraId="147D7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6EC71F0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F33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BD0FED9">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3D9B5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3.5能耗管理与协调</w:t>
            </w:r>
          </w:p>
        </w:tc>
        <w:tc>
          <w:tcPr>
            <w:tcW w:w="2270" w:type="pct"/>
            <w:gridSpan w:val="2"/>
            <w:shd w:val="clear" w:color="auto" w:fill="auto"/>
            <w:tcMar>
              <w:top w:w="120" w:type="dxa"/>
              <w:left w:w="192" w:type="dxa"/>
              <w:bottom w:w="120" w:type="dxa"/>
              <w:right w:w="192" w:type="dxa"/>
            </w:tcMar>
            <w:vAlign w:val="center"/>
          </w:tcPr>
          <w:p w14:paraId="685711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每月提交能耗分析报告；按时完成水电费抄表、代收代缴工作。报告未提交或收费工作延误，每发现一次扣1分。</w:t>
            </w:r>
          </w:p>
        </w:tc>
        <w:tc>
          <w:tcPr>
            <w:tcW w:w="531" w:type="pct"/>
            <w:shd w:val="clear" w:color="auto" w:fill="auto"/>
            <w:tcMar>
              <w:top w:w="120" w:type="dxa"/>
              <w:left w:w="192" w:type="dxa"/>
              <w:bottom w:w="120" w:type="dxa"/>
              <w:right w:w="192" w:type="dxa"/>
            </w:tcMar>
            <w:vAlign w:val="center"/>
          </w:tcPr>
          <w:p w14:paraId="61C67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5DF7B40C">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52A7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38C1C89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609B37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3.6专项系统维保</w:t>
            </w:r>
          </w:p>
        </w:tc>
        <w:tc>
          <w:tcPr>
            <w:tcW w:w="2270" w:type="pct"/>
            <w:gridSpan w:val="2"/>
            <w:shd w:val="clear" w:color="auto" w:fill="auto"/>
            <w:tcMar>
              <w:top w:w="120" w:type="dxa"/>
              <w:left w:w="192" w:type="dxa"/>
              <w:bottom w:w="120" w:type="dxa"/>
              <w:right w:w="192" w:type="dxa"/>
            </w:tcMar>
            <w:vAlign w:val="center"/>
          </w:tcPr>
          <w:p w14:paraId="6C4665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空调、电梯、配电等系统维保及时，年检合规，费用承担明确。维保不到位或年检过期，每发现一次扣2分。</w:t>
            </w:r>
          </w:p>
        </w:tc>
        <w:tc>
          <w:tcPr>
            <w:tcW w:w="531" w:type="pct"/>
            <w:shd w:val="clear" w:color="auto" w:fill="auto"/>
            <w:tcMar>
              <w:top w:w="120" w:type="dxa"/>
              <w:left w:w="192" w:type="dxa"/>
              <w:bottom w:w="120" w:type="dxa"/>
              <w:right w:w="192" w:type="dxa"/>
            </w:tcMar>
            <w:vAlign w:val="center"/>
          </w:tcPr>
          <w:p w14:paraId="0B6A4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095B9EDE">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4D74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4F18C6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四、房屋本体维修养护 (15分)</w:t>
            </w:r>
          </w:p>
        </w:tc>
        <w:tc>
          <w:tcPr>
            <w:tcW w:w="797" w:type="pct"/>
            <w:shd w:val="clear" w:color="auto" w:fill="auto"/>
            <w:tcMar>
              <w:top w:w="120" w:type="dxa"/>
              <w:left w:w="192" w:type="dxa"/>
              <w:bottom w:w="120" w:type="dxa"/>
              <w:right w:w="192" w:type="dxa"/>
            </w:tcMar>
            <w:vAlign w:val="center"/>
          </w:tcPr>
          <w:p w14:paraId="1481D5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4.1日常巡查与记录</w:t>
            </w:r>
          </w:p>
        </w:tc>
        <w:tc>
          <w:tcPr>
            <w:tcW w:w="2270" w:type="pct"/>
            <w:gridSpan w:val="2"/>
            <w:shd w:val="clear" w:color="auto" w:fill="auto"/>
            <w:tcMar>
              <w:top w:w="120" w:type="dxa"/>
              <w:left w:w="192" w:type="dxa"/>
              <w:bottom w:w="120" w:type="dxa"/>
              <w:right w:w="192" w:type="dxa"/>
            </w:tcMar>
            <w:vAlign w:val="center"/>
          </w:tcPr>
          <w:p w14:paraId="742C47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建立房屋及共用部位日常巡查制度，记录齐全。无记录或未巡查，扣2分。</w:t>
            </w:r>
          </w:p>
        </w:tc>
        <w:tc>
          <w:tcPr>
            <w:tcW w:w="531" w:type="pct"/>
            <w:shd w:val="clear" w:color="auto" w:fill="auto"/>
            <w:tcMar>
              <w:top w:w="120" w:type="dxa"/>
              <w:left w:w="192" w:type="dxa"/>
              <w:bottom w:w="120" w:type="dxa"/>
              <w:right w:w="192" w:type="dxa"/>
            </w:tcMar>
            <w:vAlign w:val="center"/>
          </w:tcPr>
          <w:p w14:paraId="5197A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w:t>
            </w:r>
          </w:p>
        </w:tc>
        <w:tc>
          <w:tcPr>
            <w:tcW w:w="549" w:type="pct"/>
            <w:shd w:val="clear" w:color="auto" w:fill="auto"/>
            <w:tcMar>
              <w:top w:w="120" w:type="dxa"/>
              <w:left w:w="192" w:type="dxa"/>
              <w:bottom w:w="120" w:type="dxa"/>
              <w:right w:w="192" w:type="dxa"/>
            </w:tcMar>
            <w:vAlign w:val="center"/>
          </w:tcPr>
          <w:p w14:paraId="2D64E1D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5F2E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6E6E781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67160B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4.2定期检查与维修</w:t>
            </w:r>
          </w:p>
        </w:tc>
        <w:tc>
          <w:tcPr>
            <w:tcW w:w="2270" w:type="pct"/>
            <w:gridSpan w:val="2"/>
            <w:shd w:val="clear" w:color="auto" w:fill="auto"/>
            <w:tcMar>
              <w:top w:w="120" w:type="dxa"/>
              <w:left w:w="192" w:type="dxa"/>
              <w:bottom w:w="120" w:type="dxa"/>
              <w:right w:w="192" w:type="dxa"/>
            </w:tcMar>
            <w:vAlign w:val="center"/>
          </w:tcPr>
          <w:p w14:paraId="4D9421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每年定期检查房屋结构、屋面防水等，发现问题及时报告和处理。未检查或问题处理不及时，每发现一次扣2分。</w:t>
            </w:r>
          </w:p>
        </w:tc>
        <w:tc>
          <w:tcPr>
            <w:tcW w:w="531" w:type="pct"/>
            <w:shd w:val="clear" w:color="auto" w:fill="auto"/>
            <w:tcMar>
              <w:top w:w="120" w:type="dxa"/>
              <w:left w:w="192" w:type="dxa"/>
              <w:bottom w:w="120" w:type="dxa"/>
              <w:right w:w="192" w:type="dxa"/>
            </w:tcMar>
            <w:vAlign w:val="center"/>
          </w:tcPr>
          <w:p w14:paraId="68FA7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0E22C5D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0232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721A705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287D34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4.3档案管理与移交</w:t>
            </w:r>
          </w:p>
        </w:tc>
        <w:tc>
          <w:tcPr>
            <w:tcW w:w="2270" w:type="pct"/>
            <w:gridSpan w:val="2"/>
            <w:shd w:val="clear" w:color="auto" w:fill="auto"/>
            <w:tcMar>
              <w:top w:w="120" w:type="dxa"/>
              <w:left w:w="192" w:type="dxa"/>
              <w:bottom w:w="120" w:type="dxa"/>
              <w:right w:w="192" w:type="dxa"/>
            </w:tcMar>
            <w:vAlign w:val="center"/>
          </w:tcPr>
          <w:p w14:paraId="7A8F76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房屋及设备档案齐全，记录完整。合同到期后完整移交。档案缺失或不规范，扣3分。</w:t>
            </w:r>
          </w:p>
        </w:tc>
        <w:tc>
          <w:tcPr>
            <w:tcW w:w="531" w:type="pct"/>
            <w:shd w:val="clear" w:color="auto" w:fill="auto"/>
            <w:tcMar>
              <w:top w:w="120" w:type="dxa"/>
              <w:left w:w="192" w:type="dxa"/>
              <w:bottom w:w="120" w:type="dxa"/>
              <w:right w:w="192" w:type="dxa"/>
            </w:tcMar>
            <w:vAlign w:val="center"/>
          </w:tcPr>
          <w:p w14:paraId="0D676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3</w:t>
            </w:r>
          </w:p>
        </w:tc>
        <w:tc>
          <w:tcPr>
            <w:tcW w:w="549" w:type="pct"/>
            <w:shd w:val="clear" w:color="auto" w:fill="auto"/>
            <w:tcMar>
              <w:top w:w="120" w:type="dxa"/>
              <w:left w:w="192" w:type="dxa"/>
              <w:bottom w:w="120" w:type="dxa"/>
              <w:right w:w="192" w:type="dxa"/>
            </w:tcMar>
            <w:vAlign w:val="center"/>
          </w:tcPr>
          <w:p w14:paraId="6E61CE1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6600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shd w:val="clear" w:color="auto" w:fill="auto"/>
            <w:tcMar>
              <w:top w:w="120" w:type="dxa"/>
              <w:left w:w="0" w:type="dxa"/>
              <w:bottom w:w="120" w:type="dxa"/>
              <w:right w:w="192" w:type="dxa"/>
            </w:tcMar>
            <w:vAlign w:val="center"/>
          </w:tcPr>
          <w:p w14:paraId="62B24C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五、绿化看护与养护 (5分)</w:t>
            </w:r>
          </w:p>
        </w:tc>
        <w:tc>
          <w:tcPr>
            <w:tcW w:w="797" w:type="pct"/>
            <w:shd w:val="clear" w:color="auto" w:fill="auto"/>
            <w:tcMar>
              <w:top w:w="120" w:type="dxa"/>
              <w:left w:w="192" w:type="dxa"/>
              <w:bottom w:w="120" w:type="dxa"/>
              <w:right w:w="192" w:type="dxa"/>
            </w:tcMar>
            <w:vAlign w:val="center"/>
          </w:tcPr>
          <w:p w14:paraId="0E43CD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5.1绿化养护综合效果</w:t>
            </w:r>
          </w:p>
        </w:tc>
        <w:tc>
          <w:tcPr>
            <w:tcW w:w="2270" w:type="pct"/>
            <w:gridSpan w:val="2"/>
            <w:shd w:val="clear" w:color="auto" w:fill="auto"/>
            <w:tcMar>
              <w:top w:w="120" w:type="dxa"/>
              <w:left w:w="192" w:type="dxa"/>
              <w:bottom w:w="120" w:type="dxa"/>
              <w:right w:w="192" w:type="dxa"/>
            </w:tcMar>
            <w:vAlign w:val="center"/>
          </w:tcPr>
          <w:p w14:paraId="12EAD2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花草树木生长茂盛，无枯黄、无死树枯枝、无杂草；按时修剪、施肥、除虫；冬季防护措施到位。发现养护明显不到位，每处扣1分。</w:t>
            </w:r>
          </w:p>
        </w:tc>
        <w:tc>
          <w:tcPr>
            <w:tcW w:w="531" w:type="pct"/>
            <w:shd w:val="clear" w:color="auto" w:fill="auto"/>
            <w:tcMar>
              <w:top w:w="120" w:type="dxa"/>
              <w:left w:w="192" w:type="dxa"/>
              <w:bottom w:w="120" w:type="dxa"/>
              <w:right w:w="192" w:type="dxa"/>
            </w:tcMar>
            <w:vAlign w:val="center"/>
          </w:tcPr>
          <w:p w14:paraId="1708C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5A42867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C25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restart"/>
            <w:shd w:val="clear" w:color="auto" w:fill="auto"/>
            <w:tcMar>
              <w:top w:w="120" w:type="dxa"/>
              <w:left w:w="0" w:type="dxa"/>
              <w:bottom w:w="120" w:type="dxa"/>
              <w:right w:w="192" w:type="dxa"/>
            </w:tcMar>
            <w:vAlign w:val="center"/>
          </w:tcPr>
          <w:p w14:paraId="154CAA9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六、加分项/减分项</w:t>
            </w:r>
          </w:p>
        </w:tc>
        <w:tc>
          <w:tcPr>
            <w:tcW w:w="797" w:type="pct"/>
            <w:shd w:val="clear" w:color="auto" w:fill="auto"/>
            <w:tcMar>
              <w:top w:w="120" w:type="dxa"/>
              <w:left w:w="192" w:type="dxa"/>
              <w:bottom w:w="120" w:type="dxa"/>
              <w:right w:w="192" w:type="dxa"/>
            </w:tcMar>
            <w:vAlign w:val="center"/>
          </w:tcPr>
          <w:p w14:paraId="67A7E9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r>
              <w:rPr>
                <w:rFonts w:hint="eastAsia" w:ascii="Times New Roman" w:hAnsi="Times New Roman" w:eastAsia="仿宋_GB2312" w:cs="Times New Roman"/>
                <w:color w:val="auto"/>
                <w:kern w:val="0"/>
                <w:sz w:val="22"/>
                <w:szCs w:val="22"/>
                <w:highlight w:val="none"/>
                <w:lang w:val="en-US" w:eastAsia="zh-CN" w:bidi="ar"/>
              </w:rPr>
              <w:t>1</w:t>
            </w:r>
            <w:r>
              <w:rPr>
                <w:rStyle w:val="24"/>
                <w:rFonts w:hint="default" w:ascii="Times New Roman" w:hAnsi="Times New Roman" w:eastAsia="仿宋_GB2312" w:cs="Times New Roman"/>
                <w:b/>
                <w:bCs/>
                <w:color w:val="auto"/>
                <w:kern w:val="0"/>
                <w:sz w:val="22"/>
                <w:szCs w:val="22"/>
                <w:highlight w:val="none"/>
                <w:lang w:val="en-US" w:eastAsia="zh-CN" w:bidi="ar"/>
              </w:rPr>
              <w:t>媒体曝光扣分</w:t>
            </w:r>
          </w:p>
        </w:tc>
        <w:tc>
          <w:tcPr>
            <w:tcW w:w="2270" w:type="pct"/>
            <w:gridSpan w:val="2"/>
            <w:shd w:val="clear" w:color="auto" w:fill="auto"/>
            <w:tcMar>
              <w:top w:w="120" w:type="dxa"/>
              <w:left w:w="192" w:type="dxa"/>
              <w:bottom w:w="120" w:type="dxa"/>
              <w:right w:w="192" w:type="dxa"/>
            </w:tcMar>
            <w:vAlign w:val="center"/>
          </w:tcPr>
          <w:p w14:paraId="3E670C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因本职工作失误或失职，被省级、市级、区级媒体曝光并造成不良影响的，当季度考核总分中分别扣10、8、6分。</w:t>
            </w:r>
          </w:p>
        </w:tc>
        <w:tc>
          <w:tcPr>
            <w:tcW w:w="531" w:type="pct"/>
            <w:shd w:val="clear" w:color="auto" w:fill="auto"/>
            <w:tcMar>
              <w:top w:w="120" w:type="dxa"/>
              <w:left w:w="192" w:type="dxa"/>
              <w:bottom w:w="120" w:type="dxa"/>
              <w:right w:w="192" w:type="dxa"/>
            </w:tcMar>
            <w:vAlign w:val="center"/>
          </w:tcPr>
          <w:p w14:paraId="4A4A3B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Style w:val="24"/>
                <w:rFonts w:hint="default" w:ascii="Times New Roman" w:hAnsi="Times New Roman" w:eastAsia="仿宋_GB2312" w:cs="Times New Roman"/>
                <w:b/>
                <w:bCs/>
                <w:color w:val="auto"/>
                <w:kern w:val="0"/>
                <w:sz w:val="22"/>
                <w:szCs w:val="22"/>
                <w:highlight w:val="none"/>
                <w:lang w:val="en-US" w:eastAsia="zh-CN" w:bidi="ar"/>
              </w:rPr>
            </w:pPr>
            <w:r>
              <w:rPr>
                <w:rStyle w:val="24"/>
                <w:rFonts w:hint="default" w:ascii="Times New Roman" w:hAnsi="Times New Roman" w:eastAsia="仿宋_GB2312" w:cs="Times New Roman"/>
                <w:b/>
                <w:bCs/>
                <w:color w:val="auto"/>
                <w:kern w:val="0"/>
                <w:sz w:val="22"/>
                <w:szCs w:val="22"/>
                <w:highlight w:val="none"/>
                <w:lang w:val="en-US" w:eastAsia="zh-CN" w:bidi="ar"/>
              </w:rPr>
              <w:t>-10/</w:t>
            </w:r>
            <w:r>
              <w:rPr>
                <w:rStyle w:val="24"/>
                <w:rFonts w:hint="eastAsia" w:ascii="Times New Roman" w:hAnsi="Times New Roman" w:eastAsia="仿宋_GB2312" w:cs="Times New Roman"/>
                <w:b/>
                <w:bCs/>
                <w:color w:val="auto"/>
                <w:kern w:val="0"/>
                <w:sz w:val="22"/>
                <w:szCs w:val="22"/>
                <w:highlight w:val="none"/>
                <w:lang w:val="en-US" w:eastAsia="zh-CN" w:bidi="ar"/>
              </w:rPr>
              <w:t>-</w:t>
            </w:r>
            <w:r>
              <w:rPr>
                <w:rStyle w:val="24"/>
                <w:rFonts w:hint="default" w:ascii="Times New Roman" w:hAnsi="Times New Roman" w:eastAsia="仿宋_GB2312" w:cs="Times New Roman"/>
                <w:b/>
                <w:bCs/>
                <w:color w:val="auto"/>
                <w:kern w:val="0"/>
                <w:sz w:val="22"/>
                <w:szCs w:val="22"/>
                <w:highlight w:val="none"/>
                <w:lang w:val="en-US" w:eastAsia="zh-CN" w:bidi="ar"/>
              </w:rPr>
              <w:t>8/</w:t>
            </w:r>
          </w:p>
          <w:p w14:paraId="19280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Style w:val="24"/>
                <w:rFonts w:hint="eastAsia" w:ascii="Times New Roman" w:hAnsi="Times New Roman" w:eastAsia="仿宋_GB2312" w:cs="Times New Roman"/>
                <w:b/>
                <w:bCs/>
                <w:color w:val="auto"/>
                <w:kern w:val="0"/>
                <w:sz w:val="22"/>
                <w:szCs w:val="22"/>
                <w:highlight w:val="none"/>
                <w:lang w:val="en-US" w:eastAsia="zh-CN" w:bidi="ar"/>
              </w:rPr>
              <w:t>-</w:t>
            </w:r>
            <w:r>
              <w:rPr>
                <w:rStyle w:val="24"/>
                <w:rFonts w:hint="default" w:ascii="Times New Roman" w:hAnsi="Times New Roman" w:eastAsia="仿宋_GB2312" w:cs="Times New Roman"/>
                <w:b/>
                <w:bCs/>
                <w:color w:val="auto"/>
                <w:kern w:val="0"/>
                <w:sz w:val="22"/>
                <w:szCs w:val="22"/>
                <w:highlight w:val="none"/>
                <w:lang w:val="en-US" w:eastAsia="zh-CN" w:bidi="ar"/>
              </w:rPr>
              <w:t>6</w:t>
            </w:r>
          </w:p>
        </w:tc>
        <w:tc>
          <w:tcPr>
            <w:tcW w:w="549" w:type="pct"/>
            <w:shd w:val="clear" w:color="auto" w:fill="auto"/>
            <w:tcMar>
              <w:top w:w="120" w:type="dxa"/>
              <w:left w:w="192" w:type="dxa"/>
              <w:bottom w:w="120" w:type="dxa"/>
              <w:right w:w="192" w:type="dxa"/>
            </w:tcMar>
            <w:vAlign w:val="center"/>
          </w:tcPr>
          <w:p w14:paraId="788D9E7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2E6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0947EE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34109F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r>
              <w:rPr>
                <w:rFonts w:hint="eastAsia" w:ascii="Times New Roman" w:hAnsi="Times New Roman" w:eastAsia="仿宋_GB2312" w:cs="Times New Roman"/>
                <w:color w:val="auto"/>
                <w:kern w:val="0"/>
                <w:sz w:val="22"/>
                <w:szCs w:val="22"/>
                <w:highlight w:val="none"/>
                <w:lang w:val="en-US" w:eastAsia="zh-CN" w:bidi="ar"/>
              </w:rPr>
              <w:t>2</w:t>
            </w:r>
            <w:r>
              <w:rPr>
                <w:rStyle w:val="24"/>
                <w:rFonts w:hint="default" w:ascii="Times New Roman" w:hAnsi="Times New Roman" w:eastAsia="仿宋_GB2312" w:cs="Times New Roman"/>
                <w:b/>
                <w:bCs/>
                <w:color w:val="auto"/>
                <w:kern w:val="0"/>
                <w:sz w:val="22"/>
                <w:szCs w:val="22"/>
                <w:highlight w:val="none"/>
                <w:lang w:val="en-US" w:eastAsia="zh-CN" w:bidi="ar"/>
              </w:rPr>
              <w:t>重大活动期间失误扣分</w:t>
            </w:r>
          </w:p>
        </w:tc>
        <w:tc>
          <w:tcPr>
            <w:tcW w:w="2270" w:type="pct"/>
            <w:gridSpan w:val="2"/>
            <w:shd w:val="clear" w:color="auto" w:fill="auto"/>
            <w:tcMar>
              <w:top w:w="120" w:type="dxa"/>
              <w:left w:w="192" w:type="dxa"/>
              <w:bottom w:w="120" w:type="dxa"/>
              <w:right w:w="192" w:type="dxa"/>
            </w:tcMar>
            <w:vAlign w:val="center"/>
          </w:tcPr>
          <w:p w14:paraId="6827C8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在法定节假日和省、市重大活动期间，因管理不到位，引起入驻企业强烈反映的，当季度考核总分中扣5分。</w:t>
            </w:r>
          </w:p>
        </w:tc>
        <w:tc>
          <w:tcPr>
            <w:tcW w:w="531" w:type="pct"/>
            <w:shd w:val="clear" w:color="auto" w:fill="auto"/>
            <w:tcMar>
              <w:top w:w="120" w:type="dxa"/>
              <w:left w:w="192" w:type="dxa"/>
              <w:bottom w:w="120" w:type="dxa"/>
              <w:right w:w="192" w:type="dxa"/>
            </w:tcMar>
            <w:vAlign w:val="center"/>
          </w:tcPr>
          <w:p w14:paraId="0B9EC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Style w:val="24"/>
                <w:rFonts w:hint="default" w:ascii="Times New Roman" w:hAnsi="Times New Roman" w:eastAsia="仿宋_GB2312" w:cs="Times New Roman"/>
                <w:b/>
                <w:bCs/>
                <w:color w:val="auto"/>
                <w:kern w:val="0"/>
                <w:sz w:val="22"/>
                <w:szCs w:val="22"/>
                <w:highlight w:val="none"/>
                <w:lang w:val="en-US" w:eastAsia="zh-CN" w:bidi="ar"/>
              </w:rPr>
              <w:t>-5</w:t>
            </w:r>
          </w:p>
        </w:tc>
        <w:tc>
          <w:tcPr>
            <w:tcW w:w="549" w:type="pct"/>
            <w:shd w:val="clear" w:color="auto" w:fill="auto"/>
            <w:tcMar>
              <w:top w:w="120" w:type="dxa"/>
              <w:left w:w="192" w:type="dxa"/>
              <w:bottom w:w="120" w:type="dxa"/>
              <w:right w:w="192" w:type="dxa"/>
            </w:tcMar>
            <w:vAlign w:val="center"/>
          </w:tcPr>
          <w:p w14:paraId="277F51F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5F53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auto"/>
            <w:tcMar>
              <w:top w:w="120" w:type="dxa"/>
              <w:left w:w="0" w:type="dxa"/>
              <w:bottom w:w="120" w:type="dxa"/>
              <w:right w:w="192" w:type="dxa"/>
            </w:tcMar>
            <w:vAlign w:val="center"/>
          </w:tcPr>
          <w:p w14:paraId="1DA2ED1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c>
          <w:tcPr>
            <w:tcW w:w="797" w:type="pct"/>
            <w:shd w:val="clear" w:color="auto" w:fill="auto"/>
            <w:tcMar>
              <w:top w:w="120" w:type="dxa"/>
              <w:left w:w="192" w:type="dxa"/>
              <w:bottom w:w="120" w:type="dxa"/>
              <w:right w:w="192" w:type="dxa"/>
            </w:tcMar>
            <w:vAlign w:val="center"/>
          </w:tcPr>
          <w:p w14:paraId="297692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6.</w:t>
            </w:r>
            <w:r>
              <w:rPr>
                <w:rFonts w:hint="eastAsia" w:ascii="Times New Roman" w:hAnsi="Times New Roman" w:eastAsia="仿宋_GB2312" w:cs="Times New Roman"/>
                <w:color w:val="auto"/>
                <w:kern w:val="0"/>
                <w:sz w:val="22"/>
                <w:szCs w:val="22"/>
                <w:highlight w:val="none"/>
                <w:lang w:val="en-US" w:eastAsia="zh-CN" w:bidi="ar"/>
              </w:rPr>
              <w:t>3</w:t>
            </w:r>
            <w:r>
              <w:rPr>
                <w:rFonts w:hint="default" w:ascii="Times New Roman" w:hAnsi="Times New Roman" w:eastAsia="仿宋_GB2312" w:cs="Times New Roman"/>
                <w:color w:val="auto"/>
                <w:kern w:val="0"/>
                <w:sz w:val="22"/>
                <w:szCs w:val="22"/>
                <w:highlight w:val="none"/>
                <w:lang w:val="en-US" w:eastAsia="zh-CN" w:bidi="ar"/>
              </w:rPr>
              <w:t>安全事故</w:t>
            </w:r>
          </w:p>
        </w:tc>
        <w:tc>
          <w:tcPr>
            <w:tcW w:w="2270" w:type="pct"/>
            <w:gridSpan w:val="2"/>
            <w:shd w:val="clear" w:color="auto" w:fill="auto"/>
            <w:tcMar>
              <w:top w:w="120" w:type="dxa"/>
              <w:left w:w="192" w:type="dxa"/>
              <w:bottom w:w="120" w:type="dxa"/>
              <w:right w:w="192" w:type="dxa"/>
            </w:tcMar>
            <w:vAlign w:val="center"/>
          </w:tcPr>
          <w:p w14:paraId="1C9DFF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因管理责任发生安全责任事故，本项目整体得分扣10分，并视为重大违约。</w:t>
            </w:r>
          </w:p>
        </w:tc>
        <w:tc>
          <w:tcPr>
            <w:tcW w:w="531" w:type="pct"/>
            <w:shd w:val="clear" w:color="auto" w:fill="auto"/>
            <w:tcMar>
              <w:top w:w="120" w:type="dxa"/>
              <w:left w:w="192" w:type="dxa"/>
              <w:bottom w:w="120" w:type="dxa"/>
              <w:right w:w="192" w:type="dxa"/>
            </w:tcMar>
            <w:vAlign w:val="center"/>
          </w:tcPr>
          <w:p w14:paraId="20756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40"/>
                <w:szCs w:val="40"/>
                <w:highlight w:val="none"/>
              </w:rPr>
            </w:pPr>
            <w:r>
              <w:rPr>
                <w:rFonts w:hint="default" w:ascii="Times New Roman" w:hAnsi="Times New Roman" w:eastAsia="仿宋_GB2312" w:cs="Times New Roman"/>
                <w:color w:val="auto"/>
                <w:kern w:val="0"/>
                <w:sz w:val="22"/>
                <w:szCs w:val="22"/>
                <w:highlight w:val="none"/>
                <w:lang w:val="en-US" w:eastAsia="zh-CN" w:bidi="ar"/>
              </w:rPr>
              <w:t>-10</w:t>
            </w:r>
          </w:p>
        </w:tc>
        <w:tc>
          <w:tcPr>
            <w:tcW w:w="549" w:type="pct"/>
            <w:shd w:val="clear" w:color="auto" w:fill="auto"/>
            <w:tcMar>
              <w:top w:w="120" w:type="dxa"/>
              <w:left w:w="192" w:type="dxa"/>
              <w:bottom w:w="120" w:type="dxa"/>
              <w:right w:w="192" w:type="dxa"/>
            </w:tcMar>
            <w:vAlign w:val="center"/>
          </w:tcPr>
          <w:p w14:paraId="5D8E48C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C48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 w:type="pct"/>
            <w:vMerge w:val="continue"/>
            <w:shd w:val="clear" w:color="auto" w:fill="FFFFFF"/>
            <w:tcMar>
              <w:top w:w="120" w:type="dxa"/>
              <w:left w:w="0" w:type="dxa"/>
              <w:bottom w:w="120" w:type="dxa"/>
              <w:right w:w="192" w:type="dxa"/>
            </w:tcMar>
            <w:vAlign w:val="center"/>
          </w:tcPr>
          <w:p w14:paraId="2F6AD687">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iCs w:val="0"/>
                <w:caps w:val="0"/>
                <w:color w:val="auto"/>
                <w:spacing w:val="0"/>
                <w:sz w:val="22"/>
                <w:szCs w:val="22"/>
                <w:highlight w:val="none"/>
              </w:rPr>
            </w:pPr>
          </w:p>
        </w:tc>
        <w:tc>
          <w:tcPr>
            <w:tcW w:w="797" w:type="pct"/>
            <w:shd w:val="clear" w:color="auto" w:fill="FFFFFF"/>
            <w:tcMar>
              <w:top w:w="120" w:type="dxa"/>
              <w:left w:w="192" w:type="dxa"/>
              <w:bottom w:w="120" w:type="dxa"/>
              <w:right w:w="192" w:type="dxa"/>
            </w:tcMar>
            <w:vAlign w:val="center"/>
          </w:tcPr>
          <w:p w14:paraId="37C6B87D">
            <w:pPr>
              <w:keepNext w:val="0"/>
              <w:keepLines w:val="0"/>
              <w:pageBreakBefore w:val="0"/>
              <w:widowControl/>
              <w:suppressLineNumbers w:val="0"/>
              <w:kinsoku/>
              <w:wordWrap/>
              <w:overflowPunct/>
              <w:topLinePunct w:val="0"/>
              <w:autoSpaceDE/>
              <w:autoSpaceDN/>
              <w:bidi w:val="0"/>
              <w:adjustRightInd/>
              <w:snapToGrid/>
              <w:spacing w:line="320" w:lineRule="exact"/>
              <w:ind w:left="0" w:firstLine="0"/>
              <w:jc w:val="left"/>
              <w:textAlignment w:val="auto"/>
              <w:rPr>
                <w:rFonts w:hint="default" w:ascii="Times New Roman" w:hAnsi="Times New Roman" w:eastAsia="仿宋_GB2312" w:cs="Times New Roman"/>
                <w:i w:val="0"/>
                <w:iCs w:val="0"/>
                <w:caps w:val="0"/>
                <w:color w:val="auto"/>
                <w:spacing w:val="0"/>
                <w:sz w:val="40"/>
                <w:szCs w:val="40"/>
                <w:highlight w:val="none"/>
              </w:rPr>
            </w:pPr>
            <w:r>
              <w:rPr>
                <w:rFonts w:hint="default" w:ascii="Times New Roman" w:hAnsi="Times New Roman" w:eastAsia="仿宋_GB2312" w:cs="Times New Roman"/>
                <w:i w:val="0"/>
                <w:iCs w:val="0"/>
                <w:caps w:val="0"/>
                <w:color w:val="auto"/>
                <w:spacing w:val="0"/>
                <w:kern w:val="0"/>
                <w:sz w:val="22"/>
                <w:szCs w:val="22"/>
                <w:highlight w:val="none"/>
                <w:lang w:val="en-US" w:eastAsia="zh-CN" w:bidi="ar"/>
              </w:rPr>
              <w:t>6.</w:t>
            </w:r>
            <w:r>
              <w:rPr>
                <w:rFonts w:hint="eastAsia" w:ascii="Times New Roman" w:hAnsi="Times New Roman" w:eastAsia="仿宋_GB2312" w:cs="Times New Roman"/>
                <w:i w:val="0"/>
                <w:iCs w:val="0"/>
                <w:caps w:val="0"/>
                <w:color w:val="auto"/>
                <w:spacing w:val="0"/>
                <w:kern w:val="0"/>
                <w:sz w:val="22"/>
                <w:szCs w:val="22"/>
                <w:highlight w:val="none"/>
                <w:lang w:val="en-US" w:eastAsia="zh-CN" w:bidi="ar"/>
              </w:rPr>
              <w:t>4</w:t>
            </w:r>
            <w:r>
              <w:rPr>
                <w:rFonts w:hint="default" w:ascii="Times New Roman" w:hAnsi="Times New Roman" w:eastAsia="仿宋_GB2312" w:cs="Times New Roman"/>
                <w:i w:val="0"/>
                <w:iCs w:val="0"/>
                <w:caps w:val="0"/>
                <w:color w:val="auto"/>
                <w:spacing w:val="0"/>
                <w:kern w:val="0"/>
                <w:sz w:val="22"/>
                <w:szCs w:val="22"/>
                <w:highlight w:val="none"/>
                <w:lang w:val="en-US" w:eastAsia="zh-CN" w:bidi="ar"/>
              </w:rPr>
              <w:t>人员配备</w:t>
            </w:r>
          </w:p>
        </w:tc>
        <w:tc>
          <w:tcPr>
            <w:tcW w:w="2270" w:type="pct"/>
            <w:gridSpan w:val="2"/>
            <w:shd w:val="clear" w:color="auto" w:fill="FFFFFF"/>
            <w:tcMar>
              <w:top w:w="120" w:type="dxa"/>
              <w:left w:w="192" w:type="dxa"/>
              <w:bottom w:w="120" w:type="dxa"/>
              <w:right w:w="192" w:type="dxa"/>
            </w:tcMar>
            <w:vAlign w:val="center"/>
          </w:tcPr>
          <w:p w14:paraId="0B3980ED">
            <w:pPr>
              <w:keepNext w:val="0"/>
              <w:keepLines w:val="0"/>
              <w:pageBreakBefore w:val="0"/>
              <w:widowControl/>
              <w:suppressLineNumbers w:val="0"/>
              <w:kinsoku/>
              <w:wordWrap/>
              <w:overflowPunct/>
              <w:topLinePunct w:val="0"/>
              <w:autoSpaceDE/>
              <w:autoSpaceDN/>
              <w:bidi w:val="0"/>
              <w:adjustRightInd/>
              <w:snapToGrid/>
              <w:spacing w:line="320" w:lineRule="exact"/>
              <w:ind w:left="0" w:firstLine="0"/>
              <w:jc w:val="left"/>
              <w:textAlignment w:val="auto"/>
              <w:rPr>
                <w:rFonts w:hint="default" w:ascii="Times New Roman" w:hAnsi="Times New Roman" w:eastAsia="仿宋_GB2312" w:cs="Times New Roman"/>
                <w:i w:val="0"/>
                <w:iCs w:val="0"/>
                <w:caps w:val="0"/>
                <w:color w:val="auto"/>
                <w:spacing w:val="0"/>
                <w:sz w:val="40"/>
                <w:szCs w:val="40"/>
                <w:highlight w:val="none"/>
              </w:rPr>
            </w:pPr>
            <w:r>
              <w:rPr>
                <w:rFonts w:hint="default" w:ascii="Times New Roman" w:hAnsi="Times New Roman" w:eastAsia="仿宋_GB2312" w:cs="Times New Roman"/>
                <w:i w:val="0"/>
                <w:iCs w:val="0"/>
                <w:caps w:val="0"/>
                <w:color w:val="auto"/>
                <w:spacing w:val="0"/>
                <w:kern w:val="0"/>
                <w:sz w:val="22"/>
                <w:szCs w:val="22"/>
                <w:highlight w:val="none"/>
                <w:lang w:val="en-US" w:eastAsia="zh-CN" w:bidi="ar"/>
              </w:rPr>
              <w:t>抽查发现人员配备不足，且未及时补足，扣5分。</w:t>
            </w:r>
          </w:p>
        </w:tc>
        <w:tc>
          <w:tcPr>
            <w:tcW w:w="531" w:type="pct"/>
            <w:shd w:val="clear" w:color="auto" w:fill="FFFFFF"/>
            <w:tcMar>
              <w:top w:w="120" w:type="dxa"/>
              <w:left w:w="192" w:type="dxa"/>
              <w:bottom w:w="120" w:type="dxa"/>
              <w:right w:w="192" w:type="dxa"/>
            </w:tcMar>
            <w:vAlign w:val="center"/>
          </w:tcPr>
          <w:p w14:paraId="5EEB6068">
            <w:pPr>
              <w:keepNext w:val="0"/>
              <w:keepLines w:val="0"/>
              <w:pageBreakBefore w:val="0"/>
              <w:widowControl/>
              <w:suppressLineNumbers w:val="0"/>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i w:val="0"/>
                <w:iCs w:val="0"/>
                <w:caps w:val="0"/>
                <w:color w:val="auto"/>
                <w:spacing w:val="0"/>
                <w:sz w:val="40"/>
                <w:szCs w:val="40"/>
                <w:highlight w:val="none"/>
              </w:rPr>
            </w:pPr>
            <w:r>
              <w:rPr>
                <w:rFonts w:hint="default" w:ascii="Times New Roman" w:hAnsi="Times New Roman" w:eastAsia="仿宋_GB2312" w:cs="Times New Roman"/>
                <w:i w:val="0"/>
                <w:iCs w:val="0"/>
                <w:caps w:val="0"/>
                <w:color w:val="auto"/>
                <w:spacing w:val="0"/>
                <w:sz w:val="22"/>
                <w:szCs w:val="22"/>
                <w:highlight w:val="none"/>
              </w:rPr>
              <w:t>-5</w:t>
            </w:r>
            <w:r>
              <w:rPr>
                <w:rFonts w:hint="default" w:ascii="Times New Roman" w:hAnsi="Times New Roman" w:eastAsia="仿宋_GB2312" w:cs="Times New Roman"/>
                <w:color w:val="auto"/>
                <w:kern w:val="0"/>
                <w:sz w:val="22"/>
                <w:szCs w:val="22"/>
                <w:highlight w:val="none"/>
                <w:lang w:val="en-US" w:eastAsia="zh-CN" w:bidi="ar"/>
              </w:rPr>
              <w:br w:type="textWrapping"/>
            </w:r>
          </w:p>
        </w:tc>
        <w:tc>
          <w:tcPr>
            <w:tcW w:w="549" w:type="pct"/>
            <w:shd w:val="clear" w:color="auto" w:fill="auto"/>
            <w:vAlign w:val="center"/>
          </w:tcPr>
          <w:p w14:paraId="1CBAC731">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1E16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6"/>
            <w:shd w:val="clear" w:color="auto" w:fill="FFFFFF"/>
            <w:tcMar>
              <w:top w:w="120" w:type="dxa"/>
              <w:left w:w="0" w:type="dxa"/>
              <w:bottom w:w="120" w:type="dxa"/>
              <w:right w:w="192" w:type="dxa"/>
            </w:tcMar>
            <w:vAlign w:val="center"/>
          </w:tcPr>
          <w:p w14:paraId="50BA79C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kern w:val="2"/>
                <w:sz w:val="22"/>
                <w:szCs w:val="22"/>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p>
        </w:tc>
      </w:tr>
      <w:tr w14:paraId="490F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atLeast"/>
        </w:trPr>
        <w:tc>
          <w:tcPr>
            <w:tcW w:w="1648" w:type="pct"/>
            <w:gridSpan w:val="2"/>
            <w:shd w:val="clear" w:color="auto" w:fill="FFFFFF"/>
            <w:tcMar>
              <w:top w:w="120" w:type="dxa"/>
              <w:left w:w="0" w:type="dxa"/>
              <w:bottom w:w="120" w:type="dxa"/>
              <w:right w:w="192" w:type="dxa"/>
            </w:tcMar>
            <w:vAlign w:val="center"/>
          </w:tcPr>
          <w:p w14:paraId="52F1299B">
            <w:pPr>
              <w:keepNext w:val="0"/>
              <w:keepLines w:val="0"/>
              <w:pageBreakBefore w:val="0"/>
              <w:widowControl/>
              <w:suppressLineNumbers w:val="0"/>
              <w:kinsoku/>
              <w:wordWrap/>
              <w:overflowPunct/>
              <w:topLinePunct w:val="0"/>
              <w:autoSpaceDE/>
              <w:autoSpaceDN/>
              <w:bidi w:val="0"/>
              <w:adjustRightInd/>
              <w:snapToGrid/>
              <w:spacing w:line="320" w:lineRule="exact"/>
              <w:ind w:left="0" w:firstLine="0"/>
              <w:jc w:val="center"/>
              <w:textAlignment w:val="auto"/>
              <w:rPr>
                <w:rFonts w:hint="default" w:ascii="Times New Roman" w:hAnsi="Times New Roman" w:eastAsia="仿宋_GB2312" w:cs="Times New Roman"/>
                <w:i w:val="0"/>
                <w:iCs w:val="0"/>
                <w:caps w:val="0"/>
                <w:color w:val="auto"/>
                <w:spacing w:val="0"/>
                <w:kern w:val="0"/>
                <w:sz w:val="22"/>
                <w:szCs w:val="22"/>
                <w:highlight w:val="none"/>
                <w:lang w:val="en-US" w:eastAsia="zh-CN" w:bidi="ar"/>
              </w:rPr>
            </w:pPr>
            <w:r>
              <w:rPr>
                <w:rFonts w:hint="default" w:ascii="Times New Roman" w:hAnsi="Times New Roman" w:eastAsia="仿宋_GB2312" w:cs="Times New Roman"/>
                <w:i w:val="0"/>
                <w:iCs w:val="0"/>
                <w:caps w:val="0"/>
                <w:color w:val="auto"/>
                <w:spacing w:val="0"/>
                <w:kern w:val="0"/>
                <w:sz w:val="22"/>
                <w:szCs w:val="22"/>
                <w:highlight w:val="none"/>
                <w:lang w:val="en-US" w:eastAsia="zh-CN" w:bidi="ar"/>
              </w:rPr>
              <w:t>考核总分</w:t>
            </w:r>
          </w:p>
        </w:tc>
        <w:tc>
          <w:tcPr>
            <w:tcW w:w="3351" w:type="pct"/>
            <w:gridSpan w:val="4"/>
            <w:shd w:val="clear" w:color="auto" w:fill="FFFFFF"/>
            <w:tcMar>
              <w:top w:w="120" w:type="dxa"/>
              <w:left w:w="192" w:type="dxa"/>
              <w:bottom w:w="120" w:type="dxa"/>
              <w:right w:w="192" w:type="dxa"/>
            </w:tcMar>
            <w:vAlign w:val="center"/>
          </w:tcPr>
          <w:p w14:paraId="513F15D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auto"/>
                <w:sz w:val="22"/>
                <w:szCs w:val="22"/>
                <w:highlight w:val="none"/>
              </w:rPr>
            </w:pPr>
          </w:p>
        </w:tc>
      </w:tr>
      <w:tr w14:paraId="04AD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4" w:hRule="atLeast"/>
        </w:trPr>
        <w:tc>
          <w:tcPr>
            <w:tcW w:w="2437" w:type="pct"/>
            <w:gridSpan w:val="3"/>
            <w:shd w:val="clear" w:color="auto" w:fill="auto"/>
            <w:tcMar>
              <w:top w:w="120" w:type="dxa"/>
              <w:left w:w="0" w:type="dxa"/>
              <w:bottom w:w="120" w:type="dxa"/>
              <w:right w:w="192" w:type="dxa"/>
            </w:tcMar>
            <w:vAlign w:val="center"/>
          </w:tcPr>
          <w:p w14:paraId="7EC6C0F1">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auto"/>
                <w:kern w:val="2"/>
                <w:sz w:val="22"/>
                <w:szCs w:val="22"/>
                <w:highlight w:val="none"/>
                <w:vertAlign w:val="baseline"/>
                <w:lang w:val="en-US" w:eastAsia="zh-CN" w:bidi="ar-SA"/>
              </w:rPr>
            </w:pPr>
            <w:r>
              <w:rPr>
                <w:rFonts w:hint="default" w:ascii="Times New Roman" w:hAnsi="Times New Roman" w:eastAsia="仿宋_GB2312" w:cs="Times New Roman"/>
                <w:color w:val="auto"/>
                <w:kern w:val="2"/>
                <w:sz w:val="22"/>
                <w:szCs w:val="22"/>
                <w:highlight w:val="none"/>
                <w:vertAlign w:val="baseline"/>
                <w:lang w:eastAsia="zh-CN"/>
              </w:rPr>
              <w:t>甲方签字：</w:t>
            </w:r>
          </w:p>
        </w:tc>
        <w:tc>
          <w:tcPr>
            <w:tcW w:w="2562" w:type="pct"/>
            <w:gridSpan w:val="3"/>
            <w:shd w:val="clear" w:color="auto" w:fill="auto"/>
            <w:tcMar>
              <w:top w:w="120" w:type="dxa"/>
              <w:left w:w="0" w:type="dxa"/>
              <w:bottom w:w="120" w:type="dxa"/>
              <w:right w:w="192" w:type="dxa"/>
            </w:tcMar>
            <w:vAlign w:val="center"/>
          </w:tcPr>
          <w:p w14:paraId="2B417CEA">
            <w:pPr>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kern w:val="2"/>
                <w:sz w:val="22"/>
                <w:szCs w:val="22"/>
                <w:highlight w:val="none"/>
                <w:vertAlign w:val="baseline"/>
                <w:lang w:val="en-US" w:eastAsia="zh-CN" w:bidi="ar-SA"/>
              </w:rPr>
            </w:pPr>
            <w:r>
              <w:rPr>
                <w:rFonts w:hint="default" w:ascii="Times New Roman" w:hAnsi="Times New Roman" w:eastAsia="仿宋_GB2312" w:cs="Times New Roman"/>
                <w:color w:val="auto"/>
                <w:kern w:val="2"/>
                <w:sz w:val="22"/>
                <w:szCs w:val="22"/>
                <w:highlight w:val="none"/>
                <w:vertAlign w:val="baseline"/>
                <w:lang w:eastAsia="zh-CN"/>
              </w:rPr>
              <w:t>乙方签字：</w:t>
            </w:r>
          </w:p>
        </w:tc>
      </w:tr>
    </w:tbl>
    <w:p w14:paraId="73E3003A">
      <w:pPr>
        <w:rPr>
          <w:rFonts w:hint="eastAsia"/>
          <w:color w:val="auto"/>
          <w:highlight w:val="none"/>
          <w:lang w:val="en-US" w:eastAsia="zh-CN"/>
        </w:rPr>
      </w:pPr>
    </w:p>
    <w:p w14:paraId="114648B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44" w:name="_Toc21631"/>
      <w:bookmarkStart w:id="45" w:name="_Toc21551"/>
      <w:bookmarkStart w:id="46" w:name="_Toc23292"/>
      <w:r>
        <w:rPr>
          <w:rFonts w:hint="eastAsia" w:ascii="宋体" w:hAnsi="宋体" w:eastAsia="宋体" w:cs="宋体"/>
          <w:b/>
          <w:bCs/>
          <w:color w:val="auto"/>
          <w:kern w:val="2"/>
          <w:sz w:val="24"/>
          <w:szCs w:val="20"/>
          <w:highlight w:val="none"/>
          <w:lang w:val="zh-CN"/>
        </w:rPr>
        <w:t>三、价款</w:t>
      </w:r>
      <w:bookmarkEnd w:id="44"/>
      <w:bookmarkEnd w:id="45"/>
      <w:bookmarkEnd w:id="46"/>
    </w:p>
    <w:p w14:paraId="619CE99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本合同总价为：￥</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元</w:t>
      </w: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lang w:val="en-US" w:eastAsia="zh-CN"/>
        </w:rPr>
        <w:t>含税）</w:t>
      </w:r>
      <w:r>
        <w:rPr>
          <w:rFonts w:hint="eastAsia" w:ascii="宋体" w:hAnsi="宋体" w:eastAsia="宋体" w:cs="宋体"/>
          <w:color w:val="auto"/>
          <w:kern w:val="2"/>
          <w:sz w:val="24"/>
          <w:szCs w:val="20"/>
          <w:highlight w:val="none"/>
        </w:rPr>
        <w:t>（大写：人民币</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元）。</w:t>
      </w:r>
    </w:p>
    <w:p w14:paraId="36517596">
      <w:pPr>
        <w:spacing w:line="360" w:lineRule="auto"/>
        <w:ind w:firstLine="437"/>
        <w:outlineLvl w:val="3"/>
        <w:rPr>
          <w:rFonts w:hint="eastAsia" w:ascii="宋体" w:hAnsi="宋体" w:eastAsia="宋体"/>
          <w:b w:val="0"/>
          <w:bCs w:val="0"/>
          <w:color w:val="auto"/>
          <w:sz w:val="24"/>
          <w:highlight w:val="none"/>
          <w:lang w:val="zh-CN"/>
        </w:rPr>
      </w:pPr>
      <w:bookmarkStart w:id="47" w:name="_Toc22618"/>
      <w:bookmarkStart w:id="48" w:name="_Toc1814"/>
      <w:bookmarkStart w:id="49" w:name="_Toc10340"/>
      <w:r>
        <w:rPr>
          <w:rFonts w:hint="eastAsia" w:ascii="宋体" w:hAnsi="宋体" w:eastAsia="宋体"/>
          <w:b/>
          <w:bCs/>
          <w:color w:val="auto"/>
          <w:sz w:val="24"/>
          <w:highlight w:val="none"/>
          <w:lang w:val="zh-CN"/>
        </w:rPr>
        <w:t>四、履约保证金</w:t>
      </w:r>
    </w:p>
    <w:p w14:paraId="51EA32BA">
      <w:pPr>
        <w:spacing w:line="360" w:lineRule="auto"/>
        <w:ind w:firstLine="437"/>
        <w:outlineLvl w:val="3"/>
        <w:rPr>
          <w:rFonts w:hint="eastAsia" w:ascii="宋体" w:hAnsi="宋体" w:eastAsia="宋体"/>
          <w:b w:val="0"/>
          <w:bCs w:val="0"/>
          <w:color w:val="auto"/>
          <w:sz w:val="24"/>
          <w:highlight w:val="none"/>
          <w:lang w:val="zh-CN"/>
        </w:rPr>
      </w:pPr>
      <w:r>
        <w:rPr>
          <w:rFonts w:hint="eastAsia" w:ascii="宋体" w:hAnsi="宋体" w:eastAsia="宋体"/>
          <w:b w:val="0"/>
          <w:bCs w:val="0"/>
          <w:color w:val="auto"/>
          <w:sz w:val="24"/>
          <w:highlight w:val="none"/>
          <w:lang w:val="en-US" w:eastAsia="zh-CN"/>
        </w:rPr>
        <w:t>（一）</w:t>
      </w:r>
      <w:r>
        <w:rPr>
          <w:rFonts w:hint="eastAsia" w:ascii="宋体" w:hAnsi="宋体" w:eastAsia="宋体"/>
          <w:b w:val="0"/>
          <w:bCs w:val="0"/>
          <w:color w:val="auto"/>
          <w:sz w:val="24"/>
          <w:highlight w:val="none"/>
          <w:lang w:val="zh-CN"/>
        </w:rPr>
        <w:t>履约保证金金额：合同总价款的10%.；</w:t>
      </w:r>
    </w:p>
    <w:p w14:paraId="7B2923E9">
      <w:pPr>
        <w:spacing w:line="360" w:lineRule="auto"/>
        <w:ind w:firstLine="437"/>
        <w:outlineLvl w:val="3"/>
        <w:rPr>
          <w:rFonts w:hint="eastAsia" w:ascii="宋体" w:hAnsi="宋体" w:eastAsia="宋体"/>
          <w:b w:val="0"/>
          <w:bCs w:val="0"/>
          <w:color w:val="auto"/>
          <w:sz w:val="24"/>
          <w:highlight w:val="none"/>
          <w:lang w:val="zh-CN"/>
        </w:rPr>
      </w:pPr>
      <w:r>
        <w:rPr>
          <w:rFonts w:hint="eastAsia" w:ascii="宋体" w:hAnsi="宋体" w:eastAsia="宋体"/>
          <w:b w:val="0"/>
          <w:bCs w:val="0"/>
          <w:color w:val="auto"/>
          <w:sz w:val="24"/>
          <w:highlight w:val="none"/>
          <w:lang w:val="en-US" w:eastAsia="zh-CN"/>
        </w:rPr>
        <w:t>（二）</w:t>
      </w:r>
      <w:r>
        <w:rPr>
          <w:rFonts w:hint="eastAsia" w:ascii="宋体" w:hAnsi="宋体" w:eastAsia="宋体"/>
          <w:b w:val="0"/>
          <w:bCs w:val="0"/>
          <w:color w:val="auto"/>
          <w:sz w:val="24"/>
          <w:highlight w:val="none"/>
          <w:lang w:val="zh-CN"/>
        </w:rPr>
        <w:t>履约保证金形式：现金（银行转账、银行电汇）或纸质保函（纸质银行保函、纸质担保机构担保、纸质保证保险）；</w:t>
      </w:r>
    </w:p>
    <w:p w14:paraId="0DB0E2B3">
      <w:pPr>
        <w:spacing w:line="360" w:lineRule="auto"/>
        <w:ind w:firstLine="437"/>
        <w:outlineLvl w:val="3"/>
        <w:rPr>
          <w:rFonts w:hint="eastAsia" w:ascii="宋体" w:hAnsi="宋体" w:eastAsia="宋体"/>
          <w:b w:val="0"/>
          <w:bCs w:val="0"/>
          <w:color w:val="auto"/>
          <w:sz w:val="24"/>
          <w:highlight w:val="none"/>
          <w:lang w:val="zh-CN"/>
        </w:rPr>
      </w:pPr>
      <w:r>
        <w:rPr>
          <w:rFonts w:hint="eastAsia" w:ascii="宋体" w:hAnsi="宋体" w:eastAsia="宋体"/>
          <w:b w:val="0"/>
          <w:bCs w:val="0"/>
          <w:color w:val="auto"/>
          <w:sz w:val="24"/>
          <w:highlight w:val="none"/>
          <w:lang w:val="en-US" w:eastAsia="zh-CN"/>
        </w:rPr>
        <w:t>（三）</w:t>
      </w:r>
      <w:r>
        <w:rPr>
          <w:rFonts w:hint="eastAsia" w:ascii="宋体" w:hAnsi="宋体" w:eastAsia="宋体"/>
          <w:b w:val="0"/>
          <w:bCs w:val="0"/>
          <w:color w:val="auto"/>
          <w:sz w:val="24"/>
          <w:highlight w:val="none"/>
          <w:lang w:val="zh-CN"/>
        </w:rPr>
        <w:t>履约保证金提交期限的要求：签订合同前；</w:t>
      </w:r>
    </w:p>
    <w:p w14:paraId="5462FE72">
      <w:pPr>
        <w:spacing w:line="360" w:lineRule="auto"/>
        <w:ind w:firstLine="437"/>
        <w:outlineLvl w:val="3"/>
        <w:rPr>
          <w:rFonts w:hint="eastAsia" w:ascii="宋体" w:hAnsi="宋体" w:eastAsia="宋体"/>
          <w:b w:val="0"/>
          <w:bCs w:val="0"/>
          <w:color w:val="auto"/>
          <w:sz w:val="24"/>
          <w:highlight w:val="none"/>
          <w:lang w:val="zh-CN"/>
        </w:rPr>
      </w:pPr>
      <w:r>
        <w:rPr>
          <w:rFonts w:hint="eastAsia" w:ascii="宋体" w:hAnsi="宋体" w:eastAsia="宋体" w:cs="@仿宋_GB2312"/>
          <w:b w:val="0"/>
          <w:bCs w:val="0"/>
          <w:color w:val="auto"/>
          <w:kern w:val="2"/>
          <w:sz w:val="24"/>
          <w:szCs w:val="20"/>
          <w:highlight w:val="none"/>
          <w:lang w:val="en-US" w:eastAsia="zh-CN" w:bidi="ar-SA"/>
        </w:rPr>
        <w:t>（四）</w:t>
      </w:r>
      <w:r>
        <w:rPr>
          <w:rFonts w:hint="eastAsia" w:ascii="宋体" w:hAnsi="宋体" w:eastAsia="宋体" w:cs="@仿宋_GB2312"/>
          <w:b w:val="0"/>
          <w:bCs w:val="0"/>
          <w:color w:val="auto"/>
          <w:kern w:val="2"/>
          <w:sz w:val="24"/>
          <w:szCs w:val="20"/>
          <w:highlight w:val="none"/>
          <w:lang w:val="zh-CN" w:eastAsia="zh-CN" w:bidi="ar-SA"/>
        </w:rPr>
        <w:t>履约保证金退</w:t>
      </w:r>
      <w:r>
        <w:rPr>
          <w:rFonts w:hint="eastAsia" w:ascii="宋体" w:hAnsi="宋体" w:eastAsia="宋体"/>
          <w:b w:val="0"/>
          <w:bCs w:val="0"/>
          <w:color w:val="auto"/>
          <w:sz w:val="24"/>
          <w:highlight w:val="none"/>
          <w:lang w:val="zh-CN"/>
        </w:rPr>
        <w:t>还时限：服务期满后30个工作日内一次性退还。</w:t>
      </w:r>
    </w:p>
    <w:p w14:paraId="6455C8C0">
      <w:pPr>
        <w:spacing w:line="360" w:lineRule="auto"/>
        <w:ind w:firstLine="437"/>
        <w:outlineLvl w:val="3"/>
        <w:rPr>
          <w:rFonts w:hint="eastAsia" w:ascii="宋体" w:hAnsi="宋体" w:eastAsia="宋体" w:cs="方正小标宋简体"/>
          <w:b w:val="0"/>
          <w:bCs w:val="0"/>
          <w:color w:val="auto"/>
          <w:kern w:val="20"/>
          <w:sz w:val="24"/>
          <w:szCs w:val="44"/>
          <w:highlight w:val="none"/>
        </w:rPr>
      </w:pPr>
      <w:r>
        <w:rPr>
          <w:rFonts w:hint="eastAsia" w:ascii="宋体" w:hAnsi="宋体" w:eastAsia="宋体" w:cs="方正小标宋简体"/>
          <w:b w:val="0"/>
          <w:bCs w:val="0"/>
          <w:color w:val="auto"/>
          <w:kern w:val="20"/>
          <w:sz w:val="24"/>
          <w:szCs w:val="44"/>
          <w:highlight w:val="none"/>
          <w:lang w:eastAsia="zh-CN"/>
        </w:rPr>
        <w:t>（五）</w:t>
      </w:r>
      <w:r>
        <w:rPr>
          <w:rFonts w:hint="eastAsia" w:ascii="宋体" w:hAnsi="宋体" w:eastAsia="宋体" w:cs="方正小标宋简体"/>
          <w:b w:val="0"/>
          <w:bCs w:val="0"/>
          <w:color w:val="auto"/>
          <w:kern w:val="20"/>
          <w:sz w:val="24"/>
          <w:szCs w:val="44"/>
          <w:highlight w:val="none"/>
        </w:rPr>
        <w:t>具体要求：</w:t>
      </w:r>
    </w:p>
    <w:p w14:paraId="7CFC9988">
      <w:pPr>
        <w:spacing w:line="360" w:lineRule="auto"/>
        <w:ind w:firstLine="437"/>
        <w:outlineLvl w:val="3"/>
        <w:rPr>
          <w:rFonts w:hint="eastAsia" w:ascii="宋体" w:hAnsi="宋体" w:eastAsia="宋体" w:cs="@仿宋_GB2312"/>
          <w:b w:val="0"/>
          <w:bCs w:val="0"/>
          <w:color w:val="auto"/>
          <w:kern w:val="2"/>
          <w:sz w:val="24"/>
          <w:szCs w:val="20"/>
          <w:highlight w:val="none"/>
        </w:rPr>
      </w:pPr>
      <w:r>
        <w:rPr>
          <w:rFonts w:hint="eastAsia" w:ascii="宋体" w:hAnsi="宋体" w:eastAsia="宋体" w:cs="@仿宋_GB2312"/>
          <w:b w:val="0"/>
          <w:bCs w:val="0"/>
          <w:color w:val="auto"/>
          <w:kern w:val="2"/>
          <w:sz w:val="24"/>
          <w:szCs w:val="20"/>
          <w:highlight w:val="none"/>
          <w:lang w:val="en-US" w:eastAsia="zh-CN"/>
        </w:rPr>
        <w:t>1.</w:t>
      </w:r>
      <w:r>
        <w:rPr>
          <w:rFonts w:hint="eastAsia" w:ascii="宋体" w:hAnsi="宋体" w:eastAsia="宋体" w:cs="@仿宋_GB2312"/>
          <w:b w:val="0"/>
          <w:bCs w:val="0"/>
          <w:color w:val="auto"/>
          <w:kern w:val="2"/>
          <w:sz w:val="24"/>
          <w:szCs w:val="20"/>
          <w:highlight w:val="none"/>
        </w:rPr>
        <w:t>采用纸质银行保函的，应为不可撤销、不可转让的见索即付独立保函。</w:t>
      </w:r>
    </w:p>
    <w:p w14:paraId="72B5F315">
      <w:pPr>
        <w:spacing w:line="360" w:lineRule="auto"/>
        <w:ind w:firstLine="437"/>
        <w:outlineLvl w:val="3"/>
        <w:rPr>
          <w:rFonts w:hint="eastAsia" w:ascii="宋体" w:hAnsi="宋体" w:eastAsia="宋体" w:cs="@仿宋_GB2312"/>
          <w:b w:val="0"/>
          <w:bCs w:val="0"/>
          <w:color w:val="auto"/>
          <w:kern w:val="2"/>
          <w:sz w:val="24"/>
          <w:szCs w:val="20"/>
          <w:highlight w:val="none"/>
        </w:rPr>
      </w:pPr>
      <w:r>
        <w:rPr>
          <w:rFonts w:hint="eastAsia" w:ascii="宋体" w:hAnsi="宋体" w:eastAsia="宋体" w:cs="@仿宋_GB2312"/>
          <w:b w:val="0"/>
          <w:bCs w:val="0"/>
          <w:color w:val="auto"/>
          <w:kern w:val="2"/>
          <w:sz w:val="24"/>
          <w:szCs w:val="20"/>
          <w:highlight w:val="none"/>
          <w:lang w:eastAsia="zh-CN"/>
        </w:rPr>
        <w:t>2</w:t>
      </w:r>
      <w:r>
        <w:rPr>
          <w:rFonts w:hint="eastAsia" w:ascii="宋体" w:hAnsi="宋体" w:eastAsia="宋体" w:cs="@仿宋_GB2312"/>
          <w:b w:val="0"/>
          <w:bCs w:val="0"/>
          <w:color w:val="auto"/>
          <w:kern w:val="2"/>
          <w:sz w:val="24"/>
          <w:szCs w:val="20"/>
          <w:highlight w:val="none"/>
          <w:lang w:val="en-US" w:eastAsia="zh-CN"/>
        </w:rPr>
        <w:t>.</w:t>
      </w:r>
      <w:r>
        <w:rPr>
          <w:rFonts w:hint="eastAsia" w:ascii="宋体" w:hAnsi="宋体" w:eastAsia="宋体" w:cs="@仿宋_GB2312"/>
          <w:b w:val="0"/>
          <w:bCs w:val="0"/>
          <w:color w:val="auto"/>
          <w:kern w:val="2"/>
          <w:sz w:val="24"/>
          <w:szCs w:val="20"/>
          <w:highlight w:val="none"/>
        </w:rPr>
        <w:t>采用纸质担保机构担保的，应为经安徽省地方金融监督管理局审查批准，依法取得融资担保业务经营许可证的融资担保机构出具的不可撤销、不可转让的见索即付独立保函。</w:t>
      </w:r>
    </w:p>
    <w:p w14:paraId="0E87CA8B">
      <w:pPr>
        <w:spacing w:line="360" w:lineRule="auto"/>
        <w:ind w:firstLine="437"/>
        <w:outlineLvl w:val="3"/>
        <w:rPr>
          <w:rFonts w:hint="eastAsia" w:ascii="宋体" w:hAnsi="宋体" w:eastAsia="宋体" w:cs="@仿宋_GB2312"/>
          <w:b w:val="0"/>
          <w:bCs w:val="0"/>
          <w:color w:val="auto"/>
          <w:kern w:val="2"/>
          <w:sz w:val="24"/>
          <w:szCs w:val="20"/>
          <w:highlight w:val="none"/>
        </w:rPr>
      </w:pPr>
      <w:r>
        <w:rPr>
          <w:rFonts w:hint="eastAsia" w:ascii="宋体" w:hAnsi="宋体" w:eastAsia="宋体" w:cs="@仿宋_GB2312"/>
          <w:b w:val="0"/>
          <w:bCs w:val="0"/>
          <w:color w:val="auto"/>
          <w:kern w:val="2"/>
          <w:sz w:val="24"/>
          <w:szCs w:val="20"/>
          <w:highlight w:val="none"/>
          <w:lang w:eastAsia="zh-CN"/>
        </w:rPr>
        <w:t>3</w:t>
      </w:r>
      <w:r>
        <w:rPr>
          <w:rFonts w:hint="eastAsia" w:ascii="宋体" w:hAnsi="宋体" w:eastAsia="宋体" w:cs="@仿宋_GB2312"/>
          <w:b w:val="0"/>
          <w:bCs w:val="0"/>
          <w:color w:val="auto"/>
          <w:kern w:val="2"/>
          <w:sz w:val="24"/>
          <w:szCs w:val="20"/>
          <w:highlight w:val="none"/>
          <w:lang w:val="en-US" w:eastAsia="zh-CN"/>
        </w:rPr>
        <w:t>.</w:t>
      </w:r>
      <w:r>
        <w:rPr>
          <w:rFonts w:hint="eastAsia" w:ascii="宋体" w:hAnsi="宋体" w:eastAsia="宋体" w:cs="@仿宋_GB2312"/>
          <w:b w:val="0"/>
          <w:bCs w:val="0"/>
          <w:color w:val="auto"/>
          <w:kern w:val="2"/>
          <w:sz w:val="24"/>
          <w:szCs w:val="20"/>
          <w:highlight w:val="none"/>
        </w:rPr>
        <w:t>采用纸质保证保险的，应为保险公司出具的不可撤销、不可转让的见索即付保证保险。</w:t>
      </w:r>
    </w:p>
    <w:p w14:paraId="53B87C7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仿宋_GB2312"/>
          <w:b w:val="0"/>
          <w:bCs w:val="0"/>
          <w:color w:val="auto"/>
          <w:kern w:val="2"/>
          <w:sz w:val="24"/>
          <w:szCs w:val="20"/>
          <w:highlight w:val="none"/>
          <w:lang w:val="en-US" w:bidi="ar-SA"/>
        </w:rPr>
      </w:pPr>
      <w:r>
        <w:rPr>
          <w:rFonts w:hint="eastAsia" w:ascii="宋体" w:hAnsi="宋体" w:eastAsia="宋体" w:cs="@仿宋_GB2312"/>
          <w:b w:val="0"/>
          <w:bCs w:val="0"/>
          <w:color w:val="auto"/>
          <w:kern w:val="2"/>
          <w:sz w:val="24"/>
          <w:szCs w:val="20"/>
          <w:highlight w:val="none"/>
          <w:lang w:eastAsia="zh-CN"/>
        </w:rPr>
        <w:t>4</w:t>
      </w:r>
      <w:r>
        <w:rPr>
          <w:rFonts w:hint="eastAsia" w:ascii="宋体" w:hAnsi="宋体" w:eastAsia="宋体" w:cs="@仿宋_GB2312"/>
          <w:b w:val="0"/>
          <w:bCs w:val="0"/>
          <w:color w:val="auto"/>
          <w:kern w:val="2"/>
          <w:sz w:val="24"/>
          <w:szCs w:val="20"/>
          <w:highlight w:val="none"/>
          <w:lang w:val="en-US" w:eastAsia="zh-CN"/>
        </w:rPr>
        <w:t>.</w:t>
      </w:r>
      <w:r>
        <w:rPr>
          <w:rFonts w:hint="eastAsia" w:ascii="宋体" w:hAnsi="宋体" w:eastAsia="宋体" w:cs="@仿宋_GB2312"/>
          <w:b w:val="0"/>
          <w:bCs w:val="0"/>
          <w:color w:val="auto"/>
          <w:kern w:val="2"/>
          <w:sz w:val="24"/>
          <w:szCs w:val="20"/>
          <w:highlight w:val="none"/>
          <w:lang w:val="en-US" w:bidi="ar-SA"/>
        </w:rPr>
        <w:t>投标人采用现金（银行转账、银行电汇）形式提交履约保证金的，同时退还银行同期活期存款利息。</w:t>
      </w:r>
    </w:p>
    <w:p w14:paraId="1392173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r>
        <w:rPr>
          <w:rFonts w:hint="eastAsia" w:ascii="宋体" w:hAnsi="宋体" w:eastAsia="宋体" w:cs="宋体"/>
          <w:b/>
          <w:bCs/>
          <w:color w:val="auto"/>
          <w:kern w:val="2"/>
          <w:sz w:val="24"/>
          <w:szCs w:val="20"/>
          <w:highlight w:val="none"/>
          <w:lang w:val="zh-CN"/>
        </w:rPr>
        <w:t>五、付款方式和发票开具方式</w:t>
      </w:r>
      <w:bookmarkEnd w:id="47"/>
      <w:bookmarkEnd w:id="48"/>
      <w:bookmarkEnd w:id="49"/>
    </w:p>
    <w:p w14:paraId="33BB3C65">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lang w:val="en-US" w:eastAsia="zh-CN"/>
        </w:rPr>
        <w:t>一</w:t>
      </w: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rPr>
        <w:t>付款方式：</w:t>
      </w:r>
      <w:r>
        <w:rPr>
          <w:rFonts w:hint="eastAsia" w:ascii="宋体" w:hAnsi="宋体" w:eastAsia="宋体" w:cs="宋体"/>
          <w:color w:val="auto"/>
          <w:kern w:val="2"/>
          <w:sz w:val="24"/>
          <w:szCs w:val="20"/>
          <w:highlight w:val="none"/>
          <w:u w:val="single"/>
        </w:rPr>
        <w:t>按月支付，每月收到请款申请及</w:t>
      </w:r>
      <w:r>
        <w:rPr>
          <w:rFonts w:hint="eastAsia" w:ascii="宋体" w:hAnsi="宋体" w:eastAsia="宋体" w:cs="宋体"/>
          <w:color w:val="auto"/>
          <w:kern w:val="2"/>
          <w:sz w:val="24"/>
          <w:szCs w:val="20"/>
          <w:highlight w:val="none"/>
          <w:u w:val="single"/>
          <w:lang w:eastAsia="zh-CN"/>
        </w:rPr>
        <w:t>增值税专用</w:t>
      </w:r>
      <w:r>
        <w:rPr>
          <w:rFonts w:hint="eastAsia" w:ascii="宋体" w:hAnsi="宋体" w:eastAsia="宋体" w:cs="宋体"/>
          <w:color w:val="auto"/>
          <w:kern w:val="2"/>
          <w:sz w:val="24"/>
          <w:szCs w:val="20"/>
          <w:highlight w:val="none"/>
          <w:u w:val="single"/>
        </w:rPr>
        <w:t>发票15日内根据考核结果支付上月度服务费用。</w:t>
      </w:r>
    </w:p>
    <w:p w14:paraId="354843D9">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none"/>
        </w:rPr>
      </w:pPr>
      <w:r>
        <w:rPr>
          <w:rFonts w:hint="eastAsia" w:ascii="宋体" w:hAnsi="宋体" w:eastAsia="宋体" w:cs="宋体"/>
          <w:color w:val="auto"/>
          <w:kern w:val="2"/>
          <w:sz w:val="24"/>
          <w:szCs w:val="20"/>
          <w:highlight w:val="none"/>
          <w:u w:val="none"/>
        </w:rPr>
        <w:t>注:考评得分90分(含)以上为合格,全额支付月度服务费;80分(含)-90分(不含)为基本合格,每低于90分1分,扣200元/分;80分以下(不含)为不合格,每低于80分1分,扣400元/分;</w:t>
      </w:r>
      <w:r>
        <w:rPr>
          <w:rFonts w:hint="eastAsia" w:ascii="宋体" w:hAnsi="宋体" w:eastAsia="宋体" w:cs="宋体"/>
          <w:color w:val="auto"/>
          <w:kern w:val="2"/>
          <w:sz w:val="24"/>
          <w:szCs w:val="20"/>
          <w:highlight w:val="none"/>
          <w:u w:val="none"/>
          <w:lang w:eastAsia="zh-CN"/>
        </w:rPr>
        <w:t>甲方</w:t>
      </w:r>
      <w:r>
        <w:rPr>
          <w:rFonts w:hint="eastAsia" w:ascii="宋体" w:hAnsi="宋体" w:eastAsia="宋体" w:cs="宋体"/>
          <w:color w:val="auto"/>
          <w:kern w:val="2"/>
          <w:sz w:val="24"/>
          <w:szCs w:val="20"/>
          <w:highlight w:val="none"/>
          <w:u w:val="none"/>
        </w:rPr>
        <w:t>对考核扣分项内容及时通知</w:t>
      </w:r>
      <w:r>
        <w:rPr>
          <w:rFonts w:hint="eastAsia" w:ascii="宋体" w:hAnsi="宋体" w:eastAsia="宋体" w:cs="宋体"/>
          <w:color w:val="auto"/>
          <w:kern w:val="2"/>
          <w:sz w:val="24"/>
          <w:szCs w:val="20"/>
          <w:highlight w:val="none"/>
          <w:u w:val="none"/>
          <w:lang w:eastAsia="zh-CN"/>
        </w:rPr>
        <w:t>乙方</w:t>
      </w:r>
      <w:r>
        <w:rPr>
          <w:rFonts w:hint="eastAsia" w:ascii="宋体" w:hAnsi="宋体" w:eastAsia="宋体" w:cs="宋体"/>
          <w:color w:val="auto"/>
          <w:kern w:val="2"/>
          <w:sz w:val="24"/>
          <w:szCs w:val="20"/>
          <w:highlight w:val="none"/>
          <w:u w:val="none"/>
        </w:rPr>
        <w:t>作出整改。</w:t>
      </w:r>
    </w:p>
    <w:p w14:paraId="1C38F70E">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（二）</w:t>
      </w:r>
      <w:r>
        <w:rPr>
          <w:rFonts w:hint="eastAsia" w:ascii="宋体" w:hAnsi="宋体" w:eastAsia="宋体" w:cs="宋体"/>
          <w:color w:val="auto"/>
          <w:kern w:val="2"/>
          <w:sz w:val="24"/>
          <w:szCs w:val="20"/>
          <w:highlight w:val="none"/>
        </w:rPr>
        <w:t>发票开具方式：</w:t>
      </w:r>
      <w:r>
        <w:rPr>
          <w:rFonts w:hint="eastAsia" w:ascii="宋体" w:hAnsi="宋体" w:eastAsia="宋体" w:cs="宋体"/>
          <w:color w:val="auto"/>
          <w:kern w:val="2"/>
          <w:sz w:val="24"/>
          <w:szCs w:val="20"/>
          <w:highlight w:val="none"/>
          <w:u w:val="single"/>
          <w:lang w:eastAsia="zh-CN"/>
        </w:rPr>
        <w:t>开具合法足额的增值税专用发票</w:t>
      </w:r>
      <w:r>
        <w:rPr>
          <w:rFonts w:hint="eastAsia" w:ascii="宋体" w:hAnsi="宋体" w:eastAsia="宋体" w:cs="宋体"/>
          <w:color w:val="auto"/>
          <w:kern w:val="2"/>
          <w:sz w:val="24"/>
          <w:szCs w:val="20"/>
          <w:highlight w:val="none"/>
        </w:rPr>
        <w:t>。甲方每次付款前，乙方需提供合法等额的增值税专用发票，</w:t>
      </w:r>
      <w:r>
        <w:rPr>
          <w:rFonts w:hint="eastAsia" w:ascii="宋体" w:hAnsi="宋体" w:eastAsia="宋体" w:cs="宋体"/>
          <w:color w:val="auto"/>
          <w:kern w:val="2"/>
          <w:sz w:val="24"/>
          <w:szCs w:val="20"/>
          <w:highlight w:val="none"/>
          <w:lang w:val="en-US" w:eastAsia="zh-CN"/>
        </w:rPr>
        <w:t>若乙方延迟提供发票或者提供的发票不符合法律规定，</w:t>
      </w:r>
      <w:r>
        <w:rPr>
          <w:rFonts w:hint="eastAsia" w:ascii="宋体" w:hAnsi="宋体" w:eastAsia="宋体" w:cs="宋体"/>
          <w:color w:val="auto"/>
          <w:kern w:val="2"/>
          <w:sz w:val="24"/>
          <w:szCs w:val="20"/>
          <w:highlight w:val="none"/>
        </w:rPr>
        <w:t>甲方有权拒绝付款</w:t>
      </w:r>
      <w:r>
        <w:rPr>
          <w:rFonts w:hint="eastAsia" w:ascii="宋体" w:hAnsi="宋体" w:eastAsia="宋体" w:cs="宋体"/>
          <w:color w:val="auto"/>
          <w:kern w:val="2"/>
          <w:sz w:val="24"/>
          <w:szCs w:val="20"/>
          <w:highlight w:val="none"/>
          <w:lang w:val="en-US" w:eastAsia="zh-CN"/>
        </w:rPr>
        <w:t>且无需承担违约责任</w:t>
      </w:r>
      <w:r>
        <w:rPr>
          <w:rFonts w:hint="eastAsia" w:ascii="宋体" w:hAnsi="宋体" w:eastAsia="宋体" w:cs="宋体"/>
          <w:color w:val="auto"/>
          <w:kern w:val="2"/>
          <w:sz w:val="24"/>
          <w:szCs w:val="20"/>
          <w:highlight w:val="none"/>
        </w:rPr>
        <w:t>。。</w:t>
      </w:r>
    </w:p>
    <w:p w14:paraId="6F02379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50" w:name="_Toc2846"/>
      <w:bookmarkStart w:id="51" w:name="_Toc19304"/>
      <w:bookmarkStart w:id="52" w:name="_Toc32071"/>
      <w:r>
        <w:rPr>
          <w:rFonts w:hint="eastAsia" w:ascii="宋体" w:hAnsi="宋体" w:eastAsia="宋体" w:cs="宋体"/>
          <w:b/>
          <w:bCs/>
          <w:color w:val="auto"/>
          <w:kern w:val="2"/>
          <w:sz w:val="24"/>
          <w:szCs w:val="20"/>
          <w:highlight w:val="none"/>
          <w:lang w:val="zh-CN"/>
        </w:rPr>
        <w:t>六、服务期限、地点和方式</w:t>
      </w:r>
      <w:bookmarkEnd w:id="50"/>
      <w:bookmarkEnd w:id="51"/>
      <w:bookmarkEnd w:id="52"/>
    </w:p>
    <w:p w14:paraId="04E5EC1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lang w:eastAsia="zh-CN"/>
        </w:rPr>
        <w:t>（一）</w:t>
      </w:r>
      <w:r>
        <w:rPr>
          <w:rFonts w:hint="eastAsia" w:ascii="宋体" w:hAnsi="宋体" w:eastAsia="宋体" w:cs="宋体"/>
          <w:color w:val="auto"/>
          <w:kern w:val="2"/>
          <w:sz w:val="24"/>
          <w:szCs w:val="20"/>
          <w:highlight w:val="none"/>
        </w:rPr>
        <w:t>服务期限：</w:t>
      </w:r>
      <w:r>
        <w:rPr>
          <w:rFonts w:hint="eastAsia" w:ascii="宋体" w:hAnsi="宋体" w:eastAsia="宋体" w:cs="宋体"/>
          <w:color w:val="auto"/>
          <w:kern w:val="2"/>
          <w:sz w:val="24"/>
          <w:szCs w:val="20"/>
          <w:highlight w:val="none"/>
          <w:u w:val="single"/>
        </w:rPr>
        <w:t>合同签订后一年。如月度考核平均分高于90分、履约良好，甲乙双方均同意续签，在年度预算资金能保障的前提下，可续签后两年度合同，合同一年一签，合同金额不变</w:t>
      </w:r>
      <w:r>
        <w:rPr>
          <w:rFonts w:hint="eastAsia" w:ascii="宋体" w:hAnsi="宋体" w:eastAsia="宋体" w:cs="宋体"/>
          <w:color w:val="auto"/>
          <w:kern w:val="2"/>
          <w:sz w:val="24"/>
          <w:szCs w:val="20"/>
          <w:highlight w:val="none"/>
        </w:rPr>
        <w:t>；</w:t>
      </w:r>
    </w:p>
    <w:p w14:paraId="2847D56B">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（二）</w:t>
      </w:r>
      <w:r>
        <w:rPr>
          <w:rFonts w:hint="eastAsia" w:ascii="宋体" w:hAnsi="宋体" w:eastAsia="宋体" w:cs="宋体"/>
          <w:color w:val="auto"/>
          <w:kern w:val="2"/>
          <w:sz w:val="24"/>
          <w:szCs w:val="20"/>
          <w:highlight w:val="none"/>
        </w:rPr>
        <w:t>服务地点：</w:t>
      </w:r>
      <w:r>
        <w:rPr>
          <w:rFonts w:hint="eastAsia" w:ascii="宋体" w:hAnsi="宋体" w:eastAsia="宋体" w:cs="宋体"/>
          <w:color w:val="auto"/>
          <w:kern w:val="2"/>
          <w:sz w:val="24"/>
          <w:szCs w:val="20"/>
          <w:highlight w:val="none"/>
          <w:u w:val="single"/>
          <w:lang w:eastAsia="zh-CN"/>
        </w:rPr>
        <w:t>合肥市包河区</w:t>
      </w:r>
      <w:r>
        <w:rPr>
          <w:rFonts w:hint="eastAsia" w:ascii="宋体" w:hAnsi="宋体" w:eastAsia="宋体" w:cs="宋体"/>
          <w:color w:val="auto"/>
          <w:kern w:val="2"/>
          <w:sz w:val="24"/>
          <w:szCs w:val="20"/>
          <w:highlight w:val="none"/>
        </w:rPr>
        <w:t>；</w:t>
      </w:r>
    </w:p>
    <w:p w14:paraId="5CE435EC">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（三）</w:t>
      </w:r>
      <w:r>
        <w:rPr>
          <w:rFonts w:hint="eastAsia" w:ascii="宋体" w:hAnsi="宋体" w:eastAsia="宋体" w:cs="宋体"/>
          <w:color w:val="auto"/>
          <w:kern w:val="2"/>
          <w:sz w:val="24"/>
          <w:szCs w:val="20"/>
          <w:highlight w:val="none"/>
        </w:rPr>
        <w:t>服务方式：</w:t>
      </w:r>
      <w:r>
        <w:rPr>
          <w:rFonts w:hint="eastAsia" w:ascii="宋体" w:hAnsi="宋体" w:eastAsia="宋体" w:cs="宋体"/>
          <w:color w:val="auto"/>
          <w:kern w:val="2"/>
          <w:sz w:val="24"/>
          <w:szCs w:val="20"/>
          <w:highlight w:val="none"/>
          <w:u w:val="single"/>
          <w:lang w:eastAsia="zh-CN"/>
        </w:rPr>
        <w:t>提供</w:t>
      </w:r>
      <w:r>
        <w:rPr>
          <w:rFonts w:hint="eastAsia" w:ascii="宋体" w:hAnsi="宋体" w:eastAsia="宋体" w:cs="宋体"/>
          <w:color w:val="auto"/>
          <w:kern w:val="2"/>
          <w:sz w:val="24"/>
          <w:szCs w:val="20"/>
          <w:highlight w:val="none"/>
          <w:u w:val="single"/>
        </w:rPr>
        <w:t>常青街道邻里坊3号楼时光成长空间物业服务</w:t>
      </w:r>
      <w:r>
        <w:rPr>
          <w:rFonts w:hint="eastAsia" w:ascii="宋体" w:hAnsi="宋体" w:eastAsia="宋体" w:cs="宋体"/>
          <w:color w:val="auto"/>
          <w:kern w:val="2"/>
          <w:sz w:val="24"/>
          <w:szCs w:val="20"/>
          <w:highlight w:val="none"/>
        </w:rPr>
        <w:t>。</w:t>
      </w:r>
    </w:p>
    <w:p w14:paraId="65ED281F">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53" w:name="_Toc27250"/>
      <w:bookmarkStart w:id="54" w:name="_Toc19554"/>
      <w:bookmarkStart w:id="55" w:name="_Toc21423"/>
      <w:r>
        <w:rPr>
          <w:rFonts w:hint="eastAsia" w:ascii="宋体" w:hAnsi="宋体" w:eastAsia="宋体" w:cs="宋体"/>
          <w:b/>
          <w:bCs/>
          <w:color w:val="auto"/>
          <w:kern w:val="2"/>
          <w:sz w:val="24"/>
          <w:szCs w:val="20"/>
          <w:highlight w:val="none"/>
          <w:lang w:val="zh-CN"/>
        </w:rPr>
        <w:t>七、违约责任</w:t>
      </w:r>
      <w:bookmarkEnd w:id="53"/>
      <w:bookmarkEnd w:id="54"/>
      <w:bookmarkEnd w:id="55"/>
    </w:p>
    <w:p w14:paraId="3E08B836">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（一）</w:t>
      </w:r>
      <w:r>
        <w:rPr>
          <w:rFonts w:hint="eastAsia" w:ascii="宋体" w:hAnsi="宋体" w:eastAsia="宋体" w:cs="宋体"/>
          <w:color w:val="auto"/>
          <w:kern w:val="2"/>
          <w:sz w:val="24"/>
          <w:szCs w:val="20"/>
          <w:highlight w:val="none"/>
        </w:rPr>
        <w:t>乙方的违约责任</w:t>
      </w:r>
    </w:p>
    <w:p w14:paraId="7B3F5A0C">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乙方未能按照本合同约定履行其物业服务义务的，应承担以下违约责任：</w:t>
      </w:r>
    </w:p>
    <w:p w14:paraId="4D4153A1">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1.</w:t>
      </w:r>
      <w:r>
        <w:rPr>
          <w:rFonts w:hint="eastAsia" w:ascii="宋体" w:hAnsi="宋体" w:eastAsia="宋体" w:cs="宋体"/>
          <w:color w:val="auto"/>
          <w:kern w:val="2"/>
          <w:sz w:val="24"/>
          <w:szCs w:val="20"/>
          <w:highlight w:val="none"/>
        </w:rPr>
        <w:t>乙方实际派驻的保洁、安保人员数量、资质（如健康证、政审要求）、年龄或身份（与投标文件团队人员严重不符）不符合本合同约定的，甲方有权要求乙方在3个工作日内更换合格人员。同时，乙方应向甲方支付违约金500元/人/次。未经甲方同意，乙方擅自调换项目负责人的，应向甲方支付违约金1000元/次。</w:t>
      </w:r>
    </w:p>
    <w:p w14:paraId="0BCB420D">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2.</w:t>
      </w:r>
      <w:r>
        <w:rPr>
          <w:rFonts w:hint="eastAsia" w:ascii="宋体" w:hAnsi="宋体" w:eastAsia="宋体" w:cs="宋体"/>
          <w:color w:val="auto"/>
          <w:kern w:val="2"/>
          <w:sz w:val="24"/>
          <w:szCs w:val="20"/>
          <w:highlight w:val="none"/>
        </w:rPr>
        <w:t>乙方未达到本合同约定的保洁频次、标准，经甲方口头通知后未在2小时内整改完毕的，或同一问题当月累计发生三次以上的，乙方应向甲方支付违约金200元/次/项。值班人员脱岗、睡岗，或未实行规定次数的巡查并做好记录的，支付违约金300元/次。未对进出人员、车辆及大件物品进行有效询问、查验和登记的，支付违约金200元/次。安保人员着装、仪容仪表不符合约定的，支付违约金100元/人/次。</w:t>
      </w:r>
    </w:p>
    <w:p w14:paraId="6484D729">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3.</w:t>
      </w:r>
      <w:r>
        <w:rPr>
          <w:rFonts w:hint="eastAsia" w:ascii="宋体" w:hAnsi="宋体" w:eastAsia="宋体" w:cs="宋体"/>
          <w:color w:val="auto"/>
          <w:kern w:val="2"/>
          <w:sz w:val="24"/>
          <w:szCs w:val="20"/>
          <w:highlight w:val="none"/>
        </w:rPr>
        <w:t>接到甲方报修通知后，未在合同或合理约定时间内响应并进行零星维修的（紧急报修30分钟内，一般报修2小时内），支付违约金200元/次。对电梯、消防、中央空调等关键系统的日常巡查、养护不到位，或未及时报告潜在故障的，支付违约金500元/次。因乙方维护不当或操作失误，导致设备设施损坏的，乙方应负责修复或照价赔偿，并支付违约金1000元/次。</w:t>
      </w:r>
    </w:p>
    <w:p w14:paraId="77230190">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4.</w:t>
      </w:r>
      <w:r>
        <w:rPr>
          <w:rFonts w:hint="eastAsia" w:ascii="宋体" w:hAnsi="宋体" w:eastAsia="宋体" w:cs="宋体"/>
          <w:color w:val="auto"/>
          <w:kern w:val="2"/>
          <w:sz w:val="24"/>
          <w:szCs w:val="20"/>
          <w:highlight w:val="none"/>
        </w:rPr>
        <w:t>因乙方安全管理疏忽（如巡逻不到位、危险品管控不严、消防检查缺失等）导致发生火灾、治安盗窃、人身伤害等安全事故的，乙方应承担全部责任并赔偿甲方因此遭受的所有损失。此外，乙方还应向甲方支付违约金5000元/起。对突发事件应急预案不熟悉、处置不力，导致事态扩大或造成不良影响的，支付违约金2000元/次。</w:t>
      </w:r>
    </w:p>
    <w:p w14:paraId="33802029">
      <w:pPr>
        <w:widowControl w:val="0"/>
        <w:bidi w:val="0"/>
        <w:spacing w:line="360" w:lineRule="auto"/>
        <w:ind w:firstLine="435"/>
        <w:jc w:val="both"/>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5.未经甲方书面同意，乙方将本合同项下的任何服务内容分包或转包给第三方的，甲方有权立即单方解除合同，乙方应向甲方支付本合同总价款20%的违约金，并赔偿甲方因此遭受的全部损失。</w:t>
      </w:r>
    </w:p>
    <w:p w14:paraId="24C7CA7B">
      <w:pPr>
        <w:widowControl w:val="0"/>
        <w:bidi w:val="0"/>
        <w:spacing w:line="360" w:lineRule="auto"/>
        <w:ind w:firstLine="435"/>
        <w:jc w:val="both"/>
        <w:rPr>
          <w:rFonts w:hint="eastAsia" w:ascii="宋体" w:hAnsi="宋体" w:eastAsia="宋体" w:cs="宋体"/>
          <w:b/>
          <w:bCs/>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6.若乙方出现以上问题，经甲方通知要求整改后，乙方未及时整改或拒不整改的，甲方有权单方解除合同且不承担违约责任。乙方因此给甲方造成的损失还应承担赔偿责任。</w:t>
      </w:r>
    </w:p>
    <w:p w14:paraId="5E0E7E19">
      <w:pPr>
        <w:spacing w:line="360" w:lineRule="auto"/>
        <w:ind w:firstLine="435"/>
        <w:rPr>
          <w:rFonts w:hint="eastAsia" w:ascii="宋体" w:hAnsi="宋体" w:eastAsia="宋体"/>
          <w:color w:val="auto"/>
          <w:sz w:val="24"/>
          <w:highlight w:val="none"/>
        </w:rPr>
      </w:pPr>
      <w:r>
        <w:rPr>
          <w:rFonts w:hint="eastAsia" w:ascii="仿宋_GB2312" w:hAnsi="仿宋_GB2312" w:eastAsia="仿宋_GB2312" w:cs="仿宋_GB2312"/>
          <w:color w:val="auto"/>
          <w:sz w:val="24"/>
          <w:highlight w:val="none"/>
          <w:lang w:val="en-US" w:eastAsia="zh-CN"/>
        </w:rPr>
        <w:t>（二）</w:t>
      </w:r>
      <w:r>
        <w:rPr>
          <w:rFonts w:hint="eastAsia" w:ascii="宋体" w:hAnsi="宋体" w:eastAsia="宋体"/>
          <w:color w:val="auto"/>
          <w:sz w:val="24"/>
          <w:highlight w:val="none"/>
        </w:rPr>
        <w:t>甲方的违约责任</w:t>
      </w:r>
    </w:p>
    <w:p w14:paraId="49B74516">
      <w:pPr>
        <w:keepNext w:val="0"/>
        <w:keepLines w:val="0"/>
        <w:pageBreakBefore w:val="0"/>
        <w:widowControl/>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olor w:val="auto"/>
          <w:sz w:val="24"/>
          <w:highlight w:val="none"/>
        </w:rPr>
        <w:t>甲方无正当理由未按本合同约定按时支付单个项目费用的，每逾期一日，应按当期应付未付金额的</w:t>
      </w:r>
      <w:r>
        <w:rPr>
          <w:rFonts w:hint="eastAsia" w:ascii="宋体" w:hAnsi="宋体"/>
          <w:color w:val="auto"/>
          <w:sz w:val="24"/>
          <w:highlight w:val="none"/>
          <w:lang w:val="en-US" w:eastAsia="zh-CN"/>
        </w:rPr>
        <w:t>0.05%</w:t>
      </w:r>
      <w:r>
        <w:rPr>
          <w:rFonts w:hint="eastAsia" w:ascii="宋体" w:hAnsi="宋体" w:eastAsia="宋体"/>
          <w:color w:val="auto"/>
          <w:sz w:val="24"/>
          <w:highlight w:val="none"/>
        </w:rPr>
        <w:t>向乙方支付违约金，</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cs="宋体"/>
          <w:color w:val="auto"/>
          <w:kern w:val="0"/>
          <w:sz w:val="24"/>
          <w:szCs w:val="24"/>
          <w:highlight w:val="none"/>
          <w:u w:val="single"/>
          <w:lang w:val="en-US" w:eastAsia="zh-CN" w:bidi="ar"/>
        </w:rPr>
        <w:t>10</w:t>
      </w:r>
      <w:r>
        <w:rPr>
          <w:rFonts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但由乙方原因造成甲方延迟支付的除外</w:t>
      </w:r>
      <w:r>
        <w:rPr>
          <w:rFonts w:hint="eastAsia" w:ascii="宋体" w:hAnsi="宋体" w:eastAsia="宋体"/>
          <w:color w:val="auto"/>
          <w:sz w:val="24"/>
          <w:highlight w:val="none"/>
        </w:rPr>
        <w:t>。</w:t>
      </w:r>
    </w:p>
    <w:p w14:paraId="0639B7D9">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（三）</w:t>
      </w:r>
      <w:r>
        <w:rPr>
          <w:rFonts w:hint="eastAsia" w:ascii="宋体" w:hAnsi="宋体" w:eastAsia="宋体" w:cs="宋体"/>
          <w:color w:val="auto"/>
          <w:kern w:val="2"/>
          <w:sz w:val="24"/>
          <w:szCs w:val="20"/>
          <w:highlight w:val="none"/>
        </w:rPr>
        <w:t>发生本合同约定的乙方违约情形时，甲方有权直接从乙方提交的履约保证金中扣除相应的违约金及赔偿金。乙方应在收到甲方书面通知后5个工作日内，将履约保证金补足至约定金额。否则，甲方有权暂停支付后续款项直至乙方补足保证金，并视情况追究乙方违约责任。</w:t>
      </w:r>
    </w:p>
    <w:p w14:paraId="33DC0B8C">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（四）</w:t>
      </w:r>
      <w:r>
        <w:rPr>
          <w:rFonts w:hint="eastAsia" w:ascii="宋体" w:hAnsi="宋体" w:eastAsia="宋体" w:cs="宋体"/>
          <w:color w:val="auto"/>
          <w:kern w:val="2"/>
          <w:sz w:val="24"/>
          <w:szCs w:val="20"/>
          <w:highlight w:val="none"/>
        </w:rPr>
        <w:t>乙方</w:t>
      </w:r>
      <w:r>
        <w:rPr>
          <w:rFonts w:hint="eastAsia" w:ascii="宋体" w:hAnsi="宋体" w:eastAsia="宋体"/>
          <w:color w:val="auto"/>
          <w:sz w:val="24"/>
          <w:highlight w:val="none"/>
          <w:lang w:val="en-US" w:eastAsia="zh-CN"/>
        </w:rPr>
        <w:t>连续两次月度考核在90分（含90分）以下的或一年平均考核在85分（含85分）以下的</w:t>
      </w:r>
      <w:r>
        <w:rPr>
          <w:rFonts w:hint="eastAsia" w:ascii="宋体" w:hAnsi="宋体" w:eastAsia="宋体" w:cs="宋体"/>
          <w:color w:val="auto"/>
          <w:kern w:val="2"/>
          <w:sz w:val="24"/>
          <w:szCs w:val="20"/>
          <w:highlight w:val="none"/>
        </w:rPr>
        <w:t>，甲方有权单方解除本合同，并要求乙方承担由此给甲方造成的一切损失。乙方发生重大安全责任事故、或因乙方违约导致甲方无法正常使用物业等构成根本违约的情形的，甲方有权立即单方解除本合同。</w:t>
      </w:r>
      <w:r>
        <w:rPr>
          <w:rFonts w:hint="eastAsia" w:ascii="宋体" w:hAnsi="宋体" w:eastAsia="宋体" w:cs="宋体"/>
          <w:color w:val="auto"/>
          <w:kern w:val="2"/>
          <w:sz w:val="24"/>
          <w:szCs w:val="20"/>
          <w:highlight w:val="none"/>
          <w:lang w:eastAsia="zh-CN"/>
        </w:rPr>
        <w:t>若</w:t>
      </w:r>
      <w:r>
        <w:rPr>
          <w:rFonts w:hint="eastAsia" w:ascii="宋体" w:hAnsi="宋体" w:eastAsia="宋体" w:cs="宋体"/>
          <w:color w:val="auto"/>
          <w:kern w:val="2"/>
          <w:sz w:val="24"/>
          <w:szCs w:val="20"/>
          <w:highlight w:val="none"/>
        </w:rPr>
        <w:t>合同因乙方违约而解除的，乙方必须做好所有交接工作，并赔偿甲方的全部损失。甲方有权暂扣乙方的所有应付款项及履约保证金，直至交接完成且损失赔偿完毕。</w:t>
      </w:r>
    </w:p>
    <w:p w14:paraId="3E2FAA9E">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olor w:val="auto"/>
          <w:sz w:val="24"/>
          <w:highlight w:val="none"/>
        </w:rPr>
      </w:pPr>
      <w:r>
        <w:rPr>
          <w:rFonts w:hint="eastAsia" w:ascii="宋体" w:hAnsi="宋体" w:eastAsia="宋体" w:cs="宋体"/>
          <w:color w:val="auto"/>
          <w:kern w:val="2"/>
          <w:sz w:val="24"/>
          <w:szCs w:val="20"/>
          <w:highlight w:val="none"/>
          <w:lang w:eastAsia="zh-CN"/>
        </w:rPr>
        <w:t>（五）</w:t>
      </w:r>
      <w:r>
        <w:rPr>
          <w:rFonts w:hint="eastAsia" w:ascii="宋体" w:hAnsi="宋体" w:eastAsia="宋体"/>
          <w:color w:val="auto"/>
          <w:sz w:val="24"/>
          <w:highlight w:val="none"/>
        </w:rPr>
        <w:t>除不可抗力外，任何一方未能履行本合同约定的义务，</w:t>
      </w:r>
      <w:r>
        <w:rPr>
          <w:rFonts w:hint="eastAsia" w:ascii="宋体" w:hAnsi="宋体" w:eastAsia="宋体"/>
          <w:color w:val="auto"/>
          <w:sz w:val="24"/>
          <w:highlight w:val="none"/>
          <w:lang w:eastAsia="zh-CN"/>
        </w:rPr>
        <w:t>守约方</w:t>
      </w:r>
      <w:r>
        <w:rPr>
          <w:rFonts w:hint="eastAsia" w:ascii="宋体" w:hAnsi="宋体" w:eastAsia="宋体"/>
          <w:color w:val="auto"/>
          <w:sz w:val="24"/>
          <w:highlight w:val="none"/>
        </w:rPr>
        <w:t>均有权要求继续履行、采取补救措施或者赔偿损失等，且</w:t>
      </w:r>
      <w:r>
        <w:rPr>
          <w:rFonts w:hint="eastAsia" w:ascii="宋体" w:hAnsi="宋体" w:eastAsia="宋体"/>
          <w:color w:val="auto"/>
          <w:sz w:val="24"/>
          <w:highlight w:val="none"/>
          <w:lang w:eastAsia="zh-CN"/>
        </w:rPr>
        <w:t>守约方</w:t>
      </w:r>
      <w:r>
        <w:rPr>
          <w:rFonts w:hint="eastAsia" w:ascii="宋体" w:hAnsi="宋体" w:eastAsia="宋体"/>
          <w:color w:val="auto"/>
          <w:sz w:val="24"/>
          <w:highlight w:val="none"/>
        </w:rPr>
        <w:t>行使的任何权利救济方式均不视为其放弃了其他法定或者约定的权利救济方式。</w:t>
      </w:r>
    </w:p>
    <w:p w14:paraId="69D601AB">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olor w:val="auto"/>
          <w:sz w:val="24"/>
          <w:highlight w:val="none"/>
          <w:lang w:eastAsia="zh-CN"/>
        </w:rPr>
        <w:t>（六）</w:t>
      </w:r>
      <w:r>
        <w:rPr>
          <w:rFonts w:hint="eastAsia" w:ascii="宋体" w:hAnsi="宋体" w:eastAsia="宋体" w:cs="宋体"/>
          <w:color w:val="auto"/>
          <w:kern w:val="2"/>
          <w:sz w:val="24"/>
          <w:szCs w:val="20"/>
          <w:highlight w:val="none"/>
        </w:rPr>
        <w:t>本合同约定的违约金不足以弥补守约方全部损失的，违约方还应赔偿其差额部分。本条约定的违约责任是累加的，不影响守约方根据法律规定享有的任何其他权利和救济措施。本条款约定的违约金与月度考核扣款并行不悖，独立计算。即乙方服务不合格，既面临月度服务费的扣减，也须按本条支付相应违约金。</w:t>
      </w:r>
    </w:p>
    <w:p w14:paraId="62049A17">
      <w:pPr>
        <w:keepNext w:val="0"/>
        <w:keepLines w:val="0"/>
        <w:pageBreakBefore w:val="0"/>
        <w:widowControl w:val="0"/>
        <w:kinsoku/>
        <w:wordWrap/>
        <w:overflowPunct/>
        <w:topLinePunct w:val="0"/>
        <w:autoSpaceDE/>
        <w:autoSpaceDN/>
        <w:bidi w:val="0"/>
        <w:adjustRightInd/>
        <w:snapToGrid/>
        <w:spacing w:line="360"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（七）</w:t>
      </w:r>
      <w:r>
        <w:rPr>
          <w:rFonts w:hint="eastAsia" w:ascii="宋体" w:hAnsi="宋体" w:eastAsia="宋体" w:cs="宋体"/>
          <w:color w:val="auto"/>
          <w:kern w:val="2"/>
          <w:sz w:val="24"/>
          <w:szCs w:val="20"/>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0F1188C4">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56" w:name="_Toc15583"/>
      <w:bookmarkStart w:id="57" w:name="_Toc16021"/>
      <w:bookmarkStart w:id="58" w:name="_Toc28375"/>
      <w:r>
        <w:rPr>
          <w:rFonts w:hint="eastAsia" w:ascii="宋体" w:hAnsi="宋体" w:eastAsia="宋体" w:cs="宋体"/>
          <w:b/>
          <w:bCs/>
          <w:color w:val="auto"/>
          <w:kern w:val="2"/>
          <w:sz w:val="24"/>
          <w:szCs w:val="20"/>
          <w:highlight w:val="none"/>
          <w:lang w:val="zh-CN"/>
        </w:rPr>
        <w:t>八、</w:t>
      </w:r>
      <w:bookmarkEnd w:id="56"/>
      <w:bookmarkEnd w:id="57"/>
      <w:bookmarkEnd w:id="58"/>
      <w:r>
        <w:rPr>
          <w:rFonts w:hint="eastAsia" w:ascii="宋体" w:hAnsi="宋体" w:eastAsia="宋体" w:cs="宋体"/>
          <w:b/>
          <w:bCs/>
          <w:color w:val="auto"/>
          <w:kern w:val="2"/>
          <w:sz w:val="24"/>
          <w:szCs w:val="20"/>
          <w:highlight w:val="none"/>
          <w:lang w:val="zh-CN"/>
        </w:rPr>
        <w:t>合同的变更与解除</w:t>
      </w:r>
    </w:p>
    <w:p w14:paraId="18B932E7">
      <w:pPr>
        <w:spacing w:line="360" w:lineRule="auto"/>
        <w:ind w:firstLine="435"/>
        <w:rPr>
          <w:rFonts w:hint="eastAsia" w:ascii="宋体" w:hAnsi="宋体" w:eastAsia="宋体" w:cs="宋体"/>
          <w:color w:val="auto"/>
          <w:kern w:val="2"/>
          <w:sz w:val="24"/>
          <w:szCs w:val="20"/>
          <w:highlight w:val="none"/>
          <w:lang w:val="en-US" w:eastAsia="zh-CN"/>
        </w:rPr>
      </w:pPr>
      <w:r>
        <w:rPr>
          <w:rFonts w:hint="eastAsia" w:ascii="宋体" w:hAnsi="宋体" w:eastAsia="宋体" w:cs="宋体"/>
          <w:color w:val="auto"/>
          <w:kern w:val="2"/>
          <w:sz w:val="24"/>
          <w:szCs w:val="20"/>
          <w:highlight w:val="none"/>
          <w:lang w:val="en-US" w:eastAsia="zh-CN"/>
        </w:rPr>
        <w:t>（一）本合同未尽事宜，双方经友好协商，可在不违背本合同的订立目的的基础上签订补充协议，经双方签字确认的补充协议与本合同具有同等法律效力。</w:t>
      </w:r>
    </w:p>
    <w:p w14:paraId="4B69554F">
      <w:pPr>
        <w:spacing w:line="360" w:lineRule="auto"/>
        <w:ind w:firstLine="435"/>
        <w:rPr>
          <w:rFonts w:hint="eastAsia" w:ascii="宋体" w:hAnsi="宋体" w:eastAsia="宋体" w:cs="宋体"/>
          <w:color w:val="auto"/>
          <w:kern w:val="2"/>
          <w:sz w:val="24"/>
          <w:szCs w:val="20"/>
          <w:highlight w:val="none"/>
          <w:lang w:val="en-US" w:eastAsia="zh-CN"/>
        </w:rPr>
      </w:pPr>
      <w:r>
        <w:rPr>
          <w:rFonts w:hint="eastAsia" w:ascii="宋体" w:hAnsi="宋体" w:eastAsia="宋体" w:cs="宋体"/>
          <w:color w:val="auto"/>
          <w:kern w:val="2"/>
          <w:sz w:val="24"/>
          <w:szCs w:val="20"/>
          <w:highlight w:val="none"/>
          <w:lang w:val="en-US" w:eastAsia="zh-CN"/>
        </w:rPr>
        <w:t>（二）在合同期限内，甲方因单方面原因需要提前解除本合同的，需提前90日以书面形式通知乙方，并向乙方支付本合同总价款的10%作为违约金，并无息退还乙方履约保证金。</w:t>
      </w:r>
    </w:p>
    <w:p w14:paraId="57EE3F02">
      <w:pPr>
        <w:spacing w:line="360" w:lineRule="auto"/>
        <w:ind w:firstLine="435"/>
        <w:rPr>
          <w:rFonts w:hint="eastAsia" w:ascii="宋体" w:hAnsi="宋体" w:eastAsia="宋体" w:cs="宋体"/>
          <w:color w:val="auto"/>
          <w:kern w:val="2"/>
          <w:sz w:val="24"/>
          <w:szCs w:val="20"/>
          <w:highlight w:val="none"/>
          <w:lang w:val="en-US" w:eastAsia="zh-CN"/>
        </w:rPr>
      </w:pPr>
      <w:r>
        <w:rPr>
          <w:rFonts w:hint="eastAsia" w:ascii="宋体" w:hAnsi="宋体" w:eastAsia="宋体" w:cs="宋体"/>
          <w:color w:val="auto"/>
          <w:kern w:val="2"/>
          <w:sz w:val="24"/>
          <w:szCs w:val="20"/>
          <w:highlight w:val="none"/>
          <w:lang w:val="en-US" w:eastAsia="zh-CN"/>
        </w:rPr>
        <w:t>（三）在合同期限内，乙方因单方面原因需要提前解除本合同的，需提前90日以书面形式通知甲方，经甲方书面同意后，需向甲方支付本合同总价款的10%作为违约金，并退还甲方已支付而未提供服务部分的价款，且履约保证金不予退还。</w:t>
      </w:r>
    </w:p>
    <w:p w14:paraId="52FB67B6">
      <w:pPr>
        <w:spacing w:line="360" w:lineRule="auto"/>
        <w:ind w:firstLine="435"/>
        <w:rPr>
          <w:rFonts w:hint="default"/>
          <w:color w:val="auto"/>
          <w:highlight w:val="none"/>
          <w:lang w:val="en-US" w:eastAsia="zh-CN"/>
        </w:rPr>
      </w:pPr>
      <w:r>
        <w:rPr>
          <w:rFonts w:hint="eastAsia" w:ascii="宋体" w:hAnsi="宋体" w:eastAsia="宋体" w:cs="宋体"/>
          <w:color w:val="auto"/>
          <w:kern w:val="2"/>
          <w:sz w:val="24"/>
          <w:szCs w:val="20"/>
          <w:highlight w:val="none"/>
          <w:lang w:val="en-US" w:eastAsia="zh-CN"/>
        </w:rPr>
        <w:t>（四）若出现不可抗力因素（如自然灾害、疫情、战争、政府干预、国土空间规划等）导致本合同无法继续履行，受影响方应当及时通知对方，并提供官方证明文件，双方互不承担违约责任，双方可视情况协商处理后续事宜。</w:t>
      </w:r>
    </w:p>
    <w:p w14:paraId="5D4F15EA">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r>
        <w:rPr>
          <w:rFonts w:hint="eastAsia" w:ascii="宋体" w:hAnsi="宋体" w:eastAsia="宋体" w:cs="宋体"/>
          <w:b/>
          <w:bCs/>
          <w:color w:val="auto"/>
          <w:kern w:val="2"/>
          <w:sz w:val="24"/>
          <w:szCs w:val="20"/>
          <w:highlight w:val="none"/>
          <w:lang w:val="zh-CN"/>
        </w:rPr>
        <w:t>九、合同争议的解决</w:t>
      </w:r>
    </w:p>
    <w:p w14:paraId="44C70BF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val="en-US" w:eastAsia="zh-CN"/>
        </w:rPr>
        <w:t>1.7.2</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种方式解决：</w:t>
      </w:r>
    </w:p>
    <w:p w14:paraId="59FEBBF3">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eastAsia="zh-CN"/>
        </w:rPr>
        <w:t>（一）</w:t>
      </w:r>
      <w:r>
        <w:rPr>
          <w:rFonts w:hint="eastAsia" w:ascii="宋体" w:hAnsi="宋体" w:eastAsia="宋体" w:cs="宋体"/>
          <w:color w:val="auto"/>
          <w:kern w:val="2"/>
          <w:sz w:val="24"/>
          <w:szCs w:val="20"/>
          <w:highlight w:val="none"/>
        </w:rPr>
        <w:t>将争议提交</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仲裁委员会依申请仲裁时其现行有效的仲裁规则裁决；</w:t>
      </w:r>
    </w:p>
    <w:p w14:paraId="0F774106">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hint="eastAsia"/>
          <w:color w:val="auto"/>
          <w:highlight w:val="none"/>
        </w:rPr>
      </w:pPr>
      <w:r>
        <w:rPr>
          <w:rFonts w:hint="eastAsia" w:ascii="宋体" w:hAnsi="宋体" w:eastAsia="宋体" w:cs="宋体"/>
          <w:color w:val="auto"/>
          <w:kern w:val="2"/>
          <w:sz w:val="24"/>
          <w:szCs w:val="20"/>
          <w:highlight w:val="none"/>
          <w:lang w:eastAsia="zh-CN"/>
        </w:rPr>
        <w:t>（二）</w:t>
      </w:r>
      <w:r>
        <w:rPr>
          <w:rFonts w:hint="eastAsia" w:ascii="宋体" w:hAnsi="宋体" w:eastAsia="宋体" w:cs="宋体"/>
          <w:color w:val="auto"/>
          <w:kern w:val="2"/>
          <w:sz w:val="24"/>
          <w:szCs w:val="20"/>
          <w:highlight w:val="none"/>
        </w:rPr>
        <w:t>向</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sz w:val="24"/>
          <w:highlight w:val="none"/>
          <w:u w:val="single"/>
          <w:lang w:val="en-US" w:eastAsia="zh-CN"/>
        </w:rPr>
        <w:t>甲方所在地合肥市包河区</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人民法院起诉。</w:t>
      </w:r>
    </w:p>
    <w:p w14:paraId="52FD1B8D">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7"/>
        <w:textAlignment w:val="auto"/>
        <w:outlineLvl w:val="3"/>
        <w:rPr>
          <w:rFonts w:hint="eastAsia" w:ascii="宋体" w:hAnsi="宋体" w:eastAsia="宋体" w:cs="宋体"/>
          <w:b/>
          <w:bCs/>
          <w:color w:val="auto"/>
          <w:kern w:val="2"/>
          <w:sz w:val="24"/>
          <w:szCs w:val="20"/>
          <w:highlight w:val="none"/>
          <w:lang w:val="zh-CN"/>
        </w:rPr>
      </w:pPr>
      <w:bookmarkStart w:id="59" w:name="_Toc7245"/>
      <w:bookmarkStart w:id="60" w:name="_Toc11173"/>
      <w:bookmarkStart w:id="61" w:name="_Toc15322"/>
      <w:r>
        <w:rPr>
          <w:rFonts w:hint="eastAsia" w:ascii="宋体" w:hAnsi="宋体" w:eastAsia="宋体" w:cs="宋体"/>
          <w:b/>
          <w:bCs/>
          <w:color w:val="auto"/>
          <w:kern w:val="2"/>
          <w:sz w:val="24"/>
          <w:szCs w:val="20"/>
          <w:highlight w:val="none"/>
          <w:lang w:val="zh-CN"/>
        </w:rPr>
        <w:t>十、合同生效</w:t>
      </w:r>
      <w:bookmarkEnd w:id="59"/>
      <w:bookmarkEnd w:id="60"/>
      <w:bookmarkEnd w:id="61"/>
    </w:p>
    <w:p w14:paraId="2357C380">
      <w:pPr>
        <w:keepNext w:val="0"/>
        <w:keepLines w:val="0"/>
        <w:pageBreakBefore w:val="0"/>
        <w:widowControl w:val="0"/>
        <w:kinsoku/>
        <w:wordWrap/>
        <w:overflowPunct/>
        <w:topLinePunct w:val="0"/>
        <w:autoSpaceDE/>
        <w:autoSpaceDN/>
        <w:bidi w:val="0"/>
        <w:adjustRightInd/>
        <w:snapToGrid/>
        <w:spacing w:after="157" w:afterLines="50" w:line="264" w:lineRule="auto"/>
        <w:ind w:right="0" w:firstLine="435"/>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本合同自双方当事人盖章时生效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一式   份，甲方执   份，乙方执   份，具有同等法律效力。</w:t>
      </w:r>
    </w:p>
    <w:p w14:paraId="20EC717F">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p>
    <w:p w14:paraId="16390C0F">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p>
    <w:p w14:paraId="2A5C0D79">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p>
    <w:p w14:paraId="6B107931">
      <w:pPr>
        <w:autoSpaceDE w:val="0"/>
        <w:autoSpaceDN w:val="0"/>
        <w:adjustRightInd w:val="0"/>
        <w:spacing w:before="312" w:after="156" w:line="560" w:lineRule="exact"/>
        <w:ind w:right="267"/>
        <w:rPr>
          <w:rFonts w:hint="eastAsia" w:ascii="宋体" w:hAnsi="宋体" w:eastAsia="宋体" w:cs="宋体"/>
          <w:bCs/>
          <w:color w:val="auto"/>
          <w:kern w:val="2"/>
          <w:sz w:val="24"/>
          <w:szCs w:val="20"/>
          <w:highlight w:val="none"/>
          <w:lang w:val="zh-CN"/>
        </w:rPr>
      </w:pPr>
      <w:r>
        <w:rPr>
          <w:rFonts w:hint="eastAsia" w:ascii="宋体" w:hAnsi="宋体" w:eastAsia="宋体" w:cs="宋体"/>
          <w:bCs/>
          <w:color w:val="auto"/>
          <w:kern w:val="2"/>
          <w:sz w:val="24"/>
          <w:szCs w:val="20"/>
          <w:highlight w:val="none"/>
          <w:lang w:val="zh-CN"/>
        </w:rPr>
        <w:t>甲    方：</w:t>
      </w:r>
      <w:r>
        <w:rPr>
          <w:rFonts w:hint="eastAsia" w:ascii="宋体" w:hAnsi="宋体" w:eastAsia="宋体" w:cs="宋体"/>
          <w:bCs/>
          <w:color w:val="auto"/>
          <w:kern w:val="2"/>
          <w:sz w:val="24"/>
          <w:szCs w:val="20"/>
          <w:highlight w:val="none"/>
          <w:u w:val="single"/>
          <w:lang w:val="zh-CN"/>
        </w:rPr>
        <w:t xml:space="preserve">    （单位盖章）     </w:t>
      </w:r>
      <w:r>
        <w:rPr>
          <w:rFonts w:hint="eastAsia" w:ascii="宋体" w:hAnsi="宋体" w:eastAsia="宋体" w:cs="宋体"/>
          <w:bCs/>
          <w:color w:val="auto"/>
          <w:kern w:val="2"/>
          <w:sz w:val="24"/>
          <w:szCs w:val="20"/>
          <w:highlight w:val="none"/>
          <w:lang w:val="zh-CN"/>
        </w:rPr>
        <w:t xml:space="preserve">          乙方：</w:t>
      </w:r>
      <w:r>
        <w:rPr>
          <w:rFonts w:hint="eastAsia" w:ascii="宋体" w:hAnsi="宋体" w:eastAsia="宋体" w:cs="宋体"/>
          <w:bCs/>
          <w:color w:val="auto"/>
          <w:kern w:val="2"/>
          <w:sz w:val="24"/>
          <w:szCs w:val="20"/>
          <w:highlight w:val="none"/>
          <w:u w:val="single"/>
          <w:lang w:val="zh-CN"/>
        </w:rPr>
        <w:t xml:space="preserve">    （单位盖章）     </w:t>
      </w:r>
    </w:p>
    <w:p w14:paraId="57849E1B">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法定代表人                               法定代表人</w:t>
      </w:r>
    </w:p>
    <w:p w14:paraId="646AE5F3">
      <w:pPr>
        <w:autoSpaceDE w:val="0"/>
        <w:autoSpaceDN w:val="0"/>
        <w:adjustRightInd w:val="0"/>
        <w:spacing w:before="312" w:after="156" w:line="560" w:lineRule="exact"/>
        <w:ind w:right="267"/>
        <w:rPr>
          <w:rFonts w:hint="eastAsia" w:ascii="宋体" w:hAnsi="宋体" w:eastAsia="宋体" w:cs="宋体"/>
          <w:color w:val="auto"/>
          <w:kern w:val="2"/>
          <w:sz w:val="24"/>
          <w:szCs w:val="20"/>
          <w:highlight w:val="none"/>
          <w:lang w:val="zh-CN"/>
        </w:rPr>
      </w:pPr>
      <w:r>
        <w:rPr>
          <w:rFonts w:hint="eastAsia" w:ascii="宋体" w:hAnsi="宋体" w:eastAsia="宋体" w:cs="宋体"/>
          <w:color w:val="auto"/>
          <w:kern w:val="2"/>
          <w:sz w:val="24"/>
          <w:szCs w:val="20"/>
          <w:highlight w:val="none"/>
          <w:lang w:val="zh-CN"/>
        </w:rPr>
        <w:t>或授权代表（签字）：                      或授权代表（签字）：</w:t>
      </w:r>
    </w:p>
    <w:p w14:paraId="0194812D">
      <w:pPr>
        <w:widowControl/>
        <w:spacing w:before="312" w:after="156" w:line="560" w:lineRule="exact"/>
        <w:ind w:right="267"/>
        <w:jc w:val="left"/>
        <w:rPr>
          <w:rFonts w:hint="eastAsia" w:ascii="宋体" w:hAnsi="宋体" w:eastAsia="宋体" w:cs="宋体"/>
          <w:bCs/>
          <w:color w:val="auto"/>
          <w:kern w:val="2"/>
          <w:sz w:val="24"/>
          <w:szCs w:val="20"/>
          <w:highlight w:val="none"/>
        </w:rPr>
      </w:pPr>
      <w:bookmarkStart w:id="62" w:name="_Toc331685783"/>
      <w:r>
        <w:rPr>
          <w:rFonts w:hint="eastAsia" w:ascii="宋体" w:hAnsi="宋体" w:eastAsia="宋体" w:cs="宋体"/>
          <w:bCs/>
          <w:color w:val="auto"/>
          <w:kern w:val="2"/>
          <w:sz w:val="24"/>
          <w:szCs w:val="20"/>
          <w:highlight w:val="none"/>
        </w:rPr>
        <w:t>时间：</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年</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月</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日               时间：</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年</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月</w:t>
      </w:r>
      <w:r>
        <w:rPr>
          <w:rFonts w:hint="eastAsia" w:ascii="宋体" w:hAnsi="宋体" w:eastAsia="宋体" w:cs="宋体"/>
          <w:bCs/>
          <w:color w:val="auto"/>
          <w:kern w:val="2"/>
          <w:sz w:val="24"/>
          <w:szCs w:val="20"/>
          <w:highlight w:val="none"/>
          <w:u w:val="single"/>
        </w:rPr>
        <w:t xml:space="preserve">    </w:t>
      </w:r>
      <w:r>
        <w:rPr>
          <w:rFonts w:hint="eastAsia" w:ascii="宋体" w:hAnsi="宋体" w:eastAsia="宋体" w:cs="宋体"/>
          <w:bCs/>
          <w:color w:val="auto"/>
          <w:kern w:val="2"/>
          <w:sz w:val="24"/>
          <w:szCs w:val="20"/>
          <w:highlight w:val="none"/>
        </w:rPr>
        <w:t>日</w:t>
      </w:r>
    </w:p>
    <w:p w14:paraId="38785121">
      <w:pPr>
        <w:widowControl/>
        <w:jc w:val="left"/>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223194F4">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第二部分 合同一般条款</w:t>
      </w:r>
      <w:bookmarkEnd w:id="62"/>
    </w:p>
    <w:p w14:paraId="13B4C210">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63" w:name="_Toc259093669"/>
      <w:bookmarkStart w:id="64" w:name="_Ref467379101"/>
      <w:bookmarkStart w:id="65" w:name="_Toc279701240"/>
      <w:bookmarkStart w:id="66" w:name="_Ref467379205"/>
      <w:bookmarkStart w:id="67" w:name="_Toc16917"/>
      <w:bookmarkStart w:id="68" w:name="_Toc28763"/>
      <w:bookmarkStart w:id="69" w:name="_Toc19614"/>
      <w:bookmarkStart w:id="70" w:name="_Toc487900349"/>
      <w:bookmarkStart w:id="71" w:name="_Ref467379195"/>
      <w:bookmarkStart w:id="72" w:name="_Ref467379225"/>
      <w:bookmarkStart w:id="73" w:name="_Ref467379214"/>
      <w:bookmarkStart w:id="74" w:name="_Ref467378463"/>
      <w:bookmarkStart w:id="75" w:name="_Ref467379094"/>
      <w:bookmarkStart w:id="76" w:name="_Ref467378404"/>
      <w:bookmarkStart w:id="77" w:name="_Ref467379109"/>
      <w:bookmarkStart w:id="78" w:name="_Ref467378499"/>
      <w:r>
        <w:rPr>
          <w:rFonts w:hint="eastAsia" w:ascii="宋体" w:hAnsi="宋体" w:eastAsia="宋体" w:cs="宋体"/>
          <w:b/>
          <w:bCs/>
          <w:color w:val="auto"/>
          <w:kern w:val="2"/>
          <w:sz w:val="24"/>
          <w:szCs w:val="20"/>
          <w:highlight w:val="none"/>
          <w:lang w:val="zh-CN"/>
        </w:rPr>
        <w:t>2.1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E318892">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本合同中的下列词语应按以下内容进行解释：</w:t>
      </w:r>
    </w:p>
    <w:p w14:paraId="28AE52B4">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2.1.1“合同”系指招标人和中标人签订的载明双方当事人所达成的协议，并包括所有的附件、附录和构成合同的其他文件。</w:t>
      </w:r>
    </w:p>
    <w:p w14:paraId="365DBD16">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2.1.2“合同价”系指根据合同约定，中标人在完全履行合同义务后，招标人应支付给中标人的价格。</w:t>
      </w:r>
    </w:p>
    <w:p w14:paraId="280EDD07">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2.1.3“服务”系指中标人根据合同约定应向招标人履行的除货物和工程以外的其他招标对象，包括招标人自身需要的服务和向社会公众提供的公共服务。</w:t>
      </w:r>
    </w:p>
    <w:p w14:paraId="5DDA2AD6">
      <w:pPr>
        <w:spacing w:before="312" w:after="156" w:line="360" w:lineRule="auto"/>
        <w:ind w:right="267" w:firstLine="435"/>
        <w:rPr>
          <w:rFonts w:hint="eastAsia" w:ascii="宋体" w:hAnsi="宋体" w:eastAsia="宋体" w:cs="宋体"/>
          <w:color w:val="auto"/>
          <w:kern w:val="2"/>
          <w:sz w:val="24"/>
          <w:szCs w:val="20"/>
          <w:highlight w:val="none"/>
        </w:rPr>
      </w:pPr>
      <w:bookmarkStart w:id="79" w:name="_Ref467378840"/>
      <w:r>
        <w:rPr>
          <w:rFonts w:hint="eastAsia" w:ascii="宋体" w:hAnsi="宋体" w:eastAsia="宋体" w:cs="宋体"/>
          <w:color w:val="auto"/>
          <w:kern w:val="2"/>
          <w:sz w:val="24"/>
          <w:szCs w:val="20"/>
          <w:highlight w:val="none"/>
        </w:rPr>
        <w:t>2.1.4“甲方”系指与中标人签署合同的招标人</w:t>
      </w:r>
      <w:bookmarkEnd w:id="79"/>
      <w:r>
        <w:rPr>
          <w:rFonts w:hint="eastAsia" w:ascii="宋体" w:hAnsi="宋体" w:eastAsia="宋体" w:cs="宋体"/>
          <w:color w:val="auto"/>
          <w:kern w:val="2"/>
          <w:sz w:val="24"/>
          <w:szCs w:val="20"/>
          <w:highlight w:val="none"/>
        </w:rPr>
        <w:t>；招标人委托招标代理机构代表其与乙方签订合同的，招标人的授权委托书作为合同附件。</w:t>
      </w:r>
    </w:p>
    <w:p w14:paraId="340F8BE8">
      <w:pPr>
        <w:spacing w:before="312" w:after="156" w:line="360" w:lineRule="auto"/>
        <w:ind w:right="267" w:firstLine="435"/>
        <w:rPr>
          <w:rFonts w:hint="eastAsia" w:ascii="宋体" w:hAnsi="宋体" w:eastAsia="宋体" w:cs="宋体"/>
          <w:color w:val="auto"/>
          <w:kern w:val="2"/>
          <w:sz w:val="24"/>
          <w:szCs w:val="20"/>
          <w:highlight w:val="none"/>
        </w:rPr>
      </w:pPr>
      <w:bookmarkStart w:id="80" w:name="_Ref467379400"/>
      <w:r>
        <w:rPr>
          <w:rFonts w:hint="eastAsia" w:ascii="宋体" w:hAnsi="宋体" w:eastAsia="宋体" w:cs="宋体"/>
          <w:color w:val="auto"/>
          <w:kern w:val="2"/>
          <w:sz w:val="24"/>
          <w:szCs w:val="20"/>
          <w:highlight w:val="none"/>
        </w:rPr>
        <w:t>2.1.5“乙方”系指根据合同约定提供服务的中标人</w:t>
      </w:r>
      <w:bookmarkEnd w:id="80"/>
      <w:r>
        <w:rPr>
          <w:rFonts w:hint="eastAsia" w:ascii="宋体" w:hAnsi="宋体" w:eastAsia="宋体" w:cs="宋体"/>
          <w:color w:val="auto"/>
          <w:kern w:val="2"/>
          <w:sz w:val="24"/>
          <w:szCs w:val="20"/>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5246B5EA">
      <w:pPr>
        <w:spacing w:before="312" w:after="156" w:line="360" w:lineRule="auto"/>
        <w:ind w:right="267" w:firstLine="435"/>
        <w:rPr>
          <w:rFonts w:hint="eastAsia" w:ascii="宋体" w:hAnsi="宋体" w:eastAsia="宋体" w:cs="宋体"/>
          <w:color w:val="auto"/>
          <w:kern w:val="2"/>
          <w:sz w:val="24"/>
          <w:szCs w:val="20"/>
          <w:highlight w:val="none"/>
        </w:rPr>
      </w:pPr>
      <w:bookmarkStart w:id="81" w:name="_Ref467379436"/>
      <w:r>
        <w:rPr>
          <w:rFonts w:hint="eastAsia" w:ascii="宋体" w:hAnsi="宋体" w:eastAsia="宋体" w:cs="宋体"/>
          <w:color w:val="auto"/>
          <w:kern w:val="2"/>
          <w:sz w:val="24"/>
          <w:szCs w:val="20"/>
          <w:highlight w:val="none"/>
        </w:rPr>
        <w:t>2.1.6“现场”系指合同约定提供服务的地点。</w:t>
      </w:r>
      <w:bookmarkEnd w:id="81"/>
    </w:p>
    <w:p w14:paraId="46B19D55">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82" w:name="_Toc32504"/>
      <w:bookmarkStart w:id="83" w:name="_Toc13336"/>
      <w:bookmarkStart w:id="84" w:name="_Toc27635"/>
      <w:bookmarkStart w:id="85" w:name="_Toc487900350"/>
      <w:bookmarkStart w:id="86" w:name="_Toc279701241"/>
      <w:bookmarkStart w:id="87" w:name="_Toc259093670"/>
      <w:r>
        <w:rPr>
          <w:rFonts w:hint="eastAsia" w:ascii="宋体" w:hAnsi="宋体" w:eastAsia="宋体" w:cs="宋体"/>
          <w:b/>
          <w:bCs/>
          <w:color w:val="auto"/>
          <w:kern w:val="2"/>
          <w:sz w:val="24"/>
          <w:szCs w:val="20"/>
          <w:highlight w:val="none"/>
          <w:lang w:val="zh-CN"/>
        </w:rPr>
        <w:t>2.2 技术规范</w:t>
      </w:r>
      <w:bookmarkEnd w:id="82"/>
      <w:bookmarkEnd w:id="83"/>
      <w:bookmarkEnd w:id="84"/>
      <w:bookmarkEnd w:id="85"/>
      <w:bookmarkEnd w:id="86"/>
      <w:bookmarkEnd w:id="87"/>
    </w:p>
    <w:p w14:paraId="02BA413C">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58468B2">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88" w:name="_Toc9829"/>
      <w:bookmarkStart w:id="89" w:name="_Toc487900351"/>
      <w:bookmarkStart w:id="90" w:name="_Toc31634"/>
      <w:bookmarkStart w:id="91" w:name="_Toc27853"/>
      <w:bookmarkStart w:id="92" w:name="_Toc259093671"/>
      <w:bookmarkStart w:id="93" w:name="_Toc279701242"/>
      <w:r>
        <w:rPr>
          <w:rFonts w:hint="eastAsia" w:ascii="宋体" w:hAnsi="宋体" w:eastAsia="宋体" w:cs="宋体"/>
          <w:b/>
          <w:bCs/>
          <w:color w:val="auto"/>
          <w:kern w:val="2"/>
          <w:sz w:val="24"/>
          <w:szCs w:val="20"/>
          <w:highlight w:val="none"/>
          <w:lang w:val="zh-CN"/>
        </w:rPr>
        <w:t>2.3 知识产权</w:t>
      </w:r>
      <w:bookmarkEnd w:id="88"/>
      <w:bookmarkEnd w:id="89"/>
      <w:bookmarkEnd w:id="90"/>
      <w:bookmarkEnd w:id="91"/>
      <w:bookmarkEnd w:id="92"/>
      <w:bookmarkEnd w:id="93"/>
    </w:p>
    <w:p w14:paraId="02CD9ADD">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327AD725">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94" w:name="_Ref467378541"/>
      <w:bookmarkStart w:id="95" w:name="_Toc259093674"/>
      <w:bookmarkStart w:id="96" w:name="_Toc487900354"/>
      <w:bookmarkStart w:id="97" w:name="_Toc279701245"/>
      <w:bookmarkStart w:id="98" w:name="_Ref467379542"/>
      <w:bookmarkStart w:id="99" w:name="_Ref467379527"/>
      <w:bookmarkStart w:id="100" w:name="_Ref467379536"/>
      <w:bookmarkStart w:id="101" w:name="_Ref467378591"/>
      <w:bookmarkStart w:id="102" w:name="_Toc30272"/>
      <w:bookmarkStart w:id="103" w:name="_Toc19074"/>
      <w:bookmarkStart w:id="104" w:name="_Toc26182"/>
      <w:r>
        <w:rPr>
          <w:rFonts w:hint="eastAsia" w:ascii="宋体" w:hAnsi="宋体" w:eastAsia="宋体" w:cs="宋体"/>
          <w:b/>
          <w:bCs/>
          <w:color w:val="auto"/>
          <w:kern w:val="2"/>
          <w:sz w:val="24"/>
          <w:szCs w:val="20"/>
          <w:highlight w:val="none"/>
          <w:lang w:val="zh-CN"/>
        </w:rPr>
        <w:t>2.</w:t>
      </w:r>
      <w:bookmarkEnd w:id="94"/>
      <w:bookmarkEnd w:id="95"/>
      <w:bookmarkEnd w:id="96"/>
      <w:bookmarkEnd w:id="97"/>
      <w:bookmarkEnd w:id="98"/>
      <w:bookmarkEnd w:id="99"/>
      <w:bookmarkEnd w:id="100"/>
      <w:bookmarkEnd w:id="101"/>
      <w:r>
        <w:rPr>
          <w:rFonts w:hint="eastAsia" w:ascii="宋体" w:hAnsi="宋体" w:eastAsia="宋体" w:cs="宋体"/>
          <w:b/>
          <w:bCs/>
          <w:color w:val="auto"/>
          <w:kern w:val="2"/>
          <w:sz w:val="24"/>
          <w:szCs w:val="20"/>
          <w:highlight w:val="none"/>
          <w:lang w:val="zh-CN"/>
        </w:rPr>
        <w:t>4 履约检查和问题反馈</w:t>
      </w:r>
      <w:bookmarkEnd w:id="102"/>
      <w:bookmarkEnd w:id="103"/>
      <w:bookmarkEnd w:id="104"/>
    </w:p>
    <w:p w14:paraId="0FAFE887">
      <w:pPr>
        <w:spacing w:before="312" w:after="156" w:line="360" w:lineRule="auto"/>
        <w:ind w:right="267" w:firstLine="435"/>
        <w:rPr>
          <w:rFonts w:hint="eastAsia" w:ascii="宋体" w:hAnsi="宋体" w:eastAsia="宋体" w:cs="宋体"/>
          <w:color w:val="auto"/>
          <w:kern w:val="2"/>
          <w:sz w:val="24"/>
          <w:szCs w:val="20"/>
          <w:highlight w:val="none"/>
        </w:rPr>
      </w:pPr>
      <w:bookmarkStart w:id="105" w:name="_Toc186431854"/>
      <w:bookmarkStart w:id="106" w:name="_Toc487900357"/>
      <w:bookmarkStart w:id="107" w:name="_Ref467379793"/>
      <w:bookmarkStart w:id="108" w:name="_Toc259093676"/>
      <w:bookmarkStart w:id="109" w:name="_Ref467379807"/>
      <w:bookmarkStart w:id="110" w:name="_Toc279701247"/>
      <w:r>
        <w:rPr>
          <w:rFonts w:hint="eastAsia" w:ascii="宋体" w:hAnsi="宋体" w:eastAsia="宋体" w:cs="宋体"/>
          <w:color w:val="auto"/>
          <w:kern w:val="2"/>
          <w:sz w:val="24"/>
          <w:szCs w:val="20"/>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BC5584C">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2.4.2合同履行期间，甲方有权将履行过程中出现的问题反馈给乙方，双方当事人应以书面形式约定需要完善和改进的内容</w:t>
      </w:r>
      <w:bookmarkEnd w:id="105"/>
      <w:bookmarkStart w:id="111" w:name="_Toc186431855"/>
      <w:r>
        <w:rPr>
          <w:rFonts w:hint="eastAsia" w:ascii="宋体" w:hAnsi="宋体" w:eastAsia="宋体" w:cs="宋体"/>
          <w:color w:val="auto"/>
          <w:kern w:val="2"/>
          <w:sz w:val="24"/>
          <w:szCs w:val="20"/>
          <w:highlight w:val="none"/>
        </w:rPr>
        <w:t>。</w:t>
      </w:r>
    </w:p>
    <w:bookmarkEnd w:id="111"/>
    <w:p w14:paraId="297BC46C">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12" w:name="_Toc7836"/>
      <w:bookmarkStart w:id="113" w:name="_Toc28451"/>
      <w:bookmarkStart w:id="114" w:name="_Toc19219"/>
      <w:r>
        <w:rPr>
          <w:rFonts w:hint="eastAsia" w:ascii="宋体" w:hAnsi="宋体" w:eastAsia="宋体" w:cs="宋体"/>
          <w:b/>
          <w:bCs/>
          <w:color w:val="auto"/>
          <w:kern w:val="2"/>
          <w:sz w:val="24"/>
          <w:szCs w:val="20"/>
          <w:highlight w:val="none"/>
          <w:lang w:val="zh-CN"/>
        </w:rPr>
        <w:t>2.5 结算方式和付款条件</w:t>
      </w:r>
      <w:bookmarkEnd w:id="106"/>
      <w:bookmarkEnd w:id="107"/>
      <w:bookmarkEnd w:id="108"/>
      <w:bookmarkEnd w:id="109"/>
      <w:bookmarkEnd w:id="110"/>
      <w:bookmarkEnd w:id="112"/>
      <w:bookmarkEnd w:id="113"/>
      <w:bookmarkEnd w:id="114"/>
    </w:p>
    <w:p w14:paraId="51E321B2">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详见</w:t>
      </w:r>
      <w:r>
        <w:rPr>
          <w:rFonts w:hint="eastAsia" w:ascii="宋体" w:hAnsi="宋体" w:eastAsia="宋体" w:cs="宋体"/>
          <w:b/>
          <w:i/>
          <w:color w:val="auto"/>
          <w:kern w:val="2"/>
          <w:sz w:val="24"/>
          <w:szCs w:val="20"/>
          <w:highlight w:val="none"/>
          <w:u w:val="single"/>
        </w:rPr>
        <w:t>合同</w:t>
      </w:r>
      <w:r>
        <w:rPr>
          <w:rFonts w:hint="eastAsia" w:ascii="宋体" w:hAnsi="宋体" w:eastAsia="宋体" w:cs="宋体"/>
          <w:b/>
          <w:i/>
          <w:color w:val="auto"/>
          <w:kern w:val="2"/>
          <w:sz w:val="24"/>
          <w:szCs w:val="20"/>
          <w:highlight w:val="none"/>
          <w:u w:val="single"/>
          <w:lang w:eastAsia="zh-CN"/>
        </w:rPr>
        <w:t>约定</w:t>
      </w:r>
      <w:r>
        <w:rPr>
          <w:rFonts w:hint="eastAsia" w:ascii="宋体" w:hAnsi="宋体" w:eastAsia="宋体" w:cs="宋体"/>
          <w:color w:val="auto"/>
          <w:kern w:val="2"/>
          <w:sz w:val="24"/>
          <w:szCs w:val="20"/>
          <w:highlight w:val="none"/>
        </w:rPr>
        <w:t>。</w:t>
      </w:r>
    </w:p>
    <w:p w14:paraId="3511C906">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15" w:name="_Toc279701248"/>
      <w:bookmarkStart w:id="116" w:name="_Ref467379923"/>
      <w:bookmarkStart w:id="117" w:name="_Toc259093677"/>
      <w:bookmarkStart w:id="118" w:name="_Ref467379863"/>
      <w:bookmarkStart w:id="119" w:name="_Toc487900358"/>
      <w:bookmarkStart w:id="120" w:name="_Ref467379852"/>
      <w:bookmarkStart w:id="121" w:name="_Toc774"/>
      <w:bookmarkStart w:id="122" w:name="_Toc16110"/>
      <w:bookmarkStart w:id="123" w:name="_Toc3225"/>
      <w:r>
        <w:rPr>
          <w:rFonts w:hint="eastAsia" w:ascii="宋体" w:hAnsi="宋体" w:eastAsia="宋体" w:cs="宋体"/>
          <w:b/>
          <w:bCs/>
          <w:color w:val="auto"/>
          <w:kern w:val="2"/>
          <w:sz w:val="24"/>
          <w:szCs w:val="20"/>
          <w:highlight w:val="none"/>
          <w:lang w:val="zh-CN"/>
        </w:rPr>
        <w:t>2.6 技术资料</w:t>
      </w:r>
      <w:bookmarkEnd w:id="115"/>
      <w:bookmarkEnd w:id="116"/>
      <w:bookmarkEnd w:id="117"/>
      <w:bookmarkEnd w:id="118"/>
      <w:bookmarkEnd w:id="119"/>
      <w:bookmarkEnd w:id="120"/>
      <w:r>
        <w:rPr>
          <w:rFonts w:hint="eastAsia" w:ascii="宋体" w:hAnsi="宋体" w:eastAsia="宋体" w:cs="宋体"/>
          <w:b/>
          <w:bCs/>
          <w:color w:val="auto"/>
          <w:kern w:val="2"/>
          <w:sz w:val="24"/>
          <w:szCs w:val="20"/>
          <w:highlight w:val="none"/>
          <w:lang w:val="zh-CN"/>
        </w:rPr>
        <w:t>和保密义务</w:t>
      </w:r>
      <w:bookmarkEnd w:id="121"/>
      <w:bookmarkEnd w:id="122"/>
      <w:bookmarkEnd w:id="123"/>
    </w:p>
    <w:p w14:paraId="1CD3BCD7">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2.6.1乙方有权依据合同约定和项目需要，向甲方了解有关情况，调阅有关资料等，甲方应予积极配合；</w:t>
      </w:r>
    </w:p>
    <w:p w14:paraId="065B4B33">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2.6.2乙方有义务妥善保管和保护由甲方提供的前款信息和资料等；</w:t>
      </w:r>
    </w:p>
    <w:p w14:paraId="04B71774">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69C4BF">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24" w:name="_Toc7860"/>
      <w:r>
        <w:rPr>
          <w:rFonts w:hint="eastAsia" w:ascii="宋体" w:hAnsi="宋体" w:eastAsia="宋体" w:cs="宋体"/>
          <w:b/>
          <w:bCs/>
          <w:color w:val="auto"/>
          <w:kern w:val="2"/>
          <w:sz w:val="24"/>
          <w:szCs w:val="20"/>
          <w:highlight w:val="none"/>
          <w:lang w:val="zh-CN"/>
        </w:rPr>
        <w:t>2.7 质量保证</w:t>
      </w:r>
      <w:bookmarkEnd w:id="124"/>
    </w:p>
    <w:p w14:paraId="5686694D">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2.7.1乙方应建立和完善履行合同的内部质量保证体系，并提供相关内部规章制度给甲方，以便甲方进行监督检查；</w:t>
      </w:r>
    </w:p>
    <w:p w14:paraId="0FC7A1EE">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2.7.2乙方应保证履行合同的人员数量和素质、软件和硬件设备的配置、场地、环境和设施等满足全面履行合同的要求，并应接受甲方的监督检查。</w:t>
      </w:r>
    </w:p>
    <w:p w14:paraId="26882762">
      <w:pPr>
        <w:spacing w:before="312" w:after="156" w:line="360" w:lineRule="auto"/>
        <w:ind w:right="267" w:firstLine="437"/>
        <w:outlineLvl w:val="3"/>
        <w:rPr>
          <w:rFonts w:hint="eastAsia" w:ascii="宋体" w:hAnsi="宋体" w:eastAsia="宋体" w:cs="宋体"/>
          <w:b/>
          <w:color w:val="auto"/>
          <w:kern w:val="2"/>
          <w:sz w:val="24"/>
          <w:szCs w:val="20"/>
          <w:highlight w:val="none"/>
        </w:rPr>
      </w:pPr>
      <w:bookmarkStart w:id="125" w:name="_Toc22267"/>
      <w:r>
        <w:rPr>
          <w:rFonts w:hint="eastAsia" w:ascii="宋体" w:hAnsi="宋体" w:eastAsia="宋体" w:cs="宋体"/>
          <w:b/>
          <w:color w:val="auto"/>
          <w:kern w:val="2"/>
          <w:sz w:val="24"/>
          <w:szCs w:val="20"/>
          <w:highlight w:val="none"/>
        </w:rPr>
        <w:t>2.8 延迟履行</w:t>
      </w:r>
      <w:bookmarkEnd w:id="125"/>
    </w:p>
    <w:p w14:paraId="655FD871">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78C3A7F">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26" w:name="_Toc7502"/>
      <w:bookmarkStart w:id="127" w:name="_Toc279701254"/>
      <w:bookmarkStart w:id="128" w:name="_Ref467378121"/>
      <w:bookmarkStart w:id="129" w:name="_Toc259093683"/>
      <w:bookmarkStart w:id="130" w:name="_Toc487900364"/>
      <w:r>
        <w:rPr>
          <w:rFonts w:hint="eastAsia" w:ascii="宋体" w:hAnsi="宋体" w:eastAsia="宋体" w:cs="宋体"/>
          <w:b/>
          <w:bCs/>
          <w:color w:val="auto"/>
          <w:kern w:val="2"/>
          <w:sz w:val="24"/>
          <w:szCs w:val="20"/>
          <w:highlight w:val="none"/>
          <w:lang w:val="zh-CN"/>
        </w:rPr>
        <w:t>2.9 合同变更</w:t>
      </w:r>
      <w:bookmarkEnd w:id="126"/>
    </w:p>
    <w:p w14:paraId="0DCB6572">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2.9.1双方当事人协商一致，可以签订书面补充合同的形式变更合同，但不得违背采购文件确定的事项；</w:t>
      </w:r>
    </w:p>
    <w:p w14:paraId="50D9952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2.9.2合同继续履行将损害国家利益和社会公共利益的，双方当事人应当以书面形式变更合同。有过错的一方应当承担赔偿责任，双方当事人都有过错的，各自承担相应的责任。</w:t>
      </w:r>
      <w:bookmarkStart w:id="131" w:name="_Toc487900369"/>
      <w:bookmarkStart w:id="132" w:name="_Toc279701259"/>
      <w:bookmarkStart w:id="133" w:name="_Toc259093688"/>
    </w:p>
    <w:p w14:paraId="0F85AF3E">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34" w:name="_Toc15237"/>
      <w:bookmarkStart w:id="135" w:name="_Toc10366"/>
      <w:bookmarkStart w:id="136" w:name="_Toc22955"/>
      <w:r>
        <w:rPr>
          <w:rFonts w:hint="eastAsia" w:ascii="宋体" w:hAnsi="宋体" w:eastAsia="宋体" w:cs="宋体"/>
          <w:b/>
          <w:bCs/>
          <w:color w:val="auto"/>
          <w:kern w:val="2"/>
          <w:sz w:val="24"/>
          <w:szCs w:val="20"/>
          <w:highlight w:val="none"/>
          <w:lang w:val="zh-CN"/>
        </w:rPr>
        <w:t>2.10 合同转让</w:t>
      </w:r>
      <w:bookmarkEnd w:id="131"/>
      <w:bookmarkEnd w:id="132"/>
      <w:bookmarkEnd w:id="133"/>
      <w:r>
        <w:rPr>
          <w:rFonts w:hint="eastAsia" w:ascii="宋体" w:hAnsi="宋体" w:eastAsia="宋体" w:cs="宋体"/>
          <w:b/>
          <w:bCs/>
          <w:color w:val="auto"/>
          <w:kern w:val="2"/>
          <w:sz w:val="24"/>
          <w:szCs w:val="20"/>
          <w:highlight w:val="none"/>
          <w:lang w:val="zh-CN"/>
        </w:rPr>
        <w:t>和分包</w:t>
      </w:r>
      <w:bookmarkEnd w:id="134"/>
      <w:bookmarkEnd w:id="135"/>
      <w:bookmarkEnd w:id="136"/>
    </w:p>
    <w:p w14:paraId="558877E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合同的权利义务依法不得转让，但经甲方</w:t>
      </w:r>
      <w:r>
        <w:rPr>
          <w:rFonts w:hint="eastAsia" w:ascii="宋体" w:hAnsi="宋体" w:eastAsia="宋体" w:cs="宋体"/>
          <w:color w:val="auto"/>
          <w:kern w:val="2"/>
          <w:sz w:val="24"/>
          <w:szCs w:val="20"/>
          <w:highlight w:val="none"/>
          <w:lang w:eastAsia="zh-CN"/>
        </w:rPr>
        <w:t>书面</w:t>
      </w:r>
      <w:r>
        <w:rPr>
          <w:rFonts w:hint="eastAsia" w:ascii="宋体" w:hAnsi="宋体" w:eastAsia="宋体" w:cs="宋体"/>
          <w:color w:val="auto"/>
          <w:kern w:val="2"/>
          <w:sz w:val="24"/>
          <w:szCs w:val="20"/>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AD617A5">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37" w:name="_Toc14066"/>
      <w:bookmarkStart w:id="138" w:name="_Toc13566"/>
      <w:bookmarkStart w:id="139" w:name="_Toc16508"/>
      <w:r>
        <w:rPr>
          <w:rFonts w:hint="eastAsia" w:ascii="宋体" w:hAnsi="宋体" w:eastAsia="宋体" w:cs="宋体"/>
          <w:b/>
          <w:bCs/>
          <w:color w:val="auto"/>
          <w:kern w:val="2"/>
          <w:sz w:val="24"/>
          <w:szCs w:val="20"/>
          <w:highlight w:val="none"/>
          <w:lang w:val="zh-CN"/>
        </w:rPr>
        <w:t>2.11 不可抗力</w:t>
      </w:r>
      <w:bookmarkEnd w:id="137"/>
      <w:bookmarkEnd w:id="138"/>
      <w:bookmarkEnd w:id="139"/>
    </w:p>
    <w:p w14:paraId="6BE9D81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2.11.1如果任何一方遭遇法律规定的不可抗力，致使合同履行受阻时，履行合同的期限应予延长，延长的期限应相当于不可抗力所影响的时间；</w:t>
      </w:r>
    </w:p>
    <w:p w14:paraId="7B3E050A">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2.11.2因不可抗力致使不能实现合同目的的，当事人可以报监管部门处理；</w:t>
      </w:r>
    </w:p>
    <w:p w14:paraId="1F11260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2.11.3因不可抗力致使合同有变更必要的，双方当事人应在</w:t>
      </w:r>
      <w:r>
        <w:rPr>
          <w:rFonts w:hint="eastAsia" w:ascii="宋体" w:hAnsi="宋体" w:eastAsia="宋体" w:cs="宋体"/>
          <w:color w:val="auto"/>
          <w:kern w:val="2"/>
          <w:sz w:val="24"/>
          <w:szCs w:val="20"/>
          <w:highlight w:val="none"/>
          <w:lang w:eastAsia="zh-CN"/>
        </w:rPr>
        <w:t>十个工作日内</w:t>
      </w:r>
      <w:r>
        <w:rPr>
          <w:rFonts w:hint="eastAsia" w:ascii="宋体" w:hAnsi="宋体" w:eastAsia="宋体" w:cs="宋体"/>
          <w:color w:val="auto"/>
          <w:kern w:val="2"/>
          <w:sz w:val="24"/>
          <w:szCs w:val="20"/>
          <w:highlight w:val="none"/>
        </w:rPr>
        <w:t>以书面形式变更合同；</w:t>
      </w:r>
    </w:p>
    <w:p w14:paraId="051B37D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2.11.4受不可抗力影响的一方在不可抗力发生后，应在</w:t>
      </w:r>
      <w:r>
        <w:rPr>
          <w:rFonts w:hint="eastAsia" w:ascii="宋体" w:hAnsi="宋体" w:eastAsia="宋体" w:cs="宋体"/>
          <w:color w:val="auto"/>
          <w:kern w:val="2"/>
          <w:sz w:val="24"/>
          <w:szCs w:val="20"/>
          <w:highlight w:val="none"/>
          <w:lang w:eastAsia="zh-CN"/>
        </w:rPr>
        <w:t>十个工作日内</w:t>
      </w:r>
      <w:r>
        <w:rPr>
          <w:rFonts w:hint="eastAsia" w:ascii="宋体" w:hAnsi="宋体" w:eastAsia="宋体" w:cs="宋体"/>
          <w:color w:val="auto"/>
          <w:kern w:val="2"/>
          <w:sz w:val="24"/>
          <w:szCs w:val="20"/>
          <w:highlight w:val="none"/>
        </w:rPr>
        <w:t>以书面形式通知对方当事人，并将有关部门出具的证明文件送达对方当事人。</w:t>
      </w:r>
    </w:p>
    <w:p w14:paraId="4A832442">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40" w:name="_Toc30676"/>
      <w:bookmarkStart w:id="141" w:name="_Toc279701255"/>
      <w:bookmarkStart w:id="142" w:name="_Toc259093684"/>
      <w:bookmarkStart w:id="143" w:name="_Toc487900365"/>
      <w:bookmarkStart w:id="144" w:name="_Toc6969"/>
      <w:bookmarkStart w:id="145" w:name="_Toc689"/>
      <w:r>
        <w:rPr>
          <w:rFonts w:hint="eastAsia" w:ascii="宋体" w:hAnsi="宋体" w:eastAsia="宋体" w:cs="宋体"/>
          <w:b/>
          <w:bCs/>
          <w:color w:val="auto"/>
          <w:kern w:val="2"/>
          <w:sz w:val="24"/>
          <w:szCs w:val="20"/>
          <w:highlight w:val="none"/>
          <w:lang w:val="zh-CN"/>
        </w:rPr>
        <w:t>2.12 税费</w:t>
      </w:r>
      <w:bookmarkEnd w:id="140"/>
      <w:bookmarkEnd w:id="141"/>
      <w:bookmarkEnd w:id="142"/>
      <w:bookmarkEnd w:id="143"/>
      <w:bookmarkEnd w:id="144"/>
      <w:bookmarkEnd w:id="145"/>
    </w:p>
    <w:p w14:paraId="5AB412FE">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与合同有关的一切税费，均按照中华人民共和国法律的相关规定缴纳。</w:t>
      </w:r>
    </w:p>
    <w:p w14:paraId="108EEBB4">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46" w:name="_Toc16959"/>
      <w:bookmarkStart w:id="147" w:name="_Toc279701258"/>
      <w:bookmarkStart w:id="148" w:name="_Toc259093687"/>
      <w:bookmarkStart w:id="149" w:name="_Toc487900368"/>
      <w:bookmarkStart w:id="150" w:name="_Toc8298"/>
      <w:bookmarkStart w:id="151" w:name="_Toc7102"/>
      <w:r>
        <w:rPr>
          <w:rFonts w:hint="eastAsia" w:ascii="宋体" w:hAnsi="宋体" w:eastAsia="宋体" w:cs="宋体"/>
          <w:b/>
          <w:bCs/>
          <w:color w:val="auto"/>
          <w:kern w:val="2"/>
          <w:sz w:val="24"/>
          <w:szCs w:val="20"/>
          <w:highlight w:val="none"/>
          <w:lang w:val="zh-CN"/>
        </w:rPr>
        <w:t>2.13 乙方破产</w:t>
      </w:r>
      <w:bookmarkEnd w:id="146"/>
      <w:bookmarkEnd w:id="147"/>
      <w:bookmarkEnd w:id="148"/>
      <w:bookmarkEnd w:id="149"/>
      <w:bookmarkEnd w:id="150"/>
      <w:bookmarkEnd w:id="151"/>
    </w:p>
    <w:p w14:paraId="4E96B30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BA08315">
      <w:pPr>
        <w:spacing w:before="312" w:after="156" w:line="360" w:lineRule="auto"/>
        <w:ind w:right="267" w:firstLine="437"/>
        <w:outlineLvl w:val="3"/>
        <w:rPr>
          <w:rFonts w:hint="eastAsia" w:ascii="宋体" w:hAnsi="宋体" w:eastAsia="宋体" w:cs="宋体"/>
          <w:b/>
          <w:color w:val="auto"/>
          <w:kern w:val="2"/>
          <w:sz w:val="24"/>
          <w:szCs w:val="20"/>
          <w:highlight w:val="none"/>
        </w:rPr>
      </w:pPr>
      <w:bookmarkStart w:id="152" w:name="_Toc15387"/>
      <w:bookmarkStart w:id="153" w:name="_Toc29333"/>
      <w:bookmarkStart w:id="154" w:name="_Toc6134"/>
      <w:r>
        <w:rPr>
          <w:rFonts w:hint="eastAsia" w:ascii="宋体" w:hAnsi="宋体" w:eastAsia="宋体" w:cs="宋体"/>
          <w:b/>
          <w:bCs/>
          <w:color w:val="auto"/>
          <w:kern w:val="2"/>
          <w:sz w:val="24"/>
          <w:szCs w:val="20"/>
          <w:highlight w:val="none"/>
          <w:lang w:val="zh-CN"/>
        </w:rPr>
        <w:t>2.14 合同中止、终止</w:t>
      </w:r>
      <w:bookmarkEnd w:id="152"/>
      <w:bookmarkEnd w:id="153"/>
      <w:bookmarkEnd w:id="154"/>
    </w:p>
    <w:p w14:paraId="540B2705">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2.14.1双方当事人不得擅自中止或者终止合同；</w:t>
      </w:r>
    </w:p>
    <w:p w14:paraId="27AAA1DB">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2.14.2合同继续履行将损害国家利益和社会公共利益的，双方当事人应当中止或者终止合同。有过错的一方应当承担赔偿责任，双方当事人都有过错的，各自承担相应的责任。</w:t>
      </w:r>
    </w:p>
    <w:p w14:paraId="40454EFF">
      <w:pPr>
        <w:spacing w:before="312" w:after="156" w:line="360" w:lineRule="auto"/>
        <w:ind w:right="267" w:firstLine="437"/>
        <w:outlineLvl w:val="3"/>
        <w:rPr>
          <w:rFonts w:hint="eastAsia" w:ascii="宋体" w:hAnsi="宋体" w:eastAsia="宋体" w:cs="宋体"/>
          <w:b/>
          <w:bCs/>
          <w:color w:val="auto"/>
          <w:kern w:val="2"/>
          <w:sz w:val="24"/>
          <w:szCs w:val="20"/>
          <w:highlight w:val="none"/>
          <w:lang w:val="zh-CN"/>
        </w:rPr>
      </w:pPr>
      <w:bookmarkStart w:id="155" w:name="_Toc1125"/>
      <w:bookmarkStart w:id="156" w:name="_Toc14563"/>
      <w:bookmarkStart w:id="157" w:name="_Toc6596"/>
      <w:r>
        <w:rPr>
          <w:rFonts w:hint="eastAsia" w:ascii="宋体" w:hAnsi="宋体" w:eastAsia="宋体" w:cs="宋体"/>
          <w:b/>
          <w:bCs/>
          <w:color w:val="auto"/>
          <w:kern w:val="2"/>
          <w:sz w:val="24"/>
          <w:szCs w:val="20"/>
          <w:highlight w:val="none"/>
          <w:lang w:val="zh-CN"/>
        </w:rPr>
        <w:t>2.15 检验和验收</w:t>
      </w:r>
      <w:bookmarkEnd w:id="155"/>
      <w:bookmarkEnd w:id="156"/>
      <w:bookmarkEnd w:id="157"/>
    </w:p>
    <w:p w14:paraId="7704361C">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2.15.1乙方按照</w:t>
      </w:r>
      <w:r>
        <w:rPr>
          <w:rFonts w:hint="eastAsia" w:ascii="宋体" w:hAnsi="宋体" w:eastAsia="宋体" w:cs="宋体"/>
          <w:b/>
          <w:i/>
          <w:color w:val="auto"/>
          <w:kern w:val="2"/>
          <w:sz w:val="24"/>
          <w:szCs w:val="20"/>
          <w:highlight w:val="none"/>
          <w:u w:val="single"/>
        </w:rPr>
        <w:t>合同</w:t>
      </w:r>
      <w:r>
        <w:rPr>
          <w:rFonts w:hint="eastAsia" w:ascii="宋体" w:hAnsi="宋体" w:eastAsia="宋体" w:cs="宋体"/>
          <w:color w:val="auto"/>
          <w:kern w:val="2"/>
          <w:sz w:val="24"/>
          <w:szCs w:val="20"/>
          <w:highlight w:val="none"/>
        </w:rPr>
        <w:t>约定，定期提交服务报告，甲方按照</w:t>
      </w:r>
      <w:r>
        <w:rPr>
          <w:rFonts w:hint="eastAsia" w:ascii="宋体" w:hAnsi="宋体" w:eastAsia="宋体" w:cs="宋体"/>
          <w:b/>
          <w:i/>
          <w:color w:val="auto"/>
          <w:kern w:val="2"/>
          <w:sz w:val="24"/>
          <w:szCs w:val="20"/>
          <w:highlight w:val="none"/>
          <w:u w:val="single"/>
          <w:lang w:eastAsia="zh-CN"/>
        </w:rPr>
        <w:t>合同</w:t>
      </w:r>
      <w:r>
        <w:rPr>
          <w:rFonts w:hint="eastAsia" w:ascii="宋体" w:hAnsi="宋体" w:eastAsia="宋体" w:cs="宋体"/>
          <w:color w:val="auto"/>
          <w:kern w:val="2"/>
          <w:sz w:val="24"/>
          <w:szCs w:val="20"/>
          <w:highlight w:val="none"/>
        </w:rPr>
        <w:t>约定进行定期验收；</w:t>
      </w:r>
    </w:p>
    <w:p w14:paraId="66F21218">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AEBAA47">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2.15.3检验和验收标准、程序等具体内容以及前述验收书的效力详见</w:t>
      </w:r>
      <w:r>
        <w:rPr>
          <w:rFonts w:hint="eastAsia" w:ascii="宋体" w:hAnsi="宋体" w:eastAsia="宋体" w:cs="宋体"/>
          <w:b/>
          <w:i/>
          <w:color w:val="auto"/>
          <w:kern w:val="2"/>
          <w:sz w:val="24"/>
          <w:szCs w:val="20"/>
          <w:highlight w:val="none"/>
          <w:u w:val="single"/>
          <w:lang w:eastAsia="zh-CN"/>
        </w:rPr>
        <w:t>合同约定</w:t>
      </w:r>
      <w:r>
        <w:rPr>
          <w:rFonts w:hint="eastAsia" w:ascii="宋体" w:hAnsi="宋体" w:eastAsia="宋体" w:cs="宋体"/>
          <w:i/>
          <w:color w:val="auto"/>
          <w:kern w:val="2"/>
          <w:sz w:val="24"/>
          <w:szCs w:val="20"/>
          <w:highlight w:val="none"/>
        </w:rPr>
        <w:t>。</w:t>
      </w:r>
    </w:p>
    <w:bookmarkEnd w:id="127"/>
    <w:bookmarkEnd w:id="128"/>
    <w:bookmarkEnd w:id="129"/>
    <w:bookmarkEnd w:id="130"/>
    <w:p w14:paraId="0C277E4F">
      <w:pPr>
        <w:spacing w:before="312" w:after="156" w:line="360" w:lineRule="auto"/>
        <w:ind w:right="267" w:firstLine="437"/>
        <w:outlineLvl w:val="3"/>
        <w:rPr>
          <w:rFonts w:hint="eastAsia" w:ascii="宋体" w:hAnsi="宋体" w:eastAsia="宋体" w:cs="宋体"/>
          <w:b/>
          <w:bCs/>
          <w:color w:val="auto"/>
          <w:kern w:val="2"/>
          <w:sz w:val="24"/>
          <w:szCs w:val="20"/>
          <w:highlight w:val="none"/>
        </w:rPr>
      </w:pPr>
      <w:bookmarkStart w:id="158" w:name="_Toc279701263"/>
      <w:bookmarkStart w:id="159" w:name="_Toc10330"/>
      <w:bookmarkStart w:id="160" w:name="_Toc259093692"/>
      <w:bookmarkStart w:id="161" w:name="_Toc18567"/>
      <w:bookmarkStart w:id="162" w:name="_Toc487900373"/>
      <w:bookmarkStart w:id="163" w:name="_Toc12773"/>
      <w:r>
        <w:rPr>
          <w:rFonts w:hint="eastAsia" w:ascii="宋体" w:hAnsi="宋体" w:eastAsia="宋体" w:cs="宋体"/>
          <w:b/>
          <w:bCs/>
          <w:color w:val="auto"/>
          <w:kern w:val="2"/>
          <w:sz w:val="24"/>
          <w:szCs w:val="20"/>
          <w:highlight w:val="none"/>
        </w:rPr>
        <w:t xml:space="preserve">2.16 </w:t>
      </w:r>
      <w:r>
        <w:rPr>
          <w:rFonts w:hint="eastAsia" w:ascii="宋体" w:hAnsi="宋体" w:eastAsia="宋体" w:cs="宋体"/>
          <w:b/>
          <w:bCs/>
          <w:color w:val="auto"/>
          <w:kern w:val="2"/>
          <w:sz w:val="24"/>
          <w:szCs w:val="20"/>
          <w:highlight w:val="none"/>
          <w:lang w:val="zh-CN"/>
        </w:rPr>
        <w:t>合同使用的文字和适用的法律</w:t>
      </w:r>
      <w:bookmarkEnd w:id="158"/>
      <w:bookmarkEnd w:id="159"/>
      <w:bookmarkEnd w:id="160"/>
      <w:bookmarkEnd w:id="161"/>
      <w:bookmarkEnd w:id="162"/>
      <w:bookmarkEnd w:id="163"/>
    </w:p>
    <w:p w14:paraId="61D70BBA">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2.16.1合同使用汉语书就、变更和解释；</w:t>
      </w:r>
    </w:p>
    <w:p w14:paraId="1B5A5FFC">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2.16.2合同适用中华人民共和国法律。</w:t>
      </w:r>
    </w:p>
    <w:p w14:paraId="7332CE50">
      <w:pPr>
        <w:spacing w:before="312" w:after="156" w:line="360" w:lineRule="auto"/>
        <w:ind w:right="267" w:firstLine="437"/>
        <w:outlineLvl w:val="3"/>
        <w:rPr>
          <w:rFonts w:hint="eastAsia" w:ascii="宋体" w:hAnsi="宋体" w:eastAsia="宋体" w:cs="宋体"/>
          <w:b/>
          <w:color w:val="auto"/>
          <w:kern w:val="2"/>
          <w:sz w:val="24"/>
          <w:szCs w:val="20"/>
          <w:highlight w:val="none"/>
        </w:rPr>
      </w:pPr>
      <w:bookmarkStart w:id="164" w:name="_Toc279701264"/>
      <w:bookmarkStart w:id="165" w:name="_Toc16673"/>
      <w:bookmarkStart w:id="166" w:name="_Toc259093693"/>
      <w:bookmarkStart w:id="167" w:name="_Toc12004"/>
      <w:bookmarkStart w:id="168" w:name="_Toc3148"/>
      <w:bookmarkStart w:id="169" w:name="_Toc487900374"/>
      <w:r>
        <w:rPr>
          <w:rFonts w:hint="eastAsia" w:ascii="宋体" w:hAnsi="宋体" w:eastAsia="宋体" w:cs="宋体"/>
          <w:b/>
          <w:bCs/>
          <w:color w:val="auto"/>
          <w:kern w:val="2"/>
          <w:sz w:val="24"/>
          <w:szCs w:val="20"/>
          <w:highlight w:val="none"/>
          <w:lang w:val="zh-CN"/>
        </w:rPr>
        <w:t>2.17 履约保证金</w:t>
      </w:r>
      <w:bookmarkEnd w:id="164"/>
      <w:bookmarkEnd w:id="165"/>
      <w:bookmarkEnd w:id="166"/>
      <w:bookmarkEnd w:id="167"/>
      <w:bookmarkEnd w:id="168"/>
    </w:p>
    <w:p w14:paraId="4362FF8A">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2.17.1招标文件要求乙方提交履约保证金的，乙方应按</w:t>
      </w:r>
      <w:r>
        <w:rPr>
          <w:rFonts w:hint="eastAsia" w:ascii="宋体" w:hAnsi="宋体" w:eastAsia="宋体" w:cs="宋体"/>
          <w:b/>
          <w:i/>
          <w:color w:val="auto"/>
          <w:kern w:val="2"/>
          <w:sz w:val="24"/>
          <w:szCs w:val="20"/>
          <w:highlight w:val="none"/>
          <w:u w:val="single"/>
          <w:lang w:eastAsia="zh-CN"/>
        </w:rPr>
        <w:t>合同</w:t>
      </w:r>
      <w:r>
        <w:rPr>
          <w:rFonts w:hint="eastAsia" w:ascii="宋体" w:hAnsi="宋体" w:eastAsia="宋体" w:cs="宋体"/>
          <w:color w:val="auto"/>
          <w:kern w:val="2"/>
          <w:sz w:val="24"/>
          <w:szCs w:val="20"/>
          <w:highlight w:val="none"/>
        </w:rPr>
        <w:t>约定的方式，以支票、汇票、本票或者金融机构、担保机构出具的保函等非现金形式，提交不超过合同价10%的履约保证金；</w:t>
      </w:r>
    </w:p>
    <w:p w14:paraId="5B869F9F">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2.17.2履约保证金在</w:t>
      </w:r>
      <w:r>
        <w:rPr>
          <w:rFonts w:hint="eastAsia" w:ascii="宋体" w:hAnsi="宋体" w:eastAsia="宋体" w:cs="宋体"/>
          <w:b/>
          <w:i/>
          <w:color w:val="auto"/>
          <w:kern w:val="2"/>
          <w:sz w:val="24"/>
          <w:szCs w:val="20"/>
          <w:highlight w:val="none"/>
          <w:u w:val="single"/>
        </w:rPr>
        <w:t>合同</w:t>
      </w:r>
      <w:r>
        <w:rPr>
          <w:rFonts w:hint="eastAsia" w:ascii="宋体" w:hAnsi="宋体" w:eastAsia="宋体" w:cs="宋体"/>
          <w:color w:val="auto"/>
          <w:kern w:val="2"/>
          <w:sz w:val="24"/>
          <w:szCs w:val="20"/>
          <w:highlight w:val="none"/>
        </w:rPr>
        <w:t>约定期间内不予退还或者应完全有效，前述约定期间届满之日起</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u w:val="single"/>
          <w:lang w:val="en-US" w:eastAsia="zh-CN"/>
        </w:rPr>
        <w:t>30</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个工作日内，甲方应将履约保证金退还乙方；</w:t>
      </w:r>
    </w:p>
    <w:p w14:paraId="5CB841B9">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9"/>
    <w:p w14:paraId="40343E71">
      <w:pPr>
        <w:spacing w:before="312" w:after="156" w:line="360" w:lineRule="auto"/>
        <w:ind w:right="267" w:firstLine="437"/>
        <w:outlineLvl w:val="3"/>
        <w:rPr>
          <w:rFonts w:hint="eastAsia" w:ascii="宋体" w:hAnsi="宋体" w:eastAsia="宋体" w:cs="宋体"/>
          <w:b/>
          <w:color w:val="auto"/>
          <w:kern w:val="2"/>
          <w:sz w:val="24"/>
          <w:szCs w:val="20"/>
          <w:highlight w:val="none"/>
        </w:rPr>
      </w:pPr>
      <w:bookmarkStart w:id="170" w:name="_Toc14001"/>
      <w:bookmarkStart w:id="171" w:name="_Toc19890"/>
      <w:bookmarkStart w:id="172" w:name="_Toc6885"/>
      <w:r>
        <w:rPr>
          <w:rFonts w:hint="eastAsia" w:ascii="宋体" w:hAnsi="宋体" w:eastAsia="宋体" w:cs="宋体"/>
          <w:b/>
          <w:bCs/>
          <w:color w:val="auto"/>
          <w:kern w:val="2"/>
          <w:sz w:val="24"/>
          <w:szCs w:val="20"/>
          <w:highlight w:val="none"/>
          <w:lang w:val="zh-CN"/>
        </w:rPr>
        <w:t>2.18 合同份数</w:t>
      </w:r>
      <w:bookmarkEnd w:id="170"/>
      <w:bookmarkEnd w:id="171"/>
      <w:bookmarkEnd w:id="172"/>
    </w:p>
    <w:p w14:paraId="7E8F23F5">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合同份数按</w:t>
      </w:r>
      <w:r>
        <w:rPr>
          <w:rFonts w:hint="eastAsia" w:ascii="宋体" w:hAnsi="宋体" w:eastAsia="宋体" w:cs="宋体"/>
          <w:b/>
          <w:i/>
          <w:color w:val="auto"/>
          <w:kern w:val="2"/>
          <w:sz w:val="24"/>
          <w:szCs w:val="20"/>
          <w:highlight w:val="none"/>
          <w:u w:val="single"/>
        </w:rPr>
        <w:t>合同</w:t>
      </w:r>
      <w:r>
        <w:rPr>
          <w:rFonts w:hint="eastAsia" w:ascii="宋体" w:hAnsi="宋体" w:eastAsia="宋体" w:cs="宋体"/>
          <w:b/>
          <w:i/>
          <w:color w:val="auto"/>
          <w:kern w:val="2"/>
          <w:sz w:val="24"/>
          <w:szCs w:val="20"/>
          <w:highlight w:val="none"/>
          <w:u w:val="single"/>
          <w:lang w:eastAsia="zh-CN"/>
        </w:rPr>
        <w:t>约定</w:t>
      </w:r>
      <w:r>
        <w:rPr>
          <w:rFonts w:hint="eastAsia" w:ascii="宋体" w:hAnsi="宋体" w:eastAsia="宋体" w:cs="宋体"/>
          <w:color w:val="auto"/>
          <w:kern w:val="2"/>
          <w:sz w:val="24"/>
          <w:szCs w:val="20"/>
          <w:highlight w:val="none"/>
        </w:rPr>
        <w:t>，每份均具有同等法律效力。</w:t>
      </w:r>
    </w:p>
    <w:p w14:paraId="40A26899">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color w:val="auto"/>
          <w:kern w:val="2"/>
          <w:sz w:val="24"/>
          <w:szCs w:val="20"/>
          <w:highlight w:val="none"/>
        </w:rPr>
        <w:br w:type="page"/>
      </w:r>
      <w:bookmarkStart w:id="173" w:name="_Toc331685784"/>
      <w:r>
        <w:rPr>
          <w:rFonts w:hint="eastAsia" w:ascii="宋体" w:hAnsi="宋体" w:eastAsia="宋体" w:cs="宋体"/>
          <w:b/>
          <w:color w:val="auto"/>
          <w:kern w:val="2"/>
          <w:sz w:val="24"/>
          <w:szCs w:val="20"/>
          <w:highlight w:val="none"/>
        </w:rPr>
        <w:t>第三部分 合同专用条款</w:t>
      </w:r>
      <w:bookmarkEnd w:id="173"/>
    </w:p>
    <w:p w14:paraId="6126729D">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A2B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DC15524">
            <w:pPr>
              <w:spacing w:before="312" w:after="156"/>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条款号</w:t>
            </w:r>
          </w:p>
        </w:tc>
        <w:tc>
          <w:tcPr>
            <w:tcW w:w="7568" w:type="dxa"/>
            <w:vAlign w:val="center"/>
          </w:tcPr>
          <w:p w14:paraId="2E486933">
            <w:pPr>
              <w:spacing w:before="312" w:after="156"/>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约定内容</w:t>
            </w:r>
          </w:p>
        </w:tc>
      </w:tr>
      <w:tr w14:paraId="11628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9225AB2">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2C75BF36">
            <w:pPr>
              <w:spacing w:before="312" w:after="156" w:line="560" w:lineRule="exact"/>
              <w:ind w:right="267"/>
              <w:rPr>
                <w:rFonts w:hint="eastAsia" w:ascii="宋体" w:hAnsi="宋体" w:eastAsia="宋体" w:cs="宋体"/>
                <w:color w:val="auto"/>
                <w:kern w:val="2"/>
                <w:sz w:val="24"/>
                <w:szCs w:val="20"/>
                <w:highlight w:val="none"/>
              </w:rPr>
            </w:pPr>
          </w:p>
        </w:tc>
      </w:tr>
      <w:tr w14:paraId="18B6B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9DAA1">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77BA21A4">
            <w:pPr>
              <w:spacing w:before="312" w:after="156" w:line="560" w:lineRule="exact"/>
              <w:ind w:right="267"/>
              <w:rPr>
                <w:rFonts w:hint="eastAsia" w:ascii="宋体" w:hAnsi="宋体" w:eastAsia="宋体" w:cs="宋体"/>
                <w:color w:val="auto"/>
                <w:kern w:val="2"/>
                <w:sz w:val="24"/>
                <w:szCs w:val="20"/>
                <w:highlight w:val="none"/>
              </w:rPr>
            </w:pPr>
          </w:p>
        </w:tc>
      </w:tr>
      <w:tr w14:paraId="1AFC8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24A746C">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4B9D2382">
            <w:pPr>
              <w:spacing w:before="312" w:after="156" w:line="560" w:lineRule="exact"/>
              <w:ind w:right="267"/>
              <w:rPr>
                <w:rFonts w:hint="eastAsia" w:ascii="宋体" w:hAnsi="宋体" w:eastAsia="宋体" w:cs="宋体"/>
                <w:color w:val="auto"/>
                <w:kern w:val="2"/>
                <w:sz w:val="24"/>
                <w:szCs w:val="20"/>
                <w:highlight w:val="none"/>
              </w:rPr>
            </w:pPr>
          </w:p>
        </w:tc>
      </w:tr>
      <w:tr w14:paraId="3B562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BA18386">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0A6585E9">
            <w:pPr>
              <w:spacing w:before="312" w:after="156" w:line="560" w:lineRule="exact"/>
              <w:ind w:right="267"/>
              <w:rPr>
                <w:rFonts w:hint="eastAsia" w:ascii="宋体" w:hAnsi="宋体" w:eastAsia="宋体" w:cs="宋体"/>
                <w:color w:val="auto"/>
                <w:kern w:val="2"/>
                <w:sz w:val="24"/>
                <w:szCs w:val="20"/>
                <w:highlight w:val="none"/>
              </w:rPr>
            </w:pPr>
          </w:p>
        </w:tc>
      </w:tr>
      <w:tr w14:paraId="4E5CB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1524CFB">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4BB0E0A7">
            <w:pPr>
              <w:spacing w:before="312" w:after="156" w:line="560" w:lineRule="exact"/>
              <w:ind w:right="267"/>
              <w:rPr>
                <w:rFonts w:hint="eastAsia" w:ascii="宋体" w:hAnsi="宋体" w:eastAsia="宋体" w:cs="宋体"/>
                <w:color w:val="auto"/>
                <w:kern w:val="2"/>
                <w:sz w:val="24"/>
                <w:szCs w:val="20"/>
                <w:highlight w:val="none"/>
                <w:u w:val="single"/>
              </w:rPr>
            </w:pPr>
          </w:p>
        </w:tc>
      </w:tr>
      <w:tr w14:paraId="2FA63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7393646">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37188BFA">
            <w:pPr>
              <w:spacing w:before="312" w:after="156" w:line="560" w:lineRule="exact"/>
              <w:ind w:right="267"/>
              <w:rPr>
                <w:rFonts w:hint="eastAsia" w:ascii="宋体" w:hAnsi="宋体" w:eastAsia="宋体" w:cs="宋体"/>
                <w:color w:val="auto"/>
                <w:kern w:val="2"/>
                <w:sz w:val="24"/>
                <w:szCs w:val="20"/>
                <w:highlight w:val="none"/>
              </w:rPr>
            </w:pPr>
          </w:p>
        </w:tc>
      </w:tr>
      <w:tr w14:paraId="5849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6AC1A2C">
            <w:pPr>
              <w:spacing w:before="312" w:after="156" w:line="560" w:lineRule="exact"/>
              <w:ind w:right="267"/>
              <w:rPr>
                <w:rFonts w:hint="eastAsia" w:ascii="宋体" w:hAnsi="宋体" w:eastAsia="宋体" w:cs="宋体"/>
                <w:color w:val="auto"/>
                <w:kern w:val="2"/>
                <w:sz w:val="24"/>
                <w:szCs w:val="20"/>
                <w:highlight w:val="none"/>
              </w:rPr>
            </w:pPr>
          </w:p>
        </w:tc>
        <w:tc>
          <w:tcPr>
            <w:tcW w:w="7568" w:type="dxa"/>
            <w:vAlign w:val="center"/>
          </w:tcPr>
          <w:p w14:paraId="0BE79B2A">
            <w:pPr>
              <w:spacing w:before="312" w:after="156" w:line="560" w:lineRule="exact"/>
              <w:ind w:right="267"/>
              <w:rPr>
                <w:rFonts w:hint="eastAsia" w:ascii="宋体" w:hAnsi="宋体" w:eastAsia="宋体" w:cs="宋体"/>
                <w:color w:val="auto"/>
                <w:kern w:val="2"/>
                <w:sz w:val="24"/>
                <w:szCs w:val="20"/>
                <w:highlight w:val="none"/>
                <w:u w:val="single"/>
              </w:rPr>
            </w:pPr>
          </w:p>
        </w:tc>
      </w:tr>
      <w:bookmarkEnd w:id="38"/>
    </w:tbl>
    <w:p w14:paraId="3F9AAEA0">
      <w:pPr>
        <w:spacing w:before="312" w:after="156" w:line="360" w:lineRule="auto"/>
        <w:ind w:right="266"/>
        <w:jc w:val="center"/>
        <w:outlineLvl w:val="0"/>
        <w:rPr>
          <w:rFonts w:hint="eastAsia" w:ascii="宋体" w:hAnsi="宋体" w:eastAsia="宋体" w:cs="宋体"/>
          <w:b/>
          <w:color w:val="auto"/>
          <w:kern w:val="2"/>
          <w:sz w:val="28"/>
          <w:szCs w:val="20"/>
          <w:highlight w:val="none"/>
        </w:rPr>
      </w:pPr>
      <w:r>
        <w:rPr>
          <w:rFonts w:ascii="Times New Roman" w:hAnsi="Times New Roman" w:eastAsia="宋体" w:cs="Times New Roman"/>
          <w:bCs/>
          <w:color w:val="auto"/>
          <w:sz w:val="24"/>
          <w:highlight w:val="none"/>
        </w:rPr>
        <w:br w:type="page"/>
      </w:r>
      <w:r>
        <w:rPr>
          <w:rFonts w:hint="eastAsia" w:ascii="宋体" w:hAnsi="宋体" w:eastAsia="宋体" w:cs="宋体"/>
          <w:b/>
          <w:color w:val="auto"/>
          <w:kern w:val="2"/>
          <w:sz w:val="28"/>
          <w:szCs w:val="20"/>
          <w:highlight w:val="none"/>
        </w:rPr>
        <w:t>第六章  响应文件格式</w:t>
      </w:r>
      <w:bookmarkEnd w:id="39"/>
      <w:bookmarkEnd w:id="40"/>
    </w:p>
    <w:p w14:paraId="2C2A0FF6">
      <w:pPr>
        <w:spacing w:before="312" w:after="156" w:line="900" w:lineRule="exact"/>
        <w:ind w:right="267"/>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32"/>
          <w:szCs w:val="20"/>
          <w:highlight w:val="none"/>
        </w:rPr>
        <w:t>常青街道邻里坊3号楼时光成长空间物业单位招标</w:t>
      </w:r>
    </w:p>
    <w:p w14:paraId="64B3100E">
      <w:pPr>
        <w:spacing w:before="140" w:after="156" w:line="900" w:lineRule="exact"/>
        <w:ind w:right="266"/>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72"/>
          <w:szCs w:val="20"/>
          <w:highlight w:val="none"/>
        </w:rPr>
        <w:t>响</w:t>
      </w:r>
    </w:p>
    <w:p w14:paraId="447BD20F">
      <w:pPr>
        <w:spacing w:before="140" w:after="156" w:line="900" w:lineRule="exact"/>
        <w:ind w:right="266"/>
        <w:jc w:val="center"/>
        <w:rPr>
          <w:rFonts w:hint="eastAsia" w:ascii="宋体" w:hAnsi="宋体" w:eastAsia="宋体" w:cs="宋体"/>
          <w:b/>
          <w:color w:val="auto"/>
          <w:kern w:val="2"/>
          <w:sz w:val="72"/>
          <w:szCs w:val="20"/>
          <w:highlight w:val="none"/>
        </w:rPr>
      </w:pPr>
    </w:p>
    <w:p w14:paraId="5D3675A5">
      <w:pPr>
        <w:spacing w:before="140" w:after="156" w:line="900" w:lineRule="exact"/>
        <w:ind w:right="266"/>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72"/>
          <w:szCs w:val="20"/>
          <w:highlight w:val="none"/>
        </w:rPr>
        <w:t>应</w:t>
      </w:r>
    </w:p>
    <w:p w14:paraId="0D4C1FE0">
      <w:pPr>
        <w:spacing w:before="140" w:after="156" w:line="900" w:lineRule="exact"/>
        <w:ind w:right="266"/>
        <w:jc w:val="center"/>
        <w:rPr>
          <w:rFonts w:hint="eastAsia" w:ascii="宋体" w:hAnsi="宋体" w:eastAsia="宋体" w:cs="宋体"/>
          <w:b/>
          <w:color w:val="auto"/>
          <w:kern w:val="2"/>
          <w:sz w:val="72"/>
          <w:szCs w:val="20"/>
          <w:highlight w:val="none"/>
        </w:rPr>
      </w:pPr>
    </w:p>
    <w:p w14:paraId="3C6F7B30">
      <w:pPr>
        <w:spacing w:before="140" w:after="156" w:line="900" w:lineRule="exact"/>
        <w:ind w:right="266"/>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72"/>
          <w:szCs w:val="20"/>
          <w:highlight w:val="none"/>
        </w:rPr>
        <w:t>文</w:t>
      </w:r>
    </w:p>
    <w:p w14:paraId="1BD5BDBA">
      <w:pPr>
        <w:spacing w:before="140" w:after="156" w:line="900" w:lineRule="exact"/>
        <w:ind w:right="266"/>
        <w:jc w:val="center"/>
        <w:rPr>
          <w:rFonts w:hint="eastAsia" w:ascii="宋体" w:hAnsi="宋体" w:eastAsia="宋体" w:cs="宋体"/>
          <w:b/>
          <w:color w:val="auto"/>
          <w:kern w:val="2"/>
          <w:sz w:val="72"/>
          <w:szCs w:val="20"/>
          <w:highlight w:val="none"/>
        </w:rPr>
      </w:pPr>
    </w:p>
    <w:p w14:paraId="71DC4183">
      <w:pPr>
        <w:spacing w:before="140" w:after="156"/>
        <w:ind w:right="266"/>
        <w:jc w:val="center"/>
        <w:rPr>
          <w:rFonts w:hint="eastAsia" w:ascii="宋体" w:hAnsi="宋体" w:eastAsia="宋体" w:cs="宋体"/>
          <w:b/>
          <w:color w:val="auto"/>
          <w:kern w:val="2"/>
          <w:sz w:val="72"/>
          <w:szCs w:val="20"/>
          <w:highlight w:val="none"/>
        </w:rPr>
      </w:pPr>
      <w:r>
        <w:rPr>
          <w:rFonts w:hint="eastAsia" w:ascii="宋体" w:hAnsi="宋体" w:eastAsia="宋体" w:cs="宋体"/>
          <w:b/>
          <w:color w:val="auto"/>
          <w:kern w:val="2"/>
          <w:sz w:val="72"/>
          <w:szCs w:val="20"/>
          <w:highlight w:val="none"/>
        </w:rPr>
        <w:t>件</w:t>
      </w:r>
    </w:p>
    <w:p w14:paraId="1D0D8682">
      <w:pPr>
        <w:spacing w:before="312" w:after="156" w:afterLines="50" w:line="500" w:lineRule="exact"/>
        <w:ind w:right="267"/>
        <w:rPr>
          <w:rFonts w:hint="eastAsia" w:ascii="宋体" w:hAnsi="宋体" w:eastAsia="宋体" w:cs="宋体"/>
          <w:b/>
          <w:color w:val="auto"/>
          <w:kern w:val="2"/>
          <w:sz w:val="72"/>
          <w:szCs w:val="20"/>
          <w:highlight w:val="none"/>
        </w:rPr>
      </w:pPr>
    </w:p>
    <w:p w14:paraId="541D6420">
      <w:pPr>
        <w:spacing w:before="312" w:after="156" w:afterLines="50" w:line="500" w:lineRule="exact"/>
        <w:ind w:right="267"/>
        <w:rPr>
          <w:rFonts w:hint="eastAsia" w:ascii="宋体" w:hAnsi="宋体" w:eastAsia="宋体" w:cs="宋体"/>
          <w:b/>
          <w:color w:val="auto"/>
          <w:kern w:val="2"/>
          <w:sz w:val="72"/>
          <w:szCs w:val="20"/>
          <w:highlight w:val="none"/>
        </w:rPr>
      </w:pPr>
    </w:p>
    <w:p w14:paraId="2AEDFC53">
      <w:pPr>
        <w:spacing w:before="312" w:after="156" w:afterLines="50" w:line="500" w:lineRule="exact"/>
        <w:ind w:right="267" w:firstLine="2522" w:firstLineChars="785"/>
        <w:rPr>
          <w:rFonts w:hint="eastAsia" w:ascii="宋体" w:hAnsi="宋体" w:eastAsia="宋体" w:cs="宋体"/>
          <w:b/>
          <w:color w:val="auto"/>
          <w:kern w:val="2"/>
          <w:sz w:val="32"/>
          <w:szCs w:val="20"/>
          <w:highlight w:val="none"/>
          <w:u w:val="single"/>
        </w:rPr>
      </w:pPr>
      <w:r>
        <w:rPr>
          <w:rFonts w:hint="eastAsia" w:ascii="宋体" w:hAnsi="宋体" w:eastAsia="宋体" w:cs="宋体"/>
          <w:b/>
          <w:color w:val="auto"/>
          <w:kern w:val="2"/>
          <w:sz w:val="32"/>
          <w:szCs w:val="20"/>
          <w:highlight w:val="none"/>
        </w:rPr>
        <w:t>投标人：</w:t>
      </w:r>
      <w:r>
        <w:rPr>
          <w:rFonts w:hint="eastAsia" w:ascii="宋体" w:hAnsi="宋体" w:eastAsia="宋体" w:cs="宋体"/>
          <w:b/>
          <w:color w:val="auto"/>
          <w:kern w:val="2"/>
          <w:sz w:val="32"/>
          <w:szCs w:val="20"/>
          <w:highlight w:val="none"/>
          <w:u w:val="single"/>
        </w:rPr>
        <w:t xml:space="preserve">               </w:t>
      </w:r>
    </w:p>
    <w:p w14:paraId="1CE64810">
      <w:pPr>
        <w:spacing w:before="312" w:after="156" w:afterLines="50" w:line="500" w:lineRule="exact"/>
        <w:ind w:right="267"/>
        <w:jc w:val="center"/>
        <w:rPr>
          <w:rFonts w:hint="eastAsia" w:ascii="宋体" w:hAnsi="宋体" w:eastAsia="宋体" w:cs="宋体"/>
          <w:b/>
          <w:color w:val="auto"/>
          <w:kern w:val="2"/>
          <w:sz w:val="32"/>
          <w:szCs w:val="20"/>
          <w:highlight w:val="none"/>
        </w:rPr>
      </w:pPr>
      <w:r>
        <w:rPr>
          <w:rFonts w:hint="eastAsia" w:ascii="宋体" w:hAnsi="宋体" w:eastAsia="宋体" w:cs="宋体"/>
          <w:b/>
          <w:color w:val="auto"/>
          <w:kern w:val="2"/>
          <w:sz w:val="32"/>
          <w:szCs w:val="20"/>
          <w:highlight w:val="none"/>
          <w:u w:val="single"/>
        </w:rPr>
        <w:t xml:space="preserve">    </w:t>
      </w:r>
      <w:r>
        <w:rPr>
          <w:rFonts w:hint="eastAsia" w:ascii="宋体" w:hAnsi="宋体" w:eastAsia="宋体" w:cs="宋体"/>
          <w:b/>
          <w:color w:val="auto"/>
          <w:kern w:val="2"/>
          <w:sz w:val="32"/>
          <w:szCs w:val="20"/>
          <w:highlight w:val="none"/>
        </w:rPr>
        <w:t>年</w:t>
      </w:r>
      <w:r>
        <w:rPr>
          <w:rFonts w:hint="eastAsia" w:ascii="宋体" w:hAnsi="宋体" w:eastAsia="宋体" w:cs="宋体"/>
          <w:b/>
          <w:color w:val="auto"/>
          <w:kern w:val="2"/>
          <w:sz w:val="32"/>
          <w:szCs w:val="20"/>
          <w:highlight w:val="none"/>
          <w:u w:val="single"/>
        </w:rPr>
        <w:t xml:space="preserve">  </w:t>
      </w:r>
      <w:r>
        <w:rPr>
          <w:rFonts w:hint="eastAsia" w:ascii="宋体" w:hAnsi="宋体" w:eastAsia="宋体" w:cs="宋体"/>
          <w:b/>
          <w:color w:val="auto"/>
          <w:kern w:val="2"/>
          <w:sz w:val="32"/>
          <w:szCs w:val="20"/>
          <w:highlight w:val="none"/>
        </w:rPr>
        <w:t>月</w:t>
      </w:r>
      <w:r>
        <w:rPr>
          <w:rFonts w:hint="eastAsia" w:ascii="宋体" w:hAnsi="宋体" w:eastAsia="宋体" w:cs="宋体"/>
          <w:b/>
          <w:color w:val="auto"/>
          <w:kern w:val="2"/>
          <w:sz w:val="32"/>
          <w:szCs w:val="20"/>
          <w:highlight w:val="none"/>
          <w:u w:val="single"/>
        </w:rPr>
        <w:t xml:space="preserve">  </w:t>
      </w:r>
      <w:r>
        <w:rPr>
          <w:rFonts w:hint="eastAsia" w:ascii="宋体" w:hAnsi="宋体" w:eastAsia="宋体" w:cs="宋体"/>
          <w:b/>
          <w:color w:val="auto"/>
          <w:kern w:val="2"/>
          <w:sz w:val="32"/>
          <w:szCs w:val="20"/>
          <w:highlight w:val="none"/>
        </w:rPr>
        <w:t>日</w:t>
      </w:r>
    </w:p>
    <w:p w14:paraId="496760AF">
      <w:pPr>
        <w:spacing w:before="312" w:after="156" w:line="360" w:lineRule="auto"/>
        <w:ind w:right="267"/>
        <w:jc w:val="center"/>
        <w:outlineLvl w:val="2"/>
        <w:rPr>
          <w:rFonts w:hint="eastAsia" w:ascii="宋体" w:hAnsi="宋体" w:eastAsia="宋体" w:cs="宋体"/>
          <w:b/>
          <w:color w:val="auto"/>
          <w:kern w:val="2"/>
          <w:sz w:val="24"/>
          <w:szCs w:val="20"/>
          <w:highlight w:val="none"/>
        </w:rPr>
      </w:pPr>
      <w:bookmarkStart w:id="174" w:name="_Toc461056631"/>
      <w:bookmarkStart w:id="175" w:name="_Toc461053086"/>
      <w:bookmarkStart w:id="176" w:name="_Toc520983587"/>
      <w:r>
        <w:rPr>
          <w:rFonts w:hint="eastAsia" w:ascii="宋体" w:hAnsi="宋体" w:eastAsia="宋体" w:cs="宋体"/>
          <w:b/>
          <w:color w:val="auto"/>
          <w:kern w:val="2"/>
          <w:sz w:val="24"/>
          <w:szCs w:val="20"/>
          <w:highlight w:val="none"/>
        </w:rPr>
        <w:t>一</w:t>
      </w:r>
      <w:bookmarkEnd w:id="174"/>
      <w:bookmarkEnd w:id="175"/>
      <w:r>
        <w:rPr>
          <w:rFonts w:hint="eastAsia" w:ascii="宋体" w:hAnsi="宋体" w:eastAsia="宋体" w:cs="宋体"/>
          <w:b/>
          <w:color w:val="auto"/>
          <w:kern w:val="2"/>
          <w:sz w:val="24"/>
          <w:szCs w:val="20"/>
          <w:highlight w:val="none"/>
        </w:rPr>
        <w:t>、报价表格式</w:t>
      </w:r>
      <w:bookmarkEnd w:id="176"/>
    </w:p>
    <w:p w14:paraId="1DF4EF5F">
      <w:pPr>
        <w:spacing w:before="156" w:beforeLines="50" w:after="156" w:afterLines="50" w:line="360" w:lineRule="auto"/>
        <w:ind w:right="267"/>
        <w:jc w:val="left"/>
        <w:rPr>
          <w:rFonts w:hint="eastAsia" w:ascii="宋体" w:hAnsi="宋体" w:eastAsia="宋体" w:cs="宋体"/>
          <w:b/>
          <w:color w:val="auto"/>
          <w:kern w:val="2"/>
          <w:sz w:val="24"/>
          <w:szCs w:val="28"/>
          <w:highlight w:val="none"/>
        </w:rPr>
      </w:pPr>
      <w:r>
        <w:rPr>
          <w:rFonts w:hint="eastAsia" w:ascii="宋体" w:hAnsi="宋体" w:eastAsia="宋体" w:cs="宋体"/>
          <w:b/>
          <w:color w:val="auto"/>
          <w:kern w:val="2"/>
          <w:sz w:val="24"/>
          <w:szCs w:val="28"/>
          <w:highlight w:val="none"/>
        </w:rPr>
        <w:t>1-1 报价表</w:t>
      </w:r>
    </w:p>
    <w:p w14:paraId="588FC229">
      <w:pPr>
        <w:snapToGrid w:val="0"/>
        <w:spacing w:before="312" w:after="156" w:line="360" w:lineRule="auto"/>
        <w:ind w:right="267"/>
        <w:jc w:val="left"/>
        <w:rPr>
          <w:rFonts w:hint="eastAsia" w:ascii="宋体" w:hAnsi="宋体" w:eastAsia="宋体" w:cs="宋体"/>
          <w:b/>
          <w:color w:val="auto"/>
          <w:kern w:val="2"/>
          <w:sz w:val="24"/>
          <w:szCs w:val="28"/>
          <w:highlight w:val="none"/>
        </w:rPr>
      </w:pPr>
      <w:r>
        <w:rPr>
          <w:rFonts w:hint="eastAsia" w:ascii="宋体" w:hAnsi="宋体" w:eastAsia="宋体" w:cs="宋体"/>
          <w:b/>
          <w:color w:val="auto"/>
          <w:kern w:val="2"/>
          <w:sz w:val="24"/>
          <w:szCs w:val="28"/>
          <w:highlight w:val="none"/>
        </w:rPr>
        <w:t>项目名称：</w:t>
      </w:r>
      <w:r>
        <w:rPr>
          <w:rFonts w:hint="eastAsia" w:ascii="宋体" w:hAnsi="宋体" w:eastAsia="宋体" w:cs="宋体"/>
          <w:b/>
          <w:color w:val="auto"/>
          <w:kern w:val="2"/>
          <w:sz w:val="24"/>
          <w:szCs w:val="28"/>
          <w:highlight w:val="none"/>
          <w:u w:val="single"/>
        </w:rPr>
        <w:t xml:space="preserve">  常青街道邻里坊3号楼时光成长空间物业单位招标    </w:t>
      </w:r>
    </w:p>
    <w:p w14:paraId="1E189702">
      <w:pPr>
        <w:snapToGrid w:val="0"/>
        <w:spacing w:before="312" w:after="156" w:afterLines="50" w:line="360" w:lineRule="auto"/>
        <w:ind w:right="267"/>
        <w:jc w:val="left"/>
        <w:rPr>
          <w:rFonts w:hint="eastAsia" w:ascii="宋体" w:hAnsi="宋体" w:eastAsia="宋体" w:cs="宋体"/>
          <w:b/>
          <w:bCs/>
          <w:color w:val="auto"/>
          <w:kern w:val="2"/>
          <w:sz w:val="24"/>
          <w:szCs w:val="28"/>
          <w:highlight w:val="none"/>
          <w:u w:val="single"/>
        </w:rPr>
      </w:pPr>
      <w:r>
        <w:rPr>
          <w:rFonts w:hint="eastAsia" w:ascii="宋体" w:hAnsi="宋体" w:eastAsia="宋体" w:cs="宋体"/>
          <w:b/>
          <w:color w:val="auto"/>
          <w:kern w:val="2"/>
          <w:sz w:val="24"/>
          <w:szCs w:val="28"/>
          <w:highlight w:val="none"/>
        </w:rPr>
        <w:t>项目编号：</w:t>
      </w:r>
      <w:r>
        <w:rPr>
          <w:rFonts w:hint="eastAsia" w:ascii="宋体" w:hAnsi="宋体" w:eastAsia="宋体" w:cs="宋体"/>
          <w:b/>
          <w:color w:val="auto"/>
          <w:kern w:val="2"/>
          <w:sz w:val="24"/>
          <w:szCs w:val="28"/>
          <w:highlight w:val="none"/>
          <w:u w:val="single"/>
        </w:rPr>
        <w:t xml:space="preserve">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25D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065E1B9">
            <w:pPr>
              <w:spacing w:before="312" w:after="156" w:line="360" w:lineRule="auto"/>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投标人名称</w:t>
            </w:r>
          </w:p>
        </w:tc>
        <w:tc>
          <w:tcPr>
            <w:tcW w:w="6063" w:type="dxa"/>
            <w:tcBorders>
              <w:left w:val="single" w:color="auto" w:sz="4" w:space="0"/>
            </w:tcBorders>
          </w:tcPr>
          <w:p w14:paraId="4F91404F">
            <w:pPr>
              <w:spacing w:before="312" w:after="156" w:line="360" w:lineRule="auto"/>
              <w:ind w:right="267"/>
              <w:rPr>
                <w:rFonts w:hint="eastAsia" w:ascii="宋体" w:hAnsi="宋体" w:eastAsia="宋体" w:cs="宋体"/>
                <w:b/>
                <w:color w:val="auto"/>
                <w:kern w:val="2"/>
                <w:sz w:val="24"/>
                <w:szCs w:val="20"/>
                <w:highlight w:val="none"/>
              </w:rPr>
            </w:pPr>
          </w:p>
        </w:tc>
      </w:tr>
      <w:tr w14:paraId="44BA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6366542">
            <w:pPr>
              <w:spacing w:before="312" w:after="156" w:line="360" w:lineRule="exact"/>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投标范围</w:t>
            </w:r>
          </w:p>
        </w:tc>
        <w:tc>
          <w:tcPr>
            <w:tcW w:w="6063" w:type="dxa"/>
            <w:tcBorders>
              <w:left w:val="single" w:color="auto" w:sz="4" w:space="0"/>
            </w:tcBorders>
            <w:vAlign w:val="center"/>
          </w:tcPr>
          <w:p w14:paraId="3FD76141">
            <w:pPr>
              <w:widowControl/>
              <w:spacing w:before="312" w:after="156" w:line="360" w:lineRule="exact"/>
              <w:ind w:right="267"/>
              <w:rPr>
                <w:rFonts w:hint="eastAsia" w:ascii="宋体" w:hAnsi="宋体" w:eastAsia="宋体" w:cs="宋体"/>
                <w:b/>
                <w:color w:val="auto"/>
                <w:kern w:val="2"/>
                <w:sz w:val="24"/>
                <w:szCs w:val="20"/>
                <w:highlight w:val="none"/>
              </w:rPr>
            </w:pPr>
            <w:r>
              <w:rPr>
                <w:rFonts w:hint="eastAsia" w:ascii="宋体" w:hAnsi="宋体" w:eastAsia="宋体" w:cs="宋体"/>
                <w:color w:val="auto"/>
                <w:kern w:val="2"/>
                <w:sz w:val="24"/>
                <w:szCs w:val="28"/>
                <w:highlight w:val="none"/>
              </w:rPr>
              <w:t xml:space="preserve">全部 </w:t>
            </w:r>
          </w:p>
        </w:tc>
      </w:tr>
      <w:tr w14:paraId="5FEF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459" w:type="dxa"/>
            <w:tcBorders>
              <w:top w:val="single" w:color="auto" w:sz="4" w:space="0"/>
            </w:tcBorders>
            <w:vAlign w:val="center"/>
          </w:tcPr>
          <w:p w14:paraId="4DF0FDC3">
            <w:pPr>
              <w:spacing w:before="312" w:after="156" w:line="360" w:lineRule="auto"/>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报价</w:t>
            </w:r>
          </w:p>
          <w:p w14:paraId="3143F8FC">
            <w:pPr>
              <w:spacing w:before="312" w:after="156" w:line="360" w:lineRule="auto"/>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（详见备注说明）</w:t>
            </w:r>
          </w:p>
        </w:tc>
        <w:tc>
          <w:tcPr>
            <w:tcW w:w="6063" w:type="dxa"/>
            <w:vAlign w:val="center"/>
          </w:tcPr>
          <w:p w14:paraId="17B3988B">
            <w:pPr>
              <w:snapToGrid w:val="0"/>
              <w:spacing w:before="312" w:after="156" w:line="360" w:lineRule="auto"/>
              <w:ind w:right="267"/>
              <w:rPr>
                <w:rFonts w:hint="eastAsia" w:eastAsia="宋体"/>
                <w:color w:val="auto"/>
                <w:highlight w:val="none"/>
                <w:lang w:val="en-US" w:eastAsia="zh-CN"/>
              </w:rPr>
            </w:pPr>
            <w:r>
              <w:rPr>
                <w:rFonts w:hint="eastAsia" w:ascii="宋体" w:hAnsi="宋体" w:eastAsia="宋体" w:cs="宋体"/>
                <w:color w:val="auto"/>
                <w:kern w:val="2"/>
                <w:sz w:val="24"/>
                <w:szCs w:val="20"/>
                <w:highlight w:val="none"/>
                <w:lang w:eastAsia="zh-CN"/>
              </w:rPr>
              <w:t>总价报价：</w:t>
            </w:r>
            <w:r>
              <w:rPr>
                <w:rFonts w:hint="eastAsia" w:ascii="宋体" w:hAnsi="宋体" w:eastAsia="宋体" w:cs="宋体"/>
                <w:color w:val="auto"/>
                <w:kern w:val="2"/>
                <w:sz w:val="24"/>
                <w:szCs w:val="20"/>
                <w:highlight w:val="none"/>
              </w:rPr>
              <w:t>人民币</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4"/>
                <w:highlight w:val="none"/>
                <w:u w:val="single"/>
              </w:rPr>
              <w:t>元</w:t>
            </w:r>
            <w:r>
              <w:rPr>
                <w:rFonts w:hint="eastAsia" w:ascii="宋体" w:hAnsi="宋体" w:eastAsia="宋体" w:cs="宋体"/>
                <w:color w:val="auto"/>
                <w:kern w:val="2"/>
                <w:sz w:val="24"/>
                <w:szCs w:val="24"/>
                <w:highlight w:val="none"/>
                <w:u w:val="single"/>
                <w:lang w:val="en-US" w:eastAsia="zh-CN"/>
              </w:rPr>
              <w:t>/年</w:t>
            </w:r>
          </w:p>
          <w:p w14:paraId="112D13E0">
            <w:pPr>
              <w:snapToGrid w:val="0"/>
              <w:spacing w:before="312" w:after="156" w:line="360" w:lineRule="auto"/>
              <w:ind w:right="267"/>
              <w:rPr>
                <w:rFonts w:hint="default" w:eastAsia="宋体"/>
                <w:color w:val="auto"/>
                <w:highlight w:val="none"/>
                <w:lang w:val="en-US" w:eastAsia="zh-CN"/>
              </w:rPr>
            </w:pPr>
            <w:r>
              <w:rPr>
                <w:rFonts w:hint="eastAsia" w:ascii="宋体" w:hAnsi="宋体" w:eastAsia="宋体" w:cs="宋体"/>
                <w:color w:val="auto"/>
                <w:kern w:val="2"/>
                <w:sz w:val="24"/>
                <w:szCs w:val="20"/>
                <w:highlight w:val="none"/>
                <w:lang w:eastAsia="zh-CN"/>
              </w:rPr>
              <w:t>单价报价：</w:t>
            </w:r>
            <w:r>
              <w:rPr>
                <w:rFonts w:hint="eastAsia" w:ascii="宋体" w:hAnsi="宋体" w:eastAsia="宋体" w:cs="宋体"/>
                <w:color w:val="auto"/>
                <w:kern w:val="2"/>
                <w:sz w:val="24"/>
                <w:szCs w:val="20"/>
                <w:highlight w:val="none"/>
              </w:rPr>
              <w:t>人民币</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4"/>
                <w:highlight w:val="none"/>
                <w:u w:val="single"/>
              </w:rPr>
              <w:t>元</w:t>
            </w:r>
            <w:r>
              <w:rPr>
                <w:rFonts w:hint="eastAsia" w:ascii="宋体" w:hAnsi="宋体" w:eastAsia="宋体" w:cs="宋体"/>
                <w:color w:val="auto"/>
                <w:kern w:val="2"/>
                <w:sz w:val="24"/>
                <w:szCs w:val="24"/>
                <w:highlight w:val="none"/>
                <w:u w:val="single"/>
                <w:lang w:val="en-US" w:eastAsia="zh-CN"/>
              </w:rPr>
              <w:t>/㎡/月</w:t>
            </w:r>
          </w:p>
        </w:tc>
      </w:tr>
      <w:tr w14:paraId="7602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459" w:type="dxa"/>
            <w:vAlign w:val="center"/>
          </w:tcPr>
          <w:p w14:paraId="0ACFCEB4">
            <w:pPr>
              <w:spacing w:before="312" w:after="156" w:line="360" w:lineRule="auto"/>
              <w:ind w:right="267"/>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备注说明</w:t>
            </w:r>
          </w:p>
        </w:tc>
        <w:tc>
          <w:tcPr>
            <w:tcW w:w="6063" w:type="dxa"/>
            <w:vAlign w:val="center"/>
          </w:tcPr>
          <w:p w14:paraId="61398078">
            <w:pPr>
              <w:spacing w:before="312" w:after="156" w:line="360" w:lineRule="auto"/>
              <w:ind w:right="267"/>
              <w:rPr>
                <w:rFonts w:hint="eastAsia" w:ascii="宋体" w:hAnsi="宋体" w:eastAsia="宋体" w:cs="宋体"/>
                <w:b/>
                <w:color w:val="auto"/>
                <w:kern w:val="2"/>
                <w:sz w:val="24"/>
                <w:szCs w:val="20"/>
                <w:highlight w:val="none"/>
              </w:rPr>
            </w:pPr>
            <w:r>
              <w:rPr>
                <w:rFonts w:hint="eastAsia" w:ascii="宋体" w:hAnsi="宋体" w:eastAsia="宋体" w:cs="宋体"/>
                <w:b/>
                <w:bCs/>
                <w:color w:val="auto"/>
                <w:kern w:val="2"/>
                <w:sz w:val="24"/>
                <w:szCs w:val="24"/>
                <w:highlight w:val="none"/>
              </w:rPr>
              <w:t>投标人响应招标文件要求即可。</w:t>
            </w:r>
          </w:p>
        </w:tc>
      </w:tr>
    </w:tbl>
    <w:p w14:paraId="526EF6AD">
      <w:pPr>
        <w:spacing w:before="312" w:after="156" w:line="440" w:lineRule="exact"/>
        <w:ind w:right="267" w:firstLine="5520" w:firstLineChars="23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投标人电子签章：             </w:t>
      </w:r>
    </w:p>
    <w:p w14:paraId="05FA3387">
      <w:pPr>
        <w:spacing w:before="312" w:after="156" w:line="440" w:lineRule="exact"/>
        <w:ind w:right="267" w:firstLine="5520" w:firstLineChars="23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日          期：             </w:t>
      </w:r>
    </w:p>
    <w:p w14:paraId="6A976C00">
      <w:pPr>
        <w:keepNext w:val="0"/>
        <w:keepLines w:val="0"/>
        <w:pageBreakBefore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t>注：</w:t>
      </w:r>
    </w:p>
    <w:p w14:paraId="4F0E9498">
      <w:pPr>
        <w:spacing w:line="360" w:lineRule="auto"/>
        <w:ind w:firstLine="482" w:firstLineChars="200"/>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lang w:val="en-US" w:eastAsia="zh-CN"/>
        </w:rPr>
        <w:t>1.</w:t>
      </w:r>
      <w:r>
        <w:rPr>
          <w:rFonts w:hint="eastAsia" w:ascii="宋体" w:hAnsi="宋体" w:eastAsia="宋体" w:cs="宋体"/>
          <w:b/>
          <w:bCs/>
          <w:color w:val="auto"/>
          <w:kern w:val="2"/>
          <w:sz w:val="24"/>
          <w:szCs w:val="28"/>
          <w:highlight w:val="none"/>
        </w:rPr>
        <w:t>本表内容根据招标文件要求包括了</w:t>
      </w:r>
      <w:r>
        <w:rPr>
          <w:rFonts w:hint="eastAsia" w:ascii="宋体" w:hAnsi="宋体" w:eastAsia="宋体" w:cs="宋体"/>
          <w:b/>
          <w:bCs/>
          <w:color w:val="auto"/>
          <w:kern w:val="2"/>
          <w:sz w:val="24"/>
          <w:szCs w:val="24"/>
          <w:highlight w:val="none"/>
        </w:rPr>
        <w:t>人员工资、管理费、施工费、服装费、办公费、交通费、通讯费、培训费、税金、利润、劳动保险费、合同工期内的风险费用</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保洁基础耗材、消防维保费、电梯维保费用</w:t>
      </w:r>
      <w:r>
        <w:rPr>
          <w:rFonts w:hint="eastAsia" w:ascii="宋体" w:hAnsi="宋体" w:eastAsia="宋体" w:cs="宋体"/>
          <w:b/>
          <w:bCs/>
          <w:color w:val="auto"/>
          <w:kern w:val="2"/>
          <w:sz w:val="24"/>
          <w:szCs w:val="24"/>
          <w:highlight w:val="none"/>
        </w:rPr>
        <w:t>等为完成本次项目所发生的一切费用。</w:t>
      </w:r>
    </w:p>
    <w:p w14:paraId="6ACF7B2F">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t>2.特殊事项在备注中注明。</w:t>
      </w:r>
    </w:p>
    <w:p w14:paraId="34B5A573">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t>3.投标人应根据其响应文件中报价表的内容填写唱标信息，唱标信息不作为评审的依据。唱标信息与报价表不一致的，以报价表为准。</w:t>
      </w:r>
    </w:p>
    <w:p w14:paraId="3798EB7E">
      <w:pPr>
        <w:keepNext w:val="0"/>
        <w:keepLines w:val="0"/>
        <w:pageBreakBefore w:val="0"/>
        <w:widowControl/>
        <w:kinsoku/>
        <w:wordWrap/>
        <w:overflowPunct/>
        <w:topLinePunct w:val="0"/>
        <w:autoSpaceDE/>
        <w:autoSpaceDN/>
        <w:bidi w:val="0"/>
        <w:ind w:right="0"/>
        <w:jc w:val="left"/>
        <w:textAlignment w:val="auto"/>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br w:type="page"/>
      </w:r>
    </w:p>
    <w:p w14:paraId="008F1BE4">
      <w:pPr>
        <w:spacing w:before="312" w:after="156" w:line="360" w:lineRule="auto"/>
        <w:ind w:right="267"/>
        <w:jc w:val="center"/>
        <w:outlineLvl w:val="2"/>
        <w:rPr>
          <w:rFonts w:hint="eastAsia" w:ascii="宋体" w:hAnsi="宋体" w:eastAsia="宋体" w:cs="宋体"/>
          <w:b/>
          <w:color w:val="auto"/>
          <w:kern w:val="2"/>
          <w:sz w:val="24"/>
          <w:szCs w:val="20"/>
          <w:highlight w:val="none"/>
        </w:rPr>
      </w:pPr>
      <w:bookmarkStart w:id="177" w:name="_Toc461053087"/>
      <w:bookmarkStart w:id="178" w:name="_Toc461056632"/>
      <w:bookmarkStart w:id="179" w:name="_Toc520983588"/>
      <w:r>
        <w:rPr>
          <w:rFonts w:hint="eastAsia" w:ascii="宋体" w:hAnsi="宋体" w:eastAsia="宋体" w:cs="宋体"/>
          <w:b/>
          <w:color w:val="auto"/>
          <w:kern w:val="2"/>
          <w:sz w:val="24"/>
          <w:szCs w:val="20"/>
          <w:highlight w:val="none"/>
        </w:rPr>
        <w:t>二</w:t>
      </w:r>
      <w:bookmarkEnd w:id="177"/>
      <w:bookmarkEnd w:id="178"/>
      <w:r>
        <w:rPr>
          <w:rFonts w:hint="eastAsia" w:ascii="宋体" w:hAnsi="宋体" w:eastAsia="宋体" w:cs="宋体"/>
          <w:b/>
          <w:color w:val="auto"/>
          <w:kern w:val="2"/>
          <w:sz w:val="24"/>
          <w:szCs w:val="20"/>
          <w:highlight w:val="none"/>
        </w:rPr>
        <w:t>、最后承诺报价表</w:t>
      </w:r>
      <w:bookmarkEnd w:id="179"/>
    </w:p>
    <w:p w14:paraId="1E86905E">
      <w:pPr>
        <w:spacing w:before="312" w:after="156" w:line="360" w:lineRule="auto"/>
        <w:ind w:right="266"/>
        <w:jc w:val="center"/>
        <w:rPr>
          <w:rFonts w:hint="eastAsia" w:ascii="宋体" w:hAnsi="宋体" w:eastAsia="宋体" w:cs="宋体"/>
          <w:b/>
          <w:color w:val="auto"/>
          <w:kern w:val="2"/>
          <w:sz w:val="24"/>
          <w:szCs w:val="20"/>
          <w:highlight w:val="none"/>
        </w:rPr>
      </w:pPr>
      <w:bookmarkStart w:id="180" w:name="_Toc520983591"/>
      <w:r>
        <w:rPr>
          <w:rFonts w:hint="eastAsia" w:ascii="宋体" w:hAnsi="宋体" w:eastAsia="宋体" w:cs="宋体"/>
          <w:b/>
          <w:color w:val="auto"/>
          <w:kern w:val="2"/>
          <w:sz w:val="24"/>
          <w:szCs w:val="20"/>
          <w:highlight w:val="none"/>
        </w:rPr>
        <w:t>（本项目不适用）</w:t>
      </w:r>
    </w:p>
    <w:p w14:paraId="15A9540F">
      <w:pPr>
        <w:widowControl/>
        <w:jc w:val="left"/>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7565BD4B">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三、响应函</w:t>
      </w:r>
      <w:bookmarkEnd w:id="180"/>
    </w:p>
    <w:p w14:paraId="55A00B70">
      <w:pPr>
        <w:spacing w:before="312" w:after="156" w:line="360" w:lineRule="auto"/>
        <w:ind w:right="267" w:firstLine="472" w:firstLineChars="196"/>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致：合肥滨湖时光空间运营管理有限公司</w:t>
      </w:r>
    </w:p>
    <w:p w14:paraId="77E3BDEC">
      <w:pPr>
        <w:spacing w:before="312" w:after="156" w:line="360" w:lineRule="auto"/>
        <w:ind w:right="267" w:firstLine="480" w:firstLineChars="200"/>
        <w:rPr>
          <w:rFonts w:hint="eastAsia" w:ascii="宋体" w:hAnsi="宋体" w:eastAsia="宋体" w:cs="宋体"/>
          <w:dstrike/>
          <w:color w:val="auto"/>
          <w:kern w:val="2"/>
          <w:sz w:val="24"/>
          <w:szCs w:val="20"/>
          <w:highlight w:val="none"/>
        </w:rPr>
      </w:pPr>
      <w:r>
        <w:rPr>
          <w:rFonts w:hint="eastAsia" w:ascii="宋体" w:hAnsi="宋体" w:eastAsia="宋体" w:cs="宋体"/>
          <w:color w:val="auto"/>
          <w:kern w:val="2"/>
          <w:sz w:val="24"/>
          <w:szCs w:val="20"/>
          <w:highlight w:val="none"/>
        </w:rPr>
        <w:t>根据贵方的招标公告，我方兹宣布同意如下：</w:t>
      </w:r>
    </w:p>
    <w:p w14:paraId="76F9F8B3">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1.如我公司中标，我公司承诺愿意按招标文件规定缴纳履约保证金和中标服务费。按本次招标文件规定及最后报价承诺供货及安装。</w:t>
      </w:r>
    </w:p>
    <w:p w14:paraId="6EC6CF81">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2.我方根据本次招标文件的规定，严格履行合同的责任和义务,并保证于买方要求的日期内完成服务，并通过买方验收。</w:t>
      </w:r>
    </w:p>
    <w:p w14:paraId="5C137808">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3.我方承诺报价低于同类货物和服务的市场平均价格。</w:t>
      </w:r>
    </w:p>
    <w:p w14:paraId="71F0A198">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4.我方已详细审核本次招标文件，包括招标文件附件、参考资料、招标文件修改书或图纸（如有），我方正式认可并遵守本次招标文件，并对招标文件各项条款、规定及要求均无异议。我方知道必须放弃提出含糊不清或误解问题的权利。</w:t>
      </w:r>
    </w:p>
    <w:p w14:paraId="37744A7E">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5.我方同意从投标人须知规定的日期起遵循本招标文件，并在投标人须知规定的有效期之前均具有约束力。</w:t>
      </w:r>
    </w:p>
    <w:p w14:paraId="035A8A6F">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6.我方同意按贵方要求在规定时间内向贵方提供与其投标有关的任何证据或补充资料，否则，我方的响应文件可被贵方拒绝。</w:t>
      </w:r>
    </w:p>
    <w:p w14:paraId="437D82D1">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7.我方完全理解贵方不一定接受最低报价。</w:t>
      </w:r>
    </w:p>
    <w:p w14:paraId="41105222">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8.我方同意招标文件规定的付款方式、服务期限。</w:t>
      </w:r>
    </w:p>
    <w:p w14:paraId="2A2BC3C3">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9.我方对响应文件中所提供资料、文件、证书及证件的真实性和有效性负责。</w:t>
      </w:r>
    </w:p>
    <w:p w14:paraId="6C01C869">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10.若因我方联系不上或未在招标小组规定时间内进行二轮报价的（不限于二轮报价）的，视同我方上一轮投标报价为最终报价。</w:t>
      </w:r>
    </w:p>
    <w:p w14:paraId="1B72434E">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11.我方同意招标文件规定的付款方式及结算方式。</w:t>
      </w:r>
    </w:p>
    <w:p w14:paraId="098CD531">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12.在你方和我方进行合同磋商之前，我方将按照响应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7ADB61B5">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13.与本投标有关的通讯地址：</w:t>
      </w:r>
      <w:r>
        <w:rPr>
          <w:rFonts w:hint="eastAsia" w:ascii="宋体" w:hAnsi="宋体" w:eastAsia="宋体" w:cs="宋体"/>
          <w:color w:val="auto"/>
          <w:kern w:val="2"/>
          <w:sz w:val="24"/>
          <w:szCs w:val="20"/>
          <w:highlight w:val="none"/>
          <w:u w:val="single"/>
        </w:rPr>
        <w:t xml:space="preserve">                          </w:t>
      </w:r>
    </w:p>
    <w:p w14:paraId="4D4063B3">
      <w:pPr>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投标人电子签章：</w:t>
      </w:r>
      <w:r>
        <w:rPr>
          <w:rFonts w:hint="eastAsia" w:ascii="宋体" w:hAnsi="宋体" w:eastAsia="宋体" w:cs="宋体"/>
          <w:color w:val="auto"/>
          <w:kern w:val="2"/>
          <w:sz w:val="24"/>
          <w:szCs w:val="20"/>
          <w:highlight w:val="none"/>
          <w:u w:val="single"/>
        </w:rPr>
        <w:t xml:space="preserve">                   </w:t>
      </w:r>
      <w:r>
        <w:rPr>
          <w:rFonts w:hint="eastAsia" w:ascii="宋体" w:hAnsi="宋体" w:eastAsia="宋体" w:cs="宋体"/>
          <w:color w:val="auto"/>
          <w:kern w:val="2"/>
          <w:sz w:val="24"/>
          <w:szCs w:val="20"/>
          <w:highlight w:val="none"/>
        </w:rPr>
        <w:t xml:space="preserve">   </w:t>
      </w:r>
    </w:p>
    <w:p w14:paraId="3A3DA91D">
      <w:pPr>
        <w:spacing w:before="312" w:after="156" w:line="360" w:lineRule="auto"/>
        <w:ind w:right="267" w:firstLine="480" w:firstLineChars="200"/>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日    期：</w:t>
      </w:r>
      <w:r>
        <w:rPr>
          <w:rFonts w:hint="eastAsia" w:ascii="宋体" w:hAnsi="宋体" w:eastAsia="宋体" w:cs="宋体"/>
          <w:color w:val="auto"/>
          <w:kern w:val="2"/>
          <w:sz w:val="24"/>
          <w:szCs w:val="20"/>
          <w:highlight w:val="none"/>
          <w:u w:val="single"/>
        </w:rPr>
        <w:t xml:space="preserve">                      </w:t>
      </w:r>
    </w:p>
    <w:p w14:paraId="6A8D8444">
      <w:pPr>
        <w:spacing w:before="312" w:after="156" w:line="360" w:lineRule="auto"/>
        <w:ind w:right="267" w:firstLine="480" w:firstLineChars="200"/>
        <w:rPr>
          <w:rFonts w:hint="eastAsia" w:ascii="宋体" w:hAnsi="宋体" w:eastAsia="宋体" w:cs="宋体"/>
          <w:color w:val="auto"/>
          <w:kern w:val="2"/>
          <w:sz w:val="24"/>
          <w:szCs w:val="20"/>
          <w:highlight w:val="none"/>
          <w:u w:val="single"/>
        </w:rPr>
      </w:pPr>
    </w:p>
    <w:p w14:paraId="52181086">
      <w:pPr>
        <w:spacing w:before="312" w:after="156" w:line="360" w:lineRule="auto"/>
        <w:ind w:right="267" w:firstLine="480" w:firstLineChars="200"/>
        <w:rPr>
          <w:rFonts w:hint="eastAsia" w:ascii="宋体" w:hAnsi="宋体" w:eastAsia="宋体" w:cs="宋体"/>
          <w:color w:val="auto"/>
          <w:kern w:val="2"/>
          <w:sz w:val="24"/>
          <w:szCs w:val="20"/>
          <w:highlight w:val="none"/>
          <w:u w:val="single"/>
        </w:rPr>
      </w:pPr>
    </w:p>
    <w:p w14:paraId="003ECD22">
      <w:pPr>
        <w:spacing w:before="312" w:after="156" w:line="360" w:lineRule="auto"/>
        <w:ind w:right="267" w:firstLine="480" w:firstLineChars="200"/>
        <w:rPr>
          <w:rFonts w:hint="eastAsia" w:ascii="宋体" w:hAnsi="宋体" w:eastAsia="宋体" w:cs="宋体"/>
          <w:color w:val="auto"/>
          <w:kern w:val="2"/>
          <w:sz w:val="24"/>
          <w:szCs w:val="20"/>
          <w:highlight w:val="none"/>
          <w:u w:val="single"/>
        </w:rPr>
      </w:pPr>
    </w:p>
    <w:p w14:paraId="04504CC6">
      <w:pPr>
        <w:spacing w:before="312" w:after="156"/>
        <w:ind w:right="267"/>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179DFCFC">
      <w:pPr>
        <w:keepNext/>
        <w:keepLines/>
        <w:spacing w:before="312" w:after="156" w:line="360" w:lineRule="auto"/>
        <w:ind w:right="267" w:firstLine="482" w:firstLineChars="200"/>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四、保证金</w:t>
      </w:r>
    </w:p>
    <w:p w14:paraId="22FF021D">
      <w:pPr>
        <w:keepNext/>
        <w:keepLines/>
        <w:spacing w:before="312" w:after="156" w:line="360" w:lineRule="auto"/>
        <w:ind w:right="266" w:firstLine="482" w:firstLineChars="200"/>
        <w:jc w:val="center"/>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（本项目不采用）</w:t>
      </w:r>
    </w:p>
    <w:p w14:paraId="2C00C66D">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34C9020D">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1E6082A1">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77802AC5">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0AF5CCAE">
      <w:pPr>
        <w:spacing w:before="312" w:after="156" w:line="360" w:lineRule="auto"/>
        <w:ind w:right="267" w:firstLine="420" w:firstLineChars="200"/>
        <w:rPr>
          <w:rFonts w:hint="eastAsia" w:ascii="宋体" w:hAnsi="宋体" w:eastAsia="宋体" w:cs="宋体"/>
          <w:color w:val="auto"/>
          <w:kern w:val="2"/>
          <w:sz w:val="21"/>
          <w:szCs w:val="21"/>
          <w:highlight w:val="none"/>
        </w:rPr>
      </w:pPr>
    </w:p>
    <w:p w14:paraId="065A8ED6">
      <w:pPr>
        <w:widowControl/>
        <w:jc w:val="left"/>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12B9E9E2">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五、无不良信用记录声明函</w:t>
      </w:r>
    </w:p>
    <w:p w14:paraId="014E3F33">
      <w:pPr>
        <w:spacing w:before="312" w:after="156" w:line="440" w:lineRule="exact"/>
        <w:ind w:right="267" w:firstLine="43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1.本单位郑重声明，我单位无以下不良信用记录情形：</w:t>
      </w:r>
    </w:p>
    <w:p w14:paraId="31DB2E91">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（1）被责令停产停业，暂扣或者吊销许可证，暂扣或者吊销执照； </w:t>
      </w:r>
    </w:p>
    <w:p w14:paraId="40963C81">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（2）进入清算程序，或被宣告破产，或其他丧失履约能力的情形； </w:t>
      </w:r>
    </w:p>
    <w:p w14:paraId="5E9BFF4F">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（3）在最近三年内（自投标截止之日向前追溯 3 年， 下同）有骗取中标或串通投标或严重违约或重大工程质量事故或重大生产安全事故的（以相关行招标人管部门的行政处罚决定或司法机关出具的有关法律文书为准），前述行政处罚已完成信用修复的，自行政处罚作出机关或信用修复主管部门同意修复之日起满一年，不受三年期限限制； </w:t>
      </w:r>
    </w:p>
    <w:p w14:paraId="219E6526">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（4）被市场监督管理部门列入严重违法失信名单； </w:t>
      </w:r>
    </w:p>
    <w:p w14:paraId="549B286A">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（5）被人民法院列为失信被执行人； </w:t>
      </w:r>
    </w:p>
    <w:p w14:paraId="5F6A3A88">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（6）被税务机关确定为重大税收违法失信主体； </w:t>
      </w:r>
    </w:p>
    <w:p w14:paraId="09544CF3">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（7）在近三年内投标人或其法定代表人（单位负责人）有行贿犯罪行为的；</w:t>
      </w:r>
    </w:p>
    <w:p w14:paraId="0218BC14">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24"/>
          <w:highlight w:val="none"/>
        </w:rPr>
        <w:t>2.本单位郑重声明，</w:t>
      </w:r>
      <w:r>
        <w:rPr>
          <w:rFonts w:hint="eastAsia" w:ascii="宋体" w:hAnsi="宋体" w:eastAsia="宋体" w:cs="宋体"/>
          <w:color w:val="auto"/>
          <w:kern w:val="2"/>
          <w:sz w:val="24"/>
          <w:szCs w:val="18"/>
          <w:highlight w:val="none"/>
        </w:rPr>
        <w:t xml:space="preserve">未被合肥市及其所辖县（市）、区（开发区）公共资源交易监督管理部门记不良行为记录的；或被记不良行为记录（以公布日期为准），但同时符合下列情形的： </w:t>
      </w:r>
    </w:p>
    <w:p w14:paraId="09F40EC8">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（1）开标日前（含当日）6个月内记分累计未满10分的； </w:t>
      </w:r>
    </w:p>
    <w:p w14:paraId="72E7B505">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（2）开标日前（含当日）12个月内记分累计未满15分的； </w:t>
      </w:r>
    </w:p>
    <w:p w14:paraId="3E1871A6">
      <w:pPr>
        <w:spacing w:before="312" w:after="156" w:line="360" w:lineRule="auto"/>
        <w:ind w:right="267" w:firstLine="435"/>
        <w:rPr>
          <w:rFonts w:hint="eastAsia" w:ascii="宋体" w:hAnsi="宋体" w:eastAsia="宋体" w:cs="宋体"/>
          <w:color w:val="auto"/>
          <w:kern w:val="2"/>
          <w:sz w:val="24"/>
          <w:szCs w:val="18"/>
          <w:highlight w:val="none"/>
        </w:rPr>
      </w:pPr>
      <w:r>
        <w:rPr>
          <w:rFonts w:hint="eastAsia" w:ascii="宋体" w:hAnsi="宋体" w:eastAsia="宋体" w:cs="宋体"/>
          <w:color w:val="auto"/>
          <w:kern w:val="2"/>
          <w:sz w:val="24"/>
          <w:szCs w:val="18"/>
          <w:highlight w:val="none"/>
        </w:rPr>
        <w:t xml:space="preserve">（3）开标日前（含当日）18个月内记分累计未满20分的； </w:t>
      </w:r>
    </w:p>
    <w:p w14:paraId="4ACCCD23">
      <w:pPr>
        <w:spacing w:before="312" w:after="156" w:line="440" w:lineRule="exact"/>
        <w:ind w:right="267" w:firstLine="43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18"/>
          <w:highlight w:val="none"/>
        </w:rPr>
        <w:t>（4）开标日前（含当日）24个月内记分累计未满25分的。</w:t>
      </w:r>
    </w:p>
    <w:p w14:paraId="2DE69DC5">
      <w:pPr>
        <w:spacing w:before="312" w:after="156" w:line="440" w:lineRule="exact"/>
        <w:ind w:right="267" w:firstLine="435"/>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本单位对上述声明的真实性负责。如有虚假，将依法承担相应责任。</w:t>
      </w:r>
    </w:p>
    <w:p w14:paraId="033F512F">
      <w:pPr>
        <w:spacing w:before="312" w:after="156" w:line="440" w:lineRule="exact"/>
        <w:ind w:right="267" w:firstLine="4800" w:firstLineChars="20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投标人电子签章：</w:t>
      </w:r>
      <w:r>
        <w:rPr>
          <w:rFonts w:hint="eastAsia" w:ascii="宋体" w:hAnsi="宋体" w:eastAsia="宋体" w:cs="宋体"/>
          <w:color w:val="auto"/>
          <w:kern w:val="2"/>
          <w:sz w:val="24"/>
          <w:szCs w:val="24"/>
          <w:highlight w:val="none"/>
          <w:u w:val="single"/>
        </w:rPr>
        <w:t xml:space="preserve">             </w:t>
      </w:r>
    </w:p>
    <w:p w14:paraId="2F1A178C">
      <w:pPr>
        <w:spacing w:before="312" w:after="156" w:line="440" w:lineRule="exact"/>
        <w:ind w:right="267" w:firstLine="4800" w:firstLineChars="20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1706146E">
      <w:pPr>
        <w:spacing w:before="312" w:after="156"/>
        <w:ind w:right="267"/>
        <w:rPr>
          <w:rFonts w:hint="eastAsia" w:ascii="宋体" w:hAnsi="宋体" w:eastAsia="宋体" w:cs="宋体"/>
          <w:b/>
          <w:color w:val="auto"/>
          <w:kern w:val="2"/>
          <w:sz w:val="24"/>
          <w:szCs w:val="20"/>
          <w:highlight w:val="none"/>
        </w:rPr>
      </w:pPr>
      <w:bookmarkStart w:id="181" w:name="_Toc516969106"/>
      <w:bookmarkStart w:id="182" w:name="_Toc204594911"/>
      <w:bookmarkStart w:id="183" w:name="_Toc520983594"/>
      <w:bookmarkStart w:id="184" w:name="_Toc121626298"/>
      <w:r>
        <w:rPr>
          <w:rFonts w:hint="eastAsia" w:ascii="宋体" w:hAnsi="宋体" w:eastAsia="宋体" w:cs="宋体"/>
          <w:b/>
          <w:color w:val="auto"/>
          <w:kern w:val="2"/>
          <w:sz w:val="24"/>
          <w:szCs w:val="20"/>
          <w:highlight w:val="none"/>
        </w:rPr>
        <w:br w:type="page"/>
      </w:r>
    </w:p>
    <w:p w14:paraId="5F4A7DC6">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六、授权书</w:t>
      </w:r>
      <w:bookmarkEnd w:id="181"/>
      <w:bookmarkEnd w:id="182"/>
      <w:bookmarkEnd w:id="183"/>
      <w:bookmarkEnd w:id="184"/>
    </w:p>
    <w:p w14:paraId="47C80F83">
      <w:pPr>
        <w:spacing w:before="312" w:after="156" w:line="360" w:lineRule="auto"/>
        <w:ind w:right="267"/>
        <w:jc w:val="center"/>
        <w:rPr>
          <w:rFonts w:hint="eastAsia" w:ascii="宋体" w:hAnsi="宋体" w:eastAsia="宋体" w:cs="宋体"/>
          <w:b/>
          <w:color w:val="auto"/>
          <w:kern w:val="2"/>
          <w:sz w:val="24"/>
          <w:szCs w:val="20"/>
          <w:highlight w:val="none"/>
        </w:rPr>
      </w:pPr>
    </w:p>
    <w:p w14:paraId="6107F4B9">
      <w:pPr>
        <w:snapToGrid w:val="0"/>
        <w:spacing w:before="312" w:after="156" w:line="360" w:lineRule="auto"/>
        <w:ind w:right="267" w:firstLine="480" w:firstLineChars="200"/>
        <w:jc w:val="left"/>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本授权书声明：</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（投标人名称）授权</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（投标人授权代表姓名）代表我方参加本项目</w:t>
      </w:r>
      <w:r>
        <w:rPr>
          <w:rFonts w:hint="eastAsia" w:ascii="宋体" w:hAnsi="宋体" w:eastAsia="宋体" w:cs="宋体"/>
          <w:bCs/>
          <w:color w:val="auto"/>
          <w:kern w:val="2"/>
          <w:sz w:val="24"/>
          <w:szCs w:val="28"/>
          <w:highlight w:val="none"/>
        </w:rPr>
        <w:t>招标活动</w:t>
      </w:r>
      <w:r>
        <w:rPr>
          <w:rFonts w:hint="eastAsia" w:ascii="宋体" w:hAnsi="宋体" w:eastAsia="宋体" w:cs="宋体"/>
          <w:color w:val="auto"/>
          <w:kern w:val="2"/>
          <w:sz w:val="24"/>
          <w:szCs w:val="28"/>
          <w:highlight w:val="none"/>
        </w:rPr>
        <w:t>，全权代表我方处理招标过程的一切事宜，包括但不限于：提交响应文件、签约等。投标人授权代表在招标活动过程中所签署的一切文件和处理与之有关的一切事务，本公司均予以认可并对此承担责任。投标人授权代表无转委托权。特此授权。</w:t>
      </w:r>
    </w:p>
    <w:p w14:paraId="094438C6">
      <w:pPr>
        <w:snapToGrid w:val="0"/>
        <w:spacing w:before="312" w:after="156" w:line="360" w:lineRule="auto"/>
        <w:ind w:right="267" w:firstLine="480" w:firstLineChars="200"/>
        <w:jc w:val="left"/>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本授权书自出具之日起生效。</w:t>
      </w:r>
    </w:p>
    <w:p w14:paraId="1942B60F">
      <w:pPr>
        <w:snapToGrid w:val="0"/>
        <w:spacing w:before="312" w:after="156" w:line="360" w:lineRule="auto"/>
        <w:ind w:right="267"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8"/>
          <w:highlight w:val="none"/>
        </w:rPr>
        <w:t>授权代表</w:t>
      </w:r>
      <w:r>
        <w:rPr>
          <w:rFonts w:hint="eastAsia" w:ascii="宋体" w:hAnsi="宋体" w:eastAsia="宋体" w:cs="宋体"/>
          <w:color w:val="auto"/>
          <w:kern w:val="2"/>
          <w:sz w:val="24"/>
          <w:szCs w:val="22"/>
          <w:highlight w:val="none"/>
        </w:rPr>
        <w:t>身份证明扫描件或影印件：</w:t>
      </w:r>
    </w:p>
    <w:p w14:paraId="0147BDF7">
      <w:pPr>
        <w:snapToGrid w:val="0"/>
        <w:spacing w:before="312" w:after="156" w:line="360" w:lineRule="auto"/>
        <w:ind w:right="267"/>
        <w:jc w:val="left"/>
        <w:rPr>
          <w:rFonts w:hint="eastAsia" w:ascii="宋体" w:hAnsi="宋体" w:eastAsia="宋体" w:cs="宋体"/>
          <w:color w:val="auto"/>
          <w:kern w:val="2"/>
          <w:sz w:val="24"/>
          <w:szCs w:val="22"/>
          <w:highlight w:val="none"/>
        </w:rPr>
      </w:pPr>
    </w:p>
    <w:p w14:paraId="59EDEE9F">
      <w:pPr>
        <w:snapToGrid w:val="0"/>
        <w:spacing w:before="312" w:after="156" w:line="360" w:lineRule="auto"/>
        <w:ind w:right="267" w:firstLine="480" w:firstLineChars="200"/>
        <w:jc w:val="left"/>
        <w:rPr>
          <w:rFonts w:hint="eastAsia" w:ascii="宋体" w:hAnsi="宋体" w:eastAsia="宋体" w:cs="宋体"/>
          <w:color w:val="auto"/>
          <w:kern w:val="2"/>
          <w:sz w:val="24"/>
          <w:szCs w:val="28"/>
          <w:highlight w:val="none"/>
          <w:u w:val="single"/>
        </w:rPr>
      </w:pPr>
      <w:r>
        <w:rPr>
          <w:rFonts w:hint="eastAsia" w:ascii="宋体" w:hAnsi="宋体" w:eastAsia="宋体" w:cs="宋体"/>
          <w:color w:val="auto"/>
          <w:kern w:val="2"/>
          <w:sz w:val="24"/>
          <w:szCs w:val="28"/>
          <w:highlight w:val="none"/>
        </w:rPr>
        <w:t>授权代表联系方式：</w:t>
      </w:r>
      <w:r>
        <w:rPr>
          <w:rFonts w:hint="eastAsia" w:ascii="宋体" w:hAnsi="宋体" w:eastAsia="宋体" w:cs="宋体"/>
          <w:color w:val="auto"/>
          <w:kern w:val="2"/>
          <w:sz w:val="24"/>
          <w:szCs w:val="28"/>
          <w:highlight w:val="none"/>
          <w:u w:val="single"/>
        </w:rPr>
        <w:t xml:space="preserve">          （请填写手机号码）</w:t>
      </w:r>
    </w:p>
    <w:p w14:paraId="17E833CA">
      <w:pPr>
        <w:spacing w:before="312" w:after="156" w:line="360" w:lineRule="auto"/>
        <w:ind w:right="267" w:firstLine="360" w:firstLineChars="150"/>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特此声明。</w:t>
      </w:r>
    </w:p>
    <w:p w14:paraId="421780AF">
      <w:pPr>
        <w:spacing w:before="312" w:after="156" w:line="360" w:lineRule="auto"/>
        <w:ind w:right="267"/>
        <w:rPr>
          <w:rFonts w:hint="eastAsia" w:ascii="宋体" w:hAnsi="宋体" w:eastAsia="宋体" w:cs="宋体"/>
          <w:color w:val="auto"/>
          <w:kern w:val="2"/>
          <w:sz w:val="24"/>
          <w:szCs w:val="28"/>
          <w:highlight w:val="none"/>
        </w:rPr>
      </w:pPr>
    </w:p>
    <w:p w14:paraId="1AB08B2C">
      <w:pPr>
        <w:spacing w:before="312" w:after="156" w:line="360" w:lineRule="auto"/>
        <w:ind w:right="267"/>
        <w:rPr>
          <w:rFonts w:hint="eastAsia" w:ascii="宋体" w:hAnsi="宋体" w:eastAsia="宋体" w:cs="宋体"/>
          <w:bCs/>
          <w:color w:val="auto"/>
          <w:kern w:val="2"/>
          <w:sz w:val="24"/>
          <w:szCs w:val="28"/>
          <w:highlight w:val="none"/>
        </w:rPr>
      </w:pPr>
      <w:r>
        <w:rPr>
          <w:rFonts w:hint="eastAsia" w:ascii="宋体" w:hAnsi="宋体" w:eastAsia="宋体" w:cs="宋体"/>
          <w:bCs/>
          <w:color w:val="auto"/>
          <w:kern w:val="2"/>
          <w:sz w:val="24"/>
          <w:szCs w:val="28"/>
          <w:highlight w:val="none"/>
        </w:rPr>
        <w:t>投标人电子签章：</w:t>
      </w:r>
      <w:r>
        <w:rPr>
          <w:rFonts w:hint="eastAsia" w:ascii="宋体" w:hAnsi="宋体" w:eastAsia="宋体" w:cs="宋体"/>
          <w:bCs/>
          <w:color w:val="auto"/>
          <w:kern w:val="2"/>
          <w:sz w:val="24"/>
          <w:szCs w:val="28"/>
          <w:highlight w:val="none"/>
          <w:u w:val="single"/>
        </w:rPr>
        <w:t xml:space="preserve">                    </w:t>
      </w:r>
    </w:p>
    <w:p w14:paraId="01D7E969">
      <w:pPr>
        <w:spacing w:before="312" w:after="156" w:line="360" w:lineRule="auto"/>
        <w:ind w:right="267"/>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          期：</w:t>
      </w:r>
      <w:r>
        <w:rPr>
          <w:rFonts w:hint="eastAsia" w:ascii="宋体" w:hAnsi="宋体" w:eastAsia="宋体" w:cs="宋体"/>
          <w:color w:val="auto"/>
          <w:kern w:val="2"/>
          <w:sz w:val="24"/>
          <w:szCs w:val="28"/>
          <w:highlight w:val="none"/>
          <w:u w:val="single"/>
        </w:rPr>
        <w:t xml:space="preserve">                    </w:t>
      </w:r>
    </w:p>
    <w:p w14:paraId="5C5E765E">
      <w:pPr>
        <w:spacing w:before="312" w:after="156" w:line="360" w:lineRule="auto"/>
        <w:ind w:right="267"/>
        <w:rPr>
          <w:rFonts w:hint="eastAsia" w:ascii="宋体" w:hAnsi="宋体" w:eastAsia="宋体" w:cs="宋体"/>
          <w:color w:val="auto"/>
          <w:kern w:val="2"/>
          <w:sz w:val="24"/>
          <w:szCs w:val="28"/>
          <w:highlight w:val="none"/>
        </w:rPr>
      </w:pPr>
    </w:p>
    <w:p w14:paraId="2EEFDAA7">
      <w:pPr>
        <w:snapToGrid w:val="0"/>
        <w:spacing w:line="360" w:lineRule="auto"/>
        <w:ind w:right="266"/>
        <w:jc w:val="left"/>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注：</w:t>
      </w:r>
    </w:p>
    <w:p w14:paraId="42A3FEBA">
      <w:pPr>
        <w:snapToGrid w:val="0"/>
        <w:spacing w:line="360" w:lineRule="auto"/>
        <w:ind w:right="266"/>
        <w:jc w:val="left"/>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1.本项目只允许有唯一的投标人授权代表，提供身份证明扫描件或影印件；</w:t>
      </w:r>
    </w:p>
    <w:p w14:paraId="6AB1DBCF">
      <w:pPr>
        <w:spacing w:line="360" w:lineRule="auto"/>
        <w:ind w:right="266"/>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2.法定代表人参加投标的无需提供授权书，仅提供身份证明扫描件或影印件。</w:t>
      </w:r>
    </w:p>
    <w:p w14:paraId="444A729C">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七、商务响应表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82"/>
        <w:gridCol w:w="4358"/>
        <w:gridCol w:w="1324"/>
        <w:gridCol w:w="810"/>
      </w:tblGrid>
      <w:tr w14:paraId="3C8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48" w:type="dxa"/>
            <w:vAlign w:val="center"/>
          </w:tcPr>
          <w:p w14:paraId="771B9F6A">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482" w:type="dxa"/>
            <w:vAlign w:val="center"/>
          </w:tcPr>
          <w:p w14:paraId="79BF900D">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商务条款</w:t>
            </w:r>
          </w:p>
        </w:tc>
        <w:tc>
          <w:tcPr>
            <w:tcW w:w="4358" w:type="dxa"/>
            <w:vAlign w:val="center"/>
          </w:tcPr>
          <w:p w14:paraId="45064E50">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招标文件要求</w:t>
            </w:r>
          </w:p>
        </w:tc>
        <w:tc>
          <w:tcPr>
            <w:tcW w:w="1324" w:type="dxa"/>
            <w:vAlign w:val="center"/>
          </w:tcPr>
          <w:p w14:paraId="1DF73C30">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投标人承诺</w:t>
            </w:r>
          </w:p>
        </w:tc>
        <w:tc>
          <w:tcPr>
            <w:tcW w:w="810" w:type="dxa"/>
            <w:vAlign w:val="center"/>
          </w:tcPr>
          <w:p w14:paraId="30CCD135">
            <w:pPr>
              <w:spacing w:before="312" w:after="156"/>
              <w:ind w:right="267"/>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r>
      <w:tr w14:paraId="66BA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8" w:type="dxa"/>
            <w:vAlign w:val="center"/>
          </w:tcPr>
          <w:p w14:paraId="7E4A7D79">
            <w:pPr>
              <w:spacing w:before="312" w:after="156"/>
              <w:ind w:right="267"/>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w:t>
            </w:r>
          </w:p>
        </w:tc>
        <w:tc>
          <w:tcPr>
            <w:tcW w:w="1482" w:type="dxa"/>
            <w:vAlign w:val="center"/>
          </w:tcPr>
          <w:p w14:paraId="0ABC8791">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bCs/>
                <w:color w:val="auto"/>
                <w:kern w:val="0"/>
                <w:sz w:val="24"/>
                <w:szCs w:val="28"/>
                <w:highlight w:val="none"/>
              </w:rPr>
              <w:t>付款方式</w:t>
            </w:r>
          </w:p>
        </w:tc>
        <w:tc>
          <w:tcPr>
            <w:tcW w:w="4358" w:type="dxa"/>
            <w:vAlign w:val="center"/>
          </w:tcPr>
          <w:p w14:paraId="05218697">
            <w:pPr>
              <w:spacing w:line="360" w:lineRule="auto"/>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lang w:eastAsia="zh-CN"/>
              </w:rPr>
              <w:t>按月支付，每月收到请款申请及增值税专用发票</w:t>
            </w:r>
            <w:r>
              <w:rPr>
                <w:rFonts w:hint="eastAsia" w:ascii="宋体" w:hAnsi="宋体" w:eastAsia="宋体" w:cs="宋体"/>
                <w:bCs/>
                <w:color w:val="auto"/>
                <w:kern w:val="0"/>
                <w:sz w:val="24"/>
                <w:szCs w:val="28"/>
                <w:highlight w:val="none"/>
              </w:rPr>
              <w:t>1</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lang w:eastAsia="zh-CN"/>
              </w:rPr>
              <w:t>日内根据考核结果</w:t>
            </w:r>
            <w:r>
              <w:rPr>
                <w:rFonts w:hint="eastAsia" w:ascii="宋体" w:hAnsi="宋体" w:eastAsia="宋体" w:cs="宋体"/>
                <w:bCs/>
                <w:color w:val="auto"/>
                <w:kern w:val="0"/>
                <w:sz w:val="24"/>
                <w:szCs w:val="28"/>
                <w:highlight w:val="none"/>
              </w:rPr>
              <w:t>支付上</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服务费用</w:t>
            </w:r>
            <w:r>
              <w:rPr>
                <w:rFonts w:hint="eastAsia" w:ascii="宋体" w:hAnsi="宋体" w:eastAsia="宋体" w:cs="宋体"/>
                <w:bCs/>
                <w:color w:val="auto"/>
                <w:kern w:val="0"/>
                <w:sz w:val="24"/>
                <w:szCs w:val="28"/>
                <w:highlight w:val="none"/>
                <w:lang w:eastAsia="zh-CN"/>
              </w:rPr>
              <w:t>。</w:t>
            </w:r>
          </w:p>
          <w:p w14:paraId="4CA790E1">
            <w:pPr>
              <w:spacing w:line="360" w:lineRule="auto"/>
              <w:rPr>
                <w:rFonts w:hint="eastAsia" w:ascii="宋体" w:hAnsi="宋体" w:eastAsia="宋体" w:cs="宋体"/>
                <w:b/>
                <w:bCs/>
                <w:color w:val="auto"/>
                <w:kern w:val="0"/>
                <w:sz w:val="24"/>
                <w:szCs w:val="28"/>
                <w:highlight w:val="none"/>
              </w:rPr>
            </w:pPr>
            <w:r>
              <w:rPr>
                <w:rFonts w:hint="eastAsia" w:ascii="宋体" w:hAnsi="宋体" w:eastAsia="宋体" w:cs="宋体"/>
                <w:b/>
                <w:bCs/>
                <w:color w:val="auto"/>
                <w:kern w:val="2"/>
                <w:sz w:val="24"/>
                <w:szCs w:val="24"/>
                <w:highlight w:val="none"/>
                <w:vertAlign w:val="baseline"/>
                <w:lang w:eastAsia="zh-CN"/>
              </w:rPr>
              <w:t>注:考评得分90分(含)以上为合格,全额支付月度服务费;80分(含)-90分(不含)为基本合格,每低于90分1分,扣200元/分;80分以下(不含)为不合格,每低于80分1分,扣400元/分;招标人对考核扣分项内容及时通知中标人作出整改。</w:t>
            </w:r>
            <w:r>
              <w:rPr>
                <w:rFonts w:hint="eastAsia" w:ascii="宋体" w:hAnsi="宋体" w:eastAsia="宋体" w:cs="宋体"/>
                <w:b/>
                <w:color w:val="auto"/>
                <w:kern w:val="0"/>
                <w:sz w:val="24"/>
                <w:szCs w:val="28"/>
                <w:highlight w:val="none"/>
              </w:rPr>
              <w:t>供应商提交的响应文件中如有关于付款条件的表述与招标文件规定负偏离的，响应无效。</w:t>
            </w:r>
          </w:p>
        </w:tc>
        <w:tc>
          <w:tcPr>
            <w:tcW w:w="1324" w:type="dxa"/>
            <w:vAlign w:val="center"/>
          </w:tcPr>
          <w:p w14:paraId="1CB5CB26">
            <w:pPr>
              <w:spacing w:before="312" w:after="156"/>
              <w:ind w:right="267"/>
              <w:jc w:val="center"/>
              <w:rPr>
                <w:rFonts w:hint="eastAsia" w:ascii="宋体" w:hAnsi="宋体" w:eastAsia="宋体" w:cs="宋体"/>
                <w:color w:val="auto"/>
                <w:kern w:val="2"/>
                <w:sz w:val="24"/>
                <w:szCs w:val="20"/>
                <w:highlight w:val="none"/>
              </w:rPr>
            </w:pPr>
          </w:p>
        </w:tc>
        <w:tc>
          <w:tcPr>
            <w:tcW w:w="810" w:type="dxa"/>
            <w:vAlign w:val="center"/>
          </w:tcPr>
          <w:p w14:paraId="053F415B">
            <w:pPr>
              <w:spacing w:before="312" w:after="156"/>
              <w:ind w:right="267"/>
              <w:jc w:val="center"/>
              <w:rPr>
                <w:rFonts w:hint="eastAsia" w:ascii="宋体" w:hAnsi="宋体" w:eastAsia="宋体" w:cs="宋体"/>
                <w:color w:val="auto"/>
                <w:kern w:val="2"/>
                <w:sz w:val="24"/>
                <w:szCs w:val="20"/>
                <w:highlight w:val="none"/>
              </w:rPr>
            </w:pPr>
          </w:p>
        </w:tc>
      </w:tr>
      <w:tr w14:paraId="3412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8" w:type="dxa"/>
            <w:vAlign w:val="center"/>
          </w:tcPr>
          <w:p w14:paraId="2EA1AEFC">
            <w:pPr>
              <w:spacing w:before="312" w:after="156"/>
              <w:ind w:right="267"/>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w:t>
            </w:r>
          </w:p>
        </w:tc>
        <w:tc>
          <w:tcPr>
            <w:tcW w:w="1482" w:type="dxa"/>
            <w:vAlign w:val="center"/>
          </w:tcPr>
          <w:p w14:paraId="0BC2BFAF">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bCs/>
                <w:color w:val="auto"/>
                <w:kern w:val="0"/>
                <w:sz w:val="24"/>
                <w:szCs w:val="28"/>
                <w:highlight w:val="none"/>
              </w:rPr>
              <w:t>服务地点</w:t>
            </w:r>
          </w:p>
        </w:tc>
        <w:tc>
          <w:tcPr>
            <w:tcW w:w="4358" w:type="dxa"/>
            <w:vAlign w:val="center"/>
          </w:tcPr>
          <w:p w14:paraId="494050A6">
            <w:pPr>
              <w:spacing w:line="360" w:lineRule="auto"/>
              <w:rPr>
                <w:rFonts w:hint="eastAsia" w:ascii="宋体" w:hAnsi="宋体" w:eastAsia="宋体" w:cs="宋体"/>
                <w:b/>
                <w:bCs/>
                <w:color w:val="auto"/>
                <w:kern w:val="0"/>
                <w:sz w:val="24"/>
                <w:szCs w:val="28"/>
                <w:highlight w:val="none"/>
              </w:rPr>
            </w:pPr>
            <w:r>
              <w:rPr>
                <w:rFonts w:hint="eastAsia" w:ascii="宋体" w:hAnsi="宋体" w:eastAsia="宋体" w:cs="宋体"/>
                <w:bCs/>
                <w:color w:val="auto"/>
                <w:kern w:val="0"/>
                <w:sz w:val="24"/>
                <w:szCs w:val="28"/>
                <w:highlight w:val="none"/>
              </w:rPr>
              <w:t>合肥市包河区。</w:t>
            </w:r>
          </w:p>
        </w:tc>
        <w:tc>
          <w:tcPr>
            <w:tcW w:w="1324" w:type="dxa"/>
            <w:vAlign w:val="center"/>
          </w:tcPr>
          <w:p w14:paraId="4362D35C">
            <w:pPr>
              <w:spacing w:before="312" w:after="156"/>
              <w:ind w:right="267"/>
              <w:jc w:val="center"/>
              <w:rPr>
                <w:rFonts w:hint="eastAsia" w:ascii="宋体" w:hAnsi="宋体" w:eastAsia="宋体" w:cs="宋体"/>
                <w:color w:val="auto"/>
                <w:kern w:val="2"/>
                <w:sz w:val="24"/>
                <w:szCs w:val="20"/>
                <w:highlight w:val="none"/>
              </w:rPr>
            </w:pPr>
          </w:p>
        </w:tc>
        <w:tc>
          <w:tcPr>
            <w:tcW w:w="810" w:type="dxa"/>
            <w:vAlign w:val="center"/>
          </w:tcPr>
          <w:p w14:paraId="41534F35">
            <w:pPr>
              <w:spacing w:before="312" w:after="156"/>
              <w:ind w:right="267"/>
              <w:jc w:val="center"/>
              <w:rPr>
                <w:rFonts w:hint="eastAsia" w:ascii="宋体" w:hAnsi="宋体" w:eastAsia="宋体" w:cs="宋体"/>
                <w:color w:val="auto"/>
                <w:kern w:val="2"/>
                <w:sz w:val="24"/>
                <w:szCs w:val="20"/>
                <w:highlight w:val="none"/>
              </w:rPr>
            </w:pPr>
          </w:p>
        </w:tc>
      </w:tr>
      <w:tr w14:paraId="203A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8" w:type="dxa"/>
            <w:vAlign w:val="center"/>
          </w:tcPr>
          <w:p w14:paraId="43319F43">
            <w:pPr>
              <w:spacing w:before="312" w:after="156"/>
              <w:ind w:right="267"/>
              <w:jc w:val="center"/>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3</w:t>
            </w:r>
          </w:p>
        </w:tc>
        <w:tc>
          <w:tcPr>
            <w:tcW w:w="1482" w:type="dxa"/>
            <w:vAlign w:val="center"/>
          </w:tcPr>
          <w:p w14:paraId="61B7B44A">
            <w:pPr>
              <w:spacing w:line="360" w:lineRule="auto"/>
              <w:jc w:val="center"/>
              <w:rPr>
                <w:rFonts w:hint="eastAsia" w:ascii="宋体" w:hAnsi="宋体" w:eastAsia="宋体" w:cs="宋体"/>
                <w:color w:val="auto"/>
                <w:kern w:val="2"/>
                <w:sz w:val="24"/>
                <w:szCs w:val="20"/>
                <w:highlight w:val="none"/>
              </w:rPr>
            </w:pPr>
            <w:r>
              <w:rPr>
                <w:rFonts w:hint="eastAsia" w:ascii="宋体" w:hAnsi="宋体" w:eastAsia="宋体" w:cs="宋体"/>
                <w:bCs/>
                <w:color w:val="auto"/>
                <w:kern w:val="0"/>
                <w:sz w:val="24"/>
                <w:szCs w:val="28"/>
                <w:highlight w:val="none"/>
              </w:rPr>
              <w:t>服务期限</w:t>
            </w:r>
          </w:p>
        </w:tc>
        <w:tc>
          <w:tcPr>
            <w:tcW w:w="4358" w:type="dxa"/>
            <w:vAlign w:val="center"/>
          </w:tcPr>
          <w:p w14:paraId="5F8C6AC0">
            <w:pPr>
              <w:spacing w:line="360" w:lineRule="auto"/>
              <w:rPr>
                <w:rFonts w:hint="eastAsia" w:ascii="宋体" w:hAnsi="宋体" w:eastAsia="宋体" w:cs="宋体"/>
                <w:b/>
                <w:bCs/>
                <w:color w:val="auto"/>
                <w:kern w:val="0"/>
                <w:sz w:val="24"/>
                <w:szCs w:val="28"/>
                <w:highlight w:val="none"/>
              </w:rPr>
            </w:pPr>
            <w:r>
              <w:rPr>
                <w:rFonts w:hint="eastAsia" w:ascii="宋体" w:hAnsi="宋体" w:eastAsia="宋体" w:cs="宋体"/>
                <w:bCs/>
                <w:color w:val="auto"/>
                <w:kern w:val="0"/>
                <w:sz w:val="24"/>
                <w:szCs w:val="28"/>
                <w:highlight w:val="none"/>
              </w:rPr>
              <w:t>合同签订后一年。如</w:t>
            </w:r>
            <w:r>
              <w:rPr>
                <w:rFonts w:hint="eastAsia" w:ascii="宋体" w:hAnsi="宋体" w:eastAsia="宋体" w:cs="宋体"/>
                <w:bCs/>
                <w:color w:val="auto"/>
                <w:kern w:val="0"/>
                <w:sz w:val="24"/>
                <w:szCs w:val="28"/>
                <w:highlight w:val="none"/>
                <w:lang w:eastAsia="zh-CN"/>
              </w:rPr>
              <w:t>月度</w:t>
            </w:r>
            <w:r>
              <w:rPr>
                <w:rFonts w:hint="eastAsia" w:ascii="宋体" w:hAnsi="宋体" w:eastAsia="宋体" w:cs="宋体"/>
                <w:bCs/>
                <w:color w:val="auto"/>
                <w:kern w:val="0"/>
                <w:sz w:val="24"/>
                <w:szCs w:val="28"/>
                <w:highlight w:val="none"/>
              </w:rPr>
              <w:t>考核</w:t>
            </w:r>
            <w:r>
              <w:rPr>
                <w:rFonts w:hint="eastAsia" w:ascii="宋体" w:hAnsi="宋体" w:eastAsia="宋体" w:cs="宋体"/>
                <w:bCs/>
                <w:color w:val="auto"/>
                <w:kern w:val="0"/>
                <w:sz w:val="24"/>
                <w:szCs w:val="28"/>
                <w:highlight w:val="none"/>
                <w:lang w:eastAsia="zh-CN"/>
              </w:rPr>
              <w:t>平均分高于</w:t>
            </w:r>
            <w:r>
              <w:rPr>
                <w:rFonts w:hint="eastAsia" w:ascii="宋体" w:hAnsi="宋体" w:eastAsia="宋体" w:cs="宋体"/>
                <w:bCs/>
                <w:color w:val="auto"/>
                <w:kern w:val="0"/>
                <w:sz w:val="24"/>
                <w:szCs w:val="28"/>
                <w:highlight w:val="none"/>
                <w:lang w:val="en-US" w:eastAsia="zh-CN"/>
              </w:rPr>
              <w:t>90分、</w:t>
            </w:r>
            <w:r>
              <w:rPr>
                <w:rFonts w:hint="eastAsia" w:ascii="宋体" w:hAnsi="宋体" w:eastAsia="宋体" w:cs="宋体"/>
                <w:bCs/>
                <w:color w:val="auto"/>
                <w:kern w:val="0"/>
                <w:sz w:val="24"/>
                <w:szCs w:val="28"/>
                <w:highlight w:val="none"/>
              </w:rPr>
              <w:t>履约良好，甲乙双方均同意续签，在年度预算资金能保障的前提下，可续签后两年度合同，合同一年一签，合同金额不变。</w:t>
            </w:r>
          </w:p>
        </w:tc>
        <w:tc>
          <w:tcPr>
            <w:tcW w:w="1324" w:type="dxa"/>
            <w:vAlign w:val="center"/>
          </w:tcPr>
          <w:p w14:paraId="28E828DC">
            <w:pPr>
              <w:spacing w:before="312" w:after="156"/>
              <w:ind w:right="267"/>
              <w:jc w:val="center"/>
              <w:rPr>
                <w:rFonts w:hint="eastAsia" w:ascii="宋体" w:hAnsi="宋体" w:eastAsia="宋体" w:cs="宋体"/>
                <w:color w:val="auto"/>
                <w:kern w:val="2"/>
                <w:sz w:val="24"/>
                <w:szCs w:val="20"/>
                <w:highlight w:val="none"/>
              </w:rPr>
            </w:pPr>
          </w:p>
        </w:tc>
        <w:tc>
          <w:tcPr>
            <w:tcW w:w="810" w:type="dxa"/>
            <w:vAlign w:val="center"/>
          </w:tcPr>
          <w:p w14:paraId="6D7442FB">
            <w:pPr>
              <w:spacing w:before="312" w:after="156"/>
              <w:ind w:right="267"/>
              <w:jc w:val="center"/>
              <w:rPr>
                <w:rFonts w:hint="eastAsia" w:ascii="宋体" w:hAnsi="宋体" w:eastAsia="宋体" w:cs="宋体"/>
                <w:color w:val="auto"/>
                <w:kern w:val="2"/>
                <w:sz w:val="24"/>
                <w:szCs w:val="20"/>
                <w:highlight w:val="none"/>
              </w:rPr>
            </w:pPr>
          </w:p>
        </w:tc>
      </w:tr>
    </w:tbl>
    <w:p w14:paraId="00533F5F">
      <w:pPr>
        <w:spacing w:before="312" w:after="156" w:line="360" w:lineRule="auto"/>
        <w:ind w:right="267"/>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br w:type="page"/>
      </w:r>
    </w:p>
    <w:p w14:paraId="14B2D683">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八、人员配备</w:t>
      </w:r>
    </w:p>
    <w:p w14:paraId="2BDC1F82">
      <w:pPr>
        <w:spacing w:before="312" w:after="156" w:line="360" w:lineRule="auto"/>
        <w:ind w:right="267"/>
        <w:jc w:val="center"/>
        <w:rPr>
          <w:rFonts w:hint="eastAsia" w:ascii="宋体" w:hAnsi="宋体" w:eastAsia="宋体" w:cs="宋体"/>
          <w:i/>
          <w:color w:val="auto"/>
          <w:kern w:val="2"/>
          <w:sz w:val="24"/>
          <w:szCs w:val="20"/>
          <w:highlight w:val="none"/>
        </w:rPr>
      </w:pPr>
      <w:r>
        <w:rPr>
          <w:rFonts w:hint="eastAsia" w:ascii="宋体" w:hAnsi="宋体" w:eastAsia="宋体" w:cs="宋体"/>
          <w:i/>
          <w:color w:val="auto"/>
          <w:kern w:val="2"/>
          <w:sz w:val="24"/>
          <w:szCs w:val="20"/>
          <w:highlight w:val="none"/>
        </w:rPr>
        <w:t>(投标人可自行制作格式)</w:t>
      </w:r>
    </w:p>
    <w:p w14:paraId="36B17DBF">
      <w:pPr>
        <w:widowControl/>
        <w:spacing w:before="312" w:after="156"/>
        <w:ind w:right="267"/>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br w:type="page"/>
      </w:r>
    </w:p>
    <w:p w14:paraId="5231EB4B">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九、服务方案</w:t>
      </w:r>
    </w:p>
    <w:p w14:paraId="601C6D18">
      <w:pPr>
        <w:spacing w:before="312" w:after="156" w:line="360" w:lineRule="auto"/>
        <w:ind w:right="267"/>
        <w:jc w:val="center"/>
        <w:rPr>
          <w:rFonts w:hint="eastAsia" w:ascii="宋体" w:hAnsi="宋体" w:eastAsia="宋体" w:cs="宋体"/>
          <w:i/>
          <w:color w:val="auto"/>
          <w:kern w:val="2"/>
          <w:sz w:val="24"/>
          <w:szCs w:val="20"/>
          <w:highlight w:val="none"/>
        </w:rPr>
      </w:pPr>
      <w:r>
        <w:rPr>
          <w:rFonts w:hint="eastAsia" w:ascii="宋体" w:hAnsi="宋体" w:eastAsia="宋体" w:cs="宋体"/>
          <w:i/>
          <w:color w:val="auto"/>
          <w:kern w:val="2"/>
          <w:sz w:val="24"/>
          <w:szCs w:val="20"/>
          <w:highlight w:val="none"/>
        </w:rPr>
        <w:t>(投标人可自行制作格式)</w:t>
      </w:r>
    </w:p>
    <w:p w14:paraId="3D920B2F">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color w:val="auto"/>
          <w:kern w:val="2"/>
          <w:sz w:val="24"/>
          <w:szCs w:val="20"/>
          <w:highlight w:val="none"/>
        </w:rPr>
        <w:br w:type="page"/>
      </w:r>
    </w:p>
    <w:p w14:paraId="26C3DF45">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十、服务承诺</w:t>
      </w:r>
    </w:p>
    <w:p w14:paraId="435921B3">
      <w:pPr>
        <w:spacing w:before="312" w:after="156" w:line="360" w:lineRule="auto"/>
        <w:ind w:right="267"/>
        <w:jc w:val="center"/>
        <w:rPr>
          <w:rFonts w:hint="eastAsia" w:ascii="宋体" w:hAnsi="宋体" w:eastAsia="宋体" w:cs="宋体"/>
          <w:i/>
          <w:color w:val="auto"/>
          <w:kern w:val="2"/>
          <w:sz w:val="24"/>
          <w:szCs w:val="20"/>
          <w:highlight w:val="none"/>
        </w:rPr>
      </w:pPr>
      <w:r>
        <w:rPr>
          <w:rFonts w:hint="eastAsia" w:ascii="宋体" w:hAnsi="宋体" w:eastAsia="宋体" w:cs="宋体"/>
          <w:i/>
          <w:color w:val="auto"/>
          <w:kern w:val="2"/>
          <w:sz w:val="24"/>
          <w:szCs w:val="20"/>
          <w:highlight w:val="none"/>
        </w:rPr>
        <w:t>(投标人可自行制作格式)</w:t>
      </w:r>
    </w:p>
    <w:p w14:paraId="4D6E9C61">
      <w:pPr>
        <w:widowControl/>
        <w:spacing w:before="312" w:after="156"/>
        <w:ind w:right="267"/>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br w:type="page"/>
      </w:r>
    </w:p>
    <w:p w14:paraId="2772129A">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十一、业绩承诺函</w:t>
      </w:r>
    </w:p>
    <w:p w14:paraId="5E405DDC">
      <w:pPr>
        <w:spacing w:before="312" w:after="156" w:line="360" w:lineRule="auto"/>
        <w:ind w:right="267" w:firstLine="435"/>
        <w:rPr>
          <w:rFonts w:hint="eastAsia" w:ascii="宋体" w:hAnsi="宋体" w:eastAsia="宋体" w:cs="宋体"/>
          <w:color w:val="auto"/>
          <w:kern w:val="2"/>
          <w:sz w:val="24"/>
          <w:szCs w:val="20"/>
          <w:highlight w:val="none"/>
        </w:rPr>
      </w:pPr>
    </w:p>
    <w:p w14:paraId="665D9870">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我单位同意中标候选人公示中公示以下业绩并承诺：响应文件中所提供的业绩均真实有效，若被发现存在任何虚假、隐瞒情况，我单位承担由此产生的一切后果。</w:t>
      </w:r>
    </w:p>
    <w:p w14:paraId="2FADE086">
      <w:pPr>
        <w:spacing w:before="312" w:after="156" w:line="360" w:lineRule="auto"/>
        <w:ind w:right="267" w:firstLine="435"/>
        <w:rPr>
          <w:rFonts w:hint="eastAsia" w:ascii="宋体" w:hAnsi="宋体" w:eastAsia="宋体" w:cs="宋体"/>
          <w:color w:val="auto"/>
          <w:kern w:val="2"/>
          <w:sz w:val="24"/>
          <w:szCs w:val="20"/>
          <w:highlight w:val="none"/>
        </w:rPr>
      </w:pPr>
    </w:p>
    <w:p w14:paraId="3C8B345F">
      <w:pPr>
        <w:spacing w:before="312" w:after="156" w:line="360" w:lineRule="auto"/>
        <w:ind w:right="267" w:firstLine="4228" w:firstLineChars="1762"/>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投标人电子签章：</w:t>
      </w:r>
      <w:r>
        <w:rPr>
          <w:rFonts w:hint="eastAsia" w:ascii="宋体" w:hAnsi="宋体" w:eastAsia="宋体" w:cs="宋体"/>
          <w:color w:val="auto"/>
          <w:kern w:val="2"/>
          <w:sz w:val="24"/>
          <w:szCs w:val="20"/>
          <w:highlight w:val="none"/>
          <w:u w:val="single"/>
        </w:rPr>
        <w:t xml:space="preserve">              </w:t>
      </w:r>
    </w:p>
    <w:p w14:paraId="4364E320">
      <w:pPr>
        <w:tabs>
          <w:tab w:val="left" w:pos="630"/>
        </w:tabs>
        <w:spacing w:before="312" w:after="156" w:line="360" w:lineRule="auto"/>
        <w:ind w:right="267" w:firstLine="4228" w:firstLineChars="1762"/>
        <w:rPr>
          <w:rFonts w:hint="eastAsia" w:ascii="宋体" w:hAnsi="宋体" w:eastAsia="宋体" w:cs="宋体"/>
          <w:color w:val="auto"/>
          <w:kern w:val="2"/>
          <w:sz w:val="24"/>
          <w:szCs w:val="20"/>
          <w:highlight w:val="none"/>
          <w:u w:val="single"/>
        </w:rPr>
      </w:pPr>
      <w:r>
        <w:rPr>
          <w:rFonts w:hint="eastAsia" w:ascii="宋体" w:hAnsi="宋体" w:eastAsia="宋体" w:cs="宋体"/>
          <w:color w:val="auto"/>
          <w:kern w:val="2"/>
          <w:sz w:val="24"/>
          <w:szCs w:val="20"/>
          <w:highlight w:val="none"/>
        </w:rPr>
        <w:t>日          期：</w:t>
      </w:r>
      <w:r>
        <w:rPr>
          <w:rFonts w:hint="eastAsia" w:ascii="宋体" w:hAnsi="宋体" w:eastAsia="宋体" w:cs="宋体"/>
          <w:color w:val="auto"/>
          <w:kern w:val="2"/>
          <w:sz w:val="24"/>
          <w:szCs w:val="20"/>
          <w:highlight w:val="none"/>
          <w:u w:val="single"/>
        </w:rPr>
        <w:t xml:space="preserve">              </w:t>
      </w:r>
    </w:p>
    <w:p w14:paraId="106A0876">
      <w:pPr>
        <w:tabs>
          <w:tab w:val="left" w:pos="630"/>
        </w:tabs>
        <w:spacing w:before="312" w:after="156" w:line="360" w:lineRule="auto"/>
        <w:ind w:right="267" w:firstLine="3700" w:firstLineChars="1762"/>
        <w:rPr>
          <w:rFonts w:hint="eastAsia" w:ascii="宋体" w:hAnsi="宋体" w:eastAsia="宋体" w:cs="宋体"/>
          <w:color w:val="auto"/>
          <w:kern w:val="2"/>
          <w:sz w:val="21"/>
          <w:szCs w:val="20"/>
          <w:highlight w:val="none"/>
        </w:rPr>
      </w:pP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09B9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4ED3556F">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4106" w:type="dxa"/>
            <w:vAlign w:val="center"/>
          </w:tcPr>
          <w:p w14:paraId="1C815081">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2528" w:type="dxa"/>
            <w:vAlign w:val="center"/>
          </w:tcPr>
          <w:p w14:paraId="27FA1BCA">
            <w:pPr>
              <w:keepNext w:val="0"/>
              <w:keepLines w:val="0"/>
              <w:pageBreakBefore w:val="0"/>
              <w:widowControl/>
              <w:kinsoku/>
              <w:wordWrap/>
              <w:overflowPunct/>
              <w:topLinePunct w:val="0"/>
              <w:autoSpaceDE/>
              <w:autoSpaceDN/>
              <w:bidi w:val="0"/>
              <w:adjustRightInd/>
              <w:snapToGrid/>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服务范围</w:t>
            </w:r>
          </w:p>
        </w:tc>
        <w:tc>
          <w:tcPr>
            <w:tcW w:w="948" w:type="dxa"/>
            <w:vAlign w:val="center"/>
          </w:tcPr>
          <w:p w14:paraId="4108CD54">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6648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C7F16A1">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4106" w:type="dxa"/>
            <w:vAlign w:val="center"/>
          </w:tcPr>
          <w:p w14:paraId="7293E1B2">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2E46673F">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5DF39FD8">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1A3D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6CDC5D6">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4106" w:type="dxa"/>
            <w:vAlign w:val="center"/>
          </w:tcPr>
          <w:p w14:paraId="4F2B9D06">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5733D9CD">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7B377984">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0010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D213E31">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4106" w:type="dxa"/>
            <w:vAlign w:val="center"/>
          </w:tcPr>
          <w:p w14:paraId="0F5BC14F">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4E13AF91">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64432C88">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761F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EA4BE31">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4106" w:type="dxa"/>
            <w:vAlign w:val="center"/>
          </w:tcPr>
          <w:p w14:paraId="61211EC3">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4EA618D7">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5513DD5A">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578E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540E790">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4106" w:type="dxa"/>
            <w:vAlign w:val="center"/>
          </w:tcPr>
          <w:p w14:paraId="160061D9">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27B66FD7">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1CED52D0">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r w14:paraId="5122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BBD5F58">
            <w:pPr>
              <w:keepNext w:val="0"/>
              <w:keepLines w:val="0"/>
              <w:pageBreakBefore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4106" w:type="dxa"/>
            <w:vAlign w:val="center"/>
          </w:tcPr>
          <w:p w14:paraId="4AFF7342">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2528" w:type="dxa"/>
            <w:vAlign w:val="center"/>
          </w:tcPr>
          <w:p w14:paraId="44F57EF9">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c>
          <w:tcPr>
            <w:tcW w:w="948" w:type="dxa"/>
            <w:vAlign w:val="center"/>
          </w:tcPr>
          <w:p w14:paraId="1914E1B0">
            <w:pPr>
              <w:keepNext w:val="0"/>
              <w:keepLines w:val="0"/>
              <w:pageBreakBefore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kern w:val="2"/>
                <w:sz w:val="24"/>
                <w:szCs w:val="24"/>
                <w:highlight w:val="none"/>
              </w:rPr>
            </w:pPr>
          </w:p>
        </w:tc>
      </w:tr>
    </w:tbl>
    <w:p w14:paraId="41BEABDE">
      <w:pPr>
        <w:adjustRightInd w:val="0"/>
        <w:snapToGrid w:val="0"/>
        <w:spacing w:before="312" w:after="156" w:line="360" w:lineRule="auto"/>
        <w:ind w:right="267"/>
        <w:rPr>
          <w:rFonts w:hint="eastAsia" w:ascii="宋体" w:hAnsi="宋体" w:eastAsia="宋体" w:cs="宋体"/>
          <w:b/>
          <w:bCs/>
          <w:color w:val="auto"/>
          <w:kern w:val="2"/>
          <w:sz w:val="24"/>
          <w:szCs w:val="28"/>
          <w:highlight w:val="none"/>
        </w:rPr>
      </w:pPr>
    </w:p>
    <w:p w14:paraId="4AD4358B">
      <w:pPr>
        <w:adjustRightInd w:val="0"/>
        <w:snapToGrid w:val="0"/>
        <w:spacing w:before="312" w:after="156" w:line="360" w:lineRule="auto"/>
        <w:ind w:right="267"/>
        <w:rPr>
          <w:rFonts w:hint="eastAsia" w:ascii="宋体" w:hAnsi="宋体" w:eastAsia="宋体" w:cs="宋体"/>
          <w:b/>
          <w:bCs/>
          <w:color w:val="auto"/>
          <w:kern w:val="2"/>
          <w:sz w:val="24"/>
          <w:szCs w:val="28"/>
          <w:highlight w:val="none"/>
        </w:rPr>
      </w:pPr>
      <w:r>
        <w:rPr>
          <w:rFonts w:hint="eastAsia" w:ascii="宋体" w:hAnsi="宋体" w:eastAsia="宋体" w:cs="宋体"/>
          <w:b/>
          <w:bCs/>
          <w:color w:val="auto"/>
          <w:kern w:val="2"/>
          <w:sz w:val="24"/>
          <w:szCs w:val="28"/>
          <w:highlight w:val="none"/>
        </w:rPr>
        <w:t>备注：</w:t>
      </w:r>
    </w:p>
    <w:p w14:paraId="4A1703CA">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1.表中所列业绩应为投标人满足招标文件要求的业绩；</w:t>
      </w:r>
    </w:p>
    <w:p w14:paraId="6FF9449B">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2.中标候选人提供的以上业绩情况，如招标文件《投标人须知前附表》有约定的，将按约定随中标候选人公示同时公告。</w:t>
      </w:r>
    </w:p>
    <w:p w14:paraId="48C9E18C">
      <w:pPr>
        <w:widowControl/>
        <w:spacing w:before="312" w:after="156"/>
        <w:ind w:right="267"/>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br w:type="page"/>
      </w:r>
    </w:p>
    <w:p w14:paraId="03DE9FCA">
      <w:pPr>
        <w:spacing w:before="312" w:after="156" w:line="360" w:lineRule="auto"/>
        <w:ind w:right="267"/>
        <w:jc w:val="center"/>
        <w:outlineLvl w:val="2"/>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十二、其他相关证明材料</w:t>
      </w:r>
    </w:p>
    <w:p w14:paraId="0EA4B964">
      <w:pPr>
        <w:tabs>
          <w:tab w:val="left" w:pos="4620"/>
        </w:tabs>
        <w:spacing w:before="312" w:after="156" w:line="360" w:lineRule="auto"/>
        <w:ind w:right="267" w:firstLine="480" w:firstLineChars="200"/>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提供符合招标公告、招标需求及评审方法和标准规定的相关证明文件。</w:t>
      </w:r>
    </w:p>
    <w:p w14:paraId="6068DCDC">
      <w:pPr>
        <w:spacing w:before="312" w:after="156" w:line="360" w:lineRule="auto"/>
        <w:ind w:right="267" w:firstLine="435"/>
        <w:rPr>
          <w:rFonts w:hint="eastAsia" w:ascii="宋体" w:hAnsi="宋体" w:eastAsia="宋体" w:cs="宋体"/>
          <w:color w:val="auto"/>
          <w:kern w:val="2"/>
          <w:sz w:val="24"/>
          <w:szCs w:val="20"/>
          <w:highlight w:val="none"/>
        </w:rPr>
      </w:pPr>
    </w:p>
    <w:p w14:paraId="31EDD238">
      <w:pPr>
        <w:spacing w:before="312" w:after="156" w:line="360" w:lineRule="auto"/>
        <w:ind w:right="267" w:firstLine="480" w:firstLineChars="200"/>
        <w:rPr>
          <w:rFonts w:hint="eastAsia" w:ascii="宋体" w:hAnsi="宋体" w:eastAsia="宋体" w:cs="宋体"/>
          <w:color w:val="auto"/>
          <w:kern w:val="2"/>
          <w:sz w:val="24"/>
          <w:szCs w:val="20"/>
          <w:highlight w:val="none"/>
        </w:rPr>
      </w:pPr>
    </w:p>
    <w:p w14:paraId="0BA67036">
      <w:pPr>
        <w:spacing w:before="312" w:after="156" w:line="360" w:lineRule="auto"/>
        <w:ind w:right="267" w:firstLine="435"/>
        <w:rPr>
          <w:rFonts w:hint="eastAsia" w:ascii="宋体" w:hAnsi="宋体" w:eastAsia="宋体" w:cs="宋体"/>
          <w:b/>
          <w:color w:val="auto"/>
          <w:kern w:val="2"/>
          <w:sz w:val="24"/>
          <w:szCs w:val="20"/>
          <w:highlight w:val="none"/>
        </w:rPr>
      </w:pPr>
      <w:r>
        <w:rPr>
          <w:rFonts w:hint="eastAsia" w:ascii="宋体" w:hAnsi="宋体" w:eastAsia="宋体" w:cs="宋体"/>
          <w:b/>
          <w:color w:val="auto"/>
          <w:kern w:val="2"/>
          <w:sz w:val="24"/>
          <w:szCs w:val="20"/>
          <w:highlight w:val="none"/>
        </w:rPr>
        <w:t>特别提示：</w:t>
      </w:r>
    </w:p>
    <w:p w14:paraId="0B2B6E22">
      <w:pPr>
        <w:spacing w:before="312" w:after="156" w:line="360" w:lineRule="auto"/>
        <w:ind w:right="267" w:firstLine="435"/>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投标人在响应文件制作时可在此栏内上传招标文件要求上传的证明资料，如营业执照、税务登记证、人员证书、资质证书、荣誉奖项等，应将上述证明材料制作成扫描件上传。</w:t>
      </w:r>
    </w:p>
    <w:p w14:paraId="1C2CCFC4">
      <w:pPr>
        <w:spacing w:before="312" w:after="156" w:line="360" w:lineRule="auto"/>
        <w:ind w:right="267"/>
        <w:jc w:val="center"/>
        <w:rPr>
          <w:rFonts w:hint="eastAsia" w:ascii="宋体" w:hAnsi="宋体" w:eastAsia="宋体" w:cs="宋体"/>
          <w:b/>
          <w:color w:val="auto"/>
          <w:kern w:val="2"/>
          <w:sz w:val="24"/>
          <w:szCs w:val="20"/>
          <w:highlight w:val="none"/>
        </w:rPr>
      </w:pPr>
    </w:p>
    <w:p w14:paraId="7E2B5BA1">
      <w:pPr>
        <w:spacing w:before="312" w:after="156" w:line="360" w:lineRule="auto"/>
        <w:ind w:right="267"/>
        <w:rPr>
          <w:rFonts w:hint="eastAsia" w:ascii="宋体" w:hAnsi="宋体" w:eastAsia="宋体" w:cs="宋体"/>
          <w:bCs/>
          <w:color w:val="auto"/>
          <w:kern w:val="2"/>
          <w:sz w:val="24"/>
          <w:szCs w:val="20"/>
          <w:highlight w:val="none"/>
        </w:rPr>
      </w:pPr>
    </w:p>
    <w:p w14:paraId="28A71A85">
      <w:pPr>
        <w:spacing w:line="360" w:lineRule="auto"/>
        <w:rPr>
          <w:rFonts w:ascii="Times New Roman" w:hAnsi="Times New Roman" w:eastAsia="宋体" w:cs="Times New Roman"/>
          <w:bCs/>
          <w:color w:val="auto"/>
          <w:sz w:val="24"/>
          <w:highlight w:val="none"/>
        </w:rPr>
      </w:pPr>
    </w:p>
    <w:sectPr>
      <w:headerReference r:id="rId6" w:type="default"/>
      <w:footerReference r:id="rId7" w:type="default"/>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var(--dsw-font-markdown-table-h">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ar(--dsw-font-markdown-table)">
    <w:altName w:val="C059"/>
    <w:panose1 w:val="00000000000000000000"/>
    <w:charset w:val="00"/>
    <w:family w:val="auto"/>
    <w:pitch w:val="default"/>
    <w:sig w:usb0="00000000" w:usb1="00000000" w:usb2="00000000" w:usb3="00000000" w:csb0="00000000" w:csb1="00000000"/>
  </w:font>
  <w:font w:name="Ubuntu">
    <w:panose1 w:val="020B0504030602030204"/>
    <w:charset w:val="00"/>
    <w:family w:val="auto"/>
    <w:pitch w:val="default"/>
    <w:sig w:usb0="E00002FF" w:usb1="5000205B" w:usb2="00000000" w:usb3="00000000" w:csb0="2000009F" w:csb1="56010000"/>
  </w:font>
  <w:font w:name="@仿宋_GB2312">
    <w:altName w:val="仿宋_GB2312"/>
    <w:panose1 w:val="02010609030101010101"/>
    <w:charset w:val="86"/>
    <w:family w:val="modern"/>
    <w:pitch w:val="default"/>
    <w:sig w:usb0="00000000" w:usb1="00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Kingsoft Symbol">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DF5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47C8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147C8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BBC8">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943DA">
                          <w:pPr>
                            <w:pStyle w:val="18"/>
                            <w:rPr>
                              <w:rFonts w:hint="eastAsia" w:ascii="宋体" w:hAnsi="宋体" w:eastAsia="宋体" w:cs="宋体"/>
                            </w:rPr>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lVf8QBAACQ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s&#10;VjdZoT5AjYn3AVPT8NYPuDezH9CZiQ8q2vxFSgTjqO/5qq8cEhH50Xq1XlcYEhibL4jPHp6HCOmd&#10;9JZko6ERB1h05acPkMbUOSVXc/5OG1OGaNxfDsTMHpZ7H3vMVhr2w0Ro79sz8ulx9g11uOqUmPcO&#10;pc1rMhtxNvaTkWtAeHNMWLj0k1FHqKkYDqowmpYqb8Lje8l6+JG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ClVf8QBAACQAwAADgAAAAAAAAABACAAAAAeAQAAZHJzL2Uyb0RvYy54bWxQ&#10;SwUGAAAAAAYABgBZAQAAVAUAAAAA&#10;">
              <v:fill on="f" focussize="0,0"/>
              <v:stroke on="f"/>
              <v:imagedata o:title=""/>
              <o:lock v:ext="edit" aspectratio="f"/>
              <v:textbox inset="0mm,0mm,0mm,0mm" style="mso-fit-shape-to-text:t;">
                <w:txbxContent>
                  <w:p w14:paraId="394943DA">
                    <w:pPr>
                      <w:pStyle w:val="18"/>
                      <w:rPr>
                        <w:rFonts w:hint="eastAsia" w:ascii="宋体" w:hAnsi="宋体" w:eastAsia="宋体" w:cs="宋体"/>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4D6F">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0B09E">
                          <w:pPr>
                            <w:pStyle w:val="18"/>
                            <w:rPr>
                              <w:rFonts w:hint="eastAsia" w:ascii="宋体" w:hAnsi="宋体" w:eastAsia="宋体" w:cs="宋体"/>
                            </w:rPr>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z96sQBAACQ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XBz96sQBAACQAwAADgAAAAAAAAABACAAAAAeAQAAZHJzL2Uyb0RvYy54bWxQ&#10;SwUGAAAAAAYABgBZAQAAVAUAAAAA&#10;">
              <v:fill on="f" focussize="0,0"/>
              <v:stroke on="f"/>
              <v:imagedata o:title=""/>
              <o:lock v:ext="edit" aspectratio="f"/>
              <v:textbox inset="0mm,0mm,0mm,0mm" style="mso-fit-shape-to-text:t;">
                <w:txbxContent>
                  <w:p w14:paraId="11B0B09E">
                    <w:pPr>
                      <w:pStyle w:val="18"/>
                      <w:rPr>
                        <w:rFonts w:hint="eastAsia" w:ascii="宋体" w:hAnsi="宋体" w:eastAsia="宋体" w:cs="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790D">
    <w:pPr>
      <w:spacing w:line="217" w:lineRule="auto"/>
      <w:ind w:left="35"/>
      <w:rPr>
        <w:rFonts w:hint="eastAsia"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9D40">
    <w:pPr>
      <w:spacing w:line="217" w:lineRule="auto"/>
      <w:ind w:left="35"/>
      <w:rPr>
        <w:rFonts w:hint="eastAsia"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73" w:hanging="529"/>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1761" w:hanging="529"/>
      </w:pPr>
      <w:rPr>
        <w:rFonts w:hint="default"/>
        <w:lang w:val="zh-CN" w:eastAsia="zh-CN" w:bidi="zh-CN"/>
      </w:rPr>
    </w:lvl>
    <w:lvl w:ilvl="2" w:tentative="0">
      <w:start w:val="0"/>
      <w:numFmt w:val="bullet"/>
      <w:lvlText w:val="•"/>
      <w:lvlJc w:val="left"/>
      <w:pPr>
        <w:ind w:left="2443" w:hanging="529"/>
      </w:pPr>
      <w:rPr>
        <w:rFonts w:hint="default"/>
        <w:lang w:val="zh-CN" w:eastAsia="zh-CN" w:bidi="zh-CN"/>
      </w:rPr>
    </w:lvl>
    <w:lvl w:ilvl="3" w:tentative="0">
      <w:start w:val="0"/>
      <w:numFmt w:val="bullet"/>
      <w:lvlText w:val="•"/>
      <w:lvlJc w:val="left"/>
      <w:pPr>
        <w:ind w:left="3124" w:hanging="529"/>
      </w:pPr>
      <w:rPr>
        <w:rFonts w:hint="default"/>
        <w:lang w:val="zh-CN" w:eastAsia="zh-CN" w:bidi="zh-CN"/>
      </w:rPr>
    </w:lvl>
    <w:lvl w:ilvl="4" w:tentative="0">
      <w:start w:val="0"/>
      <w:numFmt w:val="bullet"/>
      <w:lvlText w:val="•"/>
      <w:lvlJc w:val="left"/>
      <w:pPr>
        <w:ind w:left="3806" w:hanging="529"/>
      </w:pPr>
      <w:rPr>
        <w:rFonts w:hint="default"/>
        <w:lang w:val="zh-CN" w:eastAsia="zh-CN" w:bidi="zh-CN"/>
      </w:rPr>
    </w:lvl>
    <w:lvl w:ilvl="5" w:tentative="0">
      <w:start w:val="0"/>
      <w:numFmt w:val="bullet"/>
      <w:lvlText w:val="•"/>
      <w:lvlJc w:val="left"/>
      <w:pPr>
        <w:ind w:left="4487" w:hanging="529"/>
      </w:pPr>
      <w:rPr>
        <w:rFonts w:hint="default"/>
        <w:lang w:val="zh-CN" w:eastAsia="zh-CN" w:bidi="zh-CN"/>
      </w:rPr>
    </w:lvl>
    <w:lvl w:ilvl="6" w:tentative="0">
      <w:start w:val="0"/>
      <w:numFmt w:val="bullet"/>
      <w:lvlText w:val="•"/>
      <w:lvlJc w:val="left"/>
      <w:pPr>
        <w:ind w:left="5169" w:hanging="529"/>
      </w:pPr>
      <w:rPr>
        <w:rFonts w:hint="default"/>
        <w:lang w:val="zh-CN" w:eastAsia="zh-CN" w:bidi="zh-CN"/>
      </w:rPr>
    </w:lvl>
    <w:lvl w:ilvl="7" w:tentative="0">
      <w:start w:val="0"/>
      <w:numFmt w:val="bullet"/>
      <w:lvlText w:val="•"/>
      <w:lvlJc w:val="left"/>
      <w:pPr>
        <w:ind w:left="5850" w:hanging="529"/>
      </w:pPr>
      <w:rPr>
        <w:rFonts w:hint="default"/>
        <w:lang w:val="zh-CN" w:eastAsia="zh-CN" w:bidi="zh-CN"/>
      </w:rPr>
    </w:lvl>
    <w:lvl w:ilvl="8" w:tentative="0">
      <w:start w:val="0"/>
      <w:numFmt w:val="bullet"/>
      <w:lvlText w:val="•"/>
      <w:lvlJc w:val="left"/>
      <w:pPr>
        <w:ind w:left="6532" w:hanging="529"/>
      </w:pPr>
      <w:rPr>
        <w:rFonts w:hint="default"/>
        <w:lang w:val="zh-CN" w:eastAsia="zh-CN" w:bidi="zh-CN"/>
      </w:rPr>
    </w:lvl>
  </w:abstractNum>
  <w:abstractNum w:abstractNumId="1">
    <w:nsid w:val="E12EA124"/>
    <w:multiLevelType w:val="singleLevel"/>
    <w:tmpl w:val="E12EA124"/>
    <w:lvl w:ilvl="0" w:tentative="0">
      <w:start w:val="1"/>
      <w:numFmt w:val="decimal"/>
      <w:suff w:val="nothing"/>
      <w:lvlText w:val="（%1）"/>
      <w:lvlJc w:val="left"/>
    </w:lvl>
  </w:abstractNum>
  <w:abstractNum w:abstractNumId="2">
    <w:nsid w:val="3FA4632B"/>
    <w:multiLevelType w:val="singleLevel"/>
    <w:tmpl w:val="3FA4632B"/>
    <w:lvl w:ilvl="0" w:tentative="0">
      <w:start w:val="3"/>
      <w:numFmt w:val="chineseCounting"/>
      <w:suff w:val="space"/>
      <w:lvlText w:val="第%1章"/>
      <w:lvlJc w:val="left"/>
      <w:rPr>
        <w:rFonts w:hint="eastAsia"/>
      </w:rPr>
    </w:lvl>
  </w:abstractNum>
  <w:abstractNum w:abstractNumId="3">
    <w:nsid w:val="50757C73"/>
    <w:multiLevelType w:val="singleLevel"/>
    <w:tmpl w:val="50757C73"/>
    <w:lvl w:ilvl="0" w:tentative="0">
      <w:start w:val="2"/>
      <w:numFmt w:val="decimal"/>
      <w:suff w:val="nothing"/>
      <w:lvlText w:val="（%1）"/>
      <w:lvlJc w:val="left"/>
    </w:lvl>
  </w:abstractNum>
  <w:abstractNum w:abstractNumId="4">
    <w:nsid w:val="7CB6A36B"/>
    <w:multiLevelType w:val="singleLevel"/>
    <w:tmpl w:val="7CB6A36B"/>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ZGM4Mzk5NWY2MzY3NzY5OGNjZTViYjY5YTczODAifQ=="/>
  </w:docVars>
  <w:rsids>
    <w:rsidRoot w:val="003A44EF"/>
    <w:rsid w:val="000C665F"/>
    <w:rsid w:val="000E7392"/>
    <w:rsid w:val="002934B2"/>
    <w:rsid w:val="003A44EF"/>
    <w:rsid w:val="003C0A42"/>
    <w:rsid w:val="004A15F3"/>
    <w:rsid w:val="005401EF"/>
    <w:rsid w:val="005452AF"/>
    <w:rsid w:val="005E0BFA"/>
    <w:rsid w:val="006C7680"/>
    <w:rsid w:val="006D6F37"/>
    <w:rsid w:val="006F6332"/>
    <w:rsid w:val="00753C4C"/>
    <w:rsid w:val="007C3B22"/>
    <w:rsid w:val="008D2787"/>
    <w:rsid w:val="00963026"/>
    <w:rsid w:val="00990AB8"/>
    <w:rsid w:val="009A1A50"/>
    <w:rsid w:val="009C337D"/>
    <w:rsid w:val="00A547EA"/>
    <w:rsid w:val="00A67D58"/>
    <w:rsid w:val="00A70B74"/>
    <w:rsid w:val="00AD141B"/>
    <w:rsid w:val="00B976D9"/>
    <w:rsid w:val="00C04F61"/>
    <w:rsid w:val="00D4349E"/>
    <w:rsid w:val="00EA6007"/>
    <w:rsid w:val="00EB38EC"/>
    <w:rsid w:val="00F54B42"/>
    <w:rsid w:val="01457570"/>
    <w:rsid w:val="015754F6"/>
    <w:rsid w:val="015A1C53"/>
    <w:rsid w:val="016F04B9"/>
    <w:rsid w:val="0182413A"/>
    <w:rsid w:val="01987147"/>
    <w:rsid w:val="01C0753F"/>
    <w:rsid w:val="01C41842"/>
    <w:rsid w:val="01F1594A"/>
    <w:rsid w:val="020E6397"/>
    <w:rsid w:val="02306473"/>
    <w:rsid w:val="024A0BB7"/>
    <w:rsid w:val="02B04EBD"/>
    <w:rsid w:val="02DE7C7D"/>
    <w:rsid w:val="02E51C23"/>
    <w:rsid w:val="031A67DB"/>
    <w:rsid w:val="0355716B"/>
    <w:rsid w:val="03B44E81"/>
    <w:rsid w:val="03C03826"/>
    <w:rsid w:val="04021749"/>
    <w:rsid w:val="04270BC3"/>
    <w:rsid w:val="04277401"/>
    <w:rsid w:val="046E3282"/>
    <w:rsid w:val="05454606"/>
    <w:rsid w:val="05777F14"/>
    <w:rsid w:val="057E12A3"/>
    <w:rsid w:val="05EF21A1"/>
    <w:rsid w:val="061B112F"/>
    <w:rsid w:val="06606BFB"/>
    <w:rsid w:val="066606B5"/>
    <w:rsid w:val="071F2612"/>
    <w:rsid w:val="07666493"/>
    <w:rsid w:val="07A863ED"/>
    <w:rsid w:val="07F053D2"/>
    <w:rsid w:val="08314CF2"/>
    <w:rsid w:val="084A1910"/>
    <w:rsid w:val="08646E76"/>
    <w:rsid w:val="087921F6"/>
    <w:rsid w:val="089A4646"/>
    <w:rsid w:val="08A54D99"/>
    <w:rsid w:val="08DC1251"/>
    <w:rsid w:val="092B34F0"/>
    <w:rsid w:val="09B473B6"/>
    <w:rsid w:val="0A342878"/>
    <w:rsid w:val="0ABA0FCF"/>
    <w:rsid w:val="0B7D3DAB"/>
    <w:rsid w:val="0BA852CC"/>
    <w:rsid w:val="0BEB15AE"/>
    <w:rsid w:val="0BF4501F"/>
    <w:rsid w:val="0C281F69"/>
    <w:rsid w:val="0C3B6140"/>
    <w:rsid w:val="0C6A432F"/>
    <w:rsid w:val="0D152CB4"/>
    <w:rsid w:val="0D1F336B"/>
    <w:rsid w:val="0D7A2C98"/>
    <w:rsid w:val="0D946B5F"/>
    <w:rsid w:val="0DFE7425"/>
    <w:rsid w:val="0E12182B"/>
    <w:rsid w:val="0E386ACC"/>
    <w:rsid w:val="0E464928"/>
    <w:rsid w:val="0E7811DB"/>
    <w:rsid w:val="0EA0672E"/>
    <w:rsid w:val="0EB421D9"/>
    <w:rsid w:val="0EBF36D0"/>
    <w:rsid w:val="0EF95E3E"/>
    <w:rsid w:val="0F234C69"/>
    <w:rsid w:val="0F2D10D5"/>
    <w:rsid w:val="0F67724C"/>
    <w:rsid w:val="0F7B6853"/>
    <w:rsid w:val="0F7EDE66"/>
    <w:rsid w:val="0FCB3337"/>
    <w:rsid w:val="102F7D69"/>
    <w:rsid w:val="108D2CE2"/>
    <w:rsid w:val="10EE19D3"/>
    <w:rsid w:val="115630D4"/>
    <w:rsid w:val="11716160"/>
    <w:rsid w:val="118155DC"/>
    <w:rsid w:val="11880453"/>
    <w:rsid w:val="120D57FE"/>
    <w:rsid w:val="123449D2"/>
    <w:rsid w:val="1351449B"/>
    <w:rsid w:val="1360648C"/>
    <w:rsid w:val="13633766"/>
    <w:rsid w:val="13833F28"/>
    <w:rsid w:val="138403CC"/>
    <w:rsid w:val="13D824C6"/>
    <w:rsid w:val="13E744B7"/>
    <w:rsid w:val="14183B6D"/>
    <w:rsid w:val="14215DB3"/>
    <w:rsid w:val="147246C9"/>
    <w:rsid w:val="152A6D51"/>
    <w:rsid w:val="15712BD2"/>
    <w:rsid w:val="15877D00"/>
    <w:rsid w:val="159E7B51"/>
    <w:rsid w:val="15D171CD"/>
    <w:rsid w:val="16481B85"/>
    <w:rsid w:val="16C32FBA"/>
    <w:rsid w:val="17312619"/>
    <w:rsid w:val="17966920"/>
    <w:rsid w:val="17A54DB5"/>
    <w:rsid w:val="17AD77C6"/>
    <w:rsid w:val="17B16829"/>
    <w:rsid w:val="17C70888"/>
    <w:rsid w:val="18982224"/>
    <w:rsid w:val="18B43502"/>
    <w:rsid w:val="18C748B7"/>
    <w:rsid w:val="19324427"/>
    <w:rsid w:val="197B5DCD"/>
    <w:rsid w:val="198527A8"/>
    <w:rsid w:val="19A47811"/>
    <w:rsid w:val="19C332D1"/>
    <w:rsid w:val="1A257AC8"/>
    <w:rsid w:val="1ACE4623"/>
    <w:rsid w:val="1B0066EA"/>
    <w:rsid w:val="1B0E4A1F"/>
    <w:rsid w:val="1B3F2E2B"/>
    <w:rsid w:val="1B8847D2"/>
    <w:rsid w:val="1BCF0653"/>
    <w:rsid w:val="1BEF65FF"/>
    <w:rsid w:val="1C646FED"/>
    <w:rsid w:val="1C7B4336"/>
    <w:rsid w:val="1CC63804"/>
    <w:rsid w:val="1CD31A7D"/>
    <w:rsid w:val="1D175E0D"/>
    <w:rsid w:val="1D94745E"/>
    <w:rsid w:val="1DBF1EF0"/>
    <w:rsid w:val="1DF72F2A"/>
    <w:rsid w:val="1E004AF3"/>
    <w:rsid w:val="1E85149C"/>
    <w:rsid w:val="1EBF04EE"/>
    <w:rsid w:val="1F114ADE"/>
    <w:rsid w:val="1F220A99"/>
    <w:rsid w:val="1F30765A"/>
    <w:rsid w:val="1F550E6F"/>
    <w:rsid w:val="1F9C52EC"/>
    <w:rsid w:val="1FFD6E47"/>
    <w:rsid w:val="200908B3"/>
    <w:rsid w:val="2020147D"/>
    <w:rsid w:val="20521380"/>
    <w:rsid w:val="207C3664"/>
    <w:rsid w:val="208819E3"/>
    <w:rsid w:val="20CF4C51"/>
    <w:rsid w:val="20E00C0C"/>
    <w:rsid w:val="211E6092"/>
    <w:rsid w:val="217D645B"/>
    <w:rsid w:val="2197576F"/>
    <w:rsid w:val="21D56297"/>
    <w:rsid w:val="22341F66"/>
    <w:rsid w:val="22833F45"/>
    <w:rsid w:val="22881DB8"/>
    <w:rsid w:val="228C104B"/>
    <w:rsid w:val="22F4274D"/>
    <w:rsid w:val="230C5CE8"/>
    <w:rsid w:val="232B2612"/>
    <w:rsid w:val="2358717F"/>
    <w:rsid w:val="236663A1"/>
    <w:rsid w:val="248A5117"/>
    <w:rsid w:val="248F5924"/>
    <w:rsid w:val="24C85C3F"/>
    <w:rsid w:val="252E63EA"/>
    <w:rsid w:val="25A0096A"/>
    <w:rsid w:val="25BC1C48"/>
    <w:rsid w:val="25E40110"/>
    <w:rsid w:val="25F72C80"/>
    <w:rsid w:val="269702A0"/>
    <w:rsid w:val="26CB1A16"/>
    <w:rsid w:val="270D202F"/>
    <w:rsid w:val="276B56D3"/>
    <w:rsid w:val="27B01A7B"/>
    <w:rsid w:val="2818512F"/>
    <w:rsid w:val="286E7CD8"/>
    <w:rsid w:val="28F17E5A"/>
    <w:rsid w:val="293B3DB1"/>
    <w:rsid w:val="2964687E"/>
    <w:rsid w:val="29A94291"/>
    <w:rsid w:val="29F55728"/>
    <w:rsid w:val="2A0C65CE"/>
    <w:rsid w:val="2A1C4BB6"/>
    <w:rsid w:val="2A1F09F7"/>
    <w:rsid w:val="2A2D1392"/>
    <w:rsid w:val="2A377AEF"/>
    <w:rsid w:val="2A522B7B"/>
    <w:rsid w:val="2AC375D4"/>
    <w:rsid w:val="2ADE7F6A"/>
    <w:rsid w:val="2B2378D5"/>
    <w:rsid w:val="2B475678"/>
    <w:rsid w:val="2B594413"/>
    <w:rsid w:val="2BC93943"/>
    <w:rsid w:val="2BCB6C93"/>
    <w:rsid w:val="2BD80E5D"/>
    <w:rsid w:val="2BF17EDF"/>
    <w:rsid w:val="2C02237E"/>
    <w:rsid w:val="2C483A28"/>
    <w:rsid w:val="2C772424"/>
    <w:rsid w:val="2C7F39CF"/>
    <w:rsid w:val="2C9A6598"/>
    <w:rsid w:val="2C9F7BCD"/>
    <w:rsid w:val="2CD47877"/>
    <w:rsid w:val="2CD755B9"/>
    <w:rsid w:val="2CEB2E12"/>
    <w:rsid w:val="2D727090"/>
    <w:rsid w:val="2D7C10D0"/>
    <w:rsid w:val="2DB15E0A"/>
    <w:rsid w:val="2DCD42C6"/>
    <w:rsid w:val="2E9121D0"/>
    <w:rsid w:val="2EF20488"/>
    <w:rsid w:val="2EFFB1E8"/>
    <w:rsid w:val="2F723377"/>
    <w:rsid w:val="2F8D2526"/>
    <w:rsid w:val="2F917CA1"/>
    <w:rsid w:val="2FEC3F5D"/>
    <w:rsid w:val="2FF41FDE"/>
    <w:rsid w:val="306B6744"/>
    <w:rsid w:val="306F7027"/>
    <w:rsid w:val="317754B9"/>
    <w:rsid w:val="318C636F"/>
    <w:rsid w:val="31D10829"/>
    <w:rsid w:val="32715B68"/>
    <w:rsid w:val="3275CF66"/>
    <w:rsid w:val="329655CE"/>
    <w:rsid w:val="32DA370D"/>
    <w:rsid w:val="34545741"/>
    <w:rsid w:val="345B6AD0"/>
    <w:rsid w:val="34D67A66"/>
    <w:rsid w:val="353E4427"/>
    <w:rsid w:val="35564870"/>
    <w:rsid w:val="35944047"/>
    <w:rsid w:val="35BE324A"/>
    <w:rsid w:val="35D76A24"/>
    <w:rsid w:val="35DD9FF5"/>
    <w:rsid w:val="35F965A0"/>
    <w:rsid w:val="35FDF4BD"/>
    <w:rsid w:val="362C0724"/>
    <w:rsid w:val="36E72988"/>
    <w:rsid w:val="36EE7787"/>
    <w:rsid w:val="377F2AD5"/>
    <w:rsid w:val="37857C71"/>
    <w:rsid w:val="37F25055"/>
    <w:rsid w:val="383C2774"/>
    <w:rsid w:val="38934A8A"/>
    <w:rsid w:val="392E1474"/>
    <w:rsid w:val="3946010D"/>
    <w:rsid w:val="397733A5"/>
    <w:rsid w:val="39A66458"/>
    <w:rsid w:val="39F03306"/>
    <w:rsid w:val="39F8091D"/>
    <w:rsid w:val="3A092B2A"/>
    <w:rsid w:val="3B141786"/>
    <w:rsid w:val="3B7EE137"/>
    <w:rsid w:val="3B862684"/>
    <w:rsid w:val="3B911029"/>
    <w:rsid w:val="3BD31641"/>
    <w:rsid w:val="3BDE9FEA"/>
    <w:rsid w:val="3BF76074"/>
    <w:rsid w:val="3BFE4EBB"/>
    <w:rsid w:val="3C63209A"/>
    <w:rsid w:val="3CC52D38"/>
    <w:rsid w:val="3D597924"/>
    <w:rsid w:val="3D632551"/>
    <w:rsid w:val="3D6F788E"/>
    <w:rsid w:val="3D7E2699"/>
    <w:rsid w:val="3D803103"/>
    <w:rsid w:val="3DB56AF2"/>
    <w:rsid w:val="3DBF00CF"/>
    <w:rsid w:val="3DF0467F"/>
    <w:rsid w:val="3E0B6E71"/>
    <w:rsid w:val="3E6E4772"/>
    <w:rsid w:val="3E8F7AA2"/>
    <w:rsid w:val="3EA071C8"/>
    <w:rsid w:val="3F676EF0"/>
    <w:rsid w:val="3FBA6DA0"/>
    <w:rsid w:val="3FD37E62"/>
    <w:rsid w:val="4081341A"/>
    <w:rsid w:val="40B7508E"/>
    <w:rsid w:val="40D54524"/>
    <w:rsid w:val="40ED0AAF"/>
    <w:rsid w:val="415D593F"/>
    <w:rsid w:val="41790595"/>
    <w:rsid w:val="421A1D78"/>
    <w:rsid w:val="426E79CE"/>
    <w:rsid w:val="42AB29D0"/>
    <w:rsid w:val="430640AA"/>
    <w:rsid w:val="432804C5"/>
    <w:rsid w:val="43587F3D"/>
    <w:rsid w:val="43790D20"/>
    <w:rsid w:val="438F1583"/>
    <w:rsid w:val="448160DE"/>
    <w:rsid w:val="44D04970"/>
    <w:rsid w:val="451A13A3"/>
    <w:rsid w:val="453875C1"/>
    <w:rsid w:val="45703A5D"/>
    <w:rsid w:val="45834BF4"/>
    <w:rsid w:val="45CF2F79"/>
    <w:rsid w:val="45D20C54"/>
    <w:rsid w:val="467C16D7"/>
    <w:rsid w:val="46AE739A"/>
    <w:rsid w:val="46D5626E"/>
    <w:rsid w:val="470310B3"/>
    <w:rsid w:val="478F28C0"/>
    <w:rsid w:val="479E6FA7"/>
    <w:rsid w:val="47F44E19"/>
    <w:rsid w:val="480F63E1"/>
    <w:rsid w:val="481E1E96"/>
    <w:rsid w:val="4885093C"/>
    <w:rsid w:val="48F67EAB"/>
    <w:rsid w:val="491312CF"/>
    <w:rsid w:val="49292E7D"/>
    <w:rsid w:val="495A5150"/>
    <w:rsid w:val="49951CE4"/>
    <w:rsid w:val="499A6287"/>
    <w:rsid w:val="49DB3A4D"/>
    <w:rsid w:val="49F17862"/>
    <w:rsid w:val="4A286FFC"/>
    <w:rsid w:val="4A8C063F"/>
    <w:rsid w:val="4AF04EF2"/>
    <w:rsid w:val="4AF14222"/>
    <w:rsid w:val="4B46773A"/>
    <w:rsid w:val="4B810B65"/>
    <w:rsid w:val="4B9506C1"/>
    <w:rsid w:val="4BD27718"/>
    <w:rsid w:val="4BEB02E1"/>
    <w:rsid w:val="4BFFF1AD"/>
    <w:rsid w:val="4C0849EF"/>
    <w:rsid w:val="4C207F8B"/>
    <w:rsid w:val="4C5B5467"/>
    <w:rsid w:val="4C6065D9"/>
    <w:rsid w:val="4CC528E0"/>
    <w:rsid w:val="4D2515D1"/>
    <w:rsid w:val="4D634646"/>
    <w:rsid w:val="4D973C2C"/>
    <w:rsid w:val="4DAB1E02"/>
    <w:rsid w:val="4E141316"/>
    <w:rsid w:val="4E4837C9"/>
    <w:rsid w:val="4E9C0BC5"/>
    <w:rsid w:val="4EFA0F67"/>
    <w:rsid w:val="4F111E0D"/>
    <w:rsid w:val="4F2204BE"/>
    <w:rsid w:val="4F846A83"/>
    <w:rsid w:val="4FD73056"/>
    <w:rsid w:val="4FE85264"/>
    <w:rsid w:val="50303144"/>
    <w:rsid w:val="50731F61"/>
    <w:rsid w:val="511B3417"/>
    <w:rsid w:val="513F5914"/>
    <w:rsid w:val="51A52C5F"/>
    <w:rsid w:val="51C969CF"/>
    <w:rsid w:val="51F36142"/>
    <w:rsid w:val="51FC4FF6"/>
    <w:rsid w:val="52624A8D"/>
    <w:rsid w:val="526B5CD8"/>
    <w:rsid w:val="527F6F8A"/>
    <w:rsid w:val="52AD4542"/>
    <w:rsid w:val="53446C55"/>
    <w:rsid w:val="53A4545B"/>
    <w:rsid w:val="54C57380"/>
    <w:rsid w:val="5543769D"/>
    <w:rsid w:val="557D644E"/>
    <w:rsid w:val="55F45FE4"/>
    <w:rsid w:val="55F81F79"/>
    <w:rsid w:val="560E652F"/>
    <w:rsid w:val="562C577E"/>
    <w:rsid w:val="5680139E"/>
    <w:rsid w:val="569752EE"/>
    <w:rsid w:val="57462870"/>
    <w:rsid w:val="577473DD"/>
    <w:rsid w:val="57E9601D"/>
    <w:rsid w:val="581B5AAA"/>
    <w:rsid w:val="58BC54DF"/>
    <w:rsid w:val="597B52F1"/>
    <w:rsid w:val="59D25CE9"/>
    <w:rsid w:val="59E206E5"/>
    <w:rsid w:val="5A4A56DB"/>
    <w:rsid w:val="5A4B6B1B"/>
    <w:rsid w:val="5A9F29C3"/>
    <w:rsid w:val="5AD92379"/>
    <w:rsid w:val="5AFE1DDF"/>
    <w:rsid w:val="5B0D3DD0"/>
    <w:rsid w:val="5B500161"/>
    <w:rsid w:val="5B7C4AB2"/>
    <w:rsid w:val="5B834092"/>
    <w:rsid w:val="5B975D90"/>
    <w:rsid w:val="5C0A6562"/>
    <w:rsid w:val="5C186ED1"/>
    <w:rsid w:val="5C2F421A"/>
    <w:rsid w:val="5C317F92"/>
    <w:rsid w:val="5C493291"/>
    <w:rsid w:val="5C6C4B26"/>
    <w:rsid w:val="5CA00C74"/>
    <w:rsid w:val="5CF324D6"/>
    <w:rsid w:val="5D301FF8"/>
    <w:rsid w:val="5D347D3A"/>
    <w:rsid w:val="5D6B3030"/>
    <w:rsid w:val="5DC16C09"/>
    <w:rsid w:val="5DE40963"/>
    <w:rsid w:val="5DF9063C"/>
    <w:rsid w:val="5EBD78BB"/>
    <w:rsid w:val="5EDF43A9"/>
    <w:rsid w:val="5EF502F5"/>
    <w:rsid w:val="5F4F0E5B"/>
    <w:rsid w:val="5F585836"/>
    <w:rsid w:val="5F7FB18B"/>
    <w:rsid w:val="5FC1162D"/>
    <w:rsid w:val="5FE570CA"/>
    <w:rsid w:val="60B66CB8"/>
    <w:rsid w:val="6153693F"/>
    <w:rsid w:val="6162299C"/>
    <w:rsid w:val="618B5A4F"/>
    <w:rsid w:val="619F14FA"/>
    <w:rsid w:val="61A445BF"/>
    <w:rsid w:val="62233ED9"/>
    <w:rsid w:val="62843025"/>
    <w:rsid w:val="62A751AD"/>
    <w:rsid w:val="62B23934"/>
    <w:rsid w:val="631657EC"/>
    <w:rsid w:val="6356C7C3"/>
    <w:rsid w:val="636B1FDC"/>
    <w:rsid w:val="636C18B0"/>
    <w:rsid w:val="636E387A"/>
    <w:rsid w:val="646808EA"/>
    <w:rsid w:val="6470717E"/>
    <w:rsid w:val="648D7D30"/>
    <w:rsid w:val="64AF7CA6"/>
    <w:rsid w:val="64EE6A20"/>
    <w:rsid w:val="651B17E0"/>
    <w:rsid w:val="65757142"/>
    <w:rsid w:val="65DC4ACB"/>
    <w:rsid w:val="65F7569D"/>
    <w:rsid w:val="661F0E5C"/>
    <w:rsid w:val="66521231"/>
    <w:rsid w:val="66723681"/>
    <w:rsid w:val="66757F23"/>
    <w:rsid w:val="66CF4630"/>
    <w:rsid w:val="671F5ADA"/>
    <w:rsid w:val="68404B70"/>
    <w:rsid w:val="685F7C35"/>
    <w:rsid w:val="688B4586"/>
    <w:rsid w:val="68A815DC"/>
    <w:rsid w:val="6A45623B"/>
    <w:rsid w:val="6A7A6FA8"/>
    <w:rsid w:val="6B323E89"/>
    <w:rsid w:val="6B625A72"/>
    <w:rsid w:val="6BAE6F0A"/>
    <w:rsid w:val="6BCA186A"/>
    <w:rsid w:val="6BDC0B8C"/>
    <w:rsid w:val="6C5630FD"/>
    <w:rsid w:val="6C6A4337"/>
    <w:rsid w:val="6C7F0402"/>
    <w:rsid w:val="6C7F08A6"/>
    <w:rsid w:val="6CFE7A1D"/>
    <w:rsid w:val="6D162FB8"/>
    <w:rsid w:val="6D3C22F3"/>
    <w:rsid w:val="6D877A12"/>
    <w:rsid w:val="6D943EDD"/>
    <w:rsid w:val="6DBD1686"/>
    <w:rsid w:val="6DCAD9C0"/>
    <w:rsid w:val="6DD72CB9"/>
    <w:rsid w:val="6E2A4841"/>
    <w:rsid w:val="6EDDC14C"/>
    <w:rsid w:val="6EF410D7"/>
    <w:rsid w:val="6F062BB9"/>
    <w:rsid w:val="6FB24AEE"/>
    <w:rsid w:val="6FFF4A05"/>
    <w:rsid w:val="70333E81"/>
    <w:rsid w:val="70613C89"/>
    <w:rsid w:val="70700C31"/>
    <w:rsid w:val="709A471E"/>
    <w:rsid w:val="70FF766E"/>
    <w:rsid w:val="711315BD"/>
    <w:rsid w:val="717007BD"/>
    <w:rsid w:val="717E4251"/>
    <w:rsid w:val="71A82713"/>
    <w:rsid w:val="71DA7ECC"/>
    <w:rsid w:val="73041B05"/>
    <w:rsid w:val="730B43B7"/>
    <w:rsid w:val="735A7977"/>
    <w:rsid w:val="73B254A9"/>
    <w:rsid w:val="73CF0B76"/>
    <w:rsid w:val="73E334C8"/>
    <w:rsid w:val="73F27BAF"/>
    <w:rsid w:val="74035919"/>
    <w:rsid w:val="744A1799"/>
    <w:rsid w:val="74575C64"/>
    <w:rsid w:val="74E25E76"/>
    <w:rsid w:val="751F2C26"/>
    <w:rsid w:val="755F74C6"/>
    <w:rsid w:val="7592164A"/>
    <w:rsid w:val="75B25848"/>
    <w:rsid w:val="75EB48B6"/>
    <w:rsid w:val="75F53987"/>
    <w:rsid w:val="76193DF8"/>
    <w:rsid w:val="76213A9E"/>
    <w:rsid w:val="76236746"/>
    <w:rsid w:val="76342701"/>
    <w:rsid w:val="763F4F79"/>
    <w:rsid w:val="7653333A"/>
    <w:rsid w:val="7684354B"/>
    <w:rsid w:val="76C577FD"/>
    <w:rsid w:val="76E13F88"/>
    <w:rsid w:val="76E61C4D"/>
    <w:rsid w:val="76F93EE1"/>
    <w:rsid w:val="771340C5"/>
    <w:rsid w:val="77516C75"/>
    <w:rsid w:val="77903967"/>
    <w:rsid w:val="77BC2C03"/>
    <w:rsid w:val="77F585C4"/>
    <w:rsid w:val="77FC3D61"/>
    <w:rsid w:val="77FE0832"/>
    <w:rsid w:val="78AF42C1"/>
    <w:rsid w:val="78BE3462"/>
    <w:rsid w:val="78EA354B"/>
    <w:rsid w:val="796C31B8"/>
    <w:rsid w:val="79EB5768"/>
    <w:rsid w:val="79FF2E6F"/>
    <w:rsid w:val="7AAC6D0A"/>
    <w:rsid w:val="7B046B46"/>
    <w:rsid w:val="7B3665D4"/>
    <w:rsid w:val="7C3617EF"/>
    <w:rsid w:val="7C4D62CB"/>
    <w:rsid w:val="7CDD6772"/>
    <w:rsid w:val="7CDE5175"/>
    <w:rsid w:val="7CEFE354"/>
    <w:rsid w:val="7D4B192B"/>
    <w:rsid w:val="7D741635"/>
    <w:rsid w:val="7DC71B09"/>
    <w:rsid w:val="7DCE654B"/>
    <w:rsid w:val="7DDFEAB7"/>
    <w:rsid w:val="7E7B8C3C"/>
    <w:rsid w:val="7E7BA75A"/>
    <w:rsid w:val="7E9E4BBC"/>
    <w:rsid w:val="7EBC14E6"/>
    <w:rsid w:val="7EC108AA"/>
    <w:rsid w:val="7EF26CB5"/>
    <w:rsid w:val="7EFBE45F"/>
    <w:rsid w:val="7F772E9A"/>
    <w:rsid w:val="7F8F775C"/>
    <w:rsid w:val="7FAF0E8A"/>
    <w:rsid w:val="7FD88FD6"/>
    <w:rsid w:val="7FEB2DD2"/>
    <w:rsid w:val="7FF39F49"/>
    <w:rsid w:val="A3EC59D6"/>
    <w:rsid w:val="A77F36CF"/>
    <w:rsid w:val="AF7DF4DE"/>
    <w:rsid w:val="AFFCCF38"/>
    <w:rsid w:val="AFFFB68A"/>
    <w:rsid w:val="BE57092B"/>
    <w:rsid w:val="BFBF86EC"/>
    <w:rsid w:val="C9BE173F"/>
    <w:rsid w:val="CDFAB896"/>
    <w:rsid w:val="CF6FC077"/>
    <w:rsid w:val="D6E412F7"/>
    <w:rsid w:val="DDB9F42F"/>
    <w:rsid w:val="DF73F96C"/>
    <w:rsid w:val="DFCF8CF7"/>
    <w:rsid w:val="E7FD9BEA"/>
    <w:rsid w:val="E947273E"/>
    <w:rsid w:val="EF7F476F"/>
    <w:rsid w:val="F3EDCB3B"/>
    <w:rsid w:val="F7C421D5"/>
    <w:rsid w:val="F7DD1544"/>
    <w:rsid w:val="F9DD621D"/>
    <w:rsid w:val="FBBFFD41"/>
    <w:rsid w:val="FBDB85F2"/>
    <w:rsid w:val="FBE0075F"/>
    <w:rsid w:val="FBF9A456"/>
    <w:rsid w:val="FC6F67D2"/>
    <w:rsid w:val="FCBF6FAA"/>
    <w:rsid w:val="FEFF0273"/>
    <w:rsid w:val="FF7772D9"/>
    <w:rsid w:val="FFBC5B31"/>
    <w:rsid w:val="FFCB4887"/>
    <w:rsid w:val="FFEFDB19"/>
    <w:rsid w:val="FFFD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小标宋简体" w:cs="方正小标宋简体" w:asciiTheme="minorHAnsi" w:hAnsiTheme="minorHAnsi"/>
      <w:kern w:val="20"/>
      <w:sz w:val="44"/>
      <w:szCs w:val="4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link w:val="35"/>
    <w:qFormat/>
    <w:uiPriority w:val="0"/>
    <w:pPr>
      <w:spacing w:after="157" w:afterLines="50" w:line="264" w:lineRule="auto"/>
      <w:ind w:firstLine="480" w:firstLineChars="200"/>
    </w:pPr>
    <w:rPr>
      <w:rFonts w:ascii="宋体" w:hAnsi="宋体" w:eastAsia="宋体" w:cs="宋体"/>
      <w:kern w:val="2"/>
      <w:sz w:val="24"/>
      <w:szCs w:val="20"/>
      <w:u w:val="single"/>
    </w:rPr>
  </w:style>
  <w:style w:type="paragraph" w:styleId="9">
    <w:name w:val="Body Text 2"/>
    <w:basedOn w:val="1"/>
    <w:qFormat/>
    <w:uiPriority w:val="0"/>
    <w:pPr>
      <w:spacing w:line="360" w:lineRule="auto"/>
    </w:pPr>
    <w:rPr>
      <w:rFonts w:ascii="宋体"/>
      <w:spacing w:val="-20"/>
      <w:sz w:val="28"/>
      <w:szCs w:val="20"/>
    </w:rPr>
  </w:style>
  <w:style w:type="paragraph" w:styleId="10">
    <w:name w:val="Body Text Indent"/>
    <w:basedOn w:val="1"/>
    <w:next w:val="11"/>
    <w:qFormat/>
    <w:uiPriority w:val="0"/>
    <w:pPr>
      <w:spacing w:after="120"/>
      <w:ind w:left="420" w:leftChars="200"/>
    </w:pPr>
    <w:rPr>
      <w:rFonts w:ascii="Times New Roman" w:hAnsi="Times New Roman" w:eastAsia="宋体" w:cs="Times New Roman"/>
      <w:kern w:val="2"/>
      <w:sz w:val="21"/>
      <w:szCs w:val="24"/>
    </w:rPr>
  </w:style>
  <w:style w:type="paragraph" w:styleId="11">
    <w:name w:val="envelope return"/>
    <w:basedOn w:val="1"/>
    <w:qFormat/>
    <w:uiPriority w:val="0"/>
    <w:pPr>
      <w:snapToGrid w:val="0"/>
    </w:pPr>
    <w:rPr>
      <w:rFonts w:ascii="Arial" w:hAnsi="Arial" w:cs="Arial"/>
      <w:szCs w:val="20"/>
    </w:rPr>
  </w:style>
  <w:style w:type="paragraph" w:styleId="12">
    <w:name w:val="Plain Text"/>
    <w:basedOn w:val="1"/>
    <w:qFormat/>
    <w:uiPriority w:val="99"/>
    <w:rPr>
      <w:rFonts w:ascii="宋体" w:hAnsi="Courier New" w:eastAsia="宋体" w:cs="黑体"/>
      <w:szCs w:val="22"/>
    </w:rPr>
  </w:style>
  <w:style w:type="paragraph" w:styleId="13">
    <w:name w:val="Date"/>
    <w:basedOn w:val="1"/>
    <w:next w:val="1"/>
    <w:qFormat/>
    <w:uiPriority w:val="0"/>
    <w:rPr>
      <w:rFonts w:ascii="Arial" w:hAnsi="Arial" w:eastAsia="宋体" w:cs="Arial"/>
      <w:b/>
      <w:sz w:val="2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8">
    <w:name w:val="index 1"/>
    <w:basedOn w:val="1"/>
    <w:next w:val="1"/>
    <w:qFormat/>
    <w:uiPriority w:val="0"/>
    <w:pPr>
      <w:jc w:val="center"/>
    </w:pPr>
    <w:rPr>
      <w:rFonts w:ascii="Arial" w:hAnsi="Arial" w:eastAsia="Arial" w:cs="Arial"/>
      <w:b/>
      <w:bCs/>
      <w:sz w:val="28"/>
    </w:rPr>
  </w:style>
  <w:style w:type="paragraph" w:styleId="19">
    <w:name w:val="Body Text First Indent"/>
    <w:basedOn w:val="8"/>
    <w:link w:val="36"/>
    <w:qFormat/>
    <w:uiPriority w:val="0"/>
    <w:pPr>
      <w:spacing w:after="120"/>
      <w:ind w:firstLine="420" w:firstLineChars="100"/>
    </w:pPr>
    <w:rPr>
      <w:rFonts w:eastAsia="方正小标宋简体" w:cs="方正小标宋简体" w:asciiTheme="minorHAnsi" w:hAnsiTheme="minorHAnsi"/>
      <w:sz w:val="44"/>
    </w:rPr>
  </w:style>
  <w:style w:type="paragraph" w:styleId="20">
    <w:name w:val="Body Text First Indent 2"/>
    <w:basedOn w:val="10"/>
    <w:next w:val="1"/>
    <w:qFormat/>
    <w:uiPriority w:val="0"/>
    <w:pPr>
      <w:ind w:firstLine="420" w:firstLineChars="200"/>
    </w:p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paragraph" w:customStyle="1" w:styleId="26">
    <w:name w:val="表格文字"/>
    <w:basedOn w:val="1"/>
    <w:next w:val="8"/>
    <w:qFormat/>
    <w:uiPriority w:val="0"/>
    <w:pPr>
      <w:jc w:val="center"/>
    </w:pPr>
    <w:rPr>
      <w:rFonts w:cs="Times New Roman"/>
      <w:kern w:val="0"/>
      <w:sz w:val="20"/>
    </w:rPr>
  </w:style>
  <w:style w:type="paragraph" w:customStyle="1" w:styleId="27">
    <w:name w:val="xl31"/>
    <w:basedOn w:val="1"/>
    <w:qFormat/>
    <w:uiPriority w:val="0"/>
    <w:pPr>
      <w:widowControl/>
      <w:spacing w:before="100" w:beforeAutospacing="1" w:after="100" w:afterAutospacing="1"/>
      <w:jc w:val="center"/>
    </w:pPr>
    <w:rPr>
      <w:b/>
      <w:bCs/>
      <w:kern w:val="0"/>
      <w:sz w:val="28"/>
      <w:szCs w:val="28"/>
    </w:rPr>
  </w:style>
  <w:style w:type="paragraph" w:customStyle="1" w:styleId="28">
    <w:name w:val="Table Paragraph"/>
    <w:basedOn w:val="1"/>
    <w:qFormat/>
    <w:uiPriority w:val="1"/>
    <w:rPr>
      <w:rFonts w:ascii="宋体" w:hAnsi="宋体" w:eastAsia="宋体" w:cs="宋体"/>
      <w:lang w:val="zh-CN" w:bidi="zh-CN"/>
    </w:rPr>
  </w:style>
  <w:style w:type="paragraph" w:customStyle="1" w:styleId="2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列表段落1"/>
    <w:basedOn w:val="1"/>
    <w:qFormat/>
    <w:uiPriority w:val="99"/>
    <w:pPr>
      <w:ind w:firstLine="420" w:firstLineChars="200"/>
    </w:p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font11"/>
    <w:basedOn w:val="23"/>
    <w:qFormat/>
    <w:uiPriority w:val="0"/>
    <w:rPr>
      <w:rFonts w:hint="eastAsia" w:ascii="宋体" w:hAnsi="宋体" w:eastAsia="宋体" w:cs="宋体"/>
      <w:color w:val="000000"/>
      <w:sz w:val="21"/>
      <w:szCs w:val="21"/>
      <w:u w:val="none"/>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WPSOffice手动目录 1"/>
    <w:qFormat/>
    <w:uiPriority w:val="0"/>
    <w:rPr>
      <w:rFonts w:ascii="Times New Roman" w:hAnsi="Times New Roman" w:eastAsia="宋体" w:cs="Times New Roman"/>
      <w:lang w:val="en-US" w:eastAsia="zh-CN" w:bidi="ar-SA"/>
    </w:rPr>
  </w:style>
  <w:style w:type="character" w:customStyle="1" w:styleId="35">
    <w:name w:val="正文文本 字符"/>
    <w:link w:val="8"/>
    <w:qFormat/>
    <w:uiPriority w:val="0"/>
    <w:rPr>
      <w:rFonts w:ascii="宋体" w:hAnsi="宋体" w:eastAsia="宋体" w:cs="宋体"/>
      <w:kern w:val="2"/>
      <w:sz w:val="24"/>
      <w:szCs w:val="20"/>
      <w:u w:val="single"/>
      <w:lang w:val="en-US" w:eastAsia="zh-CN" w:bidi="ar-SA"/>
    </w:rPr>
  </w:style>
  <w:style w:type="character" w:customStyle="1" w:styleId="36">
    <w:name w:val="正文文本首行缩进 字符"/>
    <w:basedOn w:val="35"/>
    <w:link w:val="19"/>
    <w:qFormat/>
    <w:uiPriority w:val="0"/>
    <w:rPr>
      <w:rFonts w:eastAsia="方正小标宋简体" w:cs="方正小标宋简体" w:asciiTheme="minorHAnsi" w:hAnsiTheme="minorHAnsi"/>
      <w:kern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18771</Words>
  <Characters>19558</Characters>
  <Lines>967</Lines>
  <Paragraphs>918</Paragraphs>
  <TotalTime>1</TotalTime>
  <ScaleCrop>false</ScaleCrop>
  <LinksUpToDate>false</LinksUpToDate>
  <CharactersWithSpaces>19846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2025-09-15T18:05:00Z</dcterms:created>
  <dc:creator>THINKPAD</dc:creator>
  <cp:lastModifiedBy>~~~</cp:lastModifiedBy>
  <cp:lastPrinted>2023-11-07T00:52:00Z</cp:lastPrinted>
  <dcterms:modified xsi:type="dcterms:W3CDTF">2025-10-13T09:43:12Z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6A36249E5E28B4C2614DD66822625460_43</vt:lpwstr>
  </property>
  <property fmtid="{D5CDD505-2E9C-101B-9397-08002B2CF9AE}" pid="4" name="KSOTemplateDocerSaveRecord">
    <vt:lpwstr>eyJoZGlkIjoiNjE5ODU3ZjBjYzJjMzIyZmRlNGE1YjkyODVmYmY1NWQiLCJ1c2VySWQiOiIxNjQ0NzUzMDQ2In0=</vt:lpwstr>
  </property>
</Properties>
</file>