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40"/>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包河区中小学体艺中心2026年度保险采购</w:t>
      </w:r>
      <w:r>
        <w:rPr>
          <w:rFonts w:hint="eastAsia" w:ascii="Times New Roman" w:hAnsi="Times New Roman" w:cs="Times New Roman"/>
          <w:b/>
          <w:bCs/>
          <w:color w:val="auto"/>
          <w:sz w:val="32"/>
          <w:szCs w:val="32"/>
          <w:highlight w:val="none"/>
          <w:u w:val="single"/>
          <w:lang w:val="en-US" w:eastAsia="zh-CN"/>
        </w:rPr>
        <w:t>项目</w:t>
      </w:r>
      <w:r>
        <w:rPr>
          <w:rFonts w:hint="default" w:ascii="Times New Roman" w:hAnsi="Times New Roman" w:cs="Times New Roman"/>
          <w:b/>
          <w:color w:val="auto"/>
          <w:spacing w:val="20"/>
          <w:kern w:val="0"/>
          <w:sz w:val="32"/>
          <w:szCs w:val="32"/>
          <w:highlight w:val="none"/>
          <w:u w:val="singl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eastAsia" w:ascii="Times New Roman" w:hAnsi="Times New Roman" w:cs="Times New Roman"/>
          <w:b/>
          <w:bCs/>
          <w:color w:val="auto"/>
          <w:sz w:val="32"/>
          <w:szCs w:val="32"/>
          <w:highlight w:val="none"/>
          <w:u w:val="single"/>
          <w:lang w:val="en-US" w:eastAsia="zh-CN"/>
        </w:rPr>
        <w:t xml:space="preserve">BHSG-ZTB-2026-09 </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rPr>
        <w:t>月</w:t>
      </w:r>
    </w:p>
    <w:bookmarkEnd w:id="0"/>
    <w:p w14:paraId="11DACDE4">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F9529C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28359003"/>
      <w:bookmarkStart w:id="4" w:name="_Toc35393622"/>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包河区中小学体艺中心2026年度保险采购项目</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6年4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35393790"/>
      <w:bookmarkStart w:id="8" w:name="_Toc35393621"/>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BHSG-ZTB-2026-09</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rPr>
        <w:t>包河区中小学体艺中心2026年度保险采购</w:t>
      </w:r>
      <w:r>
        <w:rPr>
          <w:rFonts w:hint="eastAsia" w:ascii="Times New Roman" w:hAnsi="Times New Roman" w:cs="Times New Roman"/>
          <w:color w:val="auto"/>
          <w:sz w:val="24"/>
          <w:szCs w:val="24"/>
          <w:highlight w:val="none"/>
          <w:u w:val="single"/>
          <w:lang w:val="en-US" w:eastAsia="zh-CN"/>
        </w:rPr>
        <w:t>项目</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single"/>
          <w:lang w:val="en-US" w:eastAsia="zh-CN"/>
        </w:rPr>
        <w:t>包河区中小学体艺中心2026年度保险采购项目，</w:t>
      </w:r>
      <w:r>
        <w:rPr>
          <w:rFonts w:hint="default" w:ascii="Times New Roman" w:hAnsi="Times New Roman" w:cs="Times New Roman"/>
          <w:color w:val="auto"/>
          <w:sz w:val="24"/>
          <w:szCs w:val="24"/>
          <w:highlight w:val="none"/>
          <w:u w:val="single"/>
          <w:lang w:val="en-US" w:eastAsia="zh-CN"/>
        </w:rPr>
        <w:t>具体详见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12.2880</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12.2880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壹拾贰万贰仟捌佰捌拾元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共分1个标段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CB28A04">
      <w:pPr>
        <w:spacing w:line="360" w:lineRule="auto"/>
        <w:ind w:firstLine="435"/>
        <w:rPr>
          <w:rFonts w:hint="eastAsia" w:ascii="宋体" w:hAnsi="宋体" w:eastAsia="宋体" w:cs="宋体"/>
          <w:sz w:val="24"/>
          <w:szCs w:val="18"/>
          <w:highlight w:val="none"/>
        </w:rPr>
      </w:pPr>
      <w:r>
        <w:rPr>
          <w:rFonts w:hint="default" w:ascii="Times New Roman" w:hAnsi="Times New Roman" w:cs="Times New Roman"/>
          <w:color w:val="auto"/>
          <w:sz w:val="24"/>
          <w:szCs w:val="18"/>
          <w:highlight w:val="none"/>
        </w:rPr>
        <w:t>2.资质要求：</w:t>
      </w:r>
      <w:r>
        <w:rPr>
          <w:rFonts w:hint="eastAsia" w:ascii="宋体" w:hAnsi="宋体" w:eastAsia="宋体" w:cs="宋体"/>
          <w:sz w:val="24"/>
          <w:szCs w:val="18"/>
          <w:highlight w:val="none"/>
          <w:lang w:val="en-US" w:eastAsia="zh-CN"/>
        </w:rPr>
        <w:t>同时满足以下</w:t>
      </w:r>
      <w:r>
        <w:rPr>
          <w:rFonts w:hint="eastAsia" w:ascii="宋体" w:hAnsi="宋体" w:eastAsia="宋体" w:cs="宋体"/>
          <w:sz w:val="24"/>
          <w:szCs w:val="18"/>
          <w:highlight w:val="none"/>
        </w:rPr>
        <w:t>资质要求：</w:t>
      </w:r>
    </w:p>
    <w:p w14:paraId="6EFEC416">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lang w:val="en-US" w:eastAsia="zh-CN"/>
        </w:rPr>
        <w:t xml:space="preserve"> （1）具有有效的经营保险业务许可证； </w:t>
      </w:r>
      <w:r>
        <w:rPr>
          <w:rFonts w:hint="eastAsia" w:ascii="宋体" w:hAnsi="宋体" w:eastAsia="宋体" w:cs="宋体"/>
          <w:sz w:val="24"/>
          <w:szCs w:val="18"/>
          <w:highlight w:val="none"/>
          <w:lang w:val="en-US" w:eastAsia="zh-CN"/>
        </w:rPr>
        <w:br w:type="textWrapping"/>
      </w:r>
      <w:r>
        <w:rPr>
          <w:rFonts w:hint="eastAsia" w:ascii="宋体" w:hAnsi="宋体" w:eastAsia="宋体" w:cs="宋体"/>
          <w:sz w:val="24"/>
          <w:szCs w:val="18"/>
          <w:highlight w:val="none"/>
          <w:lang w:val="en-US" w:eastAsia="zh-CN"/>
        </w:rPr>
        <w:t>   （2）同一保险公司只能有其一家机构参与投标。</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r>
        <w:rPr>
          <w:rFonts w:hint="eastAsia" w:ascii="Times New Roman" w:hAnsi="Times New Roman" w:cs="Times New Roman"/>
          <w:color w:val="auto"/>
          <w:sz w:val="24"/>
          <w:szCs w:val="18"/>
          <w:highlight w:val="none"/>
          <w:lang w:val="en-US" w:eastAsia="zh-CN"/>
        </w:rPr>
        <w:t>无</w:t>
      </w:r>
      <w:r>
        <w:rPr>
          <w:rFonts w:hint="default" w:ascii="Times New Roman" w:hAnsi="Times New Roman" w:cs="Times New Roman"/>
          <w:color w:val="auto"/>
          <w:sz w:val="24"/>
          <w:szCs w:val="18"/>
          <w:highlight w:val="none"/>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13</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1636605C">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 xml:space="preserve">安徽省合肥市包河区郎溪路与汤岭关路交叉口西南140米（雍荣府三期S1幢3楼） </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14719ECF">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2.关于招标文件答疑的说明：（1）潜在投标人对招标文件的疑问须在2026年4月</w:t>
      </w:r>
      <w:r>
        <w:rPr>
          <w:rFonts w:hint="eastAsia" w:ascii="Times New Roman" w:hAnsi="Times New Roman" w:cs="Times New Roman"/>
          <w:color w:val="auto"/>
          <w:sz w:val="24"/>
          <w:szCs w:val="24"/>
          <w:highlight w:val="none"/>
          <w:lang w:val="en-US" w:eastAsia="zh-CN"/>
        </w:rPr>
        <w:t>16</w:t>
      </w:r>
      <w:r>
        <w:rPr>
          <w:rFonts w:hint="default" w:ascii="Times New Roman" w:hAnsi="Times New Roman" w:cs="Times New Roman"/>
          <w:color w:val="auto"/>
          <w:sz w:val="24"/>
          <w:szCs w:val="24"/>
          <w:highlight w:val="none"/>
        </w:rPr>
        <w:t>日17:00（北京时间）前，以书面形式提交至项目联系人处，逾期不予受理；（2）招标人将在2026年4月</w:t>
      </w:r>
      <w:r>
        <w:rPr>
          <w:rFonts w:hint="eastAsia" w:ascii="Times New Roman" w:hAnsi="Times New Roman" w:cs="Times New Roman"/>
          <w:color w:val="auto"/>
          <w:sz w:val="24"/>
          <w:szCs w:val="24"/>
          <w:highlight w:val="none"/>
          <w:lang w:val="en-US" w:eastAsia="zh-CN"/>
        </w:rPr>
        <w:t>17</w:t>
      </w:r>
      <w:r>
        <w:rPr>
          <w:rFonts w:hint="default" w:ascii="Times New Roman" w:hAnsi="Times New Roman" w:cs="Times New Roman"/>
          <w:color w:val="auto"/>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w:t>
      </w:r>
      <w:r>
        <w:rPr>
          <w:rFonts w:hint="eastAsia" w:ascii="宋体" w:hAnsi="宋体" w:cs="宋体"/>
          <w:color w:val="auto"/>
          <w:sz w:val="24"/>
          <w:szCs w:val="24"/>
          <w:highlight w:val="none"/>
          <w:u w:val="single"/>
        </w:rPr>
        <w:t>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40"/>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79598586">
      <w:pPr>
        <w:autoSpaceDE w:val="0"/>
        <w:autoSpaceDN w:val="0"/>
        <w:adjustRightInd w:val="0"/>
        <w:spacing w:line="360" w:lineRule="auto"/>
        <w:jc w:val="both"/>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6428"/>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6A98FEC0">
            <w:pPr>
              <w:pStyle w:val="61"/>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428" w:type="dxa"/>
            <w:vAlign w:val="center"/>
          </w:tcPr>
          <w:p w14:paraId="734A2801">
            <w:pPr>
              <w:pStyle w:val="61"/>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39BA5E4">
            <w:pPr>
              <w:pStyle w:val="61"/>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428" w:type="dxa"/>
            <w:vAlign w:val="center"/>
          </w:tcPr>
          <w:p w14:paraId="012012DD">
            <w:pPr>
              <w:pStyle w:val="61"/>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682A2D9">
            <w:pPr>
              <w:pStyle w:val="61"/>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428" w:type="dxa"/>
            <w:vAlign w:val="center"/>
          </w:tcPr>
          <w:p w14:paraId="7051A872">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E3DB152">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428" w:type="dxa"/>
            <w:vAlign w:val="center"/>
          </w:tcPr>
          <w:p w14:paraId="7BA18D74">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F9F0E6A">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428" w:type="dxa"/>
            <w:vAlign w:val="center"/>
          </w:tcPr>
          <w:p w14:paraId="43672E4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24ACDD0">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428" w:type="dxa"/>
            <w:vAlign w:val="center"/>
          </w:tcPr>
          <w:p w14:paraId="51C8D4F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21" w:type="dxa"/>
            <w:vAlign w:val="center"/>
          </w:tcPr>
          <w:p w14:paraId="69E70F95">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428"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318513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428" w:type="dxa"/>
            <w:vAlign w:val="center"/>
          </w:tcPr>
          <w:p w14:paraId="63C2EF3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3EF5871">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428" w:type="dxa"/>
            <w:vAlign w:val="center"/>
          </w:tcPr>
          <w:p w14:paraId="3353648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bookmarkStart w:id="165" w:name="_GoBack"/>
            <w:bookmarkEnd w:id="165"/>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3FEFA01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428" w:type="dxa"/>
            <w:vAlign w:val="center"/>
          </w:tcPr>
          <w:p w14:paraId="6A12B96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8BCF684">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428" w:type="dxa"/>
            <w:vAlign w:val="center"/>
          </w:tcPr>
          <w:p w14:paraId="2A2328CC">
            <w:pPr>
              <w:pStyle w:val="61"/>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color w:val="auto"/>
                <w:sz w:val="24"/>
                <w:highlight w:val="none"/>
              </w:rPr>
              <w:t>投标文件递交地点：</w:t>
            </w:r>
            <w:r>
              <w:rPr>
                <w:rFonts w:hint="eastAsia" w:ascii="Times New Roman" w:hAnsi="Times New Roman" w:eastAsia="宋体" w:cs="Times New Roman"/>
                <w:b/>
                <w:bCs/>
                <w:color w:val="auto"/>
                <w:kern w:val="2"/>
                <w:sz w:val="24"/>
                <w:szCs w:val="24"/>
                <w:highlight w:val="none"/>
                <w:lang w:val="en-US" w:eastAsia="zh-CN" w:bidi="ar-SA"/>
              </w:rPr>
              <w:t>安徽省合肥市包河区郎溪路与汤岭关路交叉口西南140米（雍荣府三期S1幢3楼）</w:t>
            </w:r>
          </w:p>
          <w:p w14:paraId="603F7E0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83AC8ED">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428" w:type="dxa"/>
            <w:vAlign w:val="center"/>
          </w:tcPr>
          <w:p w14:paraId="17A54A7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9BCD71F">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428" w:type="dxa"/>
            <w:vAlign w:val="center"/>
          </w:tcPr>
          <w:p w14:paraId="3B6806F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60AAA1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428" w:type="dxa"/>
            <w:vAlign w:val="center"/>
          </w:tcPr>
          <w:p w14:paraId="5A52FC8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7389890">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428" w:type="dxa"/>
            <w:vAlign w:val="center"/>
          </w:tcPr>
          <w:p w14:paraId="537C01A2">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A5C1826">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428" w:type="dxa"/>
            <w:vAlign w:val="center"/>
          </w:tcPr>
          <w:p w14:paraId="2CD64968">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BBA130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428" w:type="dxa"/>
            <w:vAlign w:val="center"/>
          </w:tcPr>
          <w:p w14:paraId="060145D6">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021" w:type="dxa"/>
            <w:vAlign w:val="center"/>
          </w:tcPr>
          <w:p w14:paraId="72600B62">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tc>
        <w:tc>
          <w:tcPr>
            <w:tcW w:w="6428" w:type="dxa"/>
            <w:vAlign w:val="center"/>
          </w:tcPr>
          <w:p w14:paraId="00177F81">
            <w:pPr>
              <w:pStyle w:val="95"/>
              <w:tabs>
                <w:tab w:val="left" w:pos="351"/>
              </w:tabs>
              <w:spacing w:line="360" w:lineRule="auto"/>
              <w:ind w:right="96"/>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b w:val="0"/>
                <w:color w:val="auto"/>
                <w:sz w:val="24"/>
                <w:highlight w:val="none"/>
                <w:lang w:val="en-US" w:eastAsia="zh-CN"/>
              </w:rPr>
              <w:t>2400元</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BD8D22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428" w:type="dxa"/>
            <w:vAlign w:val="center"/>
          </w:tcPr>
          <w:p w14:paraId="2A3F6F5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94D210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428" w:type="dxa"/>
            <w:vAlign w:val="center"/>
          </w:tcPr>
          <w:p w14:paraId="3676345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827CE4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428" w:type="dxa"/>
            <w:vAlign w:val="center"/>
          </w:tcPr>
          <w:p w14:paraId="2BF40C5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1"/>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64025AF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428"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EEE818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428"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124FEF4">
            <w:pPr>
              <w:pStyle w:val="61"/>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428"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311AB0B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428"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720"/>
      <w:bookmarkStart w:id="14" w:name="_Toc421916975"/>
      <w:bookmarkStart w:id="15" w:name="_Toc11078137"/>
      <w:bookmarkStart w:id="16" w:name="_Toc283798416"/>
      <w:bookmarkStart w:id="17" w:name="_Toc26766"/>
      <w:bookmarkStart w:id="18" w:name="_Toc460660062"/>
      <w:bookmarkStart w:id="19"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43D789C1">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F99F405">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138B752E">
      <w:pPr>
        <w:spacing w:line="360" w:lineRule="auto"/>
        <w:ind w:firstLine="470" w:firstLineChars="196"/>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除非本</w:t>
      </w:r>
      <w:r>
        <w:rPr>
          <w:rFonts w:hint="eastAsia" w:ascii="Times New Roman" w:hAnsi="Times New Roman" w:cs="Times New Roman"/>
          <w:color w:val="auto"/>
          <w:sz w:val="24"/>
          <w:highlight w:val="none"/>
          <w:lang w:val="en-US" w:eastAsia="zh-CN"/>
        </w:rPr>
        <w:t>招标</w:t>
      </w:r>
      <w:r>
        <w:rPr>
          <w:rFonts w:hint="eastAsia" w:ascii="Times New Roman" w:hAnsi="Times New Roman" w:cs="Times New Roman"/>
          <w:color w:val="auto"/>
          <w:sz w:val="24"/>
          <w:highlight w:val="none"/>
        </w:rPr>
        <w:t>文件中另有规定，否则业绩均为已服务完毕的业绩，业绩时间均以合同签订之日为追溯节点。</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2"/>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518923101"/>
      <w:bookmarkStart w:id="28" w:name="_Toc2583662"/>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2"/>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1"/>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1"/>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77BF095D">
            <w:pPr>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Style w:val="104"/>
                <w:rFonts w:hint="eastAsia" w:ascii="Times New Roman" w:hAnsi="Times New Roman" w:eastAsia="宋体" w:cs="Times New Roman"/>
                <w:b w:val="0"/>
                <w:color w:val="auto"/>
                <w:kern w:val="0"/>
                <w:sz w:val="24"/>
                <w:highlight w:val="none"/>
                <w:lang w:val="en-US" w:eastAsia="zh-CN"/>
              </w:rPr>
              <w:t>费用按</w:t>
            </w:r>
            <w:r>
              <w:rPr>
                <w:rStyle w:val="104"/>
                <w:rFonts w:hint="eastAsia" w:ascii="Times New Roman" w:hAnsi="Times New Roman" w:cs="Times New Roman"/>
                <w:b w:val="0"/>
                <w:color w:val="auto"/>
                <w:kern w:val="0"/>
                <w:sz w:val="24"/>
                <w:highlight w:val="none"/>
                <w:lang w:val="en-US" w:eastAsia="zh-CN"/>
              </w:rPr>
              <w:t>学期</w:t>
            </w:r>
            <w:r>
              <w:rPr>
                <w:rStyle w:val="104"/>
                <w:rFonts w:hint="eastAsia" w:ascii="Times New Roman" w:hAnsi="Times New Roman" w:eastAsia="宋体" w:cs="Times New Roman"/>
                <w:b w:val="0"/>
                <w:color w:val="auto"/>
                <w:kern w:val="0"/>
                <w:sz w:val="24"/>
                <w:highlight w:val="none"/>
                <w:lang w:val="en-US" w:eastAsia="zh-CN"/>
              </w:rPr>
              <w:t>据实结算</w:t>
            </w:r>
            <w:r>
              <w:rPr>
                <w:rFonts w:hint="eastAsia"/>
                <w:highlight w:val="none"/>
                <w:lang w:eastAsia="zh-CN"/>
              </w:rPr>
              <w:t>，</w:t>
            </w:r>
            <w:r>
              <w:rPr>
                <w:rStyle w:val="104"/>
                <w:rFonts w:hint="eastAsia" w:ascii="Times New Roman" w:hAnsi="Times New Roman" w:cs="Times New Roman"/>
                <w:b w:val="0"/>
                <w:color w:val="auto"/>
                <w:kern w:val="0"/>
                <w:sz w:val="24"/>
                <w:highlight w:val="none"/>
                <w:lang w:val="en-US" w:eastAsia="zh-CN"/>
              </w:rPr>
              <w:t>当本学期履约完成且</w:t>
            </w:r>
            <w:r>
              <w:rPr>
                <w:rFonts w:ascii="宋体" w:hAnsi="宋体" w:eastAsia="宋体" w:cs="宋体"/>
                <w:sz w:val="24"/>
                <w:szCs w:val="24"/>
                <w:highlight w:val="none"/>
              </w:rPr>
              <w:t>对应保险保单生效</w:t>
            </w:r>
            <w:r>
              <w:rPr>
                <w:rStyle w:val="104"/>
                <w:rFonts w:hint="eastAsia" w:ascii="Times New Roman" w:hAnsi="Times New Roman" w:cs="Times New Roman"/>
                <w:b w:val="0"/>
                <w:color w:val="auto"/>
                <w:kern w:val="0"/>
                <w:sz w:val="24"/>
                <w:highlight w:val="none"/>
                <w:lang w:val="en-US" w:eastAsia="zh-CN"/>
              </w:rPr>
              <w:t>，在下学期首月</w:t>
            </w:r>
            <w:r>
              <w:rPr>
                <w:rStyle w:val="104"/>
                <w:rFonts w:hint="eastAsia" w:ascii="Times New Roman" w:hAnsi="Times New Roman" w:eastAsia="宋体" w:cs="Times New Roman"/>
                <w:b w:val="0"/>
                <w:color w:val="auto"/>
                <w:kern w:val="0"/>
                <w:sz w:val="24"/>
                <w:highlight w:val="none"/>
                <w:lang w:val="en-US" w:eastAsia="zh-CN"/>
              </w:rPr>
              <w:t>结束前</w:t>
            </w:r>
            <w:r>
              <w:rPr>
                <w:rStyle w:val="104"/>
                <w:rFonts w:hint="eastAsia" w:ascii="Times New Roman" w:hAnsi="Times New Roman" w:cs="Times New Roman"/>
                <w:b w:val="0"/>
                <w:color w:val="auto"/>
                <w:kern w:val="0"/>
                <w:sz w:val="24"/>
                <w:highlight w:val="none"/>
                <w:lang w:val="en-US" w:eastAsia="zh-CN"/>
              </w:rPr>
              <w:t>，由中标人</w:t>
            </w:r>
            <w:r>
              <w:rPr>
                <w:rStyle w:val="104"/>
                <w:rFonts w:hint="eastAsia" w:ascii="Times New Roman" w:hAnsi="Times New Roman" w:eastAsia="宋体" w:cs="Times New Roman"/>
                <w:b w:val="0"/>
                <w:color w:val="auto"/>
                <w:kern w:val="0"/>
                <w:sz w:val="24"/>
                <w:highlight w:val="none"/>
                <w:lang w:val="en-US" w:eastAsia="zh-CN"/>
              </w:rPr>
              <w:t>发出请款申请，</w:t>
            </w:r>
            <w:r>
              <w:rPr>
                <w:rStyle w:val="104"/>
                <w:rFonts w:hint="eastAsia" w:ascii="Times New Roman" w:hAnsi="Times New Roman" w:cs="Times New Roman"/>
                <w:b w:val="0"/>
                <w:color w:val="auto"/>
                <w:kern w:val="0"/>
                <w:sz w:val="24"/>
                <w:highlight w:val="none"/>
                <w:lang w:val="en-US" w:eastAsia="zh-CN"/>
              </w:rPr>
              <w:t>招标人</w:t>
            </w:r>
            <w:r>
              <w:rPr>
                <w:rStyle w:val="104"/>
                <w:rFonts w:hint="eastAsia" w:ascii="Times New Roman" w:hAnsi="Times New Roman" w:eastAsia="宋体" w:cs="Times New Roman"/>
                <w:b w:val="0"/>
                <w:color w:val="auto"/>
                <w:kern w:val="0"/>
                <w:sz w:val="24"/>
                <w:highlight w:val="none"/>
                <w:lang w:val="en-US" w:eastAsia="zh-CN"/>
              </w:rPr>
              <w:t>按照</w:t>
            </w:r>
            <w:r>
              <w:rPr>
                <w:rStyle w:val="104"/>
                <w:rFonts w:hint="eastAsia" w:ascii="Times New Roman" w:hAnsi="Times New Roman" w:cs="Times New Roman"/>
                <w:b w:val="0"/>
                <w:color w:val="auto"/>
                <w:kern w:val="0"/>
                <w:sz w:val="24"/>
                <w:highlight w:val="none"/>
                <w:lang w:val="en-US" w:eastAsia="zh-CN"/>
              </w:rPr>
              <w:t>本学期已确认的</w:t>
            </w:r>
            <w:r>
              <w:rPr>
                <w:rStyle w:val="104"/>
                <w:rFonts w:hint="eastAsia" w:ascii="Times New Roman" w:hAnsi="Times New Roman" w:eastAsia="宋体" w:cs="Times New Roman"/>
                <w:b w:val="0"/>
                <w:color w:val="auto"/>
                <w:kern w:val="0"/>
                <w:sz w:val="24"/>
                <w:highlight w:val="none"/>
                <w:lang w:val="en-US" w:eastAsia="zh-CN"/>
              </w:rPr>
              <w:t>实际</w:t>
            </w:r>
            <w:r>
              <w:rPr>
                <w:rFonts w:hint="eastAsia" w:ascii="宋体" w:hAnsi="宋体" w:eastAsia="宋体" w:cs="宋体"/>
                <w:b w:val="0"/>
                <w:bCs w:val="0"/>
                <w:color w:val="auto"/>
                <w:kern w:val="0"/>
                <w:sz w:val="24"/>
                <w:szCs w:val="24"/>
                <w:highlight w:val="none"/>
                <w:lang w:val="en-US" w:eastAsia="zh-CN" w:bidi="ar"/>
              </w:rPr>
              <w:t>投保人数</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投保课时数</w:t>
            </w:r>
            <w:r>
              <w:rPr>
                <w:rFonts w:hint="eastAsia" w:ascii="宋体" w:hAnsi="宋体" w:cs="宋体"/>
                <w:b w:val="0"/>
                <w:bCs w:val="0"/>
                <w:color w:val="auto"/>
                <w:kern w:val="0"/>
                <w:sz w:val="24"/>
                <w:szCs w:val="24"/>
                <w:highlight w:val="none"/>
                <w:lang w:val="en-US" w:eastAsia="zh-CN" w:bidi="ar"/>
              </w:rPr>
              <w:t>及结算单价据实结算</w:t>
            </w:r>
            <w:r>
              <w:rPr>
                <w:rStyle w:val="104"/>
                <w:rFonts w:hint="eastAsia" w:ascii="Times New Roman" w:hAnsi="Times New Roman" w:eastAsia="宋体" w:cs="Times New Roman"/>
                <w:b w:val="0"/>
                <w:color w:val="auto"/>
                <w:kern w:val="0"/>
                <w:sz w:val="24"/>
                <w:highlight w:val="none"/>
                <w:lang w:val="en-US" w:eastAsia="zh-CN"/>
              </w:rPr>
              <w:t>。</w:t>
            </w:r>
          </w:p>
          <w:p w14:paraId="354FF06A">
            <w:pPr>
              <w:pStyle w:val="1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4"/>
                <w:rFonts w:hint="default" w:ascii="Times New Roman" w:hAnsi="Times New Roman" w:cs="Times New Roman"/>
                <w:b/>
                <w:bCs w:val="0"/>
                <w:color w:val="auto"/>
                <w:kern w:val="0"/>
                <w:sz w:val="24"/>
                <w:highlight w:val="none"/>
                <w:lang w:val="en-US"/>
              </w:rPr>
            </w:pPr>
            <w:r>
              <w:rPr>
                <w:rFonts w:hint="eastAsia" w:ascii="宋体" w:hAnsi="宋体" w:eastAsia="宋体" w:cs="宋体"/>
                <w:bCs w:val="0"/>
                <w:color w:val="auto"/>
                <w:sz w:val="24"/>
                <w:highlight w:val="none"/>
              </w:rPr>
              <w:t>注：投标人提交的响应文件中如有关于付款条件的表述与</w:t>
            </w:r>
            <w:r>
              <w:rPr>
                <w:rFonts w:hint="eastAsia" w:ascii="宋体" w:hAnsi="宋体" w:eastAsia="宋体" w:cs="宋体"/>
                <w:bCs w:val="0"/>
                <w:color w:val="auto"/>
                <w:sz w:val="24"/>
                <w:highlight w:val="none"/>
                <w:lang w:val="en-US" w:eastAsia="zh-CN"/>
              </w:rPr>
              <w:t>招标</w:t>
            </w:r>
            <w:r>
              <w:rPr>
                <w:rFonts w:hint="eastAsia" w:ascii="宋体" w:hAnsi="宋体" w:eastAsia="宋体" w:cs="宋体"/>
                <w:bCs w:val="0"/>
                <w:color w:val="auto"/>
                <w:sz w:val="24"/>
                <w:highlight w:val="none"/>
              </w:rPr>
              <w:t>文件规定负偏离的，响应无效。</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4"/>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color w:val="auto"/>
                <w:sz w:val="24"/>
                <w:highlight w:val="none"/>
              </w:rPr>
            </w:pPr>
            <w:r>
              <w:rPr>
                <w:rStyle w:val="104"/>
                <w:rFonts w:hint="eastAsia" w:ascii="Times New Roman" w:hAnsi="Times New Roman" w:cs="Times New Roman"/>
                <w:b w:val="0"/>
                <w:color w:val="auto"/>
                <w:kern w:val="0"/>
                <w:sz w:val="24"/>
                <w:highlight w:val="none"/>
                <w:lang w:val="en-US" w:eastAsia="zh-CN"/>
              </w:rPr>
              <w:t>自合同签订之日起，有效期一年。（如合作期满，但项目所在学期尚未结束，可延续至该学期结束时终止</w:t>
            </w:r>
            <w:r>
              <w:rPr>
                <w:rStyle w:val="104"/>
                <w:rFonts w:hint="default" w:ascii="Times New Roman" w:hAnsi="Times New Roman" w:cs="Times New Roman"/>
                <w:b w:val="0"/>
                <w:color w:val="auto"/>
                <w:kern w:val="0"/>
                <w:sz w:val="24"/>
                <w:highlight w:val="none"/>
              </w:rPr>
              <w:t>。</w:t>
            </w:r>
            <w:r>
              <w:rPr>
                <w:rStyle w:val="104"/>
                <w:rFonts w:hint="eastAsia" w:ascii="Times New Roman" w:hAnsi="Times New Roman" w:cs="Times New Roman"/>
                <w:b w:val="0"/>
                <w:color w:val="auto"/>
                <w:kern w:val="0"/>
                <w:sz w:val="24"/>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09E171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eastAsia" w:ascii="Times New Roman" w:hAnsi="Times New Roman" w:cs="Times New Roman"/>
          <w:color w:val="auto"/>
          <w:sz w:val="24"/>
          <w:szCs w:val="18"/>
          <w:highlight w:val="none"/>
          <w:lang w:val="en-US" w:eastAsia="zh-CN"/>
        </w:rPr>
        <w:t>为贯彻落实全民健身国家战略，安全、有序、高效利用公办中小学体艺场地设施资源，促进包河区体艺教育普惠便捷、优质全面发展，由合肥滨湖时光体育发展有限公司（以下简称“体育公司”）具体负责运营管理工作，开展体艺特色教育服务。在此背景下，为保障课程安全，公司需要为参与自营课程的学生采购学生短期意外保险</w:t>
      </w:r>
      <w:r>
        <w:rPr>
          <w:rFonts w:hint="default" w:ascii="Times New Roman" w:hAnsi="Times New Roman" w:cs="Times New Roman"/>
          <w:color w:val="auto"/>
          <w:sz w:val="24"/>
          <w:szCs w:val="18"/>
          <w:highlight w:val="none"/>
          <w:lang w:val="en-US" w:eastAsia="zh-CN"/>
        </w:rPr>
        <w:t>，预计覆盖学生人数约6400人。</w:t>
      </w:r>
    </w:p>
    <w:p w14:paraId="1A51B2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eastAsia" w:ascii="Times New Roman" w:hAnsi="Times New Roman" w:cs="Times New Roman"/>
          <w:color w:val="auto"/>
          <w:sz w:val="24"/>
          <w:szCs w:val="18"/>
          <w:highlight w:val="none"/>
          <w:lang w:val="en-US" w:eastAsia="zh-CN"/>
        </w:rPr>
        <w:t>全年共4个学期，分别为春季学期、暑假、秋季学期及寒假，每学期具体开课时间以各学校实际需求为准。</w:t>
      </w:r>
    </w:p>
    <w:p w14:paraId="19ABC78C">
      <w:pPr>
        <w:spacing w:line="360" w:lineRule="auto"/>
        <w:ind w:firstLine="437"/>
        <w:rPr>
          <w:rFonts w:hint="default" w:ascii="Times New Roman" w:hAnsi="Times New Roman" w:cs="Times New Roman"/>
          <w:b/>
          <w:color w:val="auto"/>
          <w:sz w:val="24"/>
          <w:szCs w:val="18"/>
          <w:highlight w:val="none"/>
        </w:rPr>
      </w:pPr>
      <w:r>
        <w:rPr>
          <w:rFonts w:hint="eastAsia" w:ascii="Times New Roman" w:hAnsi="Times New Roman" w:cs="Times New Roman"/>
          <w:b/>
          <w:color w:val="auto"/>
          <w:sz w:val="24"/>
          <w:szCs w:val="18"/>
          <w:highlight w:val="none"/>
          <w:lang w:val="en-US" w:eastAsia="zh-CN"/>
        </w:rPr>
        <w:t>三</w:t>
      </w:r>
      <w:r>
        <w:rPr>
          <w:rFonts w:hint="default" w:ascii="Times New Roman" w:hAnsi="Times New Roman" w:cs="Times New Roman"/>
          <w:b/>
          <w:color w:val="auto"/>
          <w:sz w:val="24"/>
          <w:szCs w:val="18"/>
          <w:highlight w:val="none"/>
          <w:lang w:val="en-US" w:eastAsia="zh-CN"/>
        </w:rPr>
        <w:t>、服务</w:t>
      </w:r>
      <w:r>
        <w:rPr>
          <w:rFonts w:hint="default" w:ascii="Times New Roman" w:hAnsi="Times New Roman" w:cs="Times New Roman"/>
          <w:b/>
          <w:color w:val="auto"/>
          <w:sz w:val="24"/>
          <w:szCs w:val="18"/>
          <w:highlight w:val="none"/>
        </w:rPr>
        <w:t>需求</w:t>
      </w:r>
    </w:p>
    <w:tbl>
      <w:tblPr>
        <w:tblStyle w:val="42"/>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3212"/>
        <w:gridCol w:w="1407"/>
        <w:gridCol w:w="1927"/>
      </w:tblGrid>
      <w:tr w14:paraId="5959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73" w:type="pct"/>
            <w:vAlign w:val="center"/>
          </w:tcPr>
          <w:p w14:paraId="16D39E30">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bookmarkStart w:id="29" w:name="_Toc7286"/>
            <w:r>
              <w:rPr>
                <w:rFonts w:hint="eastAsia" w:asciiTheme="minorEastAsia" w:hAnsiTheme="minorEastAsia" w:eastAsiaTheme="minorEastAsia" w:cstheme="minorEastAsia"/>
                <w:b/>
                <w:bCs/>
                <w:szCs w:val="20"/>
                <w:highlight w:val="none"/>
                <w:vertAlign w:val="baseline"/>
                <w:lang w:val="en-US" w:eastAsia="zh-CN"/>
              </w:rPr>
              <w:t>保险责任</w:t>
            </w:r>
          </w:p>
        </w:tc>
        <w:tc>
          <w:tcPr>
            <w:tcW w:w="1877" w:type="pct"/>
            <w:vAlign w:val="center"/>
          </w:tcPr>
          <w:p w14:paraId="7D0A011F">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保障金额（最低标准）</w:t>
            </w:r>
          </w:p>
        </w:tc>
        <w:tc>
          <w:tcPr>
            <w:tcW w:w="822" w:type="pct"/>
            <w:vAlign w:val="center"/>
          </w:tcPr>
          <w:p w14:paraId="5B0FCB51">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合作期限</w:t>
            </w:r>
          </w:p>
        </w:tc>
        <w:tc>
          <w:tcPr>
            <w:tcW w:w="1126" w:type="pct"/>
            <w:vAlign w:val="center"/>
          </w:tcPr>
          <w:p w14:paraId="5C09FECB">
            <w:pPr>
              <w:pStyle w:val="11"/>
              <w:ind w:left="0" w:leftChars="0" w:firstLine="0" w:firstLineChars="0"/>
              <w:jc w:val="center"/>
              <w:rPr>
                <w:rFonts w:hint="eastAsia"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说明</w:t>
            </w:r>
          </w:p>
        </w:tc>
      </w:tr>
      <w:tr w14:paraId="03FE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444F193D">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意外伤害身故</w:t>
            </w:r>
          </w:p>
        </w:tc>
        <w:tc>
          <w:tcPr>
            <w:tcW w:w="1877" w:type="pct"/>
            <w:shd w:val="clear" w:color="auto" w:fill="auto"/>
            <w:vAlign w:val="center"/>
          </w:tcPr>
          <w:p w14:paraId="4C593C7F">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w:t>
            </w:r>
          </w:p>
        </w:tc>
        <w:tc>
          <w:tcPr>
            <w:tcW w:w="822" w:type="pct"/>
            <w:vMerge w:val="restart"/>
            <w:vAlign w:val="center"/>
          </w:tcPr>
          <w:p w14:paraId="41FB23CE">
            <w:pPr>
              <w:pStyle w:val="11"/>
              <w:jc w:val="both"/>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一年</w:t>
            </w:r>
          </w:p>
        </w:tc>
        <w:tc>
          <w:tcPr>
            <w:tcW w:w="1126" w:type="pct"/>
            <w:vMerge w:val="restart"/>
            <w:vAlign w:val="center"/>
          </w:tcPr>
          <w:p w14:paraId="27207B28">
            <w:pPr>
              <w:pStyle w:val="11"/>
              <w:ind w:left="0" w:leftChars="0" w:firstLine="0" w:firstLineChars="0"/>
              <w:jc w:val="left"/>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1.意外伤害残疾评残标准为新行标1-10级别。</w:t>
            </w:r>
          </w:p>
          <w:p w14:paraId="223F3039">
            <w:pPr>
              <w:pStyle w:val="11"/>
              <w:ind w:left="0" w:leftChars="0" w:firstLine="0" w:firstLineChars="0"/>
              <w:jc w:val="left"/>
              <w:rPr>
                <w:rFonts w:hint="default" w:asciiTheme="minorEastAsia" w:hAnsiTheme="minorEastAsia" w:eastAsiaTheme="minorEastAsia" w:cstheme="minorEastAsia"/>
                <w:b w:val="0"/>
                <w:bCs w:val="0"/>
                <w:szCs w:val="20"/>
                <w:highlight w:val="none"/>
                <w:vertAlign w:val="baseline"/>
                <w:lang w:val="en-US" w:eastAsia="zh-CN"/>
              </w:rPr>
            </w:pPr>
            <w:r>
              <w:rPr>
                <w:rFonts w:hint="default" w:asciiTheme="minorEastAsia" w:hAnsiTheme="minorEastAsia" w:eastAsiaTheme="minorEastAsia" w:cstheme="minorEastAsia"/>
                <w:b w:val="0"/>
                <w:bCs w:val="0"/>
                <w:szCs w:val="20"/>
                <w:highlight w:val="none"/>
                <w:vertAlign w:val="baseline"/>
                <w:lang w:val="en-US" w:eastAsia="zh-CN"/>
              </w:rPr>
              <w:t>2.</w:t>
            </w:r>
            <w:r>
              <w:rPr>
                <w:rFonts w:hint="eastAsia" w:asciiTheme="minorEastAsia" w:hAnsiTheme="minorEastAsia" w:eastAsiaTheme="minorEastAsia" w:cstheme="minorEastAsia"/>
                <w:b w:val="0"/>
                <w:bCs w:val="0"/>
                <w:szCs w:val="20"/>
                <w:highlight w:val="none"/>
                <w:vertAlign w:val="baseline"/>
                <w:lang w:val="en-US" w:eastAsia="zh-CN"/>
              </w:rPr>
              <w:t>意外伤害医疗免赔100元，赔付比例90%，承担门诊、住院的合理医疗费用。</w:t>
            </w:r>
          </w:p>
        </w:tc>
      </w:tr>
      <w:tr w14:paraId="506C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6AE3FCE0">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猝死</w:t>
            </w:r>
          </w:p>
        </w:tc>
        <w:tc>
          <w:tcPr>
            <w:tcW w:w="1877" w:type="pct"/>
            <w:shd w:val="clear" w:color="auto" w:fill="auto"/>
            <w:vAlign w:val="center"/>
          </w:tcPr>
          <w:p w14:paraId="2472E968">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w:t>
            </w:r>
          </w:p>
        </w:tc>
        <w:tc>
          <w:tcPr>
            <w:tcW w:w="822" w:type="pct"/>
            <w:vMerge w:val="continue"/>
            <w:vAlign w:val="center"/>
          </w:tcPr>
          <w:p w14:paraId="50C97631">
            <w:pPr>
              <w:pStyle w:val="11"/>
              <w:jc w:val="both"/>
              <w:rPr>
                <w:rFonts w:hint="eastAsia" w:asciiTheme="minorEastAsia" w:hAnsiTheme="minorEastAsia" w:eastAsiaTheme="minorEastAsia" w:cstheme="minorEastAsia"/>
                <w:b w:val="0"/>
                <w:bCs w:val="0"/>
                <w:szCs w:val="20"/>
                <w:highlight w:val="none"/>
                <w:vertAlign w:val="baseline"/>
                <w:lang w:val="en-US" w:eastAsia="zh-CN"/>
              </w:rPr>
            </w:pPr>
          </w:p>
        </w:tc>
        <w:tc>
          <w:tcPr>
            <w:tcW w:w="1126" w:type="pct"/>
            <w:vMerge w:val="continue"/>
            <w:vAlign w:val="center"/>
          </w:tcPr>
          <w:p w14:paraId="08278A95">
            <w:pPr>
              <w:pStyle w:val="11"/>
              <w:numPr>
                <w:ilvl w:val="0"/>
                <w:numId w:val="0"/>
              </w:numPr>
              <w:jc w:val="both"/>
              <w:rPr>
                <w:rFonts w:hint="default" w:asciiTheme="minorEastAsia" w:hAnsiTheme="minorEastAsia" w:eastAsiaTheme="minorEastAsia" w:cstheme="minorEastAsia"/>
                <w:b w:val="0"/>
                <w:bCs w:val="0"/>
                <w:kern w:val="0"/>
                <w:sz w:val="24"/>
                <w:szCs w:val="20"/>
                <w:highlight w:val="none"/>
                <w:vertAlign w:val="baseline"/>
                <w:lang w:val="en-US" w:eastAsia="zh-CN" w:bidi="ar-SA"/>
              </w:rPr>
            </w:pPr>
          </w:p>
        </w:tc>
      </w:tr>
      <w:tr w14:paraId="4EF5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3B582BF4">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意外伤害残疾</w:t>
            </w:r>
          </w:p>
        </w:tc>
        <w:tc>
          <w:tcPr>
            <w:tcW w:w="1877" w:type="pct"/>
            <w:shd w:val="clear" w:color="auto" w:fill="auto"/>
            <w:vAlign w:val="center"/>
          </w:tcPr>
          <w:p w14:paraId="7615AA7B">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20万/人（（为一级伤残赔付</w:t>
            </w:r>
          </w:p>
          <w:p w14:paraId="54DC6B69">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金额，其他伤残等级按&lt;11-</w:t>
            </w:r>
          </w:p>
          <w:p w14:paraId="14E91D1A">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伤残等级&gt;/10*100%*一级伤</w:t>
            </w:r>
          </w:p>
          <w:p w14:paraId="36AD45B5">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残赔付金额进行赔付））</w:t>
            </w:r>
          </w:p>
        </w:tc>
        <w:tc>
          <w:tcPr>
            <w:tcW w:w="822" w:type="pct"/>
            <w:vMerge w:val="continue"/>
            <w:vAlign w:val="center"/>
          </w:tcPr>
          <w:p w14:paraId="191DDE71">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4D5A793B">
            <w:pPr>
              <w:pStyle w:val="11"/>
              <w:jc w:val="center"/>
              <w:rPr>
                <w:rFonts w:hint="eastAsia" w:asciiTheme="minorEastAsia" w:hAnsiTheme="minorEastAsia" w:eastAsiaTheme="minorEastAsia" w:cstheme="minorEastAsia"/>
                <w:b w:val="0"/>
                <w:bCs w:val="0"/>
                <w:szCs w:val="20"/>
                <w:highlight w:val="none"/>
                <w:vertAlign w:val="baseline"/>
              </w:rPr>
            </w:pPr>
          </w:p>
        </w:tc>
      </w:tr>
      <w:tr w14:paraId="7ADB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6FC783FE">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意外医疗</w:t>
            </w:r>
          </w:p>
        </w:tc>
        <w:tc>
          <w:tcPr>
            <w:tcW w:w="1877" w:type="pct"/>
            <w:shd w:val="clear" w:color="auto" w:fill="auto"/>
            <w:vAlign w:val="center"/>
          </w:tcPr>
          <w:p w14:paraId="4D26E2D4">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1万/人</w:t>
            </w:r>
          </w:p>
        </w:tc>
        <w:tc>
          <w:tcPr>
            <w:tcW w:w="822" w:type="pct"/>
            <w:vMerge w:val="continue"/>
            <w:vAlign w:val="center"/>
          </w:tcPr>
          <w:p w14:paraId="506E3708">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51514931">
            <w:pPr>
              <w:pStyle w:val="11"/>
              <w:jc w:val="center"/>
              <w:rPr>
                <w:rFonts w:hint="eastAsia" w:asciiTheme="minorEastAsia" w:hAnsiTheme="minorEastAsia" w:eastAsiaTheme="minorEastAsia" w:cstheme="minorEastAsia"/>
                <w:b w:val="0"/>
                <w:bCs w:val="0"/>
                <w:szCs w:val="20"/>
                <w:highlight w:val="none"/>
                <w:vertAlign w:val="baseline"/>
              </w:rPr>
            </w:pPr>
          </w:p>
        </w:tc>
      </w:tr>
      <w:tr w14:paraId="5570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73" w:type="pct"/>
            <w:shd w:val="clear" w:color="auto" w:fill="auto"/>
            <w:vAlign w:val="center"/>
          </w:tcPr>
          <w:p w14:paraId="1F106D57">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意外住院津贴</w:t>
            </w:r>
          </w:p>
        </w:tc>
        <w:tc>
          <w:tcPr>
            <w:tcW w:w="1877" w:type="pct"/>
            <w:shd w:val="clear" w:color="auto" w:fill="auto"/>
            <w:vAlign w:val="center"/>
          </w:tcPr>
          <w:p w14:paraId="322EDF41">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50元/天(免赔3天)</w:t>
            </w:r>
          </w:p>
        </w:tc>
        <w:tc>
          <w:tcPr>
            <w:tcW w:w="822" w:type="pct"/>
            <w:vMerge w:val="continue"/>
            <w:vAlign w:val="center"/>
          </w:tcPr>
          <w:p w14:paraId="72C10FF2">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7218422C">
            <w:pPr>
              <w:pStyle w:val="11"/>
              <w:jc w:val="center"/>
              <w:rPr>
                <w:rFonts w:hint="eastAsia" w:asciiTheme="minorEastAsia" w:hAnsiTheme="minorEastAsia" w:eastAsiaTheme="minorEastAsia" w:cstheme="minorEastAsia"/>
                <w:b w:val="0"/>
                <w:bCs w:val="0"/>
                <w:szCs w:val="20"/>
                <w:highlight w:val="none"/>
                <w:vertAlign w:val="baseline"/>
              </w:rPr>
            </w:pPr>
          </w:p>
        </w:tc>
      </w:tr>
    </w:tbl>
    <w:p w14:paraId="1F2E233C">
      <w:pPr>
        <w:spacing w:line="360" w:lineRule="auto"/>
        <w:rPr>
          <w:rFonts w:hint="eastAsia" w:ascii="宋体" w:hAnsi="宋体" w:eastAsia="宋体" w:cs="宋体"/>
          <w:b/>
          <w:sz w:val="24"/>
          <w:szCs w:val="18"/>
          <w:highlight w:val="none"/>
          <w:lang w:val="en-US" w:eastAsia="zh-CN"/>
        </w:rPr>
      </w:pPr>
    </w:p>
    <w:p w14:paraId="7769466A">
      <w:pPr>
        <w:spacing w:line="360" w:lineRule="auto"/>
        <w:ind w:firstLine="437"/>
        <w:rPr>
          <w:rFonts w:hint="eastAsia" w:ascii="宋体" w:hAnsi="宋体" w:eastAsia="宋体" w:cs="宋体"/>
          <w:b/>
          <w:sz w:val="24"/>
          <w:szCs w:val="18"/>
          <w:highlight w:val="none"/>
        </w:rPr>
      </w:pPr>
      <w:r>
        <w:rPr>
          <w:rFonts w:hint="eastAsia" w:ascii="宋体" w:hAnsi="宋体" w:eastAsia="宋体" w:cs="宋体"/>
          <w:b/>
          <w:sz w:val="24"/>
          <w:szCs w:val="18"/>
          <w:highlight w:val="none"/>
          <w:lang w:val="en-US" w:eastAsia="zh-CN"/>
        </w:rPr>
        <w:t>四</w:t>
      </w:r>
      <w:r>
        <w:rPr>
          <w:rFonts w:hint="eastAsia" w:ascii="宋体" w:hAnsi="宋体" w:eastAsia="宋体" w:cs="宋体"/>
          <w:b/>
          <w:sz w:val="24"/>
          <w:szCs w:val="18"/>
          <w:highlight w:val="none"/>
        </w:rPr>
        <w:t>、报价要求</w:t>
      </w:r>
    </w:p>
    <w:p w14:paraId="58C33EEF">
      <w:pPr>
        <w:spacing w:line="360" w:lineRule="auto"/>
        <w:ind w:firstLine="480" w:firstLineChars="200"/>
        <w:rPr>
          <w:rFonts w:hint="default" w:ascii="宋体" w:hAnsi="宋体" w:eastAsia="宋体"/>
          <w:b w:val="0"/>
          <w:bCs w:val="0"/>
          <w:sz w:val="24"/>
          <w:szCs w:val="18"/>
          <w:highlight w:val="none"/>
          <w:lang w:val="en-US" w:eastAsia="zh-CN"/>
        </w:rPr>
      </w:pPr>
      <w:r>
        <w:rPr>
          <w:rFonts w:hint="eastAsia" w:ascii="宋体" w:hAnsi="宋体" w:eastAsia="宋体"/>
          <w:sz w:val="24"/>
          <w:szCs w:val="18"/>
          <w:highlight w:val="none"/>
          <w:lang w:val="en-US" w:eastAsia="zh-CN"/>
        </w:rPr>
        <w:t>1.</w:t>
      </w:r>
      <w:r>
        <w:rPr>
          <w:rFonts w:hint="eastAsia" w:ascii="宋体" w:hAnsi="宋体" w:eastAsia="宋体"/>
          <w:b/>
          <w:bCs/>
          <w:sz w:val="24"/>
          <w:szCs w:val="18"/>
          <w:highlight w:val="none"/>
          <w:lang w:val="en-US" w:eastAsia="zh-CN"/>
        </w:rPr>
        <w:t>本项目采用综合单价的报价方式，综合单价作为定标依据。结算时以实际投保人数、学校实际开课情况（课时数）和中标单价据实结算</w:t>
      </w:r>
      <w:r>
        <w:rPr>
          <w:rFonts w:hint="eastAsia" w:ascii="宋体" w:hAnsi="宋体" w:eastAsia="宋体"/>
          <w:b w:val="0"/>
          <w:bCs w:val="0"/>
          <w:sz w:val="24"/>
          <w:szCs w:val="18"/>
          <w:highlight w:val="none"/>
          <w:lang w:val="en-US" w:eastAsia="zh-CN"/>
        </w:rPr>
        <w:t>，中标单价不变，最终结算金额不超过本项目预算价。</w:t>
      </w:r>
      <w:r>
        <w:rPr>
          <w:rFonts w:hint="eastAsia" w:ascii="宋体" w:hAnsi="宋体"/>
          <w:b w:val="0"/>
          <w:bCs w:val="0"/>
          <w:sz w:val="24"/>
          <w:szCs w:val="18"/>
          <w:highlight w:val="none"/>
          <w:lang w:val="en-US" w:eastAsia="zh-CN"/>
        </w:rPr>
        <w:t>（</w:t>
      </w:r>
      <w:r>
        <w:rPr>
          <w:rFonts w:hint="eastAsia" w:ascii="宋体" w:hAnsi="宋体" w:eastAsia="宋体"/>
          <w:b w:val="0"/>
          <w:bCs w:val="0"/>
          <w:sz w:val="24"/>
          <w:szCs w:val="18"/>
          <w:highlight w:val="none"/>
          <w:lang w:val="en-US" w:eastAsia="zh-CN"/>
        </w:rPr>
        <w:t>如：中标价为</w:t>
      </w:r>
      <w:r>
        <w:rPr>
          <w:rFonts w:hint="eastAsia" w:ascii="宋体" w:hAnsi="宋体"/>
          <w:b w:val="0"/>
          <w:bCs w:val="0"/>
          <w:sz w:val="24"/>
          <w:szCs w:val="18"/>
          <w:highlight w:val="none"/>
          <w:lang w:val="en-US" w:eastAsia="zh-CN"/>
        </w:rPr>
        <w:t>1</w:t>
      </w:r>
      <w:r>
        <w:rPr>
          <w:rFonts w:hint="eastAsia" w:ascii="宋体" w:hAnsi="宋体" w:eastAsia="宋体"/>
          <w:b w:val="0"/>
          <w:bCs w:val="0"/>
          <w:sz w:val="24"/>
          <w:szCs w:val="18"/>
          <w:highlight w:val="none"/>
          <w:lang w:val="en-US" w:eastAsia="zh-CN"/>
        </w:rPr>
        <w:t>元/人/课时，</w:t>
      </w:r>
      <w:r>
        <w:rPr>
          <w:rFonts w:hint="eastAsia" w:ascii="宋体" w:hAnsi="宋体"/>
          <w:b w:val="0"/>
          <w:bCs w:val="0"/>
          <w:sz w:val="24"/>
          <w:szCs w:val="18"/>
          <w:highlight w:val="none"/>
          <w:lang w:val="en-US" w:eastAsia="zh-CN"/>
        </w:rPr>
        <w:t>本学期费用=1元/人/课时*（A*1课时+B*2课时+C*3课时+D*4课时+E*5课时+F*6课时+G*7课时+H*8课时+I*9课时+J*10课时+K*11课时+L*12课时+M*13课时+N*14课时+O*15课时+P*16课时）,其中A、B、C、D、E、F、G、G、I、G、K、L、M、N、O、P代表实际投保人数。）</w:t>
      </w:r>
    </w:p>
    <w:p w14:paraId="7DF67CEC">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w:t>
      </w:r>
      <w:r>
        <w:rPr>
          <w:rFonts w:hint="eastAsia" w:ascii="宋体" w:hAnsi="宋体" w:eastAsia="宋体"/>
          <w:b/>
          <w:bCs/>
          <w:sz w:val="24"/>
          <w:szCs w:val="18"/>
          <w:highlight w:val="none"/>
          <w:lang w:val="en-US" w:eastAsia="zh-CN"/>
        </w:rPr>
        <w:t>本项目综合单价预算为</w:t>
      </w:r>
      <w:r>
        <w:rPr>
          <w:rFonts w:hint="eastAsia" w:ascii="宋体" w:hAnsi="宋体"/>
          <w:b/>
          <w:bCs/>
          <w:sz w:val="24"/>
          <w:szCs w:val="18"/>
          <w:highlight w:val="none"/>
          <w:lang w:val="en-US" w:eastAsia="zh-CN"/>
        </w:rPr>
        <w:t>1.2</w:t>
      </w:r>
      <w:r>
        <w:rPr>
          <w:rFonts w:hint="eastAsia" w:ascii="宋体" w:hAnsi="宋体" w:eastAsia="宋体"/>
          <w:b/>
          <w:bCs/>
          <w:sz w:val="24"/>
          <w:szCs w:val="18"/>
          <w:highlight w:val="none"/>
          <w:lang w:val="en-US" w:eastAsia="zh-CN"/>
        </w:rPr>
        <w:t>元/人/课时，投标报价不得超过本项目综合单价预算，否则响应无效</w:t>
      </w:r>
      <w:r>
        <w:rPr>
          <w:rFonts w:hint="eastAsia" w:ascii="宋体" w:hAnsi="宋体" w:eastAsia="宋体"/>
          <w:sz w:val="24"/>
          <w:szCs w:val="18"/>
          <w:highlight w:val="none"/>
          <w:lang w:val="en-US" w:eastAsia="zh-CN"/>
        </w:rPr>
        <w:t>。</w:t>
      </w:r>
      <w:r>
        <w:rPr>
          <w:rFonts w:hint="eastAsia" w:ascii="宋体" w:hAnsi="宋体" w:eastAsia="宋体"/>
          <w:b w:val="0"/>
          <w:bCs w:val="0"/>
          <w:sz w:val="24"/>
          <w:szCs w:val="18"/>
          <w:highlight w:val="none"/>
          <w:lang w:val="en-US" w:eastAsia="zh-CN"/>
        </w:rPr>
        <w:t>报价保留小数点后最多两位，如超过两位小数的直接舍去（如投标人报价为0.926元/人/课时，小数点后第三位直接舍去，评审时投标人的评审报价即为0.92元/人/课时），后期按照0.92元/人/课时结算。）</w:t>
      </w:r>
    </w:p>
    <w:p w14:paraId="414070C3">
      <w:pPr>
        <w:spacing w:line="360" w:lineRule="auto"/>
        <w:ind w:firstLine="437"/>
        <w:rPr>
          <w:rFonts w:hint="default" w:ascii="宋体" w:hAnsi="宋体" w:eastAsia="宋体" w:cs="宋体"/>
          <w:b/>
          <w:sz w:val="24"/>
          <w:szCs w:val="18"/>
          <w:highlight w:val="none"/>
          <w:lang w:val="en-US" w:eastAsia="zh-CN"/>
        </w:rPr>
      </w:pPr>
      <w:r>
        <w:rPr>
          <w:rFonts w:hint="eastAsia" w:ascii="宋体" w:hAnsi="宋体" w:eastAsia="宋体" w:cs="宋体"/>
          <w:b/>
          <w:sz w:val="24"/>
          <w:szCs w:val="18"/>
          <w:highlight w:val="none"/>
          <w:lang w:val="en-US" w:eastAsia="zh-CN"/>
        </w:rPr>
        <w:t>五、其他要求</w:t>
      </w:r>
    </w:p>
    <w:p w14:paraId="52A82984">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1.成立专项服务小组。</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须为本项目配备不少于1名专门服务人员作为项目对接人，负责日常业务沟通、投保信息调整、理赔咨询等服务事项。</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应保证在接到</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咨询或业务需求后1个工作日内给予明确回复，紧急事项应当及时响应并协助处理。</w:t>
      </w:r>
    </w:p>
    <w:p w14:paraId="080DDCB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sz w:val="24"/>
          <w:szCs w:val="18"/>
          <w:highlight w:val="none"/>
          <w:lang w:val="en-US" w:eastAsia="zh-CN"/>
        </w:rPr>
        <w:t>2.坚持快速理赔。在理赔手续齐全后，</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应于承诺约定期限内</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无条件完成理赔全款全额支付</w:t>
      </w:r>
      <w:r>
        <w:rPr>
          <w:rFonts w:hint="eastAsia" w:ascii="宋体" w:hAnsi="宋体" w:eastAsia="宋体" w:cs="宋体"/>
          <w:sz w:val="24"/>
          <w:szCs w:val="24"/>
          <w:highlight w:val="none"/>
          <w:lang w:eastAsia="zh-CN"/>
        </w:rPr>
        <w:t>。若中标人未在承诺约定时限内办结理赔付款，每发生一次逾期情形，中标人应向招标人支付</w:t>
      </w:r>
      <w:r>
        <w:rPr>
          <w:rFonts w:hint="eastAsia" w:ascii="宋体" w:hAnsi="宋体" w:cs="宋体"/>
          <w:sz w:val="24"/>
          <w:szCs w:val="24"/>
          <w:highlight w:val="none"/>
          <w:lang w:val="en-US" w:eastAsia="zh-CN"/>
        </w:rPr>
        <w:t>200元的违约金</w:t>
      </w:r>
      <w:r>
        <w:rPr>
          <w:rFonts w:hint="eastAsia" w:ascii="宋体" w:hAnsi="宋体" w:eastAsia="宋体" w:cs="宋体"/>
          <w:sz w:val="24"/>
          <w:szCs w:val="24"/>
          <w:highlight w:val="none"/>
          <w:lang w:eastAsia="zh-CN"/>
        </w:rPr>
        <w:t>。</w:t>
      </w:r>
    </w:p>
    <w:p w14:paraId="2E3F7F43">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3</w:t>
      </w:r>
      <w:r>
        <w:rPr>
          <w:rFonts w:hint="eastAsia" w:ascii="宋体" w:hAnsi="宋体" w:eastAsia="宋体"/>
          <w:sz w:val="24"/>
          <w:szCs w:val="18"/>
          <w:highlight w:val="none"/>
          <w:lang w:val="en-US" w:eastAsia="zh-CN"/>
        </w:rPr>
        <w:t>.课程根据学校安排分批次开展，保险根据实际开课时间段分批次购买。</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需要在接收到</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提供的投保人信息后尽快完成系统录入并出具保单凭证，保证保单生效时间不得晚于课程实际开课时间。若出现保单生效时间迟于课程实际开课时间的情形，每发生</w:t>
      </w:r>
      <w:r>
        <w:rPr>
          <w:rFonts w:hint="eastAsia" w:ascii="宋体" w:hAnsi="宋体"/>
          <w:sz w:val="24"/>
          <w:szCs w:val="18"/>
          <w:highlight w:val="none"/>
          <w:lang w:val="en-US" w:eastAsia="zh-CN"/>
        </w:rPr>
        <w:t>一次</w:t>
      </w:r>
      <w:r>
        <w:rPr>
          <w:rFonts w:hint="eastAsia" w:ascii="宋体" w:hAnsi="宋体" w:eastAsia="宋体"/>
          <w:sz w:val="24"/>
          <w:szCs w:val="18"/>
          <w:highlight w:val="none"/>
          <w:lang w:val="en-US" w:eastAsia="zh-CN"/>
        </w:rPr>
        <w:t>，中标人须向招标人</w:t>
      </w:r>
      <w:r>
        <w:rPr>
          <w:rFonts w:hint="eastAsia" w:ascii="宋体" w:hAnsi="宋体"/>
          <w:sz w:val="24"/>
          <w:szCs w:val="18"/>
          <w:highlight w:val="none"/>
          <w:lang w:val="en-US" w:eastAsia="zh-CN"/>
        </w:rPr>
        <w:t>支付200元的</w:t>
      </w:r>
      <w:r>
        <w:rPr>
          <w:rFonts w:hint="eastAsia" w:ascii="宋体" w:hAnsi="宋体" w:eastAsia="宋体"/>
          <w:sz w:val="24"/>
          <w:szCs w:val="18"/>
          <w:highlight w:val="none"/>
          <w:lang w:val="en-US" w:eastAsia="zh-CN"/>
        </w:rPr>
        <w:t>违约金</w:t>
      </w:r>
      <w:r>
        <w:rPr>
          <w:rFonts w:hint="eastAsia" w:ascii="宋体" w:hAnsi="宋体"/>
          <w:sz w:val="24"/>
          <w:szCs w:val="18"/>
          <w:highlight w:val="none"/>
          <w:lang w:val="en-US" w:eastAsia="zh-CN"/>
        </w:rPr>
        <w:t>，</w:t>
      </w:r>
      <w:r>
        <w:rPr>
          <w:rFonts w:ascii="宋体" w:hAnsi="宋体" w:eastAsia="宋体" w:cs="宋体"/>
          <w:sz w:val="24"/>
          <w:szCs w:val="24"/>
          <w:highlight w:val="none"/>
        </w:rPr>
        <w:t>同时承担由此引发的一切相关责任、损失</w:t>
      </w:r>
      <w:r>
        <w:rPr>
          <w:rFonts w:hint="eastAsia" w:ascii="宋体" w:hAnsi="宋体" w:eastAsia="宋体"/>
          <w:sz w:val="24"/>
          <w:szCs w:val="18"/>
          <w:highlight w:val="none"/>
          <w:lang w:val="en-US" w:eastAsia="zh-CN"/>
        </w:rPr>
        <w:t>。</w:t>
      </w:r>
      <w:r>
        <w:rPr>
          <w:rFonts w:ascii="宋体" w:hAnsi="宋体" w:eastAsia="宋体" w:cs="宋体"/>
          <w:sz w:val="24"/>
          <w:szCs w:val="24"/>
          <w:highlight w:val="none"/>
        </w:rPr>
        <w:t>同一情形累计发生三次以上的，招标人有权解除合同并扣除履约保证金</w:t>
      </w:r>
      <w:r>
        <w:rPr>
          <w:rFonts w:hint="eastAsia" w:ascii="宋体" w:hAnsi="宋体" w:eastAsia="宋体" w:cs="宋体"/>
          <w:sz w:val="24"/>
          <w:szCs w:val="24"/>
          <w:highlight w:val="none"/>
          <w:lang w:eastAsia="zh-CN"/>
        </w:rPr>
        <w:t>。</w:t>
      </w:r>
    </w:p>
    <w:p w14:paraId="354DB103">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4</w:t>
      </w:r>
      <w:r>
        <w:rPr>
          <w:rFonts w:hint="eastAsia" w:ascii="宋体" w:hAnsi="宋体" w:eastAsia="宋体"/>
          <w:sz w:val="24"/>
          <w:szCs w:val="18"/>
          <w:highlight w:val="none"/>
          <w:lang w:val="en-US" w:eastAsia="zh-CN"/>
        </w:rPr>
        <w:t>.项目根据实际发生的投保人数、课时数及中标单价据实结算，招标人不保证实际最低结算金额，最终结算费用不超过本项目预算</w:t>
      </w:r>
      <w:r>
        <w:rPr>
          <w:rFonts w:hint="eastAsia" w:ascii="宋体" w:hAnsi="宋体"/>
          <w:sz w:val="24"/>
          <w:szCs w:val="18"/>
          <w:highlight w:val="none"/>
          <w:lang w:val="en-US" w:eastAsia="zh-CN"/>
        </w:rPr>
        <w:t>12.2880</w:t>
      </w:r>
      <w:r>
        <w:rPr>
          <w:rFonts w:hint="eastAsia" w:ascii="宋体" w:hAnsi="宋体" w:eastAsia="宋体"/>
          <w:sz w:val="24"/>
          <w:szCs w:val="18"/>
          <w:highlight w:val="none"/>
          <w:lang w:val="en-US" w:eastAsia="zh-CN"/>
        </w:rPr>
        <w:t>万元。</w:t>
      </w:r>
    </w:p>
    <w:p w14:paraId="2DFA792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2"/>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2"/>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DBED54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0F87DDB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476EDC2A">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9C89FB2">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6D223F9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1983B486">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7EF9DF7D">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49CC602">
            <w:pPr>
              <w:adjustRightInd w:val="0"/>
              <w:snapToGrid w:val="0"/>
              <w:ind w:right="-10" w:rightChars="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5C353337">
      <w:pPr>
        <w:spacing w:line="360" w:lineRule="auto"/>
        <w:ind w:firstLine="435"/>
        <w:rPr>
          <w:rFonts w:hint="eastAsia" w:ascii="宋体" w:hAnsi="宋体" w:eastAsia="宋体" w:cs="宋体"/>
          <w:b/>
          <w:sz w:val="24"/>
          <w:highlight w:val="none"/>
        </w:rPr>
      </w:pPr>
      <w:bookmarkStart w:id="30" w:name="_Toc66363490"/>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综合评分</w:t>
      </w:r>
    </w:p>
    <w:p w14:paraId="1DCF3BA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4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6BC9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4511965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D585DD0">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6259E92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31016CD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7C66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79F351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技术资信分</w:t>
            </w:r>
          </w:p>
          <w:p w14:paraId="4849768E">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1BA9B38E">
            <w:pPr>
              <w:spacing w:line="360" w:lineRule="auto"/>
              <w:jc w:val="center"/>
              <w:rPr>
                <w:rFonts w:hint="eastAsia" w:ascii="宋体" w:hAnsi="宋体" w:eastAsia="宋体" w:cs="宋体"/>
                <w:bCs/>
                <w:sz w:val="24"/>
                <w:highlight w:val="none"/>
              </w:rPr>
            </w:pPr>
            <w:r>
              <w:rPr>
                <w:rFonts w:hint="eastAsia" w:asciiTheme="minorEastAsia" w:hAnsiTheme="minorEastAsia" w:eastAsiaTheme="minorEastAsia"/>
                <w:b w:val="0"/>
                <w:bCs/>
                <w:sz w:val="24"/>
                <w:highlight w:val="none"/>
              </w:rPr>
              <w:t>承保服务方案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5036EE43">
            <w:pPr>
              <w:pStyle w:val="95"/>
              <w:spacing w:before="12"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投标人根据</w:t>
            </w:r>
            <w:r>
              <w:rPr>
                <w:rFonts w:hint="eastAsia" w:ascii="宋体" w:hAnsi="宋体" w:eastAsia="宋体" w:cs="宋体"/>
                <w:b w:val="0"/>
                <w:bCs w:val="0"/>
                <w:sz w:val="24"/>
                <w:highlight w:val="none"/>
              </w:rPr>
              <w:t>本项目特点</w:t>
            </w:r>
            <w:r>
              <w:rPr>
                <w:rFonts w:hint="eastAsia" w:ascii="宋体" w:hAnsi="宋体" w:eastAsia="宋体" w:cs="宋体"/>
                <w:b w:val="0"/>
                <w:bCs w:val="0"/>
                <w:sz w:val="24"/>
                <w:highlight w:val="none"/>
                <w:lang w:val="en-US" w:eastAsia="zh-CN"/>
              </w:rPr>
              <w:t>提供承保服务方案，内容包括</w:t>
            </w:r>
            <w:r>
              <w:rPr>
                <w:rFonts w:hint="eastAsia" w:ascii="宋体" w:hAnsi="宋体" w:eastAsia="宋体" w:cs="宋体"/>
                <w:b w:val="0"/>
                <w:bCs w:val="0"/>
                <w:sz w:val="24"/>
                <w:highlight w:val="none"/>
              </w:rPr>
              <w:t>注明保险赔偿项目、计算方式以及免赔条件</w:t>
            </w:r>
            <w:r>
              <w:rPr>
                <w:rFonts w:hint="eastAsia" w:cs="宋体"/>
                <w:b w:val="0"/>
                <w:bCs w:val="0"/>
                <w:sz w:val="24"/>
                <w:highlight w:val="none"/>
                <w:lang w:val="en-US" w:eastAsia="zh-CN"/>
              </w:rPr>
              <w:t>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评标</w:t>
            </w:r>
            <w:r>
              <w:rPr>
                <w:rFonts w:hint="eastAsia" w:ascii="宋体" w:hAnsi="宋体" w:eastAsia="宋体" w:cs="宋体"/>
                <w:bCs/>
                <w:sz w:val="24"/>
                <w:highlight w:val="none"/>
                <w:lang w:val="en-US" w:eastAsia="zh-CN"/>
              </w:rPr>
              <w:t>小组根据响应文件进行综合评审：</w:t>
            </w:r>
          </w:p>
          <w:p w14:paraId="65AC01A8">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1.方案科学合理，能够完全满足本项目的实际需求，得</w:t>
            </w:r>
            <w:r>
              <w:rPr>
                <w:rFonts w:hint="eastAsia" w:ascii="宋体" w:hAnsi="宋体" w:cs="宋体"/>
                <w:bCs/>
                <w:sz w:val="24"/>
                <w:highlight w:val="none"/>
                <w:lang w:val="en-US" w:eastAsia="zh-CN"/>
              </w:rPr>
              <w:t>8</w:t>
            </w:r>
            <w:r>
              <w:rPr>
                <w:rFonts w:hint="eastAsia" w:ascii="宋体" w:hAnsi="宋体" w:eastAsia="宋体" w:cs="宋体"/>
                <w:bCs/>
                <w:sz w:val="24"/>
                <w:highlight w:val="none"/>
              </w:rPr>
              <w:t>＜F≤</w:t>
            </w:r>
            <w:r>
              <w:rPr>
                <w:rFonts w:hint="eastAsia" w:ascii="宋体" w:hAnsi="宋体" w:cs="宋体"/>
                <w:bCs/>
                <w:sz w:val="24"/>
                <w:highlight w:val="none"/>
                <w:lang w:val="en-US" w:eastAsia="zh-CN"/>
              </w:rPr>
              <w:t>11</w:t>
            </w:r>
            <w:r>
              <w:rPr>
                <w:rFonts w:hint="eastAsia" w:ascii="宋体" w:hAnsi="宋体" w:eastAsia="宋体" w:cs="宋体"/>
                <w:bCs/>
                <w:sz w:val="24"/>
                <w:highlight w:val="none"/>
              </w:rPr>
              <w:t>分</w:t>
            </w:r>
            <w:r>
              <w:rPr>
                <w:rFonts w:hint="eastAsia" w:ascii="宋体" w:hAnsi="宋体" w:eastAsia="宋体" w:cs="宋体"/>
                <w:bCs/>
                <w:sz w:val="24"/>
                <w:highlight w:val="none"/>
                <w:lang w:val="en-US" w:eastAsia="zh-CN"/>
              </w:rPr>
              <w:t xml:space="preserve">； </w:t>
            </w:r>
          </w:p>
          <w:p w14:paraId="76B61236">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2.方案整体较合理，能够基本满足本项目的实际需求，得</w:t>
            </w:r>
            <w:r>
              <w:rPr>
                <w:rFonts w:hint="eastAsia" w:ascii="宋体" w:hAnsi="宋体" w:cs="宋体"/>
                <w:bCs/>
                <w:sz w:val="24"/>
                <w:highlight w:val="none"/>
                <w:lang w:val="en-US" w:eastAsia="zh-CN"/>
              </w:rPr>
              <w:t>4</w:t>
            </w:r>
            <w:r>
              <w:rPr>
                <w:rFonts w:hint="eastAsia" w:ascii="宋体" w:hAnsi="宋体" w:eastAsia="宋体" w:cs="宋体"/>
                <w:bCs/>
                <w:sz w:val="24"/>
                <w:highlight w:val="none"/>
              </w:rPr>
              <w:t>＜F≤</w:t>
            </w: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 xml:space="preserve">分； </w:t>
            </w:r>
          </w:p>
          <w:p w14:paraId="4DE8AEDE">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3.方案有待进一步提升完善的，得</w:t>
            </w:r>
            <w:r>
              <w:rPr>
                <w:rFonts w:hint="eastAsia" w:ascii="宋体" w:hAnsi="宋体" w:eastAsia="宋体" w:cs="宋体"/>
                <w:bCs/>
                <w:sz w:val="24"/>
                <w:highlight w:val="none"/>
              </w:rPr>
              <w:t>0＜F≤</w:t>
            </w: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分；</w:t>
            </w:r>
          </w:p>
          <w:p w14:paraId="699A4B6C">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4.内容差或未提供相关内容的，不得分。 </w:t>
            </w:r>
          </w:p>
          <w:p w14:paraId="741ECD4C">
            <w:pPr>
              <w:pStyle w:val="95"/>
              <w:spacing w:before="12" w:line="360" w:lineRule="auto"/>
              <w:rPr>
                <w:rFonts w:hint="eastAsia" w:ascii="宋体" w:hAnsi="宋体" w:eastAsia="宋体" w:cs="宋体"/>
                <w:bCs/>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52B8378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0-11分</w:t>
            </w:r>
          </w:p>
        </w:tc>
      </w:tr>
      <w:tr w14:paraId="0AA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C676CE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C76135A">
            <w:pPr>
              <w:spacing w:line="360" w:lineRule="auto"/>
              <w:jc w:val="center"/>
              <w:rPr>
                <w:rFonts w:hint="eastAsia" w:ascii="宋体" w:hAnsi="宋体" w:eastAsia="宋体" w:cs="宋体"/>
                <w:sz w:val="24"/>
                <w:highlight w:val="none"/>
              </w:rPr>
            </w:pPr>
            <w:r>
              <w:rPr>
                <w:rFonts w:hint="eastAsia" w:asciiTheme="minorEastAsia" w:hAnsiTheme="minorEastAsia" w:eastAsiaTheme="minorEastAsia"/>
                <w:b w:val="0"/>
                <w:bCs/>
                <w:sz w:val="24"/>
                <w:highlight w:val="none"/>
              </w:rPr>
              <w:t>理赔服务方案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05AD5881">
            <w:pPr>
              <w:pStyle w:val="95"/>
              <w:spacing w:before="12"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投标人根据</w:t>
            </w:r>
            <w:r>
              <w:rPr>
                <w:rFonts w:hint="eastAsia" w:ascii="宋体" w:hAnsi="宋体" w:eastAsia="宋体" w:cs="宋体"/>
                <w:b w:val="0"/>
                <w:bCs w:val="0"/>
                <w:sz w:val="24"/>
                <w:highlight w:val="none"/>
              </w:rPr>
              <w:t>本项目特点</w:t>
            </w:r>
            <w:r>
              <w:rPr>
                <w:rFonts w:hint="eastAsia" w:ascii="宋体" w:hAnsi="宋体" w:eastAsia="宋体" w:cs="宋体"/>
                <w:b w:val="0"/>
                <w:bCs w:val="0"/>
                <w:sz w:val="24"/>
                <w:highlight w:val="none"/>
                <w:lang w:val="en-US" w:eastAsia="zh-CN"/>
              </w:rPr>
              <w:t>提供</w:t>
            </w:r>
            <w:r>
              <w:rPr>
                <w:rFonts w:hint="eastAsia" w:asciiTheme="minorEastAsia" w:hAnsiTheme="minorEastAsia" w:eastAsiaTheme="minorEastAsia"/>
                <w:b w:val="0"/>
                <w:bCs/>
                <w:sz w:val="24"/>
                <w:highlight w:val="none"/>
              </w:rPr>
              <w:t>理赔服务</w:t>
            </w:r>
            <w:r>
              <w:rPr>
                <w:rFonts w:hint="eastAsia" w:ascii="宋体" w:hAnsi="宋体" w:eastAsia="宋体" w:cs="宋体"/>
                <w:b w:val="0"/>
                <w:bCs w:val="0"/>
                <w:sz w:val="24"/>
                <w:highlight w:val="none"/>
                <w:lang w:val="en-US" w:eastAsia="zh-CN"/>
              </w:rPr>
              <w:t>，内容包括</w:t>
            </w:r>
            <w:r>
              <w:rPr>
                <w:rFonts w:hint="eastAsia" w:ascii="宋体" w:hAnsi="宋体" w:eastAsia="宋体" w:cs="宋体"/>
                <w:sz w:val="24"/>
                <w:szCs w:val="24"/>
                <w:highlight w:val="none"/>
                <w:lang w:val="en-US" w:eastAsia="zh-CN"/>
              </w:rPr>
              <w:t>赔付提供材料是否简便、赔款到账时间长短、理赔流程是否顺畅、理赔人员配备</w:t>
            </w:r>
            <w:r>
              <w:rPr>
                <w:rFonts w:hint="eastAsia" w:cs="宋体"/>
                <w:sz w:val="24"/>
                <w:szCs w:val="24"/>
                <w:highlight w:val="none"/>
                <w:lang w:val="en-US" w:eastAsia="zh-CN"/>
              </w:rPr>
              <w:t>队伍</w:t>
            </w:r>
            <w:r>
              <w:rPr>
                <w:rFonts w:hint="eastAsia" w:ascii="宋体" w:hAnsi="宋体" w:eastAsia="宋体" w:cs="宋体"/>
                <w:sz w:val="24"/>
                <w:szCs w:val="24"/>
                <w:highlight w:val="none"/>
                <w:lang w:val="en-US" w:eastAsia="zh-CN"/>
              </w:rPr>
              <w:t>、小额赔款措施、服务监督措施</w:t>
            </w:r>
            <w:r>
              <w:rPr>
                <w:rFonts w:hint="eastAsia" w:cs="宋体"/>
                <w:b w:val="0"/>
                <w:bCs w:val="0"/>
                <w:sz w:val="24"/>
                <w:highlight w:val="none"/>
                <w:lang w:val="en-US" w:eastAsia="zh-CN"/>
              </w:rPr>
              <w:t>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评标</w:t>
            </w:r>
            <w:r>
              <w:rPr>
                <w:rFonts w:hint="eastAsia" w:ascii="宋体" w:hAnsi="宋体" w:eastAsia="宋体" w:cs="宋体"/>
                <w:bCs/>
                <w:sz w:val="24"/>
                <w:highlight w:val="none"/>
                <w:lang w:val="en-US" w:eastAsia="zh-CN"/>
              </w:rPr>
              <w:t>小组根据响应文件进行综合评审：</w:t>
            </w:r>
          </w:p>
          <w:p w14:paraId="01F02676">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1.方案科学合理，能够完全满足本项目的实际需求，得</w:t>
            </w:r>
            <w:r>
              <w:rPr>
                <w:rFonts w:hint="eastAsia" w:ascii="宋体" w:hAnsi="宋体" w:cs="宋体"/>
                <w:bCs/>
                <w:sz w:val="24"/>
                <w:highlight w:val="none"/>
                <w:lang w:val="en-US" w:eastAsia="zh-CN"/>
              </w:rPr>
              <w:t>8</w:t>
            </w:r>
            <w:r>
              <w:rPr>
                <w:rFonts w:hint="eastAsia" w:ascii="宋体" w:hAnsi="宋体" w:eastAsia="宋体" w:cs="宋体"/>
                <w:bCs/>
                <w:sz w:val="24"/>
                <w:highlight w:val="none"/>
              </w:rPr>
              <w:t>＜F≤</w:t>
            </w:r>
            <w:r>
              <w:rPr>
                <w:rFonts w:hint="eastAsia" w:ascii="宋体" w:hAnsi="宋体" w:cs="宋体"/>
                <w:bCs/>
                <w:sz w:val="24"/>
                <w:highlight w:val="none"/>
                <w:lang w:val="en-US" w:eastAsia="zh-CN"/>
              </w:rPr>
              <w:t>11</w:t>
            </w:r>
            <w:r>
              <w:rPr>
                <w:rFonts w:hint="eastAsia" w:ascii="宋体" w:hAnsi="宋体" w:eastAsia="宋体" w:cs="宋体"/>
                <w:bCs/>
                <w:sz w:val="24"/>
                <w:highlight w:val="none"/>
              </w:rPr>
              <w:t>分</w:t>
            </w:r>
            <w:r>
              <w:rPr>
                <w:rFonts w:hint="eastAsia" w:ascii="宋体" w:hAnsi="宋体" w:eastAsia="宋体" w:cs="宋体"/>
                <w:bCs/>
                <w:sz w:val="24"/>
                <w:highlight w:val="none"/>
                <w:lang w:val="en-US" w:eastAsia="zh-CN"/>
              </w:rPr>
              <w:t xml:space="preserve">； </w:t>
            </w:r>
          </w:p>
          <w:p w14:paraId="5E4510DC">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2.方案整体较合理，能够基本满足本项目的实际需求，得</w:t>
            </w:r>
            <w:r>
              <w:rPr>
                <w:rFonts w:hint="eastAsia" w:ascii="宋体" w:hAnsi="宋体" w:cs="宋体"/>
                <w:bCs/>
                <w:sz w:val="24"/>
                <w:highlight w:val="none"/>
                <w:lang w:val="en-US" w:eastAsia="zh-CN"/>
              </w:rPr>
              <w:t>4</w:t>
            </w:r>
            <w:r>
              <w:rPr>
                <w:rFonts w:hint="eastAsia" w:ascii="宋体" w:hAnsi="宋体" w:eastAsia="宋体" w:cs="宋体"/>
                <w:bCs/>
                <w:sz w:val="24"/>
                <w:highlight w:val="none"/>
              </w:rPr>
              <w:t>＜F≤</w:t>
            </w: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 xml:space="preserve">分； </w:t>
            </w:r>
          </w:p>
          <w:p w14:paraId="16C8C27E">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3.方案有待进一步提升完善的，得</w:t>
            </w:r>
            <w:r>
              <w:rPr>
                <w:rFonts w:hint="eastAsia" w:ascii="宋体" w:hAnsi="宋体" w:eastAsia="宋体" w:cs="宋体"/>
                <w:bCs/>
                <w:sz w:val="24"/>
                <w:highlight w:val="none"/>
              </w:rPr>
              <w:t>0＜F≤</w:t>
            </w: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分；</w:t>
            </w:r>
          </w:p>
          <w:p w14:paraId="4A2D0300">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4.内容差或未提供相关内容的，不得分。 </w:t>
            </w:r>
          </w:p>
          <w:p w14:paraId="6CB3FC0A">
            <w:pPr>
              <w:pStyle w:val="95"/>
              <w:spacing w:before="12" w:line="360" w:lineRule="auto"/>
              <w:rPr>
                <w:rFonts w:hint="eastAsia" w:ascii="宋体" w:hAnsi="宋体" w:eastAsia="宋体" w:cs="宋体"/>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FECD5F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0-11分</w:t>
            </w:r>
          </w:p>
        </w:tc>
      </w:tr>
      <w:tr w14:paraId="0C0D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96DBE9E">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002D01">
            <w:pPr>
              <w:spacing w:line="360" w:lineRule="auto"/>
              <w:jc w:val="center"/>
              <w:rPr>
                <w:rFonts w:hint="eastAsia" w:ascii="宋体" w:hAnsi="宋体" w:eastAsia="宋体" w:cs="宋体"/>
                <w:sz w:val="24"/>
                <w:highlight w:val="none"/>
              </w:rPr>
            </w:pPr>
            <w:r>
              <w:rPr>
                <w:rFonts w:hint="eastAsia" w:ascii="宋体" w:hAnsi="宋体" w:eastAsia="宋体" w:cs="宋体"/>
                <w:b w:val="0"/>
                <w:bCs/>
                <w:sz w:val="24"/>
                <w:highlight w:val="none"/>
                <w:lang w:val="en-US" w:eastAsia="zh-CN"/>
              </w:rPr>
              <w:t>赔付保额</w:t>
            </w:r>
          </w:p>
        </w:tc>
        <w:tc>
          <w:tcPr>
            <w:tcW w:w="3734" w:type="dxa"/>
            <w:tcBorders>
              <w:top w:val="single" w:color="auto" w:sz="4" w:space="0"/>
              <w:left w:val="single" w:color="auto" w:sz="4" w:space="0"/>
              <w:bottom w:val="single" w:color="auto" w:sz="4" w:space="0"/>
              <w:right w:val="single" w:color="auto" w:sz="4" w:space="0"/>
            </w:tcBorders>
            <w:vAlign w:val="center"/>
          </w:tcPr>
          <w:p w14:paraId="1AF737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在本项目招标需求保障金额（最低标准）基础上：</w:t>
            </w:r>
          </w:p>
          <w:p w14:paraId="0D6B2D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意外身故：每增加保障金额1万元得1分；不足1万元部分，不得分。本小项满分3分。</w:t>
            </w:r>
          </w:p>
          <w:p w14:paraId="060C9B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2.意外残疾：每增加保障金额1万元得1分；不足1万元部分，不得分。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00E6E4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3.意外医疗：每增加保障金额1万元得1分；不足1万元部分，不得分。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41E662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r>
              <w:rPr>
                <w:rFonts w:hint="eastAsia" w:ascii="宋体" w:hAnsi="宋体" w:eastAsia="宋体" w:cs="宋体"/>
                <w:kern w:val="2"/>
                <w:sz w:val="24"/>
                <w:szCs w:val="24"/>
                <w:highlight w:val="none"/>
                <w:lang w:val="en-US" w:eastAsia="zh-CN" w:bidi="ar-SA"/>
              </w:rPr>
              <w:t>4.意外住院津贴：每增加保额10元/天得1分；不足10元/天部分不得分。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2C11B924">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highlight w:val="none"/>
              </w:rPr>
            </w:pPr>
            <w:r>
              <w:rPr>
                <w:rFonts w:hint="eastAsia" w:ascii="宋体" w:hAnsi="宋体" w:eastAsia="宋体" w:cs="宋体"/>
                <w:b/>
                <w:bCs/>
                <w:sz w:val="24"/>
                <w:szCs w:val="24"/>
                <w:highlight w:val="none"/>
                <w:lang w:val="zh-CN"/>
              </w:rPr>
              <w:t>注：</w:t>
            </w:r>
            <w:r>
              <w:rPr>
                <w:rFonts w:hint="eastAsia" w:eastAsia="宋体" w:cs="宋体"/>
                <w:b/>
                <w:bCs/>
                <w:sz w:val="24"/>
                <w:szCs w:val="24"/>
                <w:highlight w:val="none"/>
                <w:lang w:val="en-US" w:eastAsia="zh-CN"/>
              </w:rPr>
              <w:t>响应</w:t>
            </w:r>
            <w:r>
              <w:rPr>
                <w:rFonts w:hint="eastAsia" w:ascii="宋体" w:hAnsi="宋体" w:eastAsia="宋体" w:cs="宋体"/>
                <w:b/>
                <w:bCs/>
                <w:sz w:val="24"/>
                <w:szCs w:val="24"/>
                <w:highlight w:val="none"/>
                <w:lang w:val="zh-CN" w:eastAsia="zh-CN"/>
              </w:rPr>
              <w:t>文件中</w:t>
            </w:r>
            <w:r>
              <w:rPr>
                <w:rFonts w:hint="eastAsia" w:eastAsia="宋体" w:cs="宋体"/>
                <w:b/>
                <w:bCs/>
                <w:sz w:val="24"/>
                <w:szCs w:val="24"/>
                <w:highlight w:val="none"/>
                <w:lang w:val="en-US" w:eastAsia="zh-CN"/>
              </w:rPr>
              <w:t>需</w:t>
            </w:r>
            <w:r>
              <w:rPr>
                <w:rFonts w:hint="eastAsia" w:ascii="宋体" w:hAnsi="宋体" w:eastAsia="宋体" w:cs="宋体"/>
                <w:b/>
                <w:bCs/>
                <w:sz w:val="24"/>
                <w:szCs w:val="24"/>
                <w:highlight w:val="none"/>
                <w:lang w:val="zh-CN" w:eastAsia="zh-CN"/>
              </w:rPr>
              <w:t>提供承诺函（格式自拟）</w:t>
            </w:r>
            <w:r>
              <w:rPr>
                <w:rFonts w:hint="eastAsia" w:ascii="宋体" w:hAnsi="宋体" w:eastAsia="宋体" w:cs="宋体"/>
                <w:b/>
                <w:bCs/>
                <w:sz w:val="24"/>
                <w:szCs w:val="24"/>
                <w:highlight w:val="none"/>
                <w:lang w:val="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742D355C">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0-12分</w:t>
            </w:r>
          </w:p>
        </w:tc>
      </w:tr>
      <w:tr w14:paraId="1F9B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jc w:val="center"/>
        </w:trPr>
        <w:tc>
          <w:tcPr>
            <w:tcW w:w="1473" w:type="dxa"/>
            <w:vMerge w:val="continue"/>
            <w:tcBorders>
              <w:left w:val="single" w:color="auto" w:sz="4" w:space="0"/>
              <w:right w:val="single" w:color="auto" w:sz="4" w:space="0"/>
            </w:tcBorders>
            <w:vAlign w:val="center"/>
          </w:tcPr>
          <w:p w14:paraId="725515A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8FC684">
            <w:pPr>
              <w:spacing w:line="360" w:lineRule="auto"/>
              <w:jc w:val="center"/>
              <w:rPr>
                <w:rFonts w:hint="eastAsia"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综合偿付</w:t>
            </w:r>
          </w:p>
          <w:p w14:paraId="05CED2A4">
            <w:pPr>
              <w:spacing w:line="360" w:lineRule="auto"/>
              <w:jc w:val="center"/>
              <w:rPr>
                <w:rFonts w:hint="eastAsia" w:ascii="宋体" w:hAnsi="宋体" w:eastAsia="宋体" w:cs="宋体"/>
                <w:color w:val="auto"/>
                <w:sz w:val="24"/>
                <w:highlight w:val="none"/>
              </w:rPr>
            </w:pPr>
            <w:r>
              <w:rPr>
                <w:rFonts w:hint="eastAsia" w:asciiTheme="minorEastAsia" w:hAnsiTheme="minorEastAsia" w:eastAsiaTheme="minorEastAsia"/>
                <w:b w:val="0"/>
                <w:bCs/>
                <w:sz w:val="24"/>
                <w:highlight w:val="none"/>
              </w:rPr>
              <w:t>能力</w:t>
            </w:r>
          </w:p>
        </w:tc>
        <w:tc>
          <w:tcPr>
            <w:tcW w:w="3734" w:type="dxa"/>
            <w:tcBorders>
              <w:top w:val="single" w:color="auto" w:sz="4" w:space="0"/>
              <w:left w:val="single" w:color="auto" w:sz="4" w:space="0"/>
              <w:bottom w:val="single" w:color="auto" w:sz="4" w:space="0"/>
              <w:right w:val="single" w:color="auto" w:sz="4" w:space="0"/>
            </w:tcBorders>
            <w:vAlign w:val="center"/>
          </w:tcPr>
          <w:p w14:paraId="0E22CF44">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所属总公司202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r>
              <w:rPr>
                <w:rFonts w:hint="eastAsia" w:ascii="宋体" w:hAnsi="宋体" w:eastAsia="宋体" w:cs="宋体"/>
                <w:sz w:val="24"/>
                <w:szCs w:val="24"/>
                <w:highlight w:val="none"/>
              </w:rPr>
              <w:t>综合偿付</w:t>
            </w:r>
            <w:r>
              <w:rPr>
                <w:rFonts w:hint="eastAsia" w:ascii="宋体" w:hAnsi="宋体" w:eastAsia="宋体" w:cs="宋体"/>
                <w:sz w:val="24"/>
                <w:szCs w:val="24"/>
                <w:highlight w:val="none"/>
                <w:lang w:val="en-US" w:eastAsia="zh-CN"/>
              </w:rPr>
              <w:t>能力满足以下要求：</w:t>
            </w:r>
          </w:p>
          <w:p w14:paraId="64DA318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年度综合偿付能力≥200%</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4527CA9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2.150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w:t>
            </w:r>
            <w:r>
              <w:rPr>
                <w:rFonts w:hint="eastAsia" w:ascii="宋体" w:hAnsi="宋体" w:eastAsia="宋体" w:cs="宋体"/>
                <w:b w:val="0"/>
                <w:bCs w:val="0"/>
                <w:sz w:val="24"/>
                <w:szCs w:val="24"/>
                <w:highlight w:val="none"/>
                <w:lang w:val="en-US" w:eastAsia="zh-CN"/>
              </w:rPr>
              <w:t>＜200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的，得7分；</w:t>
            </w:r>
          </w:p>
          <w:p w14:paraId="699471F0">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w:t>
            </w:r>
            <w:r>
              <w:rPr>
                <w:rFonts w:hint="eastAsia" w:ascii="宋体" w:hAnsi="宋体" w:eastAsia="宋体" w:cs="宋体"/>
                <w:b w:val="0"/>
                <w:bCs w:val="0"/>
                <w:sz w:val="24"/>
                <w:szCs w:val="24"/>
                <w:highlight w:val="none"/>
                <w:lang w:val="en-US" w:eastAsia="zh-CN"/>
              </w:rPr>
              <w:t>＜150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的，得5分；</w:t>
            </w:r>
          </w:p>
          <w:p w14:paraId="567AF5C1">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其余不得分。</w:t>
            </w:r>
          </w:p>
          <w:p w14:paraId="164BED8A">
            <w:pPr>
              <w:spacing w:line="440" w:lineRule="exact"/>
              <w:rPr>
                <w:rFonts w:hint="eastAsia"/>
                <w:color w:val="auto"/>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响应文件中</w:t>
            </w:r>
            <w:r>
              <w:rPr>
                <w:rFonts w:hint="eastAsia" w:ascii="宋体" w:hAnsi="宋体" w:eastAsia="宋体" w:cs="宋体"/>
                <w:b/>
                <w:bCs/>
                <w:sz w:val="24"/>
                <w:szCs w:val="24"/>
                <w:highlight w:val="none"/>
              </w:rPr>
              <w:t>提供投标人总公司</w:t>
            </w:r>
            <w:r>
              <w:rPr>
                <w:rFonts w:hint="eastAsia" w:ascii="宋体" w:hAnsi="宋体" w:eastAsia="宋体" w:cs="宋体"/>
                <w:b/>
                <w:bCs/>
                <w:sz w:val="24"/>
                <w:szCs w:val="24"/>
                <w:highlight w:val="none"/>
                <w:lang w:val="en-US" w:eastAsia="zh-CN"/>
              </w:rPr>
              <w:t>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年度信息披露报告（或偿付能力信息报告或202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年度审计报告）扫描件</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03BDC146">
            <w:pPr>
              <w:spacing w:line="360" w:lineRule="auto"/>
              <w:jc w:val="center"/>
              <w:rPr>
                <w:rFonts w:hint="eastAsia" w:ascii="宋体" w:hAnsi="宋体" w:eastAsia="宋体" w:cs="宋体"/>
                <w:b/>
                <w:bCs/>
                <w:color w:val="auto"/>
                <w:sz w:val="24"/>
                <w:highlight w:val="none"/>
              </w:rPr>
            </w:pPr>
            <w:r>
              <w:rPr>
                <w:rFonts w:hint="eastAsia" w:asciiTheme="minorEastAsia" w:hAnsiTheme="minorEastAsia" w:eastAsiaTheme="minorEastAsia"/>
                <w:b w:val="0"/>
                <w:bCs w:val="0"/>
                <w:sz w:val="24"/>
                <w:highlight w:val="none"/>
                <w:lang w:val="en-US" w:eastAsia="zh-CN"/>
              </w:rPr>
              <w:t>0-10分</w:t>
            </w:r>
          </w:p>
        </w:tc>
      </w:tr>
      <w:tr w14:paraId="60E4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3" w:type="dxa"/>
            <w:vMerge w:val="continue"/>
            <w:tcBorders>
              <w:left w:val="single" w:color="auto" w:sz="4" w:space="0"/>
              <w:right w:val="single" w:color="auto" w:sz="4" w:space="0"/>
            </w:tcBorders>
            <w:vAlign w:val="center"/>
          </w:tcPr>
          <w:p w14:paraId="4F442F8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BC1F174">
            <w:pPr>
              <w:spacing w:line="360" w:lineRule="auto"/>
              <w:jc w:val="center"/>
              <w:rPr>
                <w:rFonts w:hint="eastAsia"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风险综合评级</w:t>
            </w:r>
          </w:p>
        </w:tc>
        <w:tc>
          <w:tcPr>
            <w:tcW w:w="3734" w:type="dxa"/>
            <w:tcBorders>
              <w:top w:val="single" w:color="auto" w:sz="4" w:space="0"/>
              <w:left w:val="single" w:color="auto" w:sz="4" w:space="0"/>
              <w:bottom w:val="single" w:color="auto" w:sz="4" w:space="0"/>
              <w:right w:val="single" w:color="auto" w:sz="4" w:space="0"/>
            </w:tcBorders>
            <w:vAlign w:val="center"/>
          </w:tcPr>
          <w:p w14:paraId="79395EAC">
            <w:pPr>
              <w:keepNext w:val="0"/>
              <w:keepLines w:val="0"/>
              <w:pageBreakBefore w:val="0"/>
              <w:widowControl w:val="0"/>
              <w:tabs>
                <w:tab w:val="left" w:pos="567"/>
              </w:tabs>
              <w:spacing w:line="360" w:lineRule="auto"/>
              <w:ind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根据投标人所属总公司已公开披露的2025年四个季度风险综合评级结果进行评分：</w:t>
            </w:r>
          </w:p>
          <w:p w14:paraId="069B8552">
            <w:pPr>
              <w:keepNext w:val="0"/>
              <w:keepLines w:val="0"/>
              <w:pageBreakBefore w:val="0"/>
              <w:widowControl w:val="0"/>
              <w:tabs>
                <w:tab w:val="left" w:pos="567"/>
              </w:tabs>
              <w:spacing w:line="360" w:lineRule="auto"/>
              <w:ind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每有一个季度为A级及以上的得2分，最高得8分。</w:t>
            </w:r>
          </w:p>
          <w:p w14:paraId="0FC9E737">
            <w:pPr>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注：</w:t>
            </w:r>
            <w:r>
              <w:rPr>
                <w:rFonts w:hint="eastAsia" w:ascii="宋体" w:hAnsi="宋体" w:cs="宋体"/>
                <w:b/>
                <w:bCs/>
                <w:sz w:val="24"/>
                <w:szCs w:val="24"/>
                <w:highlight w:val="none"/>
                <w:lang w:val="en-US" w:eastAsia="zh-CN"/>
              </w:rPr>
              <w:t>响应文件中</w:t>
            </w:r>
            <w:r>
              <w:rPr>
                <w:rFonts w:hint="eastAsia" w:ascii="宋体" w:hAnsi="宋体" w:eastAsia="宋体" w:cs="宋体"/>
                <w:b/>
                <w:bCs/>
                <w:sz w:val="24"/>
                <w:szCs w:val="24"/>
                <w:highlight w:val="none"/>
                <w:lang w:val="en-US" w:eastAsia="zh-CN"/>
              </w:rPr>
              <w:t>提供中国保险行业协会监管信息系统截图</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0162AA39">
            <w:pPr>
              <w:spacing w:line="360" w:lineRule="auto"/>
              <w:jc w:val="center"/>
              <w:rPr>
                <w:rFonts w:hint="default" w:asciiTheme="minorEastAsia" w:hAnsiTheme="minorEastAsia" w:eastAsiaTheme="minorEastAsia"/>
                <w:b w:val="0"/>
                <w:bCs w:val="0"/>
                <w:sz w:val="24"/>
                <w:highlight w:val="none"/>
                <w:lang w:val="en-US" w:eastAsia="zh-CN"/>
              </w:rPr>
            </w:pPr>
            <w:r>
              <w:rPr>
                <w:rFonts w:hint="eastAsia" w:asciiTheme="minorEastAsia" w:hAnsiTheme="minorEastAsia" w:eastAsiaTheme="minorEastAsia"/>
                <w:b w:val="0"/>
                <w:bCs w:val="0"/>
                <w:sz w:val="24"/>
                <w:highlight w:val="none"/>
                <w:lang w:val="en-US" w:eastAsia="zh-CN"/>
              </w:rPr>
              <w:t>0-8分</w:t>
            </w:r>
          </w:p>
        </w:tc>
      </w:tr>
      <w:tr w14:paraId="5367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F655FF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23BFC6">
            <w:pPr>
              <w:spacing w:line="360" w:lineRule="auto"/>
              <w:jc w:val="center"/>
              <w:rPr>
                <w:rFonts w:hint="eastAsia" w:ascii="宋体" w:hAnsi="宋体" w:eastAsia="宋体" w:cs="宋体"/>
                <w:bCs/>
                <w:sz w:val="24"/>
                <w:highlight w:val="none"/>
              </w:rPr>
            </w:pPr>
            <w:r>
              <w:rPr>
                <w:rFonts w:hint="eastAsia" w:ascii="宋体" w:hAnsi="宋体" w:eastAsia="宋体" w:cs="宋体"/>
                <w:color w:val="auto"/>
                <w:sz w:val="24"/>
                <w:highlight w:val="none"/>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2273A660">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spacing w:val="3"/>
                <w:sz w:val="24"/>
                <w:szCs w:val="24"/>
                <w:highlight w:val="none"/>
              </w:rPr>
              <w:t>自</w:t>
            </w:r>
            <w:r>
              <w:rPr>
                <w:rFonts w:hint="eastAsia" w:cs="宋体"/>
                <w:spacing w:val="3"/>
                <w:sz w:val="24"/>
                <w:szCs w:val="24"/>
                <w:highlight w:val="none"/>
                <w:lang w:val="en-US" w:eastAsia="zh-CN"/>
              </w:rPr>
              <w:t>2022</w:t>
            </w:r>
            <w:r>
              <w:rPr>
                <w:rFonts w:hint="eastAsia" w:ascii="宋体" w:hAnsi="宋体" w:eastAsia="宋体" w:cs="宋体"/>
                <w:spacing w:val="3"/>
                <w:sz w:val="24"/>
                <w:szCs w:val="24"/>
                <w:highlight w:val="none"/>
              </w:rPr>
              <w:t>年1月1日以来（以合同签订时间</w:t>
            </w:r>
            <w:r>
              <w:rPr>
                <w:rFonts w:hint="eastAsia" w:ascii="宋体" w:hAnsi="宋体" w:eastAsia="宋体" w:cs="宋体"/>
                <w:sz w:val="24"/>
                <w:szCs w:val="24"/>
                <w:highlight w:val="none"/>
                <w:lang w:val="en-US" w:eastAsia="zh-CN"/>
              </w:rPr>
              <w:t>或保单生效时间</w:t>
            </w:r>
            <w:r>
              <w:rPr>
                <w:rFonts w:hint="eastAsia" w:ascii="宋体" w:hAnsi="宋体" w:eastAsia="宋体" w:cs="宋体"/>
                <w:spacing w:val="3"/>
                <w:sz w:val="24"/>
                <w:szCs w:val="24"/>
                <w:highlight w:val="none"/>
              </w:rPr>
              <w:t>为准），</w:t>
            </w:r>
            <w:r>
              <w:rPr>
                <w:rFonts w:hint="eastAsia" w:ascii="宋体" w:hAnsi="宋体" w:eastAsia="宋体" w:cs="宋体"/>
                <w:spacing w:val="3"/>
                <w:sz w:val="24"/>
                <w:szCs w:val="24"/>
                <w:highlight w:val="none"/>
                <w:lang w:val="en-US" w:eastAsia="zh-CN"/>
              </w:rPr>
              <w:t>投标人具有单个合同投保人数不低于1000人的意外险承保业绩，每提供一个业绩得</w:t>
            </w:r>
            <w:r>
              <w:rPr>
                <w:rFonts w:hint="eastAsia" w:cs="宋体"/>
                <w:spacing w:val="3"/>
                <w:sz w:val="24"/>
                <w:szCs w:val="24"/>
                <w:highlight w:val="none"/>
                <w:lang w:val="en-US" w:eastAsia="zh-CN"/>
              </w:rPr>
              <w:t>6</w:t>
            </w:r>
            <w:r>
              <w:rPr>
                <w:rFonts w:hint="eastAsia" w:ascii="宋体" w:hAnsi="宋体" w:eastAsia="宋体" w:cs="宋体"/>
                <w:spacing w:val="3"/>
                <w:sz w:val="24"/>
                <w:szCs w:val="24"/>
                <w:highlight w:val="none"/>
                <w:lang w:val="en-US" w:eastAsia="zh-CN"/>
              </w:rPr>
              <w:t>分，</w:t>
            </w:r>
            <w:r>
              <w:rPr>
                <w:rFonts w:hint="eastAsia" w:cs="宋体"/>
                <w:spacing w:val="3"/>
                <w:sz w:val="24"/>
                <w:szCs w:val="24"/>
                <w:highlight w:val="none"/>
                <w:lang w:val="en-US" w:eastAsia="zh-CN"/>
              </w:rPr>
              <w:t>本项满分18</w:t>
            </w:r>
            <w:r>
              <w:rPr>
                <w:rFonts w:hint="eastAsia" w:ascii="宋体" w:hAnsi="宋体" w:eastAsia="宋体" w:cs="宋体"/>
                <w:spacing w:val="3"/>
                <w:sz w:val="24"/>
                <w:szCs w:val="24"/>
                <w:highlight w:val="none"/>
                <w:lang w:val="en-US" w:eastAsia="zh-CN"/>
              </w:rPr>
              <w:t>分</w:t>
            </w:r>
            <w:r>
              <w:rPr>
                <w:rFonts w:hint="eastAsia"/>
                <w:spacing w:val="3"/>
                <w:sz w:val="24"/>
                <w:szCs w:val="24"/>
                <w:highlight w:val="none"/>
              </w:rPr>
              <w:t>。</w:t>
            </w:r>
          </w:p>
          <w:p w14:paraId="515FAF38">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highlight w:val="none"/>
                <w:lang w:val="en-US" w:eastAsia="zh-CN"/>
              </w:rPr>
            </w:pPr>
            <w:r>
              <w:rPr>
                <w:rFonts w:hint="eastAsia" w:ascii="宋体" w:hAnsi="宋体" w:eastAsia="宋体" w:cs="宋体"/>
                <w:b/>
                <w:bCs w:val="0"/>
                <w:sz w:val="24"/>
                <w:highlight w:val="none"/>
                <w:lang w:val="en-US" w:eastAsia="zh-CN"/>
              </w:rPr>
              <w:t>注：（1）本项对正在履约</w:t>
            </w:r>
            <w:r>
              <w:rPr>
                <w:rFonts w:hint="eastAsia" w:cs="宋体"/>
                <w:b/>
                <w:bCs w:val="0"/>
                <w:sz w:val="24"/>
                <w:highlight w:val="none"/>
                <w:lang w:val="en-US" w:eastAsia="zh-CN"/>
              </w:rPr>
              <w:t>和</w:t>
            </w:r>
            <w:r>
              <w:rPr>
                <w:rFonts w:hint="eastAsia" w:ascii="宋体" w:hAnsi="宋体" w:eastAsia="宋体" w:cs="宋体"/>
                <w:b/>
                <w:bCs w:val="0"/>
                <w:sz w:val="24"/>
                <w:highlight w:val="none"/>
                <w:lang w:val="en-US" w:eastAsia="zh-CN"/>
              </w:rPr>
              <w:t>履约完成的业绩均予以认可</w:t>
            </w:r>
            <w:r>
              <w:rPr>
                <w:rFonts w:hint="eastAsia"/>
                <w:b/>
                <w:bCs/>
                <w:sz w:val="24"/>
                <w:highlight w:val="none"/>
                <w:lang w:val="en-US" w:eastAsia="zh-CN"/>
              </w:rPr>
              <w:t>。</w:t>
            </w:r>
          </w:p>
          <w:p w14:paraId="2CCCD998">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highlight w:val="none"/>
                <w:lang w:val="en-US" w:eastAsia="zh-CN"/>
              </w:rPr>
            </w:pPr>
            <w:r>
              <w:rPr>
                <w:rFonts w:hint="eastAsia" w:cs="宋体"/>
                <w:b/>
                <w:bCs w:val="0"/>
                <w:sz w:val="24"/>
                <w:highlight w:val="none"/>
                <w:lang w:val="en-US" w:eastAsia="zh-CN"/>
              </w:rPr>
              <w:t>（2）</w:t>
            </w:r>
            <w:r>
              <w:rPr>
                <w:rFonts w:hint="eastAsia" w:ascii="宋体" w:hAnsi="宋体" w:eastAsia="宋体" w:cs="宋体"/>
                <w:b/>
                <w:bCs w:val="0"/>
                <w:sz w:val="24"/>
                <w:highlight w:val="none"/>
                <w:lang w:val="en-US" w:eastAsia="zh-CN"/>
              </w:rPr>
              <w:t>响应文件中提供业绩合同</w:t>
            </w:r>
            <w:r>
              <w:rPr>
                <w:rFonts w:hint="eastAsia" w:cs="宋体"/>
                <w:b/>
                <w:bCs w:val="0"/>
                <w:sz w:val="24"/>
                <w:highlight w:val="none"/>
                <w:lang w:val="en-US" w:eastAsia="zh-CN"/>
              </w:rPr>
              <w:t>或纸质保险单（或电子保险单）</w:t>
            </w:r>
            <w:r>
              <w:rPr>
                <w:rFonts w:hint="eastAsia" w:ascii="宋体" w:hAnsi="宋体" w:eastAsia="宋体" w:cs="宋体"/>
                <w:b/>
                <w:bCs w:val="0"/>
                <w:sz w:val="24"/>
                <w:highlight w:val="none"/>
                <w:lang w:val="en-US" w:eastAsia="zh-CN"/>
              </w:rPr>
              <w:t>的扫描件</w:t>
            </w:r>
            <w:r>
              <w:rPr>
                <w:rFonts w:hint="eastAsia" w:cs="宋体"/>
                <w:b/>
                <w:bCs w:val="0"/>
                <w:sz w:val="24"/>
                <w:highlight w:val="none"/>
                <w:lang w:val="en-US" w:eastAsia="zh-CN"/>
              </w:rPr>
              <w:t>（或影印件）</w:t>
            </w:r>
            <w:r>
              <w:rPr>
                <w:rFonts w:hint="eastAsia" w:ascii="宋体" w:hAnsi="宋体" w:eastAsia="宋体" w:cs="宋体"/>
                <w:b/>
                <w:bCs w:val="0"/>
                <w:sz w:val="24"/>
                <w:highlight w:val="none"/>
                <w:lang w:val="en-US" w:eastAsia="zh-CN"/>
              </w:rPr>
              <w:t>，</w:t>
            </w:r>
            <w:r>
              <w:rPr>
                <w:rFonts w:hint="eastAsia" w:cs="宋体"/>
                <w:b/>
                <w:bCs w:val="0"/>
                <w:sz w:val="24"/>
                <w:highlight w:val="none"/>
                <w:lang w:val="en-US" w:eastAsia="zh-CN"/>
              </w:rPr>
              <w:t>如</w:t>
            </w:r>
            <w:r>
              <w:rPr>
                <w:rFonts w:hint="eastAsia" w:ascii="宋体" w:hAnsi="宋体" w:eastAsia="宋体" w:cs="宋体"/>
                <w:b/>
                <w:bCs w:val="0"/>
                <w:sz w:val="24"/>
                <w:highlight w:val="none"/>
                <w:lang w:val="en-US" w:eastAsia="zh-CN"/>
              </w:rPr>
              <w:t>无法体现合同签订时间、投标人名称</w:t>
            </w:r>
            <w:r>
              <w:rPr>
                <w:rFonts w:hint="eastAsia" w:cs="宋体"/>
                <w:b/>
                <w:bCs w:val="0"/>
                <w:sz w:val="24"/>
                <w:highlight w:val="none"/>
                <w:lang w:val="en-US" w:eastAsia="zh-CN"/>
              </w:rPr>
              <w:t>、投保人数</w:t>
            </w:r>
            <w:r>
              <w:rPr>
                <w:rFonts w:hint="default" w:ascii="宋体" w:hAnsi="宋体" w:eastAsia="宋体"/>
                <w:b/>
                <w:bCs/>
                <w:sz w:val="24"/>
                <w:highlight w:val="none"/>
                <w:lang w:val="en-US"/>
              </w:rPr>
              <w:t>等</w:t>
            </w:r>
            <w:r>
              <w:rPr>
                <w:rFonts w:hint="eastAsia" w:ascii="宋体" w:hAnsi="宋体" w:eastAsia="宋体" w:cs="宋体"/>
                <w:b/>
                <w:bCs w:val="0"/>
                <w:sz w:val="24"/>
                <w:highlight w:val="none"/>
                <w:lang w:val="en-US" w:eastAsia="zh-CN"/>
              </w:rPr>
              <w:t>关键评审因素的，须另附业主单位</w:t>
            </w:r>
            <w:r>
              <w:rPr>
                <w:rFonts w:ascii="宋体" w:hAnsi="宋体" w:eastAsia="宋体"/>
                <w:b/>
                <w:bCs/>
                <w:color w:val="auto"/>
                <w:sz w:val="24"/>
                <w:highlight w:val="none"/>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highlight w:val="none"/>
                <w:lang w:val="en-US" w:eastAsia="zh-CN"/>
              </w:rPr>
              <w:t>。</w:t>
            </w:r>
          </w:p>
          <w:p w14:paraId="21533274">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highlight w:val="none"/>
              </w:rPr>
            </w:pPr>
            <w:r>
              <w:rPr>
                <w:rFonts w:hint="default" w:ascii="宋体" w:hAnsi="宋体" w:eastAsia="宋体"/>
                <w:b/>
                <w:bCs/>
                <w:sz w:val="24"/>
                <w:highlight w:val="none"/>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highlight w:val="none"/>
                <w:lang w:val="en-US"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29AA1AD1">
            <w:pPr>
              <w:spacing w:line="360" w:lineRule="auto"/>
              <w:jc w:val="center"/>
              <w:rPr>
                <w:rFonts w:hint="eastAsia" w:ascii="宋体" w:hAnsi="宋体" w:eastAsia="宋体" w:cs="宋体"/>
                <w:b/>
                <w:bCs/>
                <w:sz w:val="24"/>
                <w:highlight w:val="none"/>
              </w:rPr>
            </w:pPr>
            <w:r>
              <w:rPr>
                <w:rFonts w:hint="eastAsia" w:ascii="宋体" w:hAnsi="宋体" w:eastAsia="宋体" w:cs="宋体"/>
                <w:b w:val="0"/>
                <w:bCs/>
                <w:kern w:val="2"/>
                <w:sz w:val="24"/>
                <w:highlight w:val="none"/>
                <w:lang w:val="en-US" w:eastAsia="zh-CN" w:bidi="ar-SA"/>
              </w:rPr>
              <w:t>0-18分</w:t>
            </w:r>
          </w:p>
        </w:tc>
      </w:tr>
      <w:tr w14:paraId="3F9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1224FBB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价格分</w:t>
            </w:r>
          </w:p>
          <w:p w14:paraId="181574AA">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3792FBFB">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价格分统一采用低价优先法，即满足</w:t>
            </w:r>
            <w:r>
              <w:rPr>
                <w:rFonts w:hint="eastAsia" w:ascii="宋体" w:hAnsi="宋体" w:cs="宋体"/>
                <w:sz w:val="24"/>
                <w:highlight w:val="none"/>
                <w:lang w:val="en-US" w:eastAsia="zh-CN"/>
              </w:rPr>
              <w:t>招标</w:t>
            </w:r>
            <w:r>
              <w:rPr>
                <w:rFonts w:hint="eastAsia" w:ascii="宋体" w:hAnsi="宋体" w:eastAsia="宋体" w:cs="宋体"/>
                <w:sz w:val="24"/>
                <w:highlight w:val="none"/>
              </w:rPr>
              <w:t>文件要求且价格最低的最后报价为评标基准价，其价格分为满分</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分。其他投标人的价格分统一按照下列公式计算：</w:t>
            </w:r>
          </w:p>
          <w:p w14:paraId="612C9AEE">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最后报价得分＝（评标基准价/最后报价）×</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％×100</w:t>
            </w:r>
          </w:p>
        </w:tc>
      </w:tr>
    </w:tbl>
    <w:p w14:paraId="713B164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2.2.3分值汇总</w:t>
      </w:r>
    </w:p>
    <w:p w14:paraId="33E90E25">
      <w:pPr>
        <w:spacing w:line="360" w:lineRule="auto"/>
        <w:ind w:firstLine="435"/>
        <w:rPr>
          <w:rFonts w:hint="eastAsia" w:ascii="宋体" w:hAnsi="宋体" w:eastAsia="宋体" w:cs="宋体"/>
          <w:b/>
          <w:bCs/>
          <w:color w:val="FF0000"/>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评标小组</w:t>
      </w:r>
      <w:r>
        <w:rPr>
          <w:rFonts w:hint="eastAsia" w:ascii="宋体" w:hAnsi="宋体" w:eastAsia="宋体" w:cs="宋体"/>
          <w:sz w:val="24"/>
          <w:highlight w:val="none"/>
        </w:rPr>
        <w:t>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5C542BB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（2）将每个投标人的技术资信分加上根据上述标准计算出的价格分，即为该投标人的综合总得分。</w:t>
      </w:r>
    </w:p>
    <w:p w14:paraId="746E3FE8">
      <w:pPr>
        <w:pStyle w:val="40"/>
        <w:rPr>
          <w:rFonts w:hint="default" w:ascii="Times New Roman" w:hAnsi="Times New Roman" w:cs="Times New Roman"/>
          <w:color w:val="auto"/>
          <w:highlight w:val="none"/>
        </w:rPr>
      </w:pPr>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7ADA8CF0">
      <w:pPr>
        <w:pStyle w:val="30"/>
        <w:ind w:left="0" w:leftChars="0" w:firstLine="0" w:firstLineChars="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40"/>
        <w:rPr>
          <w:rFonts w:hint="default" w:ascii="Times New Roman" w:hAnsi="Times New Roman" w:cs="Times New Roman"/>
          <w:color w:val="auto"/>
          <w:highlight w:val="none"/>
        </w:rPr>
      </w:pPr>
    </w:p>
    <w:bookmarkEnd w:id="29"/>
    <w:bookmarkEnd w:id="30"/>
    <w:p w14:paraId="2013ADA6">
      <w:pPr>
        <w:pStyle w:val="40"/>
        <w:rPr>
          <w:rFonts w:hint="default" w:ascii="Times New Roman" w:hAnsi="Times New Roman" w:cs="Times New Roman"/>
          <w:color w:val="auto"/>
          <w:highlight w:val="none"/>
        </w:rPr>
      </w:pPr>
      <w:bookmarkStart w:id="31" w:name="_Toc29760"/>
      <w:bookmarkStart w:id="32" w:name="_Toc10441"/>
    </w:p>
    <w:p w14:paraId="16783C99">
      <w:pPr>
        <w:rPr>
          <w:rFonts w:hint="default" w:ascii="Times New Roman" w:hAnsi="Times New Roman" w:cs="Times New Roman"/>
          <w:b/>
          <w:color w:val="auto"/>
          <w:sz w:val="28"/>
          <w:highlight w:val="none"/>
        </w:rPr>
      </w:pPr>
    </w:p>
    <w:p w14:paraId="0CEFA35E">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p>
    <w:p w14:paraId="16F14706">
      <w:pPr>
        <w:spacing w:line="360" w:lineRule="auto"/>
        <w:rPr>
          <w:rFonts w:hint="default" w:ascii="Times New Roman" w:hAnsi="Times New Roman" w:cs="Times New Roman"/>
          <w:color w:val="auto"/>
          <w:szCs w:val="21"/>
          <w:highlight w:val="none"/>
          <w:lang w:bidi="ar"/>
        </w:rPr>
      </w:pPr>
    </w:p>
    <w:p w14:paraId="4D3E6D73">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2B9740EF">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2B470CF7">
      <w:pPr>
        <w:spacing w:line="480" w:lineRule="auto"/>
        <w:jc w:val="center"/>
        <w:rPr>
          <w:rFonts w:hint="default" w:ascii="Times New Roman" w:hAnsi="Times New Roman" w:cs="Times New Roman"/>
          <w:b/>
          <w:color w:val="auto"/>
          <w:sz w:val="24"/>
          <w:highlight w:val="none"/>
        </w:rPr>
      </w:pPr>
    </w:p>
    <w:p w14:paraId="760B474D">
      <w:pPr>
        <w:spacing w:line="480" w:lineRule="auto"/>
        <w:jc w:val="center"/>
        <w:rPr>
          <w:rFonts w:hint="default" w:ascii="Times New Roman" w:hAnsi="Times New Roman" w:cs="Times New Roman"/>
          <w:b/>
          <w:color w:val="auto"/>
          <w:sz w:val="24"/>
          <w:highlight w:val="none"/>
        </w:rPr>
      </w:pPr>
    </w:p>
    <w:p w14:paraId="5A5878F0">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618AC8A4">
      <w:pPr>
        <w:spacing w:line="480" w:lineRule="auto"/>
        <w:rPr>
          <w:rFonts w:hint="default" w:ascii="Times New Roman" w:hAnsi="Times New Roman" w:cs="Times New Roman"/>
          <w:b/>
          <w:color w:val="auto"/>
          <w:sz w:val="24"/>
          <w:highlight w:val="none"/>
        </w:rPr>
      </w:pPr>
    </w:p>
    <w:p w14:paraId="2ACE247F">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包河区中小学体艺中心2026年度保险采购项目</w:t>
      </w:r>
      <w:r>
        <w:rPr>
          <w:rFonts w:hint="default" w:ascii="Times New Roman" w:hAnsi="Times New Roman" w:cs="Times New Roman"/>
          <w:color w:val="auto"/>
          <w:sz w:val="24"/>
          <w:highlight w:val="none"/>
          <w:u w:val="single"/>
        </w:rPr>
        <w:t xml:space="preserve"> </w:t>
      </w:r>
    </w:p>
    <w:p w14:paraId="48D82CDC">
      <w:pPr>
        <w:spacing w:before="120" w:line="480" w:lineRule="auto"/>
        <w:ind w:left="960"/>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BHSG-ZTB-2026-09</w:t>
      </w:r>
    </w:p>
    <w:p w14:paraId="3E8195D6">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4E93E76A">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4373E32F">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69876760">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7CBA08E">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D20960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5AB28CF4">
      <w:pPr>
        <w:spacing w:line="360" w:lineRule="auto"/>
        <w:ind w:firstLine="437"/>
        <w:outlineLvl w:val="3"/>
        <w:rPr>
          <w:rFonts w:hint="default" w:ascii="Times New Roman" w:hAnsi="Times New Roman" w:cs="Times New Roman"/>
          <w:b/>
          <w:bCs/>
          <w:color w:val="auto"/>
          <w:sz w:val="24"/>
          <w:highlight w:val="none"/>
          <w:lang w:val="zh-CN"/>
        </w:rPr>
      </w:pPr>
      <w:bookmarkStart w:id="33" w:name="_Toc24059"/>
      <w:bookmarkStart w:id="34" w:name="_Toc2232"/>
      <w:bookmarkStart w:id="35" w:name="_Toc3029"/>
      <w:r>
        <w:rPr>
          <w:rFonts w:hint="default" w:ascii="Times New Roman" w:hAnsi="Times New Roman" w:cs="Times New Roman"/>
          <w:b/>
          <w:bCs/>
          <w:color w:val="auto"/>
          <w:sz w:val="24"/>
          <w:highlight w:val="none"/>
          <w:lang w:val="zh-CN"/>
        </w:rPr>
        <w:t>1.1 合同组成部分</w:t>
      </w:r>
      <w:bookmarkEnd w:id="33"/>
      <w:bookmarkEnd w:id="34"/>
      <w:bookmarkEnd w:id="35"/>
    </w:p>
    <w:p w14:paraId="06BE9C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6FB564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E135450">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571952D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547418A6">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0AE8DF0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77A22E2A">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6" w:name="_Toc21295"/>
      <w:bookmarkStart w:id="37" w:name="_Toc24300"/>
      <w:bookmarkStart w:id="38" w:name="_Toc27126"/>
      <w:r>
        <w:rPr>
          <w:rFonts w:hint="default" w:ascii="Times New Roman" w:hAnsi="Times New Roman" w:cs="Times New Roman"/>
          <w:b/>
          <w:bCs/>
          <w:color w:val="auto"/>
          <w:sz w:val="24"/>
          <w:highlight w:val="none"/>
          <w:lang w:val="zh-CN"/>
        </w:rPr>
        <w:t xml:space="preserve">1.2 </w:t>
      </w:r>
      <w:bookmarkEnd w:id="36"/>
      <w:bookmarkEnd w:id="37"/>
      <w:bookmarkEnd w:id="38"/>
      <w:r>
        <w:rPr>
          <w:rFonts w:hint="eastAsia" w:ascii="Times New Roman" w:hAnsi="Times New Roman" w:cs="Times New Roman"/>
          <w:b/>
          <w:bCs/>
          <w:color w:val="auto"/>
          <w:sz w:val="24"/>
          <w:highlight w:val="none"/>
          <w:lang w:val="en-US" w:eastAsia="zh-CN"/>
        </w:rPr>
        <w:t>服务</w:t>
      </w:r>
    </w:p>
    <w:p w14:paraId="29DD0696">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9" w:name="_Toc23292"/>
      <w:bookmarkStart w:id="40" w:name="_Toc21551"/>
      <w:bookmarkStart w:id="41" w:name="_Toc21631"/>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cs="Times New Roman"/>
          <w:color w:val="auto"/>
          <w:sz w:val="24"/>
          <w:highlight w:val="none"/>
          <w:u w:val="single"/>
          <w:lang w:val="en-US" w:eastAsia="zh-CN"/>
        </w:rPr>
        <w:t>包河区中小学体艺中心2026年度保险采购项目</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3A2D5FEB">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p>
    <w:tbl>
      <w:tblPr>
        <w:tblStyle w:val="42"/>
        <w:tblW w:w="8038"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2976"/>
        <w:gridCol w:w="1275"/>
        <w:gridCol w:w="1911"/>
      </w:tblGrid>
      <w:tr w14:paraId="5DA9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52D066D0">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保险责任</w:t>
            </w:r>
          </w:p>
        </w:tc>
        <w:tc>
          <w:tcPr>
            <w:tcW w:w="2976" w:type="dxa"/>
            <w:vAlign w:val="center"/>
          </w:tcPr>
          <w:p w14:paraId="14105A0B">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保障金额</w:t>
            </w:r>
          </w:p>
        </w:tc>
        <w:tc>
          <w:tcPr>
            <w:tcW w:w="1275" w:type="dxa"/>
            <w:vAlign w:val="center"/>
          </w:tcPr>
          <w:p w14:paraId="22E22F28">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合作期限</w:t>
            </w:r>
          </w:p>
        </w:tc>
        <w:tc>
          <w:tcPr>
            <w:tcW w:w="1911" w:type="dxa"/>
            <w:vAlign w:val="center"/>
          </w:tcPr>
          <w:p w14:paraId="0D060CFB">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说明</w:t>
            </w:r>
          </w:p>
        </w:tc>
      </w:tr>
      <w:tr w14:paraId="708F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1E736658">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意外伤害身故</w:t>
            </w:r>
          </w:p>
        </w:tc>
        <w:tc>
          <w:tcPr>
            <w:tcW w:w="2976" w:type="dxa"/>
            <w:vAlign w:val="center"/>
          </w:tcPr>
          <w:p w14:paraId="6D1308C9">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restart"/>
            <w:vAlign w:val="center"/>
          </w:tcPr>
          <w:p w14:paraId="3CA58805">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一年</w:t>
            </w:r>
          </w:p>
        </w:tc>
        <w:tc>
          <w:tcPr>
            <w:tcW w:w="1911" w:type="dxa"/>
            <w:vMerge w:val="restart"/>
            <w:vAlign w:val="center"/>
          </w:tcPr>
          <w:p w14:paraId="1D8AE5D6">
            <w:pPr>
              <w:pStyle w:val="11"/>
              <w:keepNext w:val="0"/>
              <w:keepLines w:val="0"/>
              <w:pageBreakBefore w:val="0"/>
              <w:numPr>
                <w:ilvl w:val="0"/>
                <w:numId w:val="0"/>
              </w:numPr>
              <w:kinsoku/>
              <w:wordWrap/>
              <w:overflowPunct/>
              <w:topLinePunct w:val="0"/>
              <w:bidi w:val="0"/>
              <w:snapToGrid/>
              <w:spacing w:line="360" w:lineRule="auto"/>
              <w:jc w:val="both"/>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kern w:val="0"/>
                <w:sz w:val="24"/>
                <w:szCs w:val="20"/>
                <w:highlight w:val="none"/>
                <w:vertAlign w:val="baseline"/>
                <w:lang w:val="en-US" w:eastAsia="zh-CN" w:bidi="ar-SA"/>
              </w:rPr>
              <w:t>1.</w:t>
            </w:r>
            <w:r>
              <w:rPr>
                <w:rFonts w:hint="eastAsia" w:asciiTheme="minorEastAsia" w:hAnsiTheme="minorEastAsia" w:eastAsiaTheme="minorEastAsia" w:cstheme="minorEastAsia"/>
                <w:b w:val="0"/>
                <w:bCs w:val="0"/>
                <w:szCs w:val="20"/>
                <w:highlight w:val="none"/>
                <w:vertAlign w:val="baseline"/>
                <w:lang w:val="en-US" w:eastAsia="zh-CN"/>
              </w:rPr>
              <w:t>意外伤害残疾评残标准为新行标1-10级别。</w:t>
            </w:r>
          </w:p>
          <w:p w14:paraId="0E81C83C">
            <w:pPr>
              <w:pStyle w:val="11"/>
              <w:keepNext w:val="0"/>
              <w:keepLines w:val="0"/>
              <w:pageBreakBefore w:val="0"/>
              <w:numPr>
                <w:ilvl w:val="0"/>
                <w:numId w:val="0"/>
              </w:numPr>
              <w:kinsoku/>
              <w:wordWrap/>
              <w:overflowPunct/>
              <w:topLinePunct w:val="0"/>
              <w:bidi w:val="0"/>
              <w:snapToGrid/>
              <w:spacing w:line="360" w:lineRule="auto"/>
              <w:jc w:val="both"/>
              <w:rPr>
                <w:rFonts w:hint="default" w:asciiTheme="minorEastAsia" w:hAnsiTheme="minorEastAsia" w:eastAsiaTheme="minorEastAsia" w:cstheme="minorEastAsia"/>
                <w:b w:val="0"/>
                <w:bCs w:val="0"/>
                <w:szCs w:val="20"/>
                <w:highlight w:val="none"/>
                <w:vertAlign w:val="baseline"/>
                <w:lang w:val="en-US" w:eastAsia="zh-CN"/>
              </w:rPr>
            </w:pPr>
            <w:r>
              <w:rPr>
                <w:rFonts w:hint="default" w:asciiTheme="minorEastAsia" w:hAnsiTheme="minorEastAsia" w:eastAsiaTheme="minorEastAsia" w:cstheme="minorEastAsia"/>
                <w:b w:val="0"/>
                <w:bCs w:val="0"/>
                <w:kern w:val="0"/>
                <w:sz w:val="24"/>
                <w:szCs w:val="20"/>
                <w:highlight w:val="none"/>
                <w:vertAlign w:val="baseline"/>
                <w:lang w:val="en-US" w:eastAsia="zh-CN" w:bidi="ar-SA"/>
              </w:rPr>
              <w:t>2.</w:t>
            </w:r>
            <w:r>
              <w:rPr>
                <w:rFonts w:hint="eastAsia" w:asciiTheme="minorEastAsia" w:hAnsiTheme="minorEastAsia" w:eastAsiaTheme="minorEastAsia" w:cstheme="minorEastAsia"/>
                <w:b w:val="0"/>
                <w:bCs w:val="0"/>
                <w:szCs w:val="20"/>
                <w:highlight w:val="none"/>
                <w:vertAlign w:val="baseline"/>
                <w:lang w:val="en-US" w:eastAsia="zh-CN"/>
              </w:rPr>
              <w:t>意外伤害医疗免赔100元，赔付比例90%，承担门诊、住院的合理医疗费用。</w:t>
            </w:r>
          </w:p>
        </w:tc>
      </w:tr>
      <w:tr w14:paraId="6C8F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572991F5">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猝死</w:t>
            </w:r>
          </w:p>
        </w:tc>
        <w:tc>
          <w:tcPr>
            <w:tcW w:w="2976" w:type="dxa"/>
            <w:vAlign w:val="center"/>
          </w:tcPr>
          <w:p w14:paraId="6A27F800">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692C8349">
            <w:pPr>
              <w:pStyle w:val="11"/>
              <w:keepNext w:val="0"/>
              <w:keepLines w:val="0"/>
              <w:pageBreakBefore w:val="0"/>
              <w:kinsoku/>
              <w:wordWrap/>
              <w:overflowPunct/>
              <w:topLinePunct w:val="0"/>
              <w:bidi w:val="0"/>
              <w:snapToGrid/>
              <w:spacing w:line="360" w:lineRule="auto"/>
              <w:jc w:val="both"/>
              <w:rPr>
                <w:rFonts w:hint="eastAsia" w:asciiTheme="minorEastAsia" w:hAnsiTheme="minorEastAsia" w:eastAsiaTheme="minorEastAsia" w:cstheme="minorEastAsia"/>
                <w:b w:val="0"/>
                <w:bCs w:val="0"/>
                <w:szCs w:val="20"/>
                <w:highlight w:val="none"/>
                <w:vertAlign w:val="baseline"/>
                <w:lang w:val="en-US" w:eastAsia="zh-CN"/>
              </w:rPr>
            </w:pPr>
          </w:p>
        </w:tc>
        <w:tc>
          <w:tcPr>
            <w:tcW w:w="1911" w:type="dxa"/>
            <w:vMerge w:val="continue"/>
            <w:vAlign w:val="center"/>
          </w:tcPr>
          <w:p w14:paraId="4D3E0F99">
            <w:pPr>
              <w:pStyle w:val="11"/>
              <w:keepNext w:val="0"/>
              <w:keepLines w:val="0"/>
              <w:pageBreakBefore w:val="0"/>
              <w:numPr>
                <w:ilvl w:val="0"/>
                <w:numId w:val="0"/>
              </w:numPr>
              <w:kinsoku/>
              <w:wordWrap/>
              <w:overflowPunct/>
              <w:topLinePunct w:val="0"/>
              <w:bidi w:val="0"/>
              <w:snapToGrid/>
              <w:spacing w:line="360" w:lineRule="auto"/>
              <w:jc w:val="both"/>
              <w:rPr>
                <w:rFonts w:hint="default" w:asciiTheme="minorEastAsia" w:hAnsiTheme="minorEastAsia" w:eastAsiaTheme="minorEastAsia" w:cstheme="minorEastAsia"/>
                <w:b w:val="0"/>
                <w:bCs w:val="0"/>
                <w:kern w:val="0"/>
                <w:sz w:val="24"/>
                <w:szCs w:val="20"/>
                <w:highlight w:val="none"/>
                <w:vertAlign w:val="baseline"/>
                <w:lang w:val="en-US" w:eastAsia="zh-CN" w:bidi="ar-SA"/>
              </w:rPr>
            </w:pPr>
          </w:p>
        </w:tc>
      </w:tr>
      <w:tr w14:paraId="7185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76" w:type="dxa"/>
            <w:vAlign w:val="center"/>
          </w:tcPr>
          <w:p w14:paraId="720434D3">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意外伤害残疾</w:t>
            </w:r>
          </w:p>
        </w:tc>
        <w:tc>
          <w:tcPr>
            <w:tcW w:w="2976" w:type="dxa"/>
            <w:vAlign w:val="center"/>
          </w:tcPr>
          <w:p w14:paraId="556B25C3">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29C50EE">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4FFE2CC9">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r w14:paraId="629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32343012">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意外医疗</w:t>
            </w:r>
          </w:p>
        </w:tc>
        <w:tc>
          <w:tcPr>
            <w:tcW w:w="2976" w:type="dxa"/>
            <w:vAlign w:val="center"/>
          </w:tcPr>
          <w:p w14:paraId="3A22DD90">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9C4FB4A">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53DC76AA">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r w14:paraId="5AEC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876" w:type="dxa"/>
            <w:vAlign w:val="center"/>
          </w:tcPr>
          <w:p w14:paraId="5EC029F1">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lang w:val="en-US" w:eastAsia="zh-CN"/>
              </w:rPr>
              <w:t>意外住院津贴</w:t>
            </w:r>
          </w:p>
        </w:tc>
        <w:tc>
          <w:tcPr>
            <w:tcW w:w="2976" w:type="dxa"/>
            <w:vAlign w:val="center"/>
          </w:tcPr>
          <w:p w14:paraId="5A88D5B8">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C9DB707">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26FCDA38">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bl>
    <w:p w14:paraId="3F4E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single"/>
          <w:lang w:val="en-US" w:eastAsia="zh-CN"/>
        </w:rPr>
        <w:t>合格</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7CCA5C88">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9"/>
      <w:bookmarkEnd w:id="40"/>
      <w:bookmarkEnd w:id="41"/>
    </w:p>
    <w:p w14:paraId="3C620BD8">
      <w:pPr>
        <w:spacing w:line="360" w:lineRule="auto"/>
        <w:ind w:firstLine="435"/>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本</w:t>
      </w:r>
      <w:r>
        <w:rPr>
          <w:rFonts w:hint="eastAsia" w:ascii="Times New Roman" w:hAnsi="Times New Roman" w:cs="Times New Roman"/>
          <w:color w:val="auto"/>
          <w:sz w:val="24"/>
          <w:highlight w:val="none"/>
          <w:lang w:val="en-US" w:eastAsia="zh-CN"/>
        </w:rPr>
        <w:t>项目暂定</w:t>
      </w:r>
      <w:r>
        <w:rPr>
          <w:rFonts w:hint="default" w:ascii="Times New Roman" w:hAnsi="Times New Roman" w:cs="Times New Roman"/>
          <w:color w:val="auto"/>
          <w:sz w:val="24"/>
          <w:highlight w:val="none"/>
        </w:rPr>
        <w:t>合同价为：￥</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122880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eastAsia" w:ascii="Times New Roman" w:hAnsi="Times New Roman" w:cs="Times New Roman"/>
          <w:color w:val="auto"/>
          <w:sz w:val="24"/>
          <w:highlight w:val="none"/>
          <w:u w:val="single"/>
          <w:lang w:val="en-US" w:eastAsia="zh-CN"/>
        </w:rPr>
        <w:t>壹拾贰万贰仟捌佰捌拾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val="en-US" w:eastAsia="zh-CN"/>
        </w:rPr>
        <w:t>结算时按照</w:t>
      </w:r>
      <w:r>
        <w:rPr>
          <w:rFonts w:hint="eastAsia" w:ascii="Times New Roman" w:hAnsi="Times New Roman" w:cs="Times New Roman"/>
          <w:color w:val="auto"/>
          <w:sz w:val="24"/>
          <w:highlight w:val="none"/>
          <w:lang w:val="en-US" w:eastAsia="zh-CN"/>
        </w:rPr>
        <w:t>经甲方确认的实际投保人数（人）、投保课时数（课时）及中标单价（xx元/人/课时）</w:t>
      </w:r>
      <w:r>
        <w:rPr>
          <w:rFonts w:hint="default" w:ascii="Times New Roman" w:hAnsi="Times New Roman" w:cs="Times New Roman"/>
          <w:color w:val="auto"/>
          <w:sz w:val="24"/>
          <w:highlight w:val="none"/>
          <w:lang w:val="en-US" w:eastAsia="zh-CN"/>
        </w:rPr>
        <w:t>据实结算</w:t>
      </w:r>
      <w:r>
        <w:rPr>
          <w:rFonts w:hint="eastAsia" w:ascii="Times New Roman" w:hAnsi="Times New Roman" w:cs="Times New Roman"/>
          <w:color w:val="auto"/>
          <w:sz w:val="24"/>
          <w:highlight w:val="none"/>
          <w:lang w:val="en-US" w:eastAsia="zh-CN"/>
        </w:rPr>
        <w:t>。</w:t>
      </w:r>
    </w:p>
    <w:p w14:paraId="303042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highlight w:val="none"/>
        </w:rPr>
      </w:pPr>
      <w:r>
        <w:rPr>
          <w:rFonts w:hint="eastAsia" w:ascii="宋体" w:hAnsi="宋体" w:eastAsia="宋体" w:cs="宋体"/>
          <w:color w:val="auto"/>
          <w:spacing w:val="0"/>
          <w:sz w:val="24"/>
          <w:szCs w:val="24"/>
          <w:highlight w:val="none"/>
          <w:lang w:val="en-US" w:eastAsia="en-US"/>
        </w:rPr>
        <w:t>本项目根据实际</w:t>
      </w:r>
      <w:r>
        <w:rPr>
          <w:rFonts w:hint="eastAsia" w:ascii="宋体" w:hAnsi="宋体" w:cs="宋体"/>
          <w:color w:val="auto"/>
          <w:spacing w:val="0"/>
          <w:sz w:val="24"/>
          <w:szCs w:val="24"/>
          <w:highlight w:val="none"/>
          <w:lang w:val="en-US" w:eastAsia="zh-CN"/>
        </w:rPr>
        <w:t>投保人数、投保课时数</w:t>
      </w:r>
      <w:r>
        <w:rPr>
          <w:rFonts w:hint="eastAsia" w:ascii="宋体" w:hAnsi="宋体" w:eastAsia="宋体" w:cs="宋体"/>
          <w:color w:val="auto"/>
          <w:spacing w:val="0"/>
          <w:sz w:val="24"/>
          <w:szCs w:val="24"/>
          <w:highlight w:val="none"/>
          <w:lang w:val="en-US" w:eastAsia="en-US"/>
        </w:rPr>
        <w:t>和乙方的</w:t>
      </w:r>
      <w:r>
        <w:rPr>
          <w:rFonts w:hint="eastAsia" w:ascii="宋体" w:hAnsi="宋体" w:cs="宋体"/>
          <w:color w:val="auto"/>
          <w:spacing w:val="0"/>
          <w:sz w:val="24"/>
          <w:szCs w:val="24"/>
          <w:highlight w:val="none"/>
          <w:lang w:val="en-US" w:eastAsia="zh-CN"/>
        </w:rPr>
        <w:t>中标单价</w:t>
      </w:r>
      <w:r>
        <w:rPr>
          <w:rFonts w:hint="eastAsia" w:ascii="宋体" w:hAnsi="宋体" w:eastAsia="宋体" w:cs="宋体"/>
          <w:color w:val="auto"/>
          <w:spacing w:val="0"/>
          <w:sz w:val="24"/>
          <w:szCs w:val="24"/>
          <w:highlight w:val="none"/>
          <w:lang w:val="en-US" w:eastAsia="en-US"/>
        </w:rPr>
        <w:t>据实结算，甲方不保证实际最低结算金额，最终结算费用不超过本项目</w:t>
      </w:r>
      <w:r>
        <w:rPr>
          <w:rFonts w:hint="eastAsia" w:ascii="宋体" w:hAnsi="宋体" w:cs="宋体"/>
          <w:color w:val="auto"/>
          <w:spacing w:val="0"/>
          <w:sz w:val="24"/>
          <w:szCs w:val="24"/>
          <w:highlight w:val="none"/>
          <w:lang w:val="en-US" w:eastAsia="zh-CN"/>
        </w:rPr>
        <w:t>暂定合同价</w:t>
      </w:r>
      <w:r>
        <w:rPr>
          <w:rFonts w:hint="eastAsia" w:ascii="宋体" w:hAnsi="宋体" w:cs="宋体"/>
          <w:color w:val="auto"/>
          <w:spacing w:val="0"/>
          <w:sz w:val="24"/>
          <w:szCs w:val="24"/>
          <w:highlight w:val="none"/>
          <w:u w:val="single"/>
          <w:lang w:val="en-US" w:eastAsia="zh-CN"/>
        </w:rPr>
        <w:t>122880</w:t>
      </w:r>
      <w:r>
        <w:rPr>
          <w:rFonts w:hint="eastAsia" w:ascii="宋体" w:hAnsi="宋体" w:eastAsia="宋体" w:cs="宋体"/>
          <w:color w:val="auto"/>
          <w:spacing w:val="0"/>
          <w:sz w:val="24"/>
          <w:szCs w:val="24"/>
          <w:highlight w:val="none"/>
          <w:u w:val="single"/>
          <w:lang w:val="en-US" w:eastAsia="en-US"/>
        </w:rPr>
        <w:t>元</w:t>
      </w:r>
      <w:r>
        <w:rPr>
          <w:rFonts w:hint="eastAsia" w:ascii="宋体" w:hAnsi="宋体" w:eastAsia="宋体" w:cs="宋体"/>
          <w:color w:val="auto"/>
          <w:spacing w:val="0"/>
          <w:sz w:val="24"/>
          <w:szCs w:val="24"/>
          <w:highlight w:val="none"/>
          <w:lang w:val="en-US" w:eastAsia="en-US"/>
        </w:rPr>
        <w:t>。</w:t>
      </w:r>
    </w:p>
    <w:p w14:paraId="78D0E9AB">
      <w:pPr>
        <w:spacing w:line="360" w:lineRule="auto"/>
        <w:ind w:firstLine="437"/>
        <w:outlineLvl w:val="3"/>
        <w:rPr>
          <w:rFonts w:hint="default" w:ascii="Times New Roman" w:hAnsi="Times New Roman" w:cs="Times New Roman"/>
          <w:b/>
          <w:bCs/>
          <w:color w:val="auto"/>
          <w:sz w:val="24"/>
          <w:highlight w:val="none"/>
          <w:lang w:val="zh-CN"/>
        </w:rPr>
      </w:pPr>
      <w:bookmarkStart w:id="42" w:name="_Toc22618"/>
      <w:bookmarkStart w:id="43" w:name="_Toc1814"/>
      <w:bookmarkStart w:id="44" w:name="_Toc10340"/>
      <w:r>
        <w:rPr>
          <w:rFonts w:hint="default" w:ascii="Times New Roman" w:hAnsi="Times New Roman" w:cs="Times New Roman"/>
          <w:b/>
          <w:bCs/>
          <w:color w:val="auto"/>
          <w:sz w:val="24"/>
          <w:highlight w:val="none"/>
          <w:lang w:val="zh-CN"/>
        </w:rPr>
        <w:t>1.4 付款和发票</w:t>
      </w:r>
      <w:bookmarkEnd w:id="42"/>
      <w:bookmarkEnd w:id="43"/>
      <w:bookmarkEnd w:id="44"/>
    </w:p>
    <w:p w14:paraId="554331E3">
      <w:pPr>
        <w:spacing w:line="360" w:lineRule="auto"/>
        <w:ind w:firstLine="435"/>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lang w:val="en-US" w:eastAsia="zh-CN"/>
        </w:rPr>
        <w:t>费用按学期据实结算</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当本学期履约完成且</w:t>
      </w:r>
      <w:r>
        <w:rPr>
          <w:rFonts w:hint="default" w:ascii="Times New Roman" w:hAnsi="Times New Roman" w:cs="Times New Roman"/>
          <w:color w:val="auto"/>
          <w:sz w:val="24"/>
          <w:highlight w:val="none"/>
          <w:u w:val="single"/>
        </w:rPr>
        <w:t>对应保险保单生效</w:t>
      </w:r>
      <w:r>
        <w:rPr>
          <w:rFonts w:hint="default" w:ascii="Times New Roman" w:hAnsi="Times New Roman" w:cs="Times New Roman"/>
          <w:color w:val="auto"/>
          <w:sz w:val="24"/>
          <w:highlight w:val="none"/>
          <w:u w:val="single"/>
          <w:lang w:val="en-US" w:eastAsia="zh-CN"/>
        </w:rPr>
        <w:t>，在下学期首月结束前，由</w:t>
      </w:r>
      <w:r>
        <w:rPr>
          <w:rFonts w:hint="eastAsia" w:ascii="Times New Roman" w:hAnsi="Times New Roman" w:cs="Times New Roman"/>
          <w:color w:val="auto"/>
          <w:sz w:val="24"/>
          <w:highlight w:val="none"/>
          <w:u w:val="single"/>
          <w:lang w:val="en-US" w:eastAsia="zh-CN"/>
        </w:rPr>
        <w:t>乙方</w:t>
      </w:r>
      <w:r>
        <w:rPr>
          <w:rFonts w:hint="default" w:ascii="Times New Roman" w:hAnsi="Times New Roman" w:cs="Times New Roman"/>
          <w:color w:val="auto"/>
          <w:sz w:val="24"/>
          <w:highlight w:val="none"/>
          <w:u w:val="single"/>
          <w:lang w:val="en-US" w:eastAsia="zh-CN"/>
        </w:rPr>
        <w:t>发出请款申请，</w:t>
      </w:r>
      <w:r>
        <w:rPr>
          <w:rFonts w:hint="eastAsia" w:ascii="Times New Roman" w:hAnsi="Times New Roman" w:cs="Times New Roman"/>
          <w:color w:val="auto"/>
          <w:sz w:val="24"/>
          <w:highlight w:val="none"/>
          <w:u w:val="single"/>
          <w:lang w:val="en-US" w:eastAsia="zh-CN"/>
        </w:rPr>
        <w:t>甲方</w:t>
      </w:r>
      <w:r>
        <w:rPr>
          <w:rFonts w:hint="default" w:ascii="Times New Roman" w:hAnsi="Times New Roman" w:cs="Times New Roman"/>
          <w:color w:val="auto"/>
          <w:sz w:val="24"/>
          <w:highlight w:val="none"/>
          <w:u w:val="single"/>
          <w:lang w:val="en-US" w:eastAsia="zh-CN"/>
        </w:rPr>
        <w:t>按照本学期已确认的实际投保人数、投保课时数及结算单价据实结算</w:t>
      </w:r>
      <w:r>
        <w:rPr>
          <w:rFonts w:hint="eastAsia" w:ascii="Times New Roman" w:hAnsi="Times New Roman" w:cs="Times New Roman"/>
          <w:color w:val="auto"/>
          <w:sz w:val="24"/>
          <w:highlight w:val="none"/>
          <w:u w:val="single"/>
          <w:lang w:val="en-US" w:eastAsia="zh-CN"/>
        </w:rPr>
        <w:t>；</w:t>
      </w:r>
    </w:p>
    <w:p w14:paraId="624A8B2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535ED43D">
      <w:pPr>
        <w:spacing w:line="360" w:lineRule="auto"/>
        <w:ind w:firstLine="437"/>
        <w:outlineLvl w:val="3"/>
        <w:rPr>
          <w:rFonts w:hint="default" w:ascii="Times New Roman" w:hAnsi="Times New Roman" w:cs="Times New Roman"/>
          <w:b/>
          <w:bCs/>
          <w:color w:val="auto"/>
          <w:sz w:val="24"/>
          <w:highlight w:val="none"/>
          <w:lang w:val="zh-CN"/>
        </w:rPr>
      </w:pPr>
      <w:bookmarkStart w:id="45" w:name="_Toc2846"/>
      <w:bookmarkStart w:id="46" w:name="_Toc32071"/>
      <w:bookmarkStart w:id="47" w:name="_Toc19304"/>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5"/>
      <w:bookmarkEnd w:id="46"/>
      <w:bookmarkEnd w:id="47"/>
    </w:p>
    <w:p w14:paraId="4DF126A2">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自合同签订之日起，有效期一年。（如合作期满，但项目所在学期尚未结束，可延续至该学期结束时终止</w:t>
      </w:r>
      <w:r>
        <w:rPr>
          <w:rFonts w:hint="default" w:ascii="Times New Roman" w:hAnsi="Times New Roman" w:cs="Times New Roman"/>
          <w:color w:val="auto"/>
          <w:sz w:val="24"/>
          <w:highlight w:val="none"/>
          <w:u w:val="single"/>
        </w:rPr>
        <w:t>。）</w:t>
      </w:r>
      <w:r>
        <w:rPr>
          <w:rFonts w:hint="default" w:ascii="Times New Roman" w:hAnsi="Times New Roman" w:cs="Times New Roman"/>
          <w:color w:val="auto"/>
          <w:sz w:val="24"/>
          <w:highlight w:val="none"/>
        </w:rPr>
        <w:t>；</w:t>
      </w:r>
    </w:p>
    <w:p w14:paraId="6FDB16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6829E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eastAsia" w:ascii="宋体" w:hAnsi="宋体" w:eastAsia="宋体" w:cs="宋体"/>
          <w:snapToGrid w:val="0"/>
          <w:color w:val="auto"/>
          <w:spacing w:val="0"/>
          <w:kern w:val="0"/>
          <w:sz w:val="24"/>
          <w:szCs w:val="24"/>
          <w:highlight w:val="none"/>
          <w:u w:val="single"/>
          <w:lang w:val="en-US" w:eastAsia="zh-CN" w:bidi="ar-SA"/>
        </w:rPr>
        <w:t>按招标文件规定提供服务</w:t>
      </w:r>
      <w:r>
        <w:rPr>
          <w:rFonts w:hint="eastAsia" w:ascii="宋体" w:hAnsi="宋体" w:cs="宋体"/>
          <w:snapToGrid w:val="0"/>
          <w:color w:val="auto"/>
          <w:spacing w:val="0"/>
          <w:kern w:val="0"/>
          <w:sz w:val="24"/>
          <w:szCs w:val="24"/>
          <w:highlight w:val="none"/>
          <w:u w:val="single"/>
          <w:lang w:val="en-US" w:eastAsia="zh-CN" w:bidi="ar-SA"/>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F407BAE">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8" w:name="_Toc21423"/>
      <w:bookmarkStart w:id="49" w:name="_Toc19554"/>
      <w:bookmarkStart w:id="50" w:name="_Toc27250"/>
      <w:r>
        <w:rPr>
          <w:rFonts w:hint="eastAsia" w:ascii="Times New Roman" w:hAnsi="Times New Roman" w:eastAsia="宋体" w:cs="Times New Roman"/>
          <w:b/>
          <w:bCs/>
          <w:color w:val="auto"/>
          <w:sz w:val="24"/>
          <w:highlight w:val="none"/>
          <w:lang w:val="en-US" w:eastAsia="zh-CN"/>
        </w:rPr>
        <w:t>1.6服务需求</w:t>
      </w:r>
    </w:p>
    <w:p w14:paraId="6B982A2F">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1.6.1</w:t>
      </w:r>
      <w:r>
        <w:rPr>
          <w:rFonts w:hint="eastAsia" w:ascii="宋体" w:hAnsi="宋体" w:eastAsia="宋体"/>
          <w:sz w:val="24"/>
          <w:szCs w:val="18"/>
          <w:highlight w:val="none"/>
          <w:lang w:val="en-US" w:eastAsia="zh-CN"/>
        </w:rPr>
        <w:t>成立专项服务小组。</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须为本项目配备不少于1名专门服务人员作为项目对接人，负责日常业务沟通、投保信息调整、理赔咨询等服务事项。</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应保证在接到</w:t>
      </w:r>
      <w:r>
        <w:rPr>
          <w:rFonts w:hint="eastAsia" w:ascii="宋体" w:hAnsi="宋体"/>
          <w:sz w:val="24"/>
          <w:szCs w:val="18"/>
          <w:highlight w:val="none"/>
          <w:lang w:val="en-US" w:eastAsia="zh-CN"/>
        </w:rPr>
        <w:t>甲方</w:t>
      </w:r>
      <w:r>
        <w:rPr>
          <w:rFonts w:hint="eastAsia" w:ascii="宋体" w:hAnsi="宋体" w:eastAsia="宋体"/>
          <w:sz w:val="24"/>
          <w:szCs w:val="18"/>
          <w:highlight w:val="none"/>
          <w:lang w:val="en-US" w:eastAsia="zh-CN"/>
        </w:rPr>
        <w:t>咨询或业务需求后1个工作日内给予明确回复，紧急事项应当及时响应并协助处理。</w:t>
      </w:r>
    </w:p>
    <w:p w14:paraId="73E153A9">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1.6.2</w:t>
      </w:r>
      <w:r>
        <w:rPr>
          <w:rFonts w:hint="eastAsia" w:ascii="宋体" w:hAnsi="宋体" w:eastAsia="宋体"/>
          <w:sz w:val="24"/>
          <w:szCs w:val="18"/>
          <w:highlight w:val="none"/>
          <w:lang w:val="en-US" w:eastAsia="zh-CN"/>
        </w:rPr>
        <w:t>坚持快速理赔。在理赔手续齐全后，</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应于承诺约定期限内</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无条件完成理赔全款全额支付</w:t>
      </w:r>
      <w:r>
        <w:rPr>
          <w:rFonts w:hint="eastAsia" w:ascii="宋体" w:hAnsi="宋体" w:eastAsia="宋体" w:cs="宋体"/>
          <w:sz w:val="24"/>
          <w:szCs w:val="24"/>
          <w:highlight w:val="none"/>
          <w:lang w:eastAsia="zh-CN"/>
        </w:rPr>
        <w:t>。若</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lang w:eastAsia="zh-CN"/>
        </w:rPr>
        <w:t>未在承诺约定时限内办结理赔付款，每发生一次逾期情形，</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lang w:eastAsia="zh-CN"/>
        </w:rPr>
        <w:t>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lang w:eastAsia="zh-CN"/>
        </w:rPr>
        <w:t>支付</w:t>
      </w:r>
      <w:r>
        <w:rPr>
          <w:rFonts w:hint="eastAsia" w:ascii="宋体" w:hAnsi="宋体" w:cs="宋体"/>
          <w:sz w:val="24"/>
          <w:szCs w:val="24"/>
          <w:highlight w:val="none"/>
          <w:lang w:val="en-US" w:eastAsia="zh-CN"/>
        </w:rPr>
        <w:t>200元的违约金</w:t>
      </w:r>
      <w:r>
        <w:rPr>
          <w:rFonts w:hint="eastAsia" w:ascii="宋体" w:hAnsi="宋体" w:eastAsia="宋体" w:cs="宋体"/>
          <w:sz w:val="24"/>
          <w:szCs w:val="24"/>
          <w:highlight w:val="none"/>
          <w:lang w:eastAsia="zh-CN"/>
        </w:rPr>
        <w:t>。</w:t>
      </w:r>
    </w:p>
    <w:p w14:paraId="75B2FCE3">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w:t>
      </w:r>
      <w:r>
        <w:rPr>
          <w:rFonts w:hint="eastAsia" w:ascii="Times New Roman" w:hAnsi="Times New Roman" w:cs="Times New Roman"/>
          <w:color w:val="auto"/>
          <w:sz w:val="24"/>
          <w:highlight w:val="none"/>
          <w:lang w:val="en-US" w:eastAsia="zh-CN"/>
        </w:rPr>
        <w:t>3</w:t>
      </w:r>
      <w:r>
        <w:rPr>
          <w:rFonts w:hint="eastAsia" w:ascii="宋体" w:hAnsi="宋体" w:eastAsia="宋体"/>
          <w:sz w:val="24"/>
          <w:szCs w:val="18"/>
          <w:highlight w:val="none"/>
          <w:lang w:val="en-US" w:eastAsia="zh-CN"/>
        </w:rPr>
        <w:t>课程根据学校安排分批次开展，保险根据实际开课时间段分批次购买。</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需要在接收到甲方提供的投保人信息后尽快完成系统录入并出具保单凭证，保证保单生效时间不得晚于课程实际开课时间。若出现保单生效时间迟于课程实际开课时间的情形，每发生</w:t>
      </w:r>
      <w:r>
        <w:rPr>
          <w:rFonts w:hint="eastAsia" w:ascii="宋体" w:hAnsi="宋体"/>
          <w:sz w:val="24"/>
          <w:szCs w:val="18"/>
          <w:highlight w:val="none"/>
          <w:lang w:val="en-US" w:eastAsia="zh-CN"/>
        </w:rPr>
        <w:t>一次</w:t>
      </w:r>
      <w:r>
        <w:rPr>
          <w:rFonts w:hint="eastAsia" w:ascii="宋体" w:hAnsi="宋体" w:eastAsia="宋体"/>
          <w:sz w:val="24"/>
          <w:szCs w:val="18"/>
          <w:highlight w:val="none"/>
          <w:lang w:val="en-US" w:eastAsia="zh-CN"/>
        </w:rPr>
        <w:t>，</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须向</w:t>
      </w:r>
      <w:r>
        <w:rPr>
          <w:rFonts w:hint="eastAsia" w:ascii="宋体" w:hAnsi="宋体"/>
          <w:sz w:val="24"/>
          <w:szCs w:val="18"/>
          <w:highlight w:val="none"/>
          <w:lang w:val="en-US" w:eastAsia="zh-CN"/>
        </w:rPr>
        <w:t>甲方支付200元的</w:t>
      </w:r>
      <w:r>
        <w:rPr>
          <w:rFonts w:hint="eastAsia" w:ascii="宋体" w:hAnsi="宋体" w:eastAsia="宋体"/>
          <w:sz w:val="24"/>
          <w:szCs w:val="18"/>
          <w:highlight w:val="none"/>
          <w:lang w:val="en-US" w:eastAsia="zh-CN"/>
        </w:rPr>
        <w:t>违约金</w:t>
      </w:r>
      <w:r>
        <w:rPr>
          <w:rFonts w:hint="eastAsia" w:ascii="宋体" w:hAnsi="宋体"/>
          <w:sz w:val="24"/>
          <w:szCs w:val="18"/>
          <w:highlight w:val="none"/>
          <w:lang w:val="en-US" w:eastAsia="zh-CN"/>
        </w:rPr>
        <w:t>，</w:t>
      </w:r>
      <w:r>
        <w:rPr>
          <w:rFonts w:ascii="宋体" w:hAnsi="宋体" w:eastAsia="宋体" w:cs="宋体"/>
          <w:sz w:val="24"/>
          <w:szCs w:val="24"/>
          <w:highlight w:val="none"/>
        </w:rPr>
        <w:t>同时承担由此引发的一切相关责任、损失</w:t>
      </w:r>
      <w:r>
        <w:rPr>
          <w:rFonts w:hint="eastAsia" w:ascii="宋体" w:hAnsi="宋体" w:eastAsia="宋体"/>
          <w:sz w:val="24"/>
          <w:szCs w:val="18"/>
          <w:highlight w:val="none"/>
          <w:lang w:val="en-US" w:eastAsia="zh-CN"/>
        </w:rPr>
        <w:t>。</w:t>
      </w:r>
      <w:r>
        <w:rPr>
          <w:rFonts w:ascii="宋体" w:hAnsi="宋体" w:eastAsia="宋体" w:cs="宋体"/>
          <w:sz w:val="24"/>
          <w:szCs w:val="24"/>
          <w:highlight w:val="none"/>
        </w:rPr>
        <w:t>同一情形累计发生三次以上的，</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有权解除合同并扣除履约保证金</w:t>
      </w:r>
      <w:r>
        <w:rPr>
          <w:rFonts w:hint="eastAsia" w:ascii="宋体" w:hAnsi="宋体" w:eastAsia="宋体" w:cs="宋体"/>
          <w:sz w:val="24"/>
          <w:szCs w:val="24"/>
          <w:highlight w:val="none"/>
          <w:lang w:eastAsia="zh-CN"/>
        </w:rPr>
        <w:t>。</w:t>
      </w:r>
    </w:p>
    <w:p w14:paraId="29457E35">
      <w:pPr>
        <w:spacing w:line="360" w:lineRule="auto"/>
        <w:ind w:firstLine="480" w:firstLineChars="200"/>
        <w:rPr>
          <w:rFonts w:hint="default" w:ascii="Times New Roman" w:hAnsi="Times New Roman" w:cs="Times New Roman"/>
          <w:b/>
          <w:bCs/>
          <w:color w:val="auto"/>
          <w:sz w:val="24"/>
          <w:highlight w:val="none"/>
          <w:lang w:val="zh-CN"/>
        </w:rPr>
      </w:pPr>
      <w:r>
        <w:rPr>
          <w:rFonts w:hint="eastAsia" w:ascii="Times New Roman" w:hAnsi="Times New Roman" w:eastAsia="宋体" w:cs="Times New Roman"/>
          <w:color w:val="auto"/>
          <w:sz w:val="24"/>
          <w:highlight w:val="none"/>
          <w:lang w:val="en-US" w:eastAsia="zh-CN"/>
        </w:rPr>
        <w:t>1.6.</w:t>
      </w:r>
      <w:r>
        <w:rPr>
          <w:rFonts w:hint="eastAsia" w:ascii="Times New Roman" w:hAnsi="Times New Roman" w:cs="Times New Roman"/>
          <w:color w:val="auto"/>
          <w:sz w:val="24"/>
          <w:highlight w:val="none"/>
          <w:lang w:val="en-US" w:eastAsia="zh-CN"/>
        </w:rPr>
        <w:t>4</w:t>
      </w:r>
      <w:r>
        <w:rPr>
          <w:rFonts w:hint="eastAsia" w:ascii="宋体" w:hAnsi="宋体" w:eastAsia="宋体"/>
          <w:sz w:val="24"/>
          <w:szCs w:val="18"/>
          <w:highlight w:val="none"/>
          <w:lang w:val="en-US" w:eastAsia="zh-CN"/>
        </w:rPr>
        <w:t>项目根据实际发生的投保人数、课时数及中标单价据实结算，甲方不保证实际最低结算金额，最终结算费用不超过本项目预算</w:t>
      </w:r>
      <w:r>
        <w:rPr>
          <w:rFonts w:hint="eastAsia" w:ascii="宋体" w:hAnsi="宋体"/>
          <w:sz w:val="24"/>
          <w:szCs w:val="18"/>
          <w:highlight w:val="none"/>
          <w:lang w:val="en-US" w:eastAsia="zh-CN"/>
        </w:rPr>
        <w:t>12.2880</w:t>
      </w:r>
      <w:r>
        <w:rPr>
          <w:rFonts w:hint="eastAsia" w:ascii="宋体" w:hAnsi="宋体" w:eastAsia="宋体"/>
          <w:sz w:val="24"/>
          <w:szCs w:val="18"/>
          <w:highlight w:val="none"/>
          <w:lang w:val="en-US" w:eastAsia="zh-CN"/>
        </w:rPr>
        <w:t>万元。</w:t>
      </w:r>
    </w:p>
    <w:p w14:paraId="25851126">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1.6 违约责任</w:t>
      </w:r>
      <w:bookmarkEnd w:id="48"/>
      <w:bookmarkEnd w:id="49"/>
      <w:bookmarkEnd w:id="50"/>
    </w:p>
    <w:p w14:paraId="7B002528">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rPr>
        <w:t>1.6.1</w:t>
      </w:r>
      <w:r>
        <w:rPr>
          <w:rFonts w:hint="eastAsia" w:ascii="Times New Roman" w:hAnsi="Times New Roman" w:eastAsia="宋体" w:cs="Times New Roman"/>
          <w:strike w:val="0"/>
          <w:dstrike w:val="0"/>
          <w:color w:val="auto"/>
          <w:sz w:val="24"/>
          <w:highlight w:val="none"/>
          <w:lang w:val="en-US" w:eastAsia="en-US"/>
        </w:rPr>
        <w:t>除不可抗力外，如果乙方没有按照本合同约定的期限、地点和方式履行，那么甲方可要求乙方支付违约金，违约金按每迟延履行一日的应提供而未提供服务价格的</w:t>
      </w:r>
      <w:r>
        <w:rPr>
          <w:rFonts w:hint="eastAsia" w:ascii="Times New Roman" w:hAnsi="Times New Roman" w:eastAsia="宋体" w:cs="Times New Roman"/>
          <w:strike w:val="0"/>
          <w:dstrike w:val="0"/>
          <w:color w:val="auto"/>
          <w:sz w:val="24"/>
          <w:highlight w:val="none"/>
          <w:u w:val="single"/>
          <w:lang w:val="en-US" w:eastAsia="en-US"/>
        </w:rPr>
        <w:t xml:space="preserve"> 1 %</w:t>
      </w:r>
      <w:r>
        <w:rPr>
          <w:rFonts w:hint="eastAsia" w:ascii="Times New Roman" w:hAnsi="Times New Roman" w:eastAsia="宋体" w:cs="Times New Roman"/>
          <w:strike w:val="0"/>
          <w:dstrike w:val="0"/>
          <w:color w:val="auto"/>
          <w:sz w:val="24"/>
          <w:highlight w:val="none"/>
          <w:lang w:val="en-US" w:eastAsia="en-US"/>
        </w:rPr>
        <w:t>计算，最高限额为本合同总价的</w:t>
      </w:r>
      <w:r>
        <w:rPr>
          <w:rFonts w:hint="eastAsia" w:ascii="Times New Roman" w:hAnsi="Times New Roman" w:eastAsia="宋体" w:cs="Times New Roman"/>
          <w:strike w:val="0"/>
          <w:dstrike w:val="0"/>
          <w:color w:val="auto"/>
          <w:sz w:val="24"/>
          <w:highlight w:val="none"/>
          <w:u w:val="single"/>
          <w:lang w:val="en-US" w:eastAsia="en-US"/>
        </w:rPr>
        <w:t xml:space="preserve"> 5 %</w:t>
      </w:r>
      <w:r>
        <w:rPr>
          <w:rFonts w:hint="eastAsia" w:ascii="Times New Roman" w:hAnsi="Times New Roman" w:eastAsia="宋体" w:cs="Times New Roman"/>
          <w:strike w:val="0"/>
          <w:dstrike w:val="0"/>
          <w:color w:val="auto"/>
          <w:sz w:val="24"/>
          <w:highlight w:val="none"/>
          <w:lang w:val="en-US" w:eastAsia="en-US"/>
        </w:rPr>
        <w:t>；迟延履行的违约金计算数额达到前述最高限额之日起，甲方有权在要求乙方支付违约金的同时，书面通知乙方解除本合同；</w:t>
      </w:r>
    </w:p>
    <w:p w14:paraId="2E099568">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1.6.2</w:t>
      </w:r>
      <w:r>
        <w:rPr>
          <w:rFonts w:hint="eastAsia" w:ascii="Times New Roman" w:hAnsi="Times New Roman" w:eastAsia="宋体" w:cs="Times New Roman"/>
          <w:strike w:val="0"/>
          <w:dstrike w:val="0"/>
          <w:color w:val="auto"/>
          <w:sz w:val="24"/>
          <w:highlight w:val="none"/>
          <w:lang w:val="en-US" w:eastAsia="en-US"/>
        </w:rPr>
        <w:t>除不可抗力外，如果甲方没有按照本合同约定的付款方式付款，那么乙方可要求甲方支付违约金，违约金按每迟延付款一日的应付而未付款的</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1</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w:t>
      </w:r>
      <w:r>
        <w:rPr>
          <w:rFonts w:hint="eastAsia" w:ascii="Times New Roman" w:hAnsi="Times New Roman" w:eastAsia="宋体" w:cs="Times New Roman"/>
          <w:strike w:val="0"/>
          <w:dstrike w:val="0"/>
          <w:color w:val="auto"/>
          <w:sz w:val="24"/>
          <w:highlight w:val="none"/>
          <w:lang w:val="en-US" w:eastAsia="en-US"/>
        </w:rPr>
        <w:t>计算，最高限额为本合同总价的</w:t>
      </w:r>
      <w:r>
        <w:rPr>
          <w:rFonts w:hint="eastAsia" w:ascii="Times New Roman" w:hAnsi="Times New Roman" w:eastAsia="宋体" w:cs="Times New Roman"/>
          <w:strike w:val="0"/>
          <w:dstrike w:val="0"/>
          <w:color w:val="auto"/>
          <w:sz w:val="24"/>
          <w:highlight w:val="none"/>
          <w:u w:val="single"/>
          <w:lang w:val="en-US" w:eastAsia="en-US"/>
        </w:rPr>
        <w:t xml:space="preserve"> </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5</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w:t>
      </w:r>
      <w:r>
        <w:rPr>
          <w:rFonts w:hint="eastAsia" w:ascii="Times New Roman" w:hAnsi="Times New Roman" w:eastAsia="宋体" w:cs="Times New Roman"/>
          <w:strike w:val="0"/>
          <w:dstrike w:val="0"/>
          <w:color w:val="auto"/>
          <w:sz w:val="24"/>
          <w:highlight w:val="none"/>
          <w:lang w:val="en-US" w:eastAsia="en-US"/>
        </w:rPr>
        <w:t>；迟延付款的违约金计算数额达到前述最高限额之日起，乙方有权在要求甲方支付违约金的同时，书面通知甲方解除本合同；</w:t>
      </w:r>
    </w:p>
    <w:p w14:paraId="32F2494C">
      <w:pPr>
        <w:spacing w:line="360" w:lineRule="auto"/>
        <w:ind w:firstLine="435"/>
        <w:rPr>
          <w:rFonts w:hint="default"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1.6.3</w:t>
      </w:r>
      <w:r>
        <w:rPr>
          <w:rFonts w:hint="eastAsia" w:ascii="Times New Roman" w:hAnsi="Times New Roman" w:eastAsia="宋体" w:cs="Times New Roman"/>
          <w:strike w:val="0"/>
          <w:dstrike w:val="0"/>
          <w:color w:val="auto"/>
          <w:sz w:val="24"/>
          <w:highlight w:val="none"/>
          <w:lang w:val="en-US" w:eastAsia="en-US"/>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C8586B1">
      <w:pPr>
        <w:spacing w:line="360" w:lineRule="auto"/>
        <w:ind w:firstLine="435"/>
        <w:rPr>
          <w:rFonts w:hint="default"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552F0D">
      <w:pPr>
        <w:spacing w:line="360" w:lineRule="auto"/>
        <w:ind w:firstLine="435"/>
        <w:rPr>
          <w:rFonts w:hint="eastAsia" w:ascii="Times New Roman" w:hAnsi="Times New Roman" w:eastAsia="宋体" w:cs="Times New Roman"/>
          <w:strike w:val="0"/>
          <w:dstrike w:val="0"/>
          <w:color w:val="auto"/>
          <w:sz w:val="24"/>
          <w:highlight w:val="none"/>
          <w:lang w:val="en-US" w:eastAsia="en-US"/>
        </w:rPr>
      </w:pPr>
      <w:bookmarkStart w:id="51" w:name="_Toc15583"/>
      <w:bookmarkStart w:id="52" w:name="_Toc16021"/>
      <w:bookmarkStart w:id="53" w:name="_Toc28375"/>
      <w:r>
        <w:rPr>
          <w:rFonts w:hint="eastAsia" w:ascii="Times New Roman" w:hAnsi="Times New Roman" w:eastAsia="宋体" w:cs="Times New Roman"/>
          <w:strike w:val="0"/>
          <w:dstrike w:val="0"/>
          <w:color w:val="auto"/>
          <w:sz w:val="24"/>
          <w:highlight w:val="none"/>
          <w:lang w:val="en-US" w:eastAsia="en-US"/>
        </w:rPr>
        <w:t>1.</w:t>
      </w:r>
      <w:r>
        <w:rPr>
          <w:rFonts w:hint="eastAsia" w:ascii="Times New Roman" w:hAnsi="Times New Roman" w:eastAsia="宋体" w:cs="Times New Roman"/>
          <w:strike w:val="0"/>
          <w:dstrike w:val="0"/>
          <w:color w:val="auto"/>
          <w:sz w:val="24"/>
          <w:highlight w:val="none"/>
          <w:lang w:val="en-US" w:eastAsia="zh-CN"/>
        </w:rPr>
        <w:t>6</w:t>
      </w:r>
      <w:r>
        <w:rPr>
          <w:rFonts w:hint="eastAsia" w:ascii="Times New Roman" w:hAnsi="Times New Roman" w:eastAsia="宋体" w:cs="Times New Roman"/>
          <w:strike w:val="0"/>
          <w:dstrike w:val="0"/>
          <w:color w:val="auto"/>
          <w:sz w:val="24"/>
          <w:highlight w:val="none"/>
          <w:lang w:val="en-US" w:eastAsia="en-US"/>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9AD0EC">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eastAsia" w:ascii="Times New Roman" w:hAnsi="Times New Roman" w:eastAsia="宋体" w:cs="Times New Roman"/>
          <w:strike w:val="0"/>
          <w:dstrike w:val="0"/>
          <w:color w:val="auto"/>
          <w:sz w:val="24"/>
          <w:highlight w:val="none"/>
          <w:lang w:val="en-US" w:eastAsia="en-US"/>
        </w:rPr>
        <w:t>1.</w:t>
      </w:r>
      <w:r>
        <w:rPr>
          <w:rFonts w:hint="eastAsia" w:ascii="Times New Roman" w:hAnsi="Times New Roman" w:eastAsia="宋体" w:cs="Times New Roman"/>
          <w:strike w:val="0"/>
          <w:dstrike w:val="0"/>
          <w:color w:val="auto"/>
          <w:sz w:val="24"/>
          <w:highlight w:val="none"/>
          <w:lang w:val="en-US" w:eastAsia="zh-CN"/>
        </w:rPr>
        <w:t>6</w:t>
      </w:r>
      <w:r>
        <w:rPr>
          <w:rFonts w:hint="eastAsia" w:ascii="Times New Roman" w:hAnsi="Times New Roman" w:eastAsia="宋体" w:cs="Times New Roman"/>
          <w:strike w:val="0"/>
          <w:dstrike w:val="0"/>
          <w:color w:val="auto"/>
          <w:sz w:val="24"/>
          <w:highlight w:val="none"/>
          <w:lang w:val="en-US" w:eastAsia="en-US"/>
        </w:rPr>
        <w:t>.6 如果出现招标投标监督管理部门在处理投诉事项期间，书面通知甲方暂停招标活动的情形，或者询问或异议事项可能影响中标结果的，导致甲方中止履行合同的情形，均不视为甲方违约。</w:t>
      </w:r>
    </w:p>
    <w:p w14:paraId="25613B66">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1.7 合同争议的解决</w:t>
      </w:r>
      <w:bookmarkEnd w:id="51"/>
      <w:bookmarkEnd w:id="52"/>
      <w:bookmarkEnd w:id="53"/>
    </w:p>
    <w:p w14:paraId="0C63E8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1.7.2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4DFD63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6192746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1DFC4483">
      <w:pPr>
        <w:spacing w:line="360" w:lineRule="auto"/>
        <w:ind w:firstLine="437"/>
        <w:outlineLvl w:val="3"/>
        <w:rPr>
          <w:rFonts w:hint="default" w:ascii="Times New Roman" w:hAnsi="Times New Roman" w:cs="Times New Roman"/>
          <w:b/>
          <w:bCs/>
          <w:color w:val="auto"/>
          <w:sz w:val="24"/>
          <w:highlight w:val="none"/>
          <w:lang w:val="zh-CN"/>
        </w:rPr>
      </w:pPr>
      <w:bookmarkStart w:id="54" w:name="_Toc7245"/>
      <w:bookmarkStart w:id="55" w:name="_Toc15322"/>
      <w:bookmarkStart w:id="56" w:name="_Toc11173"/>
      <w:r>
        <w:rPr>
          <w:rFonts w:hint="default" w:ascii="Times New Roman" w:hAnsi="Times New Roman" w:cs="Times New Roman"/>
          <w:b/>
          <w:bCs/>
          <w:color w:val="auto"/>
          <w:sz w:val="24"/>
          <w:highlight w:val="none"/>
          <w:lang w:val="zh-CN"/>
        </w:rPr>
        <w:t>1.8 合同生效</w:t>
      </w:r>
      <w:bookmarkEnd w:id="54"/>
      <w:bookmarkEnd w:id="55"/>
      <w:bookmarkEnd w:id="56"/>
    </w:p>
    <w:p w14:paraId="6B6C22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2B441CAD">
      <w:pPr>
        <w:autoSpaceDE w:val="0"/>
        <w:autoSpaceDN w:val="0"/>
        <w:adjustRightInd w:val="0"/>
        <w:spacing w:line="560" w:lineRule="exact"/>
        <w:rPr>
          <w:rFonts w:hint="default" w:ascii="Times New Roman" w:hAnsi="Times New Roman" w:cs="Times New Roman"/>
          <w:color w:val="auto"/>
          <w:sz w:val="24"/>
          <w:highlight w:val="none"/>
          <w:lang w:val="zh-CN"/>
        </w:rPr>
      </w:pPr>
    </w:p>
    <w:p w14:paraId="5F6C9A2F">
      <w:pPr>
        <w:autoSpaceDE w:val="0"/>
        <w:autoSpaceDN w:val="0"/>
        <w:adjustRightInd w:val="0"/>
        <w:spacing w:line="560" w:lineRule="exact"/>
        <w:rPr>
          <w:rFonts w:hint="default" w:ascii="Times New Roman" w:hAnsi="Times New Roman" w:cs="Times New Roman"/>
          <w:color w:val="auto"/>
          <w:sz w:val="24"/>
          <w:highlight w:val="none"/>
          <w:lang w:val="zh-CN"/>
        </w:rPr>
      </w:pPr>
    </w:p>
    <w:p w14:paraId="1DCECBE1">
      <w:pPr>
        <w:autoSpaceDE w:val="0"/>
        <w:autoSpaceDN w:val="0"/>
        <w:adjustRightInd w:val="0"/>
        <w:spacing w:line="560" w:lineRule="exact"/>
        <w:rPr>
          <w:rFonts w:hint="default" w:ascii="Times New Roman" w:hAnsi="Times New Roman" w:cs="Times New Roman"/>
          <w:color w:val="auto"/>
          <w:sz w:val="24"/>
          <w:highlight w:val="none"/>
          <w:lang w:val="zh-CN"/>
        </w:rPr>
      </w:pPr>
    </w:p>
    <w:p w14:paraId="28B5F031">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2D364992">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23ACE5F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71541DFC">
      <w:pPr>
        <w:widowControl/>
        <w:spacing w:line="560" w:lineRule="exact"/>
        <w:jc w:val="left"/>
        <w:rPr>
          <w:rFonts w:hint="default" w:ascii="Times New Roman" w:hAnsi="Times New Roman" w:cs="Times New Roman"/>
          <w:bCs/>
          <w:color w:val="auto"/>
          <w:sz w:val="24"/>
          <w:highlight w:val="none"/>
        </w:rPr>
      </w:pPr>
      <w:bookmarkStart w:id="57"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5FFAF712">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7"/>
    <w:p w14:paraId="54920F33">
      <w:pPr>
        <w:spacing w:line="360" w:lineRule="auto"/>
        <w:jc w:val="center"/>
        <w:outlineLvl w:val="2"/>
        <w:rPr>
          <w:rFonts w:hint="eastAsia" w:ascii="宋体" w:hAnsi="宋体" w:eastAsia="宋体" w:cs="宋体"/>
          <w:b/>
          <w:sz w:val="24"/>
          <w:highlight w:val="none"/>
        </w:rPr>
      </w:pPr>
      <w:bookmarkStart w:id="58" w:name="_Toc331685784"/>
      <w:r>
        <w:rPr>
          <w:rFonts w:hint="eastAsia" w:ascii="宋体" w:hAnsi="宋体" w:eastAsia="宋体" w:cs="宋体"/>
          <w:b/>
          <w:sz w:val="24"/>
          <w:highlight w:val="none"/>
        </w:rPr>
        <w:t>第二部分 合同一般条款</w:t>
      </w:r>
    </w:p>
    <w:p w14:paraId="789D09C4">
      <w:pPr>
        <w:spacing w:line="360" w:lineRule="auto"/>
        <w:ind w:firstLine="437"/>
        <w:outlineLvl w:val="3"/>
        <w:rPr>
          <w:rFonts w:hint="eastAsia" w:ascii="宋体" w:hAnsi="宋体" w:eastAsia="宋体" w:cs="宋体"/>
          <w:b/>
          <w:bCs/>
          <w:sz w:val="24"/>
          <w:highlight w:val="none"/>
          <w:lang w:val="zh-CN"/>
        </w:rPr>
      </w:pPr>
      <w:bookmarkStart w:id="59" w:name="_Toc16917"/>
      <w:bookmarkStart w:id="60" w:name="_Toc279701240"/>
      <w:bookmarkStart w:id="61" w:name="_Ref467379205"/>
      <w:bookmarkStart w:id="62" w:name="_Toc28763"/>
      <w:bookmarkStart w:id="63" w:name="_Ref467378499"/>
      <w:bookmarkStart w:id="64" w:name="_Ref467379101"/>
      <w:bookmarkStart w:id="65" w:name="_Ref467379225"/>
      <w:bookmarkStart w:id="66" w:name="_Ref467378404"/>
      <w:bookmarkStart w:id="67" w:name="_Ref467378463"/>
      <w:bookmarkStart w:id="68" w:name="_Ref467379195"/>
      <w:bookmarkStart w:id="69" w:name="_Toc259093669"/>
      <w:bookmarkStart w:id="70" w:name="_Ref467379109"/>
      <w:bookmarkStart w:id="71" w:name="_Ref467379094"/>
      <w:bookmarkStart w:id="72" w:name="_Toc487900349"/>
      <w:bookmarkStart w:id="73" w:name="_Toc19614"/>
      <w:bookmarkStart w:id="74" w:name="_Ref467379214"/>
      <w:r>
        <w:rPr>
          <w:rFonts w:hint="eastAsia" w:ascii="宋体" w:hAnsi="宋体" w:eastAsia="宋体" w:cs="宋体"/>
          <w:b/>
          <w:bCs/>
          <w:sz w:val="24"/>
          <w:highlight w:val="none"/>
          <w:lang w:val="zh-CN"/>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086B7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FC2673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2.1.1“合同”系指招标人和中标人签订的载明双方当事人所达成的协议，并包括所有的附件、附录和构成合同的其他文件。</w:t>
      </w:r>
    </w:p>
    <w:p w14:paraId="0656B7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2.1.2“合同价”系指根据合同约定，中标人在完全履行合同义务后，招标人应支付给中标人的价格。</w:t>
      </w:r>
    </w:p>
    <w:p w14:paraId="7BF3570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2.1.3“服务”系指中标人根据合同约定应向招标人履行的除货物和工程以外的其他招标对象，包括招标人自身需要的服务和向社会公众提供的公共服务。</w:t>
      </w:r>
    </w:p>
    <w:p w14:paraId="1CAE412B">
      <w:pPr>
        <w:spacing w:line="360" w:lineRule="auto"/>
        <w:ind w:firstLine="435"/>
        <w:rPr>
          <w:rFonts w:hint="eastAsia" w:ascii="宋体" w:hAnsi="宋体" w:eastAsia="宋体" w:cs="宋体"/>
          <w:sz w:val="24"/>
          <w:highlight w:val="none"/>
        </w:rPr>
      </w:pPr>
      <w:bookmarkStart w:id="75" w:name="_Ref467378840"/>
      <w:r>
        <w:rPr>
          <w:rFonts w:hint="eastAsia" w:ascii="宋体" w:hAnsi="宋体" w:eastAsia="宋体" w:cs="宋体"/>
          <w:sz w:val="24"/>
          <w:highlight w:val="none"/>
        </w:rPr>
        <w:t>2.1.4“甲方”系指与中标人签署合同的招标人</w:t>
      </w:r>
      <w:bookmarkEnd w:id="75"/>
      <w:r>
        <w:rPr>
          <w:rFonts w:hint="eastAsia" w:ascii="宋体" w:hAnsi="宋体" w:eastAsia="宋体" w:cs="宋体"/>
          <w:sz w:val="24"/>
          <w:highlight w:val="none"/>
        </w:rPr>
        <w:t>；招标人委托招标代理机构代表其与乙方签订合同的，招标人的授权委托书作为合同附件。</w:t>
      </w:r>
    </w:p>
    <w:p w14:paraId="4FE3B5BE">
      <w:pPr>
        <w:spacing w:line="360" w:lineRule="auto"/>
        <w:ind w:firstLine="435"/>
        <w:rPr>
          <w:rFonts w:hint="eastAsia" w:ascii="宋体" w:hAnsi="宋体" w:eastAsia="宋体" w:cs="宋体"/>
          <w:sz w:val="24"/>
          <w:highlight w:val="none"/>
        </w:rPr>
      </w:pPr>
      <w:bookmarkStart w:id="76" w:name="_Ref467379400"/>
      <w:r>
        <w:rPr>
          <w:rFonts w:hint="eastAsia" w:ascii="宋体" w:hAnsi="宋体" w:eastAsia="宋体" w:cs="宋体"/>
          <w:sz w:val="24"/>
          <w:highlight w:val="none"/>
        </w:rPr>
        <w:t>2.1.5“乙方”系指根据合同约定提供服务的中标人</w:t>
      </w:r>
      <w:bookmarkEnd w:id="76"/>
      <w:r>
        <w:rPr>
          <w:rFonts w:hint="eastAsia" w:ascii="宋体" w:hAnsi="宋体" w:eastAsia="宋体" w:cs="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D089881">
      <w:pPr>
        <w:spacing w:line="360" w:lineRule="auto"/>
        <w:ind w:firstLine="435"/>
        <w:rPr>
          <w:rFonts w:hint="eastAsia" w:ascii="宋体" w:hAnsi="宋体" w:eastAsia="宋体" w:cs="宋体"/>
          <w:sz w:val="24"/>
          <w:highlight w:val="none"/>
        </w:rPr>
      </w:pPr>
      <w:bookmarkStart w:id="77" w:name="_Ref467379436"/>
      <w:r>
        <w:rPr>
          <w:rFonts w:hint="eastAsia" w:ascii="宋体" w:hAnsi="宋体" w:eastAsia="宋体" w:cs="宋体"/>
          <w:sz w:val="24"/>
          <w:highlight w:val="none"/>
        </w:rPr>
        <w:t>2.1.6“现场”系指合同约定提供服务的地点。</w:t>
      </w:r>
      <w:bookmarkEnd w:id="77"/>
    </w:p>
    <w:p w14:paraId="6F6DFCE4">
      <w:pPr>
        <w:spacing w:line="360" w:lineRule="auto"/>
        <w:ind w:firstLine="437"/>
        <w:outlineLvl w:val="3"/>
        <w:rPr>
          <w:rFonts w:hint="eastAsia" w:ascii="宋体" w:hAnsi="宋体" w:eastAsia="宋体" w:cs="宋体"/>
          <w:b/>
          <w:bCs/>
          <w:sz w:val="24"/>
          <w:highlight w:val="none"/>
          <w:lang w:val="zh-CN"/>
        </w:rPr>
      </w:pPr>
      <w:bookmarkStart w:id="78" w:name="_Toc279701241"/>
      <w:bookmarkStart w:id="79" w:name="_Toc27635"/>
      <w:bookmarkStart w:id="80" w:name="_Toc259093670"/>
      <w:bookmarkStart w:id="81" w:name="_Toc32504"/>
      <w:bookmarkStart w:id="82" w:name="_Toc487900350"/>
      <w:r>
        <w:rPr>
          <w:rFonts w:hint="eastAsia" w:ascii="宋体" w:hAnsi="宋体" w:eastAsia="宋体" w:cs="宋体"/>
          <w:b/>
          <w:bCs/>
          <w:sz w:val="24"/>
          <w:highlight w:val="none"/>
          <w:lang w:val="zh-CN"/>
        </w:rPr>
        <w:t>2.2 技术规范</w:t>
      </w:r>
      <w:bookmarkEnd w:id="78"/>
      <w:bookmarkEnd w:id="79"/>
      <w:bookmarkEnd w:id="80"/>
      <w:bookmarkEnd w:id="81"/>
      <w:bookmarkEnd w:id="82"/>
    </w:p>
    <w:p w14:paraId="2E813DF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094703">
      <w:pPr>
        <w:spacing w:line="360" w:lineRule="auto"/>
        <w:ind w:firstLine="437"/>
        <w:outlineLvl w:val="3"/>
        <w:rPr>
          <w:rFonts w:hint="eastAsia" w:ascii="宋体" w:hAnsi="宋体" w:eastAsia="宋体" w:cs="宋体"/>
          <w:b/>
          <w:bCs/>
          <w:sz w:val="24"/>
          <w:highlight w:val="none"/>
          <w:lang w:val="zh-CN"/>
        </w:rPr>
      </w:pPr>
      <w:bookmarkStart w:id="83" w:name="_Toc279701242"/>
      <w:bookmarkStart w:id="84" w:name="_Toc259093671"/>
      <w:bookmarkStart w:id="85" w:name="_Toc9829"/>
      <w:bookmarkStart w:id="86" w:name="_Toc27853"/>
      <w:bookmarkStart w:id="87" w:name="_Toc31634"/>
      <w:bookmarkStart w:id="88" w:name="_Toc487900351"/>
      <w:r>
        <w:rPr>
          <w:rFonts w:hint="eastAsia" w:ascii="宋体" w:hAnsi="宋体" w:eastAsia="宋体" w:cs="宋体"/>
          <w:b/>
          <w:bCs/>
          <w:sz w:val="24"/>
          <w:highlight w:val="none"/>
          <w:lang w:val="zh-CN"/>
        </w:rPr>
        <w:t>2.3 知识产权</w:t>
      </w:r>
      <w:bookmarkEnd w:id="83"/>
      <w:bookmarkEnd w:id="84"/>
      <w:bookmarkEnd w:id="85"/>
      <w:bookmarkEnd w:id="86"/>
      <w:bookmarkEnd w:id="87"/>
      <w:bookmarkEnd w:id="88"/>
    </w:p>
    <w:p w14:paraId="36B5AA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4A4A9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2.3.2具有知识产权的计算机软件等货物的知识产权归属，详见</w:t>
      </w:r>
      <w:r>
        <w:rPr>
          <w:rFonts w:hint="eastAsia" w:ascii="宋体" w:hAnsi="宋体" w:eastAsia="宋体" w:cs="宋体"/>
          <w:b/>
          <w:bCs/>
          <w:color w:val="auto"/>
          <w:spacing w:val="0"/>
          <w:sz w:val="24"/>
          <w:szCs w:val="24"/>
          <w:highlight w:val="none"/>
          <w:u w:val="single"/>
        </w:rPr>
        <w:t>合同约定</w:t>
      </w:r>
      <w:r>
        <w:rPr>
          <w:rFonts w:hint="eastAsia" w:ascii="宋体" w:hAnsi="宋体" w:eastAsia="宋体" w:cs="宋体"/>
          <w:sz w:val="24"/>
          <w:highlight w:val="none"/>
        </w:rPr>
        <w:t>。</w:t>
      </w:r>
    </w:p>
    <w:p w14:paraId="3779CFCE">
      <w:pPr>
        <w:spacing w:line="360" w:lineRule="auto"/>
        <w:ind w:firstLine="437"/>
        <w:outlineLvl w:val="3"/>
        <w:rPr>
          <w:rFonts w:hint="eastAsia" w:ascii="宋体" w:hAnsi="宋体" w:eastAsia="宋体" w:cs="宋体"/>
          <w:b/>
          <w:bCs/>
          <w:sz w:val="24"/>
          <w:highlight w:val="none"/>
          <w:lang w:val="zh-CN"/>
        </w:rPr>
      </w:pPr>
      <w:bookmarkStart w:id="89" w:name="_Ref467379536"/>
      <w:bookmarkStart w:id="90" w:name="_Toc279701245"/>
      <w:bookmarkStart w:id="91" w:name="_Ref467378541"/>
      <w:bookmarkStart w:id="92" w:name="_Ref467378591"/>
      <w:bookmarkStart w:id="93" w:name="_Toc487900354"/>
      <w:bookmarkStart w:id="94" w:name="_Toc259093674"/>
      <w:bookmarkStart w:id="95" w:name="_Ref467379527"/>
      <w:bookmarkStart w:id="96" w:name="_Ref467379542"/>
      <w:bookmarkStart w:id="97" w:name="_Toc19074"/>
      <w:bookmarkStart w:id="98" w:name="_Toc26182"/>
      <w:bookmarkStart w:id="99" w:name="_Toc30272"/>
      <w:r>
        <w:rPr>
          <w:rFonts w:hint="eastAsia" w:ascii="宋体" w:hAnsi="宋体" w:eastAsia="宋体" w:cs="宋体"/>
          <w:b/>
          <w:bCs/>
          <w:sz w:val="24"/>
          <w:highlight w:val="none"/>
          <w:lang w:val="zh-CN"/>
        </w:rPr>
        <w:t>2.</w:t>
      </w:r>
      <w:bookmarkEnd w:id="89"/>
      <w:bookmarkEnd w:id="90"/>
      <w:bookmarkEnd w:id="91"/>
      <w:bookmarkEnd w:id="92"/>
      <w:bookmarkEnd w:id="93"/>
      <w:bookmarkEnd w:id="94"/>
      <w:bookmarkEnd w:id="95"/>
      <w:bookmarkEnd w:id="96"/>
      <w:r>
        <w:rPr>
          <w:rFonts w:hint="eastAsia" w:ascii="宋体" w:hAnsi="宋体" w:eastAsia="宋体" w:cs="宋体"/>
          <w:b/>
          <w:bCs/>
          <w:sz w:val="24"/>
          <w:highlight w:val="none"/>
          <w:lang w:val="zh-CN"/>
        </w:rPr>
        <w:t>4 履约检查和问题反馈</w:t>
      </w:r>
      <w:bookmarkEnd w:id="97"/>
      <w:bookmarkEnd w:id="98"/>
      <w:bookmarkEnd w:id="99"/>
    </w:p>
    <w:p w14:paraId="3C3ADEF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04D7B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bookmarkStart w:id="100" w:name="_Toc186431855"/>
      <w:r>
        <w:rPr>
          <w:rFonts w:hint="eastAsia" w:ascii="宋体" w:hAnsi="宋体" w:eastAsia="宋体" w:cs="宋体"/>
          <w:sz w:val="24"/>
          <w:highlight w:val="none"/>
        </w:rPr>
        <w:t>。</w:t>
      </w:r>
    </w:p>
    <w:bookmarkEnd w:id="100"/>
    <w:p w14:paraId="487D5D4B">
      <w:pPr>
        <w:spacing w:line="360" w:lineRule="auto"/>
        <w:ind w:firstLine="437"/>
        <w:outlineLvl w:val="3"/>
        <w:rPr>
          <w:rFonts w:hint="eastAsia" w:ascii="宋体" w:hAnsi="宋体" w:eastAsia="宋体" w:cs="宋体"/>
          <w:b/>
          <w:bCs/>
          <w:sz w:val="24"/>
          <w:highlight w:val="none"/>
          <w:lang w:val="zh-CN"/>
        </w:rPr>
      </w:pPr>
      <w:bookmarkStart w:id="101" w:name="_Toc19219"/>
      <w:bookmarkStart w:id="102" w:name="_Toc28451"/>
      <w:bookmarkStart w:id="103" w:name="_Toc7836"/>
      <w:r>
        <w:rPr>
          <w:rFonts w:hint="eastAsia" w:ascii="宋体" w:hAnsi="宋体" w:eastAsia="宋体" w:cs="宋体"/>
          <w:b/>
          <w:bCs/>
          <w:sz w:val="24"/>
          <w:highlight w:val="none"/>
          <w:lang w:val="zh-CN"/>
        </w:rPr>
        <w:t>2.5 结算方式和付款条件</w:t>
      </w:r>
      <w:bookmarkEnd w:id="101"/>
      <w:bookmarkEnd w:id="102"/>
      <w:bookmarkEnd w:id="103"/>
    </w:p>
    <w:p w14:paraId="3FE76C3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bCs/>
          <w:snapToGrid w:val="0"/>
          <w:color w:val="auto"/>
          <w:spacing w:val="0"/>
          <w:kern w:val="0"/>
          <w:sz w:val="24"/>
          <w:szCs w:val="24"/>
          <w:highlight w:val="none"/>
          <w:u w:val="single"/>
          <w:lang w:val="en-US" w:eastAsia="en-US" w:bidi="ar-SA"/>
        </w:rPr>
        <w:t>合同约定</w:t>
      </w:r>
      <w:r>
        <w:rPr>
          <w:rFonts w:hint="eastAsia" w:ascii="宋体" w:hAnsi="宋体" w:eastAsia="宋体" w:cs="宋体"/>
          <w:sz w:val="24"/>
          <w:highlight w:val="none"/>
        </w:rPr>
        <w:t>。</w:t>
      </w:r>
    </w:p>
    <w:p w14:paraId="4B7A750D">
      <w:pPr>
        <w:spacing w:line="360" w:lineRule="auto"/>
        <w:ind w:firstLine="437"/>
        <w:outlineLvl w:val="3"/>
        <w:rPr>
          <w:rFonts w:hint="eastAsia" w:ascii="宋体" w:hAnsi="宋体" w:eastAsia="宋体" w:cs="宋体"/>
          <w:b/>
          <w:bCs/>
          <w:sz w:val="24"/>
          <w:highlight w:val="none"/>
          <w:lang w:val="zh-CN"/>
        </w:rPr>
      </w:pPr>
      <w:bookmarkStart w:id="104" w:name="_Ref467379923"/>
      <w:bookmarkStart w:id="105" w:name="_Ref467379863"/>
      <w:bookmarkStart w:id="106" w:name="_Toc259093677"/>
      <w:bookmarkStart w:id="107" w:name="_Toc487900358"/>
      <w:bookmarkStart w:id="108" w:name="_Toc279701248"/>
      <w:bookmarkStart w:id="109" w:name="_Ref467379852"/>
      <w:bookmarkStart w:id="110" w:name="_Toc774"/>
      <w:bookmarkStart w:id="111" w:name="_Toc3225"/>
      <w:r>
        <w:rPr>
          <w:rFonts w:hint="eastAsia" w:ascii="宋体" w:hAnsi="宋体" w:eastAsia="宋体" w:cs="宋体"/>
          <w:b/>
          <w:bCs/>
          <w:sz w:val="24"/>
          <w:highlight w:val="none"/>
          <w:lang w:val="zh-CN"/>
        </w:rPr>
        <w:t>2.6 技术资料</w:t>
      </w:r>
      <w:bookmarkEnd w:id="104"/>
      <w:bookmarkEnd w:id="105"/>
      <w:bookmarkEnd w:id="106"/>
      <w:bookmarkEnd w:id="107"/>
      <w:bookmarkEnd w:id="108"/>
      <w:bookmarkEnd w:id="109"/>
      <w:r>
        <w:rPr>
          <w:rFonts w:hint="eastAsia" w:ascii="宋体" w:hAnsi="宋体" w:eastAsia="宋体" w:cs="宋体"/>
          <w:b/>
          <w:bCs/>
          <w:sz w:val="24"/>
          <w:highlight w:val="none"/>
          <w:lang w:val="zh-CN"/>
        </w:rPr>
        <w:t>和保密义务</w:t>
      </w:r>
      <w:bookmarkEnd w:id="110"/>
      <w:bookmarkEnd w:id="111"/>
    </w:p>
    <w:p w14:paraId="4B1D69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2.6.1乙方有权依据合同约定和项目需要，向甲方了解有关情况，调阅有关资料等，甲方应予积极配合；</w:t>
      </w:r>
    </w:p>
    <w:p w14:paraId="0FEEF5F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2.6.2乙方有义务妥善保管和保护由甲方提供的前款信息和资料等；</w:t>
      </w:r>
    </w:p>
    <w:p w14:paraId="7C4BDA1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D4319">
      <w:pPr>
        <w:spacing w:line="360" w:lineRule="auto"/>
        <w:ind w:firstLine="437"/>
        <w:outlineLvl w:val="3"/>
        <w:rPr>
          <w:rFonts w:hint="eastAsia" w:ascii="宋体" w:hAnsi="宋体" w:eastAsia="宋体" w:cs="宋体"/>
          <w:b/>
          <w:bCs/>
          <w:sz w:val="24"/>
          <w:highlight w:val="none"/>
          <w:lang w:val="zh-CN"/>
        </w:rPr>
      </w:pPr>
      <w:bookmarkStart w:id="112" w:name="_Toc7860"/>
      <w:r>
        <w:rPr>
          <w:rFonts w:hint="eastAsia" w:ascii="宋体" w:hAnsi="宋体" w:eastAsia="宋体" w:cs="宋体"/>
          <w:b/>
          <w:bCs/>
          <w:sz w:val="24"/>
          <w:highlight w:val="none"/>
          <w:lang w:val="zh-CN"/>
        </w:rPr>
        <w:t>2.7 质量保证</w:t>
      </w:r>
      <w:bookmarkEnd w:id="112"/>
    </w:p>
    <w:p w14:paraId="42D7EC6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2.7.1乙方应建立和完善履行合同的内部质量保证体系，并提供相关内部规章制度给甲方，以便甲方进行监督检查；</w:t>
      </w:r>
    </w:p>
    <w:p w14:paraId="3946674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2.7.2乙方应保证履行合同的人员数量和素质、软件和硬件设备的配置、场地、环境和设施等满足全面履行合同的要求，并应接受甲方的监督检查。</w:t>
      </w:r>
    </w:p>
    <w:p w14:paraId="7DF8C1ED">
      <w:pPr>
        <w:spacing w:line="360" w:lineRule="auto"/>
        <w:ind w:firstLine="437"/>
        <w:outlineLvl w:val="3"/>
        <w:rPr>
          <w:rFonts w:hint="eastAsia" w:ascii="宋体" w:hAnsi="宋体" w:eastAsia="宋体" w:cs="宋体"/>
          <w:b/>
          <w:sz w:val="24"/>
          <w:highlight w:val="none"/>
        </w:rPr>
      </w:pPr>
      <w:bookmarkStart w:id="113" w:name="_Toc22267"/>
      <w:r>
        <w:rPr>
          <w:rFonts w:hint="eastAsia" w:ascii="宋体" w:hAnsi="宋体" w:eastAsia="宋体" w:cs="宋体"/>
          <w:b/>
          <w:sz w:val="24"/>
          <w:highlight w:val="none"/>
        </w:rPr>
        <w:t>2.8 延迟履行</w:t>
      </w:r>
      <w:bookmarkEnd w:id="113"/>
    </w:p>
    <w:p w14:paraId="3410E9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91ECB1">
      <w:pPr>
        <w:spacing w:line="360" w:lineRule="auto"/>
        <w:ind w:firstLine="437"/>
        <w:outlineLvl w:val="3"/>
        <w:rPr>
          <w:rFonts w:hint="eastAsia" w:ascii="宋体" w:hAnsi="宋体" w:eastAsia="宋体" w:cs="宋体"/>
          <w:b/>
          <w:bCs/>
          <w:sz w:val="24"/>
          <w:highlight w:val="none"/>
          <w:lang w:val="zh-CN"/>
        </w:rPr>
      </w:pPr>
      <w:bookmarkStart w:id="114" w:name="_Toc7502"/>
      <w:r>
        <w:rPr>
          <w:rFonts w:hint="eastAsia" w:ascii="宋体" w:hAnsi="宋体" w:eastAsia="宋体" w:cs="宋体"/>
          <w:b/>
          <w:bCs/>
          <w:sz w:val="24"/>
          <w:highlight w:val="none"/>
          <w:lang w:val="zh-CN"/>
        </w:rPr>
        <w:t>2.9 合同变更</w:t>
      </w:r>
      <w:bookmarkEnd w:id="114"/>
    </w:p>
    <w:p w14:paraId="4BA847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2.9.1双方当事人协商一致，可以签订书面补充合同的形式变更合同，但不得违背采购文件确定的事项；</w:t>
      </w:r>
    </w:p>
    <w:p w14:paraId="6A9C212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279701259"/>
      <w:bookmarkStart w:id="117" w:name="_Toc487900369"/>
    </w:p>
    <w:p w14:paraId="2CDE6E88">
      <w:pPr>
        <w:spacing w:line="360" w:lineRule="auto"/>
        <w:ind w:firstLine="437"/>
        <w:outlineLvl w:val="3"/>
        <w:rPr>
          <w:rFonts w:hint="eastAsia" w:ascii="宋体" w:hAnsi="宋体" w:eastAsia="宋体" w:cs="宋体"/>
          <w:b/>
          <w:bCs/>
          <w:sz w:val="24"/>
          <w:highlight w:val="none"/>
          <w:lang w:val="zh-CN"/>
        </w:rPr>
      </w:pPr>
      <w:bookmarkStart w:id="118" w:name="_Toc10366"/>
      <w:bookmarkStart w:id="119" w:name="_Toc15237"/>
      <w:bookmarkStart w:id="120" w:name="_Toc22955"/>
      <w:r>
        <w:rPr>
          <w:rFonts w:hint="eastAsia" w:ascii="宋体" w:hAnsi="宋体" w:eastAsia="宋体" w:cs="宋体"/>
          <w:b/>
          <w:bCs/>
          <w:sz w:val="24"/>
          <w:highlight w:val="none"/>
          <w:lang w:val="zh-CN"/>
        </w:rPr>
        <w:t>2.10 合同转让</w:t>
      </w:r>
      <w:bookmarkEnd w:id="115"/>
      <w:bookmarkEnd w:id="116"/>
      <w:bookmarkEnd w:id="117"/>
      <w:r>
        <w:rPr>
          <w:rFonts w:hint="eastAsia" w:ascii="宋体" w:hAnsi="宋体" w:eastAsia="宋体" w:cs="宋体"/>
          <w:b/>
          <w:bCs/>
          <w:sz w:val="24"/>
          <w:highlight w:val="none"/>
          <w:lang w:val="zh-CN"/>
        </w:rPr>
        <w:t>和分包</w:t>
      </w:r>
      <w:bookmarkEnd w:id="118"/>
      <w:bookmarkEnd w:id="119"/>
      <w:bookmarkEnd w:id="120"/>
    </w:p>
    <w:p w14:paraId="34304AC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6AA1120A">
      <w:pPr>
        <w:spacing w:line="360" w:lineRule="auto"/>
        <w:ind w:firstLine="437"/>
        <w:outlineLvl w:val="3"/>
        <w:rPr>
          <w:rFonts w:hint="eastAsia" w:ascii="宋体" w:hAnsi="宋体" w:eastAsia="宋体" w:cs="宋体"/>
          <w:b/>
          <w:bCs/>
          <w:sz w:val="24"/>
          <w:highlight w:val="none"/>
          <w:lang w:val="zh-CN"/>
        </w:rPr>
      </w:pPr>
      <w:bookmarkStart w:id="121" w:name="_Toc13566"/>
      <w:bookmarkStart w:id="122" w:name="_Toc16508"/>
      <w:bookmarkStart w:id="123" w:name="_Toc14066"/>
      <w:r>
        <w:rPr>
          <w:rFonts w:hint="eastAsia" w:ascii="宋体" w:hAnsi="宋体" w:eastAsia="宋体" w:cs="宋体"/>
          <w:b/>
          <w:bCs/>
          <w:sz w:val="24"/>
          <w:highlight w:val="none"/>
          <w:lang w:val="zh-CN"/>
        </w:rPr>
        <w:t>2.11 不可抗力</w:t>
      </w:r>
      <w:bookmarkEnd w:id="121"/>
      <w:bookmarkEnd w:id="122"/>
      <w:bookmarkEnd w:id="123"/>
    </w:p>
    <w:p w14:paraId="233359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0598CF2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2.11.2因不可抗力致使不能实现合同目的的，当事人可以</w:t>
      </w:r>
      <w:r>
        <w:rPr>
          <w:rFonts w:hint="eastAsia" w:ascii="宋体" w:hAnsi="宋体" w:eastAsia="宋体" w:cs="宋体"/>
          <w:sz w:val="24"/>
          <w:highlight w:val="none"/>
          <w:lang w:eastAsia="zh-CN"/>
        </w:rPr>
        <w:t>报监管部门处理</w:t>
      </w:r>
      <w:r>
        <w:rPr>
          <w:rFonts w:hint="eastAsia" w:ascii="宋体" w:hAnsi="宋体" w:eastAsia="宋体" w:cs="宋体"/>
          <w:sz w:val="24"/>
          <w:highlight w:val="none"/>
        </w:rPr>
        <w:t>；</w:t>
      </w:r>
    </w:p>
    <w:p w14:paraId="3CE36C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2.11.3因不可抗力致使合同有变更必要的，双方当事人应在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约定时间内以书面形式变更合同；</w:t>
      </w:r>
    </w:p>
    <w:p w14:paraId="5CCA84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约定时间内以书面形式通知对方当事人，并在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约定时间内，将有关部门出具的证明文件送达对方当事人。</w:t>
      </w:r>
    </w:p>
    <w:p w14:paraId="0846B1DC">
      <w:pPr>
        <w:spacing w:line="360" w:lineRule="auto"/>
        <w:ind w:firstLine="437"/>
        <w:outlineLvl w:val="3"/>
        <w:rPr>
          <w:rFonts w:hint="eastAsia" w:ascii="宋体" w:hAnsi="宋体" w:eastAsia="宋体" w:cs="宋体"/>
          <w:b/>
          <w:bCs/>
          <w:sz w:val="24"/>
          <w:highlight w:val="none"/>
          <w:lang w:val="zh-CN"/>
        </w:rPr>
      </w:pPr>
      <w:bookmarkStart w:id="124" w:name="_Toc487900365"/>
      <w:bookmarkStart w:id="125" w:name="_Toc689"/>
      <w:bookmarkStart w:id="126" w:name="_Toc259093684"/>
      <w:bookmarkStart w:id="127" w:name="_Toc6969"/>
      <w:bookmarkStart w:id="128" w:name="_Toc279701255"/>
      <w:bookmarkStart w:id="129" w:name="_Toc30676"/>
      <w:r>
        <w:rPr>
          <w:rFonts w:hint="eastAsia" w:ascii="宋体" w:hAnsi="宋体" w:eastAsia="宋体" w:cs="宋体"/>
          <w:b/>
          <w:bCs/>
          <w:sz w:val="24"/>
          <w:highlight w:val="none"/>
          <w:lang w:val="zh-CN"/>
        </w:rPr>
        <w:t>2.12 税费</w:t>
      </w:r>
      <w:bookmarkEnd w:id="124"/>
      <w:bookmarkEnd w:id="125"/>
      <w:bookmarkEnd w:id="126"/>
      <w:bookmarkEnd w:id="127"/>
      <w:bookmarkEnd w:id="128"/>
      <w:bookmarkEnd w:id="129"/>
    </w:p>
    <w:p w14:paraId="6D0877E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18CADBE8">
      <w:pPr>
        <w:spacing w:line="360" w:lineRule="auto"/>
        <w:ind w:firstLine="437"/>
        <w:outlineLvl w:val="3"/>
        <w:rPr>
          <w:rFonts w:hint="eastAsia" w:ascii="宋体" w:hAnsi="宋体" w:eastAsia="宋体" w:cs="宋体"/>
          <w:b/>
          <w:bCs/>
          <w:sz w:val="24"/>
          <w:highlight w:val="none"/>
          <w:lang w:val="zh-CN"/>
        </w:rPr>
      </w:pPr>
      <w:bookmarkStart w:id="130" w:name="_Toc16959"/>
      <w:bookmarkStart w:id="131" w:name="_Toc259093687"/>
      <w:bookmarkStart w:id="132" w:name="_Toc487900368"/>
      <w:bookmarkStart w:id="133" w:name="_Toc7102"/>
      <w:bookmarkStart w:id="134" w:name="_Toc279701258"/>
      <w:bookmarkStart w:id="135" w:name="_Toc8298"/>
      <w:r>
        <w:rPr>
          <w:rFonts w:hint="eastAsia" w:ascii="宋体" w:hAnsi="宋体" w:eastAsia="宋体" w:cs="宋体"/>
          <w:b/>
          <w:bCs/>
          <w:sz w:val="24"/>
          <w:highlight w:val="none"/>
          <w:lang w:val="zh-CN"/>
        </w:rPr>
        <w:t>2.13 乙方破产</w:t>
      </w:r>
      <w:bookmarkEnd w:id="130"/>
      <w:bookmarkEnd w:id="131"/>
      <w:bookmarkEnd w:id="132"/>
      <w:bookmarkEnd w:id="133"/>
      <w:bookmarkEnd w:id="134"/>
      <w:bookmarkEnd w:id="135"/>
    </w:p>
    <w:p w14:paraId="06ECB5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47625D">
      <w:pPr>
        <w:spacing w:line="360" w:lineRule="auto"/>
        <w:ind w:firstLine="437"/>
        <w:outlineLvl w:val="3"/>
        <w:rPr>
          <w:rFonts w:hint="eastAsia" w:ascii="宋体" w:hAnsi="宋体" w:eastAsia="宋体" w:cs="宋体"/>
          <w:b/>
          <w:sz w:val="24"/>
          <w:highlight w:val="none"/>
        </w:rPr>
      </w:pPr>
      <w:bookmarkStart w:id="136" w:name="_Toc29333"/>
      <w:bookmarkStart w:id="137" w:name="_Toc15387"/>
      <w:bookmarkStart w:id="138" w:name="_Toc6134"/>
      <w:r>
        <w:rPr>
          <w:rFonts w:hint="eastAsia" w:ascii="宋体" w:hAnsi="宋体" w:eastAsia="宋体" w:cs="宋体"/>
          <w:b/>
          <w:bCs/>
          <w:sz w:val="24"/>
          <w:highlight w:val="none"/>
          <w:lang w:val="zh-CN"/>
        </w:rPr>
        <w:t>2.14 合同中止、终止</w:t>
      </w:r>
      <w:bookmarkEnd w:id="136"/>
      <w:bookmarkEnd w:id="137"/>
      <w:bookmarkEnd w:id="138"/>
    </w:p>
    <w:p w14:paraId="49A5FB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2.14.1双方当事人不得擅自中止或者终止合同；</w:t>
      </w:r>
    </w:p>
    <w:p w14:paraId="39816DF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38C4B8B5">
      <w:pPr>
        <w:spacing w:line="360" w:lineRule="auto"/>
        <w:ind w:firstLine="437"/>
        <w:outlineLvl w:val="3"/>
        <w:rPr>
          <w:rFonts w:hint="eastAsia" w:ascii="宋体" w:hAnsi="宋体" w:eastAsia="宋体" w:cs="宋体"/>
          <w:b/>
          <w:bCs/>
          <w:sz w:val="24"/>
          <w:highlight w:val="none"/>
          <w:lang w:val="zh-CN"/>
        </w:rPr>
      </w:pPr>
      <w:bookmarkStart w:id="139" w:name="_Toc14563"/>
      <w:bookmarkStart w:id="140" w:name="_Toc1125"/>
      <w:bookmarkStart w:id="141" w:name="_Toc6596"/>
      <w:r>
        <w:rPr>
          <w:rFonts w:hint="eastAsia" w:ascii="宋体" w:hAnsi="宋体" w:eastAsia="宋体" w:cs="宋体"/>
          <w:b/>
          <w:bCs/>
          <w:sz w:val="24"/>
          <w:highlight w:val="none"/>
          <w:lang w:val="zh-CN"/>
        </w:rPr>
        <w:t>2.15 检验和验收</w:t>
      </w:r>
      <w:bookmarkEnd w:id="139"/>
      <w:bookmarkEnd w:id="140"/>
      <w:bookmarkEnd w:id="141"/>
    </w:p>
    <w:p w14:paraId="36D5AA0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2.15.1乙方按照</w:t>
      </w:r>
      <w:r>
        <w:rPr>
          <w:rFonts w:hint="eastAsia" w:ascii="宋体" w:hAnsi="宋体" w:cs="宋体"/>
          <w:b/>
          <w:bCs/>
          <w:sz w:val="24"/>
          <w:highlight w:val="none"/>
          <w:u w:val="single"/>
          <w:lang w:val="en-US" w:eastAsia="zh-CN"/>
        </w:rPr>
        <w:t>合同</w:t>
      </w:r>
      <w:r>
        <w:rPr>
          <w:rFonts w:hint="eastAsia" w:ascii="宋体" w:hAnsi="宋体" w:eastAsia="宋体" w:cs="宋体"/>
          <w:sz w:val="24"/>
          <w:highlight w:val="none"/>
        </w:rPr>
        <w:t>的约定，定期提交服务报告，甲方按照</w:t>
      </w:r>
      <w:r>
        <w:rPr>
          <w:rFonts w:hint="eastAsia" w:ascii="宋体" w:hAnsi="宋体" w:cs="宋体"/>
          <w:b/>
          <w:bCs/>
          <w:sz w:val="24"/>
          <w:highlight w:val="none"/>
          <w:u w:val="single"/>
          <w:lang w:val="en-US" w:eastAsia="zh-CN"/>
        </w:rPr>
        <w:t>合同</w:t>
      </w:r>
      <w:r>
        <w:rPr>
          <w:rFonts w:hint="eastAsia" w:ascii="宋体" w:hAnsi="宋体" w:eastAsia="宋体" w:cs="宋体"/>
          <w:sz w:val="24"/>
          <w:highlight w:val="none"/>
        </w:rPr>
        <w:t>的约定进行定期验收；</w:t>
      </w:r>
    </w:p>
    <w:p w14:paraId="25E60FA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9213F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2.15.3检验和验收标准、程序等具体内容以及前述验收书的效力详见</w:t>
      </w:r>
      <w:r>
        <w:rPr>
          <w:rFonts w:hint="eastAsia" w:ascii="宋体" w:hAnsi="宋体" w:eastAsia="宋体" w:cs="宋体"/>
          <w:b/>
          <w:bCs/>
          <w:spacing w:val="0"/>
          <w:sz w:val="24"/>
          <w:szCs w:val="24"/>
          <w:highlight w:val="none"/>
          <w:u w:val="single"/>
          <w:lang w:val="en-US" w:eastAsia="en-US"/>
        </w:rPr>
        <w:t>合同约定</w:t>
      </w:r>
      <w:r>
        <w:rPr>
          <w:rFonts w:hint="eastAsia" w:ascii="宋体" w:hAnsi="宋体" w:eastAsia="宋体" w:cs="宋体"/>
          <w:i/>
          <w:sz w:val="24"/>
          <w:highlight w:val="none"/>
        </w:rPr>
        <w:t>。</w:t>
      </w:r>
    </w:p>
    <w:p w14:paraId="2EC73061">
      <w:pPr>
        <w:spacing w:line="360" w:lineRule="auto"/>
        <w:ind w:firstLine="437"/>
        <w:outlineLvl w:val="3"/>
        <w:rPr>
          <w:rFonts w:hint="eastAsia" w:ascii="宋体" w:hAnsi="宋体" w:eastAsia="宋体" w:cs="宋体"/>
          <w:b/>
          <w:bCs/>
          <w:sz w:val="24"/>
          <w:highlight w:val="none"/>
        </w:rPr>
      </w:pPr>
      <w:bookmarkStart w:id="142" w:name="_Toc259093692"/>
      <w:bookmarkStart w:id="143" w:name="_Toc10330"/>
      <w:bookmarkStart w:id="144" w:name="_Toc18567"/>
      <w:bookmarkStart w:id="145" w:name="_Toc12773"/>
      <w:bookmarkStart w:id="146" w:name="_Toc487900373"/>
      <w:bookmarkStart w:id="147" w:name="_Toc279701263"/>
      <w:r>
        <w:rPr>
          <w:rFonts w:hint="eastAsia" w:ascii="宋体" w:hAnsi="宋体" w:eastAsia="宋体" w:cs="宋体"/>
          <w:b/>
          <w:bCs/>
          <w:sz w:val="24"/>
          <w:highlight w:val="none"/>
        </w:rPr>
        <w:t xml:space="preserve">2.16 </w:t>
      </w:r>
      <w:r>
        <w:rPr>
          <w:rFonts w:hint="eastAsia" w:ascii="宋体" w:hAnsi="宋体" w:eastAsia="宋体" w:cs="宋体"/>
          <w:b/>
          <w:bCs/>
          <w:sz w:val="24"/>
          <w:highlight w:val="none"/>
          <w:lang w:val="zh-CN"/>
        </w:rPr>
        <w:t>合同使用的文字和适用的法律</w:t>
      </w:r>
      <w:bookmarkEnd w:id="142"/>
      <w:bookmarkEnd w:id="143"/>
      <w:bookmarkEnd w:id="144"/>
      <w:bookmarkEnd w:id="145"/>
      <w:bookmarkEnd w:id="146"/>
      <w:bookmarkEnd w:id="147"/>
    </w:p>
    <w:p w14:paraId="1089FB7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14:paraId="723013C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14:paraId="38C40A6B">
      <w:pPr>
        <w:spacing w:line="360" w:lineRule="auto"/>
        <w:ind w:firstLine="437"/>
        <w:outlineLvl w:val="3"/>
        <w:rPr>
          <w:rFonts w:hint="eastAsia" w:ascii="宋体" w:hAnsi="宋体" w:eastAsia="宋体" w:cs="宋体"/>
          <w:b/>
          <w:sz w:val="24"/>
          <w:highlight w:val="none"/>
        </w:rPr>
      </w:pPr>
      <w:bookmarkStart w:id="148" w:name="_Toc3148"/>
      <w:bookmarkStart w:id="149" w:name="_Toc16673"/>
      <w:bookmarkStart w:id="150" w:name="_Toc12004"/>
      <w:bookmarkStart w:id="151" w:name="_Toc259093693"/>
      <w:bookmarkStart w:id="152" w:name="_Toc279701264"/>
      <w:bookmarkStart w:id="153" w:name="_Toc487900374"/>
      <w:r>
        <w:rPr>
          <w:rFonts w:hint="eastAsia" w:ascii="宋体" w:hAnsi="宋体" w:eastAsia="宋体" w:cs="宋体"/>
          <w:b/>
          <w:bCs/>
          <w:sz w:val="24"/>
          <w:highlight w:val="none"/>
          <w:lang w:val="zh-CN"/>
        </w:rPr>
        <w:t>2.17 履约保证金</w:t>
      </w:r>
      <w:bookmarkEnd w:id="148"/>
      <w:bookmarkEnd w:id="149"/>
      <w:bookmarkEnd w:id="150"/>
      <w:bookmarkEnd w:id="151"/>
      <w:bookmarkEnd w:id="152"/>
    </w:p>
    <w:p w14:paraId="73A2B02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2.17.1磋商文件要求乙方提交履约保证金的，乙方应按</w:t>
      </w:r>
      <w:r>
        <w:rPr>
          <w:rFonts w:hint="eastAsia" w:ascii="宋体" w:hAnsi="宋体" w:cs="宋体"/>
          <w:b/>
          <w:i w:val="0"/>
          <w:iCs/>
          <w:sz w:val="24"/>
          <w:highlight w:val="none"/>
          <w:u w:val="single"/>
          <w:lang w:val="en-US" w:eastAsia="zh-CN"/>
        </w:rPr>
        <w:t>合同</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14:paraId="5388D5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2.17.2履约保证金在</w:t>
      </w:r>
      <w:r>
        <w:rPr>
          <w:rFonts w:hint="eastAsia" w:ascii="宋体" w:hAnsi="宋体" w:cs="宋体"/>
          <w:b/>
          <w:i w:val="0"/>
          <w:iCs/>
          <w:sz w:val="24"/>
          <w:highlight w:val="none"/>
          <w:u w:val="single"/>
          <w:lang w:val="en-US" w:eastAsia="zh-CN"/>
        </w:rPr>
        <w:t>合同</w:t>
      </w:r>
      <w:r>
        <w:rPr>
          <w:rFonts w:hint="eastAsia" w:ascii="宋体" w:hAnsi="宋体" w:eastAsia="宋体" w:cs="宋体"/>
          <w:sz w:val="24"/>
          <w:highlight w:val="none"/>
        </w:rPr>
        <w:t>约定期间内不予退还或者应完全有效，</w:t>
      </w:r>
      <w:r>
        <w:rPr>
          <w:rFonts w:hint="eastAsia" w:ascii="宋体" w:hAnsi="宋体" w:eastAsia="宋体" w:cs="宋体"/>
          <w:spacing w:val="0"/>
          <w:sz w:val="24"/>
          <w:szCs w:val="24"/>
          <w:highlight w:val="none"/>
          <w:lang w:val="en-US" w:eastAsia="en-US"/>
        </w:rPr>
        <w:t>前述</w:t>
      </w:r>
      <w:r>
        <w:rPr>
          <w:rFonts w:hint="eastAsia" w:ascii="宋体" w:hAnsi="宋体" w:eastAsia="宋体" w:cs="宋体"/>
          <w:b/>
          <w:bCs/>
          <w:spacing w:val="0"/>
          <w:sz w:val="24"/>
          <w:szCs w:val="24"/>
          <w:highlight w:val="none"/>
          <w:lang w:val="en-US" w:eastAsia="en-US"/>
        </w:rPr>
        <w:t>约定期间届满之日起</w:t>
      </w:r>
      <w:r>
        <w:rPr>
          <w:rFonts w:hint="eastAsia" w:ascii="宋体" w:hAnsi="宋体" w:eastAsia="宋体" w:cs="宋体"/>
          <w:b/>
          <w:bCs/>
          <w:spacing w:val="0"/>
          <w:sz w:val="24"/>
          <w:szCs w:val="24"/>
          <w:highlight w:val="none"/>
          <w:u w:val="single"/>
          <w:lang w:val="en-US" w:eastAsia="en-US"/>
        </w:rPr>
        <w:t xml:space="preserve"> 30 </w:t>
      </w:r>
      <w:r>
        <w:rPr>
          <w:rFonts w:hint="eastAsia" w:ascii="宋体" w:hAnsi="宋体" w:eastAsia="宋体" w:cs="宋体"/>
          <w:b/>
          <w:bCs/>
          <w:spacing w:val="0"/>
          <w:sz w:val="24"/>
          <w:szCs w:val="24"/>
          <w:highlight w:val="none"/>
          <w:lang w:val="en-US" w:eastAsia="en-US"/>
        </w:rPr>
        <w:t>日内</w:t>
      </w:r>
      <w:r>
        <w:rPr>
          <w:rFonts w:hint="eastAsia" w:ascii="宋体" w:hAnsi="宋体" w:eastAsia="宋体" w:cs="宋体"/>
          <w:sz w:val="24"/>
          <w:highlight w:val="none"/>
        </w:rPr>
        <w:t>，甲方应将履约保证金退还乙方；</w:t>
      </w:r>
    </w:p>
    <w:p w14:paraId="670BE7A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EFEB1CA">
      <w:pPr>
        <w:spacing w:line="360" w:lineRule="auto"/>
        <w:ind w:firstLine="437"/>
        <w:outlineLvl w:val="3"/>
        <w:rPr>
          <w:rFonts w:hint="eastAsia" w:ascii="宋体" w:hAnsi="宋体" w:eastAsia="宋体" w:cs="宋体"/>
          <w:b/>
          <w:sz w:val="24"/>
          <w:highlight w:val="none"/>
        </w:rPr>
      </w:pPr>
      <w:bookmarkStart w:id="154" w:name="_Toc14001"/>
      <w:bookmarkStart w:id="155" w:name="_Toc6885"/>
      <w:r>
        <w:rPr>
          <w:rFonts w:hint="eastAsia" w:ascii="宋体" w:hAnsi="宋体" w:eastAsia="宋体" w:cs="宋体"/>
          <w:b/>
          <w:bCs/>
          <w:sz w:val="24"/>
          <w:highlight w:val="none"/>
          <w:lang w:val="zh-CN"/>
        </w:rPr>
        <w:t>2.18 合同份数</w:t>
      </w:r>
      <w:bookmarkEnd w:id="154"/>
      <w:bookmarkEnd w:id="155"/>
    </w:p>
    <w:p w14:paraId="3AE8B200">
      <w:pPr>
        <w:spacing w:line="360" w:lineRule="auto"/>
        <w:ind w:firstLine="435"/>
        <w:rPr>
          <w:rFonts w:hint="default" w:ascii="Times New Roman" w:hAnsi="Times New Roman" w:cs="Times New Roman"/>
          <w:color w:val="auto"/>
          <w:sz w:val="24"/>
          <w:highlight w:val="none"/>
        </w:rPr>
      </w:pPr>
      <w:r>
        <w:rPr>
          <w:rFonts w:hint="eastAsia" w:ascii="宋体" w:hAnsi="宋体" w:eastAsia="宋体" w:cs="宋体"/>
          <w:sz w:val="24"/>
          <w:highlight w:val="none"/>
        </w:rPr>
        <w:t>合同份数按</w:t>
      </w:r>
      <w:r>
        <w:rPr>
          <w:rFonts w:hint="eastAsia" w:ascii="宋体" w:hAnsi="宋体" w:cs="宋体"/>
          <w:b/>
          <w:i w:val="0"/>
          <w:iCs/>
          <w:sz w:val="24"/>
          <w:highlight w:val="none"/>
          <w:u w:val="single"/>
          <w:lang w:val="en-US" w:eastAsia="zh-CN"/>
        </w:rPr>
        <w:t>合同约定</w:t>
      </w:r>
      <w:r>
        <w:rPr>
          <w:rFonts w:hint="eastAsia" w:ascii="宋体" w:hAnsi="宋体" w:eastAsia="宋体" w:cs="宋体"/>
          <w:sz w:val="24"/>
          <w:highlight w:val="none"/>
        </w:rPr>
        <w:t>规定，每份均具有同等法律效力。</w:t>
      </w:r>
    </w:p>
    <w:p w14:paraId="606D013A">
      <w:pP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8"/>
    <w:p w14:paraId="11D8A41C">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5065D952">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6A5B94A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1037FE9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6C0ED5B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4BCB88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2A5D3F0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5E7C74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5D2E07A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3D469D9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57A580A6">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0D39649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5DC067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7493D17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029EEEC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72EB490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6E56592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6C7B90B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0462CE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7E9557F9">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3865C6D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24845D7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63A9440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3318965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2BC46EE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306883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0A2924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573536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32387A4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19E583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658796E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5884A02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7C212ED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062A2D7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3881C0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57C791C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1A7467C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0A038B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D8D6C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2AF6CE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34D4B4E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5C485DCC">
      <w:pPr>
        <w:widowControl/>
        <w:spacing w:line="360" w:lineRule="auto"/>
        <w:ind w:firstLine="420" w:firstLineChars="200"/>
        <w:jc w:val="left"/>
        <w:rPr>
          <w:rFonts w:hint="default" w:ascii="Times New Roman" w:hAnsi="Times New Roman" w:cs="Times New Roman"/>
          <w:color w:val="auto"/>
          <w:kern w:val="0"/>
          <w:szCs w:val="21"/>
          <w:highlight w:val="none"/>
        </w:rPr>
      </w:pPr>
    </w:p>
    <w:p w14:paraId="29DCE32A">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C4D9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652C0FFD">
      <w:pPr>
        <w:widowControl/>
        <w:spacing w:line="360" w:lineRule="auto"/>
        <w:ind w:firstLine="420" w:firstLineChars="200"/>
        <w:jc w:val="left"/>
        <w:rPr>
          <w:rFonts w:hint="default" w:ascii="Times New Roman" w:hAnsi="Times New Roman" w:cs="Times New Roman"/>
          <w:color w:val="auto"/>
          <w:kern w:val="0"/>
          <w:szCs w:val="21"/>
          <w:highlight w:val="none"/>
        </w:rPr>
      </w:pPr>
    </w:p>
    <w:p w14:paraId="223A61D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1D4BB2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5D01CB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1B7E70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43F10A83">
      <w:pPr>
        <w:widowControl/>
        <w:spacing w:line="360" w:lineRule="auto"/>
        <w:ind w:firstLine="420" w:firstLineChars="200"/>
        <w:jc w:val="left"/>
        <w:rPr>
          <w:rFonts w:hint="default" w:ascii="Times New Roman" w:hAnsi="Times New Roman" w:cs="Times New Roman"/>
          <w:color w:val="auto"/>
          <w:kern w:val="0"/>
          <w:szCs w:val="21"/>
          <w:highlight w:val="none"/>
        </w:rPr>
      </w:pPr>
    </w:p>
    <w:p w14:paraId="629A228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61A3521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77FF65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19A6AFA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49A3B1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2C118FC6">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p w14:paraId="1B216303">
      <w:pPr>
        <w:pStyle w:val="40"/>
        <w:rPr>
          <w:rFonts w:hint="default" w:ascii="Times New Roman" w:hAnsi="Times New Roman" w:cs="Times New Roman"/>
          <w:color w:val="auto"/>
          <w:highlight w:val="none"/>
        </w:rPr>
      </w:pPr>
    </w:p>
    <w:p w14:paraId="6AE906DD">
      <w:pPr>
        <w:pStyle w:val="39"/>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31"/>
      <w:bookmarkEnd w:id="32"/>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both"/>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bCs/>
          <w:color w:val="auto"/>
          <w:sz w:val="32"/>
          <w:szCs w:val="32"/>
          <w:highlight w:val="none"/>
          <w:u w:val="single"/>
          <w:lang w:val="en-US" w:eastAsia="zh-CN"/>
        </w:rPr>
        <w:t>包河区中小学体艺中心2026年度保险采购项目</w:t>
      </w:r>
    </w:p>
    <w:p w14:paraId="2EEFDF8D">
      <w:pPr>
        <w:pStyle w:val="40"/>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BHSG-ZTB-2026-09</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56" w:name="_Toc461053086"/>
      <w:bookmarkStart w:id="157" w:name="_Toc520983587"/>
      <w:bookmarkStart w:id="158" w:name="_Toc461056631"/>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59" w:name="_Toc477794142"/>
      <w:bookmarkStart w:id="160" w:name="_Toc507694547"/>
      <w:r>
        <w:rPr>
          <w:rFonts w:hint="default" w:ascii="Times New Roman" w:hAnsi="Times New Roman" w:eastAsia="宋体" w:cs="Times New Roman"/>
          <w:b/>
          <w:color w:val="auto"/>
          <w:sz w:val="24"/>
          <w:highlight w:val="none"/>
        </w:rPr>
        <w:t>投标文件格式</w:t>
      </w:r>
      <w:bookmarkEnd w:id="159"/>
      <w:bookmarkEnd w:id="160"/>
    </w:p>
    <w:tbl>
      <w:tblPr>
        <w:tblStyle w:val="41"/>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4ABC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9D6D697">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6BDA24B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人员配备</w:t>
            </w:r>
          </w:p>
        </w:tc>
        <w:tc>
          <w:tcPr>
            <w:tcW w:w="1779" w:type="dxa"/>
            <w:noWrap w:val="0"/>
            <w:vAlign w:val="center"/>
          </w:tcPr>
          <w:p w14:paraId="258AB415">
            <w:pPr>
              <w:spacing w:line="360" w:lineRule="auto"/>
              <w:jc w:val="center"/>
              <w:outlineLvl w:val="2"/>
              <w:rPr>
                <w:rFonts w:hint="default" w:ascii="Times New Roman" w:hAnsi="Times New Roman" w:eastAsia="宋体" w:cs="Times New Roman"/>
                <w:b/>
                <w:color w:val="auto"/>
                <w:sz w:val="24"/>
                <w:highlight w:val="none"/>
              </w:rPr>
            </w:pPr>
          </w:p>
        </w:tc>
      </w:tr>
      <w:tr w14:paraId="76C1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8279BF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6B41844F">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服务方案</w:t>
            </w:r>
          </w:p>
        </w:tc>
        <w:tc>
          <w:tcPr>
            <w:tcW w:w="1779" w:type="dxa"/>
            <w:noWrap w:val="0"/>
            <w:vAlign w:val="center"/>
          </w:tcPr>
          <w:p w14:paraId="2E7DC9E9">
            <w:pPr>
              <w:spacing w:line="360" w:lineRule="auto"/>
              <w:jc w:val="center"/>
              <w:outlineLvl w:val="2"/>
              <w:rPr>
                <w:rFonts w:hint="default" w:ascii="Times New Roman" w:hAnsi="Times New Roman" w:eastAsia="宋体" w:cs="Times New Roman"/>
                <w:b/>
                <w:color w:val="auto"/>
                <w:sz w:val="24"/>
                <w:highlight w:val="none"/>
              </w:rPr>
            </w:pPr>
          </w:p>
        </w:tc>
      </w:tr>
      <w:tr w14:paraId="6234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noWrap w:val="0"/>
            <w:vAlign w:val="center"/>
          </w:tcPr>
          <w:p w14:paraId="0CEDB4A9">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76C5E918">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服务承诺</w:t>
            </w:r>
          </w:p>
        </w:tc>
        <w:tc>
          <w:tcPr>
            <w:tcW w:w="1779" w:type="dxa"/>
            <w:noWrap w:val="0"/>
            <w:vAlign w:val="center"/>
          </w:tcPr>
          <w:p w14:paraId="0DB64D3D">
            <w:pPr>
              <w:spacing w:line="360" w:lineRule="auto"/>
              <w:jc w:val="center"/>
              <w:outlineLvl w:val="2"/>
              <w:rPr>
                <w:rFonts w:hint="default" w:ascii="Times New Roman" w:hAnsi="Times New Roman" w:eastAsia="宋体" w:cs="Times New Roman"/>
                <w:b/>
                <w:color w:val="auto"/>
                <w:sz w:val="24"/>
                <w:highlight w:val="none"/>
              </w:rPr>
            </w:pPr>
          </w:p>
        </w:tc>
      </w:tr>
      <w:tr w14:paraId="2875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noWrap w:val="0"/>
            <w:vAlign w:val="center"/>
          </w:tcPr>
          <w:p w14:paraId="754CD941">
            <w:pPr>
              <w:spacing w:line="360" w:lineRule="auto"/>
              <w:jc w:val="center"/>
              <w:outlineLvl w:val="2"/>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6EC93AE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理赔服务承诺函</w:t>
            </w:r>
          </w:p>
        </w:tc>
        <w:tc>
          <w:tcPr>
            <w:tcW w:w="1779" w:type="dxa"/>
            <w:noWrap w:val="0"/>
            <w:vAlign w:val="center"/>
          </w:tcPr>
          <w:p w14:paraId="231C01A5">
            <w:pPr>
              <w:spacing w:line="360" w:lineRule="auto"/>
              <w:jc w:val="center"/>
              <w:outlineLvl w:val="2"/>
              <w:rPr>
                <w:rFonts w:hint="default" w:ascii="Times New Roman" w:hAnsi="Times New Roman" w:eastAsia="宋体" w:cs="Times New Roman"/>
                <w:b/>
                <w:color w:val="auto"/>
                <w:sz w:val="24"/>
                <w:highlight w:val="none"/>
              </w:rPr>
            </w:pPr>
          </w:p>
        </w:tc>
      </w:tr>
      <w:tr w14:paraId="440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286F8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w:t>
            </w:r>
          </w:p>
        </w:tc>
        <w:tc>
          <w:tcPr>
            <w:tcW w:w="5493" w:type="dxa"/>
            <w:noWrap w:val="0"/>
            <w:vAlign w:val="center"/>
          </w:tcPr>
          <w:p w14:paraId="01397B7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业绩承诺函</w:t>
            </w:r>
          </w:p>
        </w:tc>
        <w:tc>
          <w:tcPr>
            <w:tcW w:w="1779" w:type="dxa"/>
            <w:noWrap w:val="0"/>
            <w:vAlign w:val="center"/>
          </w:tcPr>
          <w:p w14:paraId="76491296">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十一</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bl>
    <w:p w14:paraId="62B6755E">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0829B123">
      <w:pPr>
        <w:pStyle w:val="33"/>
        <w:ind w:left="0" w:leftChars="0" w:firstLine="0" w:firstLineChars="0"/>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56"/>
    <w:bookmarkEnd w:id="157"/>
    <w:bookmarkEnd w:id="158"/>
    <w:p w14:paraId="4239B403">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67644A4C">
      <w:pPr>
        <w:pStyle w:val="91"/>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6719"/>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719"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eastAsia" w:ascii="Times New Roman" w:hAnsi="Times New Roman" w:cs="Times New Roman"/>
                <w:color w:val="auto"/>
                <w:sz w:val="24"/>
                <w:highlight w:val="none"/>
                <w:lang w:val="en-US" w:eastAsia="zh-CN"/>
              </w:rPr>
              <w:t>包河区中小学体艺中心2026年度保险采购项目</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719"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BHSG-ZTB-2026-09</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19"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719"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19"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719"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419" w:type="dxa"/>
            <w:tcBorders>
              <w:top w:val="nil"/>
            </w:tcBorders>
            <w:noWrap w:val="0"/>
            <w:vAlign w:val="center"/>
          </w:tcPr>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投标报价</w:t>
            </w:r>
          </w:p>
        </w:tc>
        <w:tc>
          <w:tcPr>
            <w:tcW w:w="6719" w:type="dxa"/>
            <w:tcBorders>
              <w:top w:val="nil"/>
            </w:tcBorders>
            <w:noWrap w:val="0"/>
            <w:vAlign w:val="center"/>
          </w:tcPr>
          <w:p w14:paraId="6A3FCDA7">
            <w:pPr>
              <w:spacing w:line="360" w:lineRule="auto"/>
              <w:jc w:val="both"/>
              <w:rPr>
                <w:rFonts w:hint="default" w:ascii="Times New Roman" w:hAnsi="Times New Roman" w:eastAsia="宋体" w:cs="Times New Roman"/>
                <w:color w:val="auto"/>
                <w:sz w:val="24"/>
                <w:highlight w:val="none"/>
              </w:rPr>
            </w:pPr>
            <w:r>
              <w:rPr>
                <w:rFonts w:hint="eastAsia" w:ascii="宋体" w:hAnsi="宋体" w:eastAsia="宋体"/>
                <w:b/>
                <w:bCs/>
                <w:sz w:val="24"/>
                <w:szCs w:val="18"/>
                <w:highlight w:val="none"/>
                <w:u w:val="single"/>
                <w:lang w:val="en-US" w:eastAsia="zh-CN"/>
              </w:rPr>
              <w:t xml:space="preserve">      </w:t>
            </w:r>
            <w:r>
              <w:rPr>
                <w:rFonts w:hint="eastAsia" w:ascii="宋体" w:hAnsi="宋体" w:eastAsia="宋体"/>
                <w:b/>
                <w:bCs/>
                <w:sz w:val="24"/>
                <w:szCs w:val="18"/>
                <w:highlight w:val="none"/>
                <w:lang w:val="en-US" w:eastAsia="zh-CN"/>
              </w:rPr>
              <w:t>元/人/课时</w:t>
            </w: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19"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719"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19"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719"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r>
              <w:rPr>
                <w:rFonts w:hint="eastAsia" w:ascii="宋体" w:hAnsi="宋体" w:eastAsia="宋体"/>
                <w:b/>
                <w:bCs/>
                <w:sz w:val="24"/>
                <w:szCs w:val="18"/>
                <w:highlight w:val="none"/>
                <w:lang w:val="en-US" w:eastAsia="zh-CN"/>
              </w:rPr>
              <w:t>投标报价不得超过本项目综合单价预算</w:t>
            </w:r>
            <w:r>
              <w:rPr>
                <w:rFonts w:hint="eastAsia" w:ascii="宋体" w:hAnsi="宋体"/>
                <w:b/>
                <w:bCs/>
                <w:sz w:val="24"/>
                <w:szCs w:val="18"/>
                <w:highlight w:val="none"/>
                <w:lang w:val="en-US" w:eastAsia="zh-CN"/>
              </w:rPr>
              <w:t>1.2</w:t>
            </w:r>
            <w:r>
              <w:rPr>
                <w:rFonts w:hint="eastAsia" w:ascii="宋体" w:hAnsi="宋体" w:eastAsia="宋体"/>
                <w:b/>
                <w:bCs/>
                <w:sz w:val="24"/>
                <w:szCs w:val="18"/>
                <w:highlight w:val="none"/>
                <w:lang w:val="en-US" w:eastAsia="zh-CN"/>
              </w:rPr>
              <w:t>元/人/课时，否则响应无效。</w:t>
            </w: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61" w:name="_Toc520983588"/>
      <w:bookmarkStart w:id="162" w:name="_Toc461053087"/>
      <w:bookmarkStart w:id="163" w:name="_Toc461056632"/>
      <w:r>
        <w:rPr>
          <w:rFonts w:hint="default" w:ascii="Times New Roman" w:hAnsi="Times New Roman" w:cs="Times New Roman"/>
          <w:color w:val="auto"/>
          <w:sz w:val="24"/>
          <w:highlight w:val="none"/>
        </w:rPr>
        <w:br w:type="page"/>
      </w:r>
    </w:p>
    <w:bookmarkEnd w:id="161"/>
    <w:bookmarkEnd w:id="162"/>
    <w:bookmarkEnd w:id="163"/>
    <w:p w14:paraId="2F5CB007">
      <w:pPr>
        <w:spacing w:line="360" w:lineRule="auto"/>
        <w:jc w:val="center"/>
        <w:outlineLvl w:val="2"/>
        <w:rPr>
          <w:rFonts w:hint="default" w:ascii="Times New Roman" w:hAnsi="Times New Roman" w:cs="Times New Roman"/>
          <w:b/>
          <w:color w:val="auto"/>
          <w:sz w:val="24"/>
          <w:szCs w:val="24"/>
          <w:highlight w:val="none"/>
        </w:rPr>
      </w:pPr>
      <w:bookmarkStart w:id="164"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3"/>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64"/>
    <w:p w14:paraId="259EB7FA">
      <w:pPr>
        <w:pStyle w:val="33"/>
        <w:rPr>
          <w:rFonts w:hint="default"/>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五、商务响应情况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644"/>
        <w:gridCol w:w="25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6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5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644" w:type="dxa"/>
            <w:vAlign w:val="center"/>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546" w:type="dxa"/>
            <w:shd w:val="clear" w:color="auto" w:fill="auto"/>
            <w:vAlign w:val="center"/>
          </w:tcPr>
          <w:p w14:paraId="26C00200">
            <w:pPr>
              <w:widowControl w:val="0"/>
              <w:spacing w:before="0" w:beforeAutospacing="0" w:after="0" w:afterAutospacing="0" w:line="360" w:lineRule="auto"/>
              <w:jc w:val="both"/>
              <w:rPr>
                <w:rFonts w:hint="default" w:ascii="Times New Roman" w:hAnsi="Times New Roman" w:eastAsia="宋体" w:cs="Times New Roman"/>
                <w:b/>
                <w:bCs w:val="0"/>
                <w:color w:val="auto"/>
                <w:kern w:val="0"/>
                <w:sz w:val="24"/>
                <w:szCs w:val="28"/>
                <w:highlight w:val="none"/>
                <w:lang w:val="en-US" w:eastAsia="zh-CN" w:bidi="ar-SA"/>
              </w:rPr>
            </w:pPr>
            <w:r>
              <w:rPr>
                <w:rStyle w:val="104"/>
                <w:rFonts w:hint="eastAsia" w:ascii="Times New Roman" w:hAnsi="Times New Roman" w:eastAsia="宋体" w:cs="Times New Roman"/>
                <w:b w:val="0"/>
                <w:color w:val="auto"/>
                <w:kern w:val="0"/>
                <w:sz w:val="24"/>
                <w:highlight w:val="none"/>
                <w:lang w:val="en-US" w:eastAsia="zh-CN"/>
              </w:rPr>
              <w:t>费用按</w:t>
            </w:r>
            <w:r>
              <w:rPr>
                <w:rStyle w:val="104"/>
                <w:rFonts w:hint="eastAsia" w:ascii="Times New Roman" w:hAnsi="Times New Roman" w:cs="Times New Roman"/>
                <w:b w:val="0"/>
                <w:color w:val="auto"/>
                <w:kern w:val="0"/>
                <w:sz w:val="24"/>
                <w:highlight w:val="none"/>
                <w:lang w:val="en-US" w:eastAsia="zh-CN"/>
              </w:rPr>
              <w:t>学期</w:t>
            </w:r>
            <w:r>
              <w:rPr>
                <w:rStyle w:val="104"/>
                <w:rFonts w:hint="eastAsia" w:ascii="Times New Roman" w:hAnsi="Times New Roman" w:eastAsia="宋体" w:cs="Times New Roman"/>
                <w:b w:val="0"/>
                <w:color w:val="auto"/>
                <w:kern w:val="0"/>
                <w:sz w:val="24"/>
                <w:highlight w:val="none"/>
                <w:lang w:val="en-US" w:eastAsia="zh-CN"/>
              </w:rPr>
              <w:t>据实结算</w:t>
            </w:r>
            <w:r>
              <w:rPr>
                <w:rFonts w:hint="eastAsia"/>
                <w:highlight w:val="none"/>
                <w:lang w:eastAsia="zh-CN"/>
              </w:rPr>
              <w:t>，</w:t>
            </w:r>
            <w:r>
              <w:rPr>
                <w:rStyle w:val="104"/>
                <w:rFonts w:hint="eastAsia" w:ascii="Times New Roman" w:hAnsi="Times New Roman" w:cs="Times New Roman"/>
                <w:b w:val="0"/>
                <w:color w:val="auto"/>
                <w:kern w:val="0"/>
                <w:sz w:val="24"/>
                <w:highlight w:val="none"/>
                <w:lang w:val="en-US" w:eastAsia="zh-CN"/>
              </w:rPr>
              <w:t>当本学期履约完成且</w:t>
            </w:r>
            <w:r>
              <w:rPr>
                <w:rFonts w:ascii="宋体" w:hAnsi="宋体" w:eastAsia="宋体" w:cs="宋体"/>
                <w:sz w:val="24"/>
                <w:szCs w:val="24"/>
                <w:highlight w:val="none"/>
              </w:rPr>
              <w:t>对应保险保单生效</w:t>
            </w:r>
            <w:r>
              <w:rPr>
                <w:rStyle w:val="104"/>
                <w:rFonts w:hint="eastAsia" w:ascii="Times New Roman" w:hAnsi="Times New Roman" w:cs="Times New Roman"/>
                <w:b w:val="0"/>
                <w:color w:val="auto"/>
                <w:kern w:val="0"/>
                <w:sz w:val="24"/>
                <w:highlight w:val="none"/>
                <w:lang w:val="en-US" w:eastAsia="zh-CN"/>
              </w:rPr>
              <w:t>，在下学期首月</w:t>
            </w:r>
            <w:r>
              <w:rPr>
                <w:rStyle w:val="104"/>
                <w:rFonts w:hint="eastAsia" w:ascii="Times New Roman" w:hAnsi="Times New Roman" w:eastAsia="宋体" w:cs="Times New Roman"/>
                <w:b w:val="0"/>
                <w:color w:val="auto"/>
                <w:kern w:val="0"/>
                <w:sz w:val="24"/>
                <w:highlight w:val="none"/>
                <w:lang w:val="en-US" w:eastAsia="zh-CN"/>
              </w:rPr>
              <w:t>结束前</w:t>
            </w:r>
            <w:r>
              <w:rPr>
                <w:rStyle w:val="104"/>
                <w:rFonts w:hint="eastAsia" w:ascii="Times New Roman" w:hAnsi="Times New Roman" w:cs="Times New Roman"/>
                <w:b w:val="0"/>
                <w:color w:val="auto"/>
                <w:kern w:val="0"/>
                <w:sz w:val="24"/>
                <w:highlight w:val="none"/>
                <w:lang w:val="en-US" w:eastAsia="zh-CN"/>
              </w:rPr>
              <w:t>，由中标人</w:t>
            </w:r>
            <w:r>
              <w:rPr>
                <w:rStyle w:val="104"/>
                <w:rFonts w:hint="eastAsia" w:ascii="Times New Roman" w:hAnsi="Times New Roman" w:eastAsia="宋体" w:cs="Times New Roman"/>
                <w:b w:val="0"/>
                <w:color w:val="auto"/>
                <w:kern w:val="0"/>
                <w:sz w:val="24"/>
                <w:highlight w:val="none"/>
                <w:lang w:val="en-US" w:eastAsia="zh-CN"/>
              </w:rPr>
              <w:t>发出请款申请，</w:t>
            </w:r>
            <w:r>
              <w:rPr>
                <w:rStyle w:val="104"/>
                <w:rFonts w:hint="eastAsia" w:ascii="Times New Roman" w:hAnsi="Times New Roman" w:cs="Times New Roman"/>
                <w:b w:val="0"/>
                <w:color w:val="auto"/>
                <w:kern w:val="0"/>
                <w:sz w:val="24"/>
                <w:highlight w:val="none"/>
                <w:lang w:val="en-US" w:eastAsia="zh-CN"/>
              </w:rPr>
              <w:t>招标人</w:t>
            </w:r>
            <w:r>
              <w:rPr>
                <w:rStyle w:val="104"/>
                <w:rFonts w:hint="eastAsia" w:ascii="Times New Roman" w:hAnsi="Times New Roman" w:eastAsia="宋体" w:cs="Times New Roman"/>
                <w:b w:val="0"/>
                <w:color w:val="auto"/>
                <w:kern w:val="0"/>
                <w:sz w:val="24"/>
                <w:highlight w:val="none"/>
                <w:lang w:val="en-US" w:eastAsia="zh-CN"/>
              </w:rPr>
              <w:t>按照</w:t>
            </w:r>
            <w:r>
              <w:rPr>
                <w:rStyle w:val="104"/>
                <w:rFonts w:hint="eastAsia" w:ascii="Times New Roman" w:hAnsi="Times New Roman" w:cs="Times New Roman"/>
                <w:b w:val="0"/>
                <w:color w:val="auto"/>
                <w:kern w:val="0"/>
                <w:sz w:val="24"/>
                <w:highlight w:val="none"/>
                <w:lang w:val="en-US" w:eastAsia="zh-CN"/>
              </w:rPr>
              <w:t>本学期已确认的</w:t>
            </w:r>
            <w:r>
              <w:rPr>
                <w:rStyle w:val="104"/>
                <w:rFonts w:hint="eastAsia" w:ascii="Times New Roman" w:hAnsi="Times New Roman" w:eastAsia="宋体" w:cs="Times New Roman"/>
                <w:b w:val="0"/>
                <w:color w:val="auto"/>
                <w:kern w:val="0"/>
                <w:sz w:val="24"/>
                <w:highlight w:val="none"/>
                <w:lang w:val="en-US" w:eastAsia="zh-CN"/>
              </w:rPr>
              <w:t>实际</w:t>
            </w:r>
            <w:r>
              <w:rPr>
                <w:rFonts w:hint="eastAsia" w:ascii="宋体" w:hAnsi="宋体" w:eastAsia="宋体" w:cs="宋体"/>
                <w:b w:val="0"/>
                <w:bCs w:val="0"/>
                <w:color w:val="auto"/>
                <w:kern w:val="0"/>
                <w:sz w:val="24"/>
                <w:szCs w:val="24"/>
                <w:highlight w:val="none"/>
                <w:lang w:val="en-US" w:eastAsia="zh-CN" w:bidi="ar"/>
              </w:rPr>
              <w:t>投保人数</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投保课时数</w:t>
            </w:r>
            <w:r>
              <w:rPr>
                <w:rFonts w:hint="eastAsia" w:ascii="宋体" w:hAnsi="宋体" w:cs="宋体"/>
                <w:b w:val="0"/>
                <w:bCs w:val="0"/>
                <w:color w:val="auto"/>
                <w:kern w:val="0"/>
                <w:sz w:val="24"/>
                <w:szCs w:val="24"/>
                <w:highlight w:val="none"/>
                <w:lang w:val="en-US" w:eastAsia="zh-CN" w:bidi="ar"/>
              </w:rPr>
              <w:t>及结算单价据实结算</w:t>
            </w:r>
            <w:r>
              <w:rPr>
                <w:rStyle w:val="104"/>
                <w:rFonts w:hint="eastAsia" w:ascii="Times New Roman" w:hAnsi="Times New Roman" w:eastAsia="宋体" w:cs="Times New Roman"/>
                <w:b w:val="0"/>
                <w:color w:val="auto"/>
                <w:kern w:val="0"/>
                <w:sz w:val="24"/>
                <w:highlight w:val="none"/>
                <w:lang w:val="en-US" w:eastAsia="zh-CN"/>
              </w:rPr>
              <w:t>。</w:t>
            </w: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644" w:type="dxa"/>
            <w:vAlign w:val="center"/>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546" w:type="dxa"/>
            <w:shd w:val="clear" w:color="auto" w:fill="auto"/>
            <w:vAlign w:val="center"/>
          </w:tcPr>
          <w:p w14:paraId="4A5E2A95">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bCs/>
                <w:color w:val="auto"/>
                <w:kern w:val="0"/>
                <w:sz w:val="24"/>
                <w:szCs w:val="28"/>
                <w:highlight w:val="none"/>
                <w:lang w:val="en-US" w:eastAsia="zh-CN" w:bidi="ar-SA"/>
              </w:rPr>
            </w:pPr>
            <w:r>
              <w:rPr>
                <w:rStyle w:val="104"/>
                <w:rFonts w:hint="default" w:ascii="Times New Roman" w:hAnsi="Times New Roman" w:cs="Times New Roman"/>
                <w:b w:val="0"/>
                <w:color w:val="auto"/>
                <w:kern w:val="0"/>
                <w:sz w:val="24"/>
                <w:highlight w:val="none"/>
              </w:rPr>
              <w:t>合肥市包河区，招标人指定地点。</w:t>
            </w: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644" w:type="dxa"/>
            <w:vAlign w:val="center"/>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546" w:type="dxa"/>
            <w:shd w:val="clear" w:color="auto" w:fill="auto"/>
            <w:vAlign w:val="center"/>
          </w:tcPr>
          <w:p w14:paraId="2E8A8979">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bCs/>
                <w:color w:val="auto"/>
                <w:kern w:val="0"/>
                <w:sz w:val="24"/>
                <w:szCs w:val="28"/>
                <w:highlight w:val="none"/>
                <w:lang w:val="en-US" w:eastAsia="zh-CN" w:bidi="ar-SA"/>
              </w:rPr>
            </w:pPr>
            <w:r>
              <w:rPr>
                <w:rStyle w:val="104"/>
                <w:rFonts w:hint="eastAsia" w:ascii="Times New Roman" w:hAnsi="Times New Roman" w:cs="Times New Roman"/>
                <w:b w:val="0"/>
                <w:color w:val="auto"/>
                <w:kern w:val="0"/>
                <w:sz w:val="24"/>
                <w:highlight w:val="none"/>
                <w:lang w:val="en-US" w:eastAsia="zh-CN"/>
              </w:rPr>
              <w:t>自合同签订之日起，有效期一年。（如合作期满，但项目所在学期尚未结束，可延续至该学期结束时终止</w:t>
            </w:r>
            <w:r>
              <w:rPr>
                <w:rStyle w:val="104"/>
                <w:rFonts w:hint="default" w:ascii="Times New Roman" w:hAnsi="Times New Roman" w:cs="Times New Roman"/>
                <w:b w:val="0"/>
                <w:color w:val="auto"/>
                <w:kern w:val="0"/>
                <w:sz w:val="24"/>
                <w:highlight w:val="none"/>
              </w:rPr>
              <w:t>。</w:t>
            </w:r>
            <w:r>
              <w:rPr>
                <w:rStyle w:val="104"/>
                <w:rFonts w:hint="eastAsia" w:ascii="Times New Roman" w:hAnsi="Times New Roman" w:cs="Times New Roman"/>
                <w:b w:val="0"/>
                <w:color w:val="auto"/>
                <w:kern w:val="0"/>
                <w:sz w:val="24"/>
                <w:highlight w:val="none"/>
              </w:rPr>
              <w:t>）</w:t>
            </w: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66B9B974">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3DFCD38D">
      <w:pPr>
        <w:spacing w:line="360" w:lineRule="auto"/>
        <w:jc w:val="both"/>
        <w:outlineLvl w:val="2"/>
        <w:rPr>
          <w:rFonts w:hint="eastAsia" w:ascii="Times New Roman" w:hAnsi="Times New Roman" w:cs="Times New Roman"/>
          <w:b/>
          <w:color w:val="auto"/>
          <w:sz w:val="24"/>
          <w:highlight w:val="none"/>
          <w:lang w:val="en-US" w:eastAsia="zh-CN"/>
        </w:rPr>
      </w:pPr>
    </w:p>
    <w:p w14:paraId="442F18F7">
      <w:pPr>
        <w:spacing w:line="360" w:lineRule="auto"/>
        <w:jc w:val="center"/>
        <w:outlineLvl w:val="2"/>
        <w:rPr>
          <w:rFonts w:hint="eastAsia" w:ascii="Times New Roman" w:hAnsi="Times New Roman" w:cs="Times New Roman"/>
          <w:b/>
          <w:color w:val="auto"/>
          <w:sz w:val="24"/>
          <w:highlight w:val="none"/>
          <w:lang w:val="en-US" w:eastAsia="zh-CN"/>
        </w:rPr>
      </w:pPr>
    </w:p>
    <w:p w14:paraId="2FB193B9">
      <w:pPr>
        <w:spacing w:line="360" w:lineRule="auto"/>
        <w:jc w:val="both"/>
        <w:outlineLvl w:val="2"/>
        <w:rPr>
          <w:rFonts w:hint="eastAsia" w:ascii="宋体" w:hAnsi="宋体" w:cs="宋体"/>
          <w:b/>
          <w:sz w:val="24"/>
          <w:highlight w:val="none"/>
          <w:lang w:val="en-US" w:eastAsia="zh-CN"/>
        </w:rPr>
      </w:pPr>
    </w:p>
    <w:p w14:paraId="50762642">
      <w:pPr>
        <w:spacing w:line="360" w:lineRule="auto"/>
        <w:jc w:val="center"/>
        <w:outlineLvl w:val="2"/>
        <w:rPr>
          <w:rFonts w:hint="eastAsia" w:ascii="宋体" w:hAnsi="宋体" w:cs="宋体"/>
          <w:b/>
          <w:sz w:val="24"/>
          <w:highlight w:val="none"/>
          <w:lang w:val="en-US" w:eastAsia="zh-CN"/>
        </w:rPr>
      </w:pPr>
    </w:p>
    <w:p w14:paraId="6708A49F">
      <w:pPr>
        <w:spacing w:line="360" w:lineRule="auto"/>
        <w:jc w:val="center"/>
        <w:outlineLvl w:val="2"/>
        <w:rPr>
          <w:rFonts w:hint="eastAsia" w:ascii="宋体" w:hAnsi="宋体" w:cs="宋体"/>
          <w:b/>
          <w:sz w:val="24"/>
          <w:highlight w:val="none"/>
          <w:lang w:val="en-US" w:eastAsia="zh-CN"/>
        </w:rPr>
      </w:pPr>
    </w:p>
    <w:p w14:paraId="226C5E92">
      <w:pPr>
        <w:rPr>
          <w:rFonts w:hint="eastAsia" w:ascii="宋体" w:hAnsi="宋体" w:cs="宋体"/>
          <w:b/>
          <w:sz w:val="24"/>
          <w:highlight w:val="none"/>
          <w:lang w:val="en-US" w:eastAsia="zh-CN"/>
        </w:rPr>
      </w:pPr>
      <w:r>
        <w:rPr>
          <w:rFonts w:hint="eastAsia" w:ascii="宋体" w:hAnsi="宋体" w:cs="宋体"/>
          <w:b/>
          <w:sz w:val="24"/>
          <w:highlight w:val="none"/>
          <w:lang w:val="en-US" w:eastAsia="zh-CN"/>
        </w:rPr>
        <w:br w:type="page"/>
      </w:r>
    </w:p>
    <w:p w14:paraId="3F75716B">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六</w:t>
      </w:r>
      <w:r>
        <w:rPr>
          <w:rFonts w:hint="eastAsia" w:ascii="宋体" w:hAnsi="宋体" w:eastAsia="宋体" w:cs="宋体"/>
          <w:b/>
          <w:sz w:val="24"/>
          <w:highlight w:val="none"/>
        </w:rPr>
        <w:t>、人员配备</w:t>
      </w:r>
    </w:p>
    <w:p w14:paraId="6C4F6374">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0D6ED0A">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0E81E4A">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七</w:t>
      </w:r>
      <w:r>
        <w:rPr>
          <w:rFonts w:hint="eastAsia" w:ascii="宋体" w:hAnsi="宋体" w:eastAsia="宋体" w:cs="宋体"/>
          <w:b/>
          <w:sz w:val="24"/>
          <w:highlight w:val="none"/>
        </w:rPr>
        <w:t>、服务方案</w:t>
      </w:r>
    </w:p>
    <w:p w14:paraId="18B1AD3D">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9A4EAB8">
      <w:pPr>
        <w:spacing w:line="360" w:lineRule="auto"/>
        <w:jc w:val="center"/>
        <w:outlineLvl w:val="2"/>
        <w:rPr>
          <w:rFonts w:hint="eastAsia" w:ascii="宋体" w:hAnsi="宋体" w:eastAsia="宋体" w:cs="宋体"/>
          <w:b/>
          <w:sz w:val="24"/>
          <w:highlight w:val="none"/>
        </w:rPr>
      </w:pPr>
      <w:r>
        <w:rPr>
          <w:rFonts w:hint="eastAsia" w:ascii="宋体" w:hAnsi="宋体" w:eastAsia="宋体" w:cs="宋体"/>
          <w:sz w:val="24"/>
          <w:highlight w:val="none"/>
        </w:rPr>
        <w:br w:type="page"/>
      </w:r>
    </w:p>
    <w:p w14:paraId="6DEBC247">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八</w:t>
      </w:r>
      <w:r>
        <w:rPr>
          <w:rFonts w:hint="eastAsia" w:ascii="宋体" w:hAnsi="宋体" w:eastAsia="宋体" w:cs="宋体"/>
          <w:b/>
          <w:sz w:val="24"/>
          <w:highlight w:val="none"/>
        </w:rPr>
        <w:t>、服务承诺</w:t>
      </w:r>
    </w:p>
    <w:p w14:paraId="2E1B14AA">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3FF198A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762E2870">
      <w:pPr>
        <w:spacing w:line="360" w:lineRule="auto"/>
        <w:jc w:val="center"/>
        <w:outlineLvl w:val="2"/>
        <w:rPr>
          <w:rFonts w:hint="eastAsia" w:ascii="宋体" w:hAnsi="宋体" w:cs="宋体"/>
          <w:b/>
          <w:sz w:val="24"/>
          <w:highlight w:val="none"/>
          <w:lang w:val="en-US" w:eastAsia="zh-CN"/>
        </w:rPr>
        <w:sectPr>
          <w:headerReference r:id="rId9" w:type="default"/>
          <w:footerReference r:id="rId10" w:type="default"/>
          <w:pgSz w:w="11906" w:h="16838"/>
          <w:pgMar w:top="2098" w:right="1474" w:bottom="1701" w:left="1587" w:header="851" w:footer="992" w:gutter="0"/>
          <w:cols w:space="720" w:num="1"/>
          <w:docGrid w:type="lines" w:linePitch="312" w:charSpace="0"/>
        </w:sectPr>
      </w:pPr>
    </w:p>
    <w:p w14:paraId="333B6784">
      <w:pPr>
        <w:spacing w:line="360" w:lineRule="auto"/>
        <w:jc w:val="center"/>
        <w:outlineLvl w:val="2"/>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九、</w:t>
      </w:r>
      <w:r>
        <w:rPr>
          <w:rFonts w:hint="eastAsia" w:ascii="宋体" w:hAnsi="宋体" w:eastAsia="宋体" w:cs="宋体"/>
          <w:b/>
          <w:sz w:val="24"/>
          <w:highlight w:val="none"/>
          <w:lang w:val="en-US" w:eastAsia="zh-CN"/>
        </w:rPr>
        <w:t>理赔服务承诺函</w:t>
      </w:r>
    </w:p>
    <w:p w14:paraId="52B45C31">
      <w:pPr>
        <w:pStyle w:val="22"/>
        <w:spacing w:line="360" w:lineRule="auto"/>
        <w:rPr>
          <w:rFonts w:hint="eastAsia" w:ascii="Times New Roman" w:hAnsi="Times New Roman" w:cs="Times New Roman"/>
          <w:color w:val="auto"/>
          <w:sz w:val="24"/>
          <w:szCs w:val="24"/>
          <w:highlight w:val="none"/>
          <w:lang w:val="en-US" w:eastAsia="zh-CN"/>
        </w:rPr>
      </w:pPr>
    </w:p>
    <w:p w14:paraId="04137AE3">
      <w:pPr>
        <w:pStyle w:val="22"/>
        <w:spacing w:line="360" w:lineRule="auto"/>
        <w:rPr>
          <w:rFonts w:hint="eastAsia"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lang w:val="en-US" w:eastAsia="zh-CN"/>
        </w:rPr>
        <w:t>致：</w:t>
      </w:r>
      <w:r>
        <w:rPr>
          <w:rFonts w:hint="eastAsia" w:ascii="Times New Roman" w:hAnsi="Times New Roman" w:cs="Times New Roman"/>
          <w:color w:val="auto"/>
          <w:sz w:val="24"/>
          <w:szCs w:val="24"/>
          <w:highlight w:val="none"/>
          <w:u w:val="single"/>
          <w:lang w:val="en-US" w:eastAsia="zh-CN"/>
        </w:rPr>
        <w:t>合肥滨湖时光体育发展有限公司</w:t>
      </w:r>
    </w:p>
    <w:p w14:paraId="696D0F6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我公司作为本次保险服务投标单位，现就保险理赔事项郑重承诺如下：</w:t>
      </w:r>
    </w:p>
    <w:p w14:paraId="2F32B05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我公司将严格执行高效理赔流程，在理赔手续齐全后</w:t>
      </w:r>
      <w:r>
        <w:rPr>
          <w:rFonts w:hint="eastAsia" w:ascii="Times New Roman" w:hAnsi="Times New Roman" w:cs="Times New Roman"/>
          <w:b/>
          <w:bCs/>
          <w:color w:val="auto"/>
          <w:sz w:val="24"/>
          <w:szCs w:val="24"/>
          <w:highlight w:val="none"/>
          <w:u w:val="single"/>
          <w:lang w:val="en-US" w:eastAsia="zh-CN"/>
        </w:rPr>
        <w:t xml:space="preserve"> X</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en-US" w:eastAsia="zh-CN"/>
        </w:rPr>
        <w:t>个工作日内（含），将全额保险赔付资金划转至指定账户，确保赔付资金及时、足额到账。</w:t>
      </w:r>
    </w:p>
    <w:p w14:paraId="65589A7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本承诺函作为投标文件的有效组成部分，具有同等法律效力，若我公司中标，将严格恪守本承诺内容，全面履行服务义务，如有违反，自愿承担相应法律责任及违约责任。</w:t>
      </w:r>
    </w:p>
    <w:p w14:paraId="7E158222">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投标人电子签章：</w:t>
      </w:r>
      <w:r>
        <w:rPr>
          <w:rFonts w:hint="eastAsia" w:ascii="宋体" w:hAnsi="宋体" w:eastAsia="宋体" w:cs="宋体"/>
          <w:sz w:val="24"/>
          <w:highlight w:val="none"/>
          <w:u w:val="single"/>
        </w:rPr>
        <w:t xml:space="preserve">              </w:t>
      </w:r>
    </w:p>
    <w:p w14:paraId="04DA1833">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28" w:firstLineChars="1762"/>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787CEC37">
      <w:pPr>
        <w:spacing w:line="360" w:lineRule="auto"/>
        <w:ind w:firstLine="435"/>
        <w:jc w:val="right"/>
        <w:rPr>
          <w:rFonts w:hint="eastAsia" w:ascii="宋体" w:hAnsi="宋体" w:eastAsia="宋体" w:cs="宋体"/>
          <w:sz w:val="24"/>
          <w:highlight w:val="none"/>
          <w:lang w:val="en-US" w:eastAsia="zh-CN"/>
        </w:rPr>
      </w:pPr>
    </w:p>
    <w:p w14:paraId="6DA3F8BC">
      <w:pPr>
        <w:spacing w:line="360" w:lineRule="auto"/>
        <w:jc w:val="center"/>
        <w:outlineLvl w:val="2"/>
        <w:rPr>
          <w:rFonts w:hint="eastAsia" w:ascii="宋体" w:hAnsi="宋体" w:cs="宋体"/>
          <w:b/>
          <w:sz w:val="24"/>
          <w:highlight w:val="none"/>
          <w:lang w:val="en-US" w:eastAsia="zh-CN"/>
        </w:rPr>
        <w:sectPr>
          <w:pgSz w:w="11906" w:h="16838"/>
          <w:pgMar w:top="2098" w:right="1474" w:bottom="1701" w:left="1587" w:header="851" w:footer="992" w:gutter="0"/>
          <w:cols w:space="720" w:num="1"/>
          <w:docGrid w:type="lines" w:linePitch="312" w:charSpace="0"/>
        </w:sectPr>
      </w:pPr>
    </w:p>
    <w:p w14:paraId="6965C8A9">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十</w:t>
      </w:r>
      <w:r>
        <w:rPr>
          <w:rFonts w:hint="eastAsia" w:ascii="宋体" w:hAnsi="宋体" w:eastAsia="宋体" w:cs="宋体"/>
          <w:b/>
          <w:sz w:val="24"/>
          <w:highlight w:val="none"/>
        </w:rPr>
        <w:t>、业绩承诺函</w:t>
      </w:r>
    </w:p>
    <w:p w14:paraId="3B5B6065">
      <w:pPr>
        <w:spacing w:line="360" w:lineRule="auto"/>
        <w:ind w:firstLine="435"/>
        <w:rPr>
          <w:rFonts w:hint="eastAsia" w:ascii="宋体" w:hAnsi="宋体" w:eastAsia="宋体" w:cs="宋体"/>
          <w:sz w:val="24"/>
          <w:highlight w:val="none"/>
        </w:rPr>
      </w:pPr>
    </w:p>
    <w:p w14:paraId="344447C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我单位同意中标候选人公示中公示以下业绩并承诺：响应文件中所提供的业绩均真实有效，若被发现存在任何虚假、隐瞒情况，我单位承担由此产生的一切后果。</w:t>
      </w:r>
    </w:p>
    <w:p w14:paraId="7E8F136B">
      <w:pPr>
        <w:spacing w:line="360" w:lineRule="auto"/>
        <w:ind w:firstLine="435"/>
        <w:rPr>
          <w:rFonts w:hint="eastAsia" w:ascii="宋体" w:hAnsi="宋体" w:eastAsia="宋体" w:cs="宋体"/>
          <w:sz w:val="24"/>
          <w:highlight w:val="none"/>
        </w:rPr>
      </w:pPr>
    </w:p>
    <w:p w14:paraId="07DFD916">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投标人电子签章：</w:t>
      </w:r>
      <w:r>
        <w:rPr>
          <w:rFonts w:hint="eastAsia" w:ascii="宋体" w:hAnsi="宋体" w:eastAsia="宋体" w:cs="宋体"/>
          <w:sz w:val="24"/>
          <w:highlight w:val="none"/>
          <w:u w:val="single"/>
        </w:rPr>
        <w:t xml:space="preserve">              </w:t>
      </w:r>
    </w:p>
    <w:p w14:paraId="5CDCA6C3">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5E955B69">
      <w:pPr>
        <w:tabs>
          <w:tab w:val="left" w:pos="630"/>
        </w:tabs>
        <w:spacing w:line="360" w:lineRule="auto"/>
        <w:ind w:firstLine="3700" w:firstLineChars="1762"/>
        <w:rPr>
          <w:rFonts w:hint="eastAsia" w:ascii="宋体" w:hAnsi="宋体" w:eastAsia="宋体" w:cs="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8E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50B26D8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106" w:type="dxa"/>
            <w:vAlign w:val="center"/>
          </w:tcPr>
          <w:p w14:paraId="6E9D493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528" w:type="dxa"/>
            <w:vAlign w:val="center"/>
          </w:tcPr>
          <w:p w14:paraId="78A7D761">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948" w:type="dxa"/>
            <w:vAlign w:val="center"/>
          </w:tcPr>
          <w:p w14:paraId="26F8CE3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7CF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E20C4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06" w:type="dxa"/>
            <w:vAlign w:val="center"/>
          </w:tcPr>
          <w:p w14:paraId="11C4E562">
            <w:pPr>
              <w:spacing w:line="360" w:lineRule="auto"/>
              <w:rPr>
                <w:rFonts w:hint="eastAsia" w:ascii="宋体" w:hAnsi="宋体" w:eastAsia="宋体" w:cs="宋体"/>
                <w:sz w:val="24"/>
                <w:szCs w:val="24"/>
                <w:highlight w:val="none"/>
              </w:rPr>
            </w:pPr>
          </w:p>
        </w:tc>
        <w:tc>
          <w:tcPr>
            <w:tcW w:w="2528" w:type="dxa"/>
            <w:vAlign w:val="center"/>
          </w:tcPr>
          <w:p w14:paraId="05C3734E">
            <w:pPr>
              <w:spacing w:line="360" w:lineRule="auto"/>
              <w:rPr>
                <w:rFonts w:hint="eastAsia" w:ascii="宋体" w:hAnsi="宋体" w:eastAsia="宋体" w:cs="宋体"/>
                <w:sz w:val="24"/>
                <w:szCs w:val="24"/>
                <w:highlight w:val="none"/>
              </w:rPr>
            </w:pPr>
          </w:p>
        </w:tc>
        <w:tc>
          <w:tcPr>
            <w:tcW w:w="948" w:type="dxa"/>
            <w:vAlign w:val="center"/>
          </w:tcPr>
          <w:p w14:paraId="5E1783BA">
            <w:pPr>
              <w:spacing w:line="360" w:lineRule="auto"/>
              <w:rPr>
                <w:rFonts w:hint="eastAsia" w:ascii="宋体" w:hAnsi="宋体" w:eastAsia="宋体" w:cs="宋体"/>
                <w:sz w:val="24"/>
                <w:szCs w:val="24"/>
                <w:highlight w:val="none"/>
              </w:rPr>
            </w:pPr>
          </w:p>
        </w:tc>
      </w:tr>
      <w:tr w14:paraId="51C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9EABF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06" w:type="dxa"/>
            <w:vAlign w:val="center"/>
          </w:tcPr>
          <w:p w14:paraId="04A0E110">
            <w:pPr>
              <w:spacing w:line="360" w:lineRule="auto"/>
              <w:rPr>
                <w:rFonts w:hint="eastAsia" w:ascii="宋体" w:hAnsi="宋体" w:eastAsia="宋体" w:cs="宋体"/>
                <w:sz w:val="24"/>
                <w:szCs w:val="24"/>
                <w:highlight w:val="none"/>
              </w:rPr>
            </w:pPr>
          </w:p>
        </w:tc>
        <w:tc>
          <w:tcPr>
            <w:tcW w:w="2528" w:type="dxa"/>
            <w:vAlign w:val="center"/>
          </w:tcPr>
          <w:p w14:paraId="7FB4D678">
            <w:pPr>
              <w:spacing w:line="360" w:lineRule="auto"/>
              <w:rPr>
                <w:rFonts w:hint="eastAsia" w:ascii="宋体" w:hAnsi="宋体" w:eastAsia="宋体" w:cs="宋体"/>
                <w:sz w:val="24"/>
                <w:szCs w:val="24"/>
                <w:highlight w:val="none"/>
              </w:rPr>
            </w:pPr>
          </w:p>
        </w:tc>
        <w:tc>
          <w:tcPr>
            <w:tcW w:w="948" w:type="dxa"/>
            <w:vAlign w:val="center"/>
          </w:tcPr>
          <w:p w14:paraId="5F421D9B">
            <w:pPr>
              <w:spacing w:line="360" w:lineRule="auto"/>
              <w:rPr>
                <w:rFonts w:hint="eastAsia" w:ascii="宋体" w:hAnsi="宋体" w:eastAsia="宋体" w:cs="宋体"/>
                <w:sz w:val="24"/>
                <w:szCs w:val="24"/>
                <w:highlight w:val="none"/>
              </w:rPr>
            </w:pPr>
          </w:p>
        </w:tc>
      </w:tr>
      <w:tr w14:paraId="55B4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4C5D7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106" w:type="dxa"/>
            <w:vAlign w:val="center"/>
          </w:tcPr>
          <w:p w14:paraId="31CFD00B">
            <w:pPr>
              <w:spacing w:line="360" w:lineRule="auto"/>
              <w:rPr>
                <w:rFonts w:hint="eastAsia" w:ascii="宋体" w:hAnsi="宋体" w:eastAsia="宋体" w:cs="宋体"/>
                <w:sz w:val="24"/>
                <w:szCs w:val="24"/>
                <w:highlight w:val="none"/>
              </w:rPr>
            </w:pPr>
          </w:p>
        </w:tc>
        <w:tc>
          <w:tcPr>
            <w:tcW w:w="2528" w:type="dxa"/>
            <w:vAlign w:val="center"/>
          </w:tcPr>
          <w:p w14:paraId="2779DECE">
            <w:pPr>
              <w:spacing w:line="360" w:lineRule="auto"/>
              <w:rPr>
                <w:rFonts w:hint="eastAsia" w:ascii="宋体" w:hAnsi="宋体" w:eastAsia="宋体" w:cs="宋体"/>
                <w:sz w:val="24"/>
                <w:szCs w:val="24"/>
                <w:highlight w:val="none"/>
              </w:rPr>
            </w:pPr>
          </w:p>
        </w:tc>
        <w:tc>
          <w:tcPr>
            <w:tcW w:w="948" w:type="dxa"/>
            <w:vAlign w:val="center"/>
          </w:tcPr>
          <w:p w14:paraId="0EF37AA0">
            <w:pPr>
              <w:spacing w:line="360" w:lineRule="auto"/>
              <w:rPr>
                <w:rFonts w:hint="eastAsia" w:ascii="宋体" w:hAnsi="宋体" w:eastAsia="宋体" w:cs="宋体"/>
                <w:sz w:val="24"/>
                <w:szCs w:val="24"/>
                <w:highlight w:val="none"/>
              </w:rPr>
            </w:pPr>
          </w:p>
        </w:tc>
      </w:tr>
      <w:tr w14:paraId="620C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2CC54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106" w:type="dxa"/>
            <w:vAlign w:val="center"/>
          </w:tcPr>
          <w:p w14:paraId="59332D38">
            <w:pPr>
              <w:spacing w:line="360" w:lineRule="auto"/>
              <w:rPr>
                <w:rFonts w:hint="eastAsia" w:ascii="宋体" w:hAnsi="宋体" w:eastAsia="宋体" w:cs="宋体"/>
                <w:sz w:val="24"/>
                <w:szCs w:val="24"/>
                <w:highlight w:val="none"/>
              </w:rPr>
            </w:pPr>
          </w:p>
        </w:tc>
        <w:tc>
          <w:tcPr>
            <w:tcW w:w="2528" w:type="dxa"/>
            <w:vAlign w:val="center"/>
          </w:tcPr>
          <w:p w14:paraId="7E1E5E68">
            <w:pPr>
              <w:spacing w:line="360" w:lineRule="auto"/>
              <w:rPr>
                <w:rFonts w:hint="eastAsia" w:ascii="宋体" w:hAnsi="宋体" w:eastAsia="宋体" w:cs="宋体"/>
                <w:sz w:val="24"/>
                <w:szCs w:val="24"/>
                <w:highlight w:val="none"/>
              </w:rPr>
            </w:pPr>
          </w:p>
        </w:tc>
        <w:tc>
          <w:tcPr>
            <w:tcW w:w="948" w:type="dxa"/>
            <w:vAlign w:val="center"/>
          </w:tcPr>
          <w:p w14:paraId="0D3469C6">
            <w:pPr>
              <w:spacing w:line="360" w:lineRule="auto"/>
              <w:rPr>
                <w:rFonts w:hint="eastAsia" w:ascii="宋体" w:hAnsi="宋体" w:eastAsia="宋体" w:cs="宋体"/>
                <w:sz w:val="24"/>
                <w:szCs w:val="24"/>
                <w:highlight w:val="none"/>
              </w:rPr>
            </w:pPr>
          </w:p>
        </w:tc>
      </w:tr>
      <w:tr w14:paraId="4A9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8C5A0B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106" w:type="dxa"/>
            <w:vAlign w:val="center"/>
          </w:tcPr>
          <w:p w14:paraId="167F1B4E">
            <w:pPr>
              <w:spacing w:line="360" w:lineRule="auto"/>
              <w:rPr>
                <w:rFonts w:hint="eastAsia" w:ascii="宋体" w:hAnsi="宋体" w:eastAsia="宋体" w:cs="宋体"/>
                <w:sz w:val="24"/>
                <w:szCs w:val="24"/>
                <w:highlight w:val="none"/>
              </w:rPr>
            </w:pPr>
          </w:p>
        </w:tc>
        <w:tc>
          <w:tcPr>
            <w:tcW w:w="2528" w:type="dxa"/>
            <w:vAlign w:val="center"/>
          </w:tcPr>
          <w:p w14:paraId="6ABB56E4">
            <w:pPr>
              <w:spacing w:line="360" w:lineRule="auto"/>
              <w:rPr>
                <w:rFonts w:hint="eastAsia" w:ascii="宋体" w:hAnsi="宋体" w:eastAsia="宋体" w:cs="宋体"/>
                <w:sz w:val="24"/>
                <w:szCs w:val="24"/>
                <w:highlight w:val="none"/>
              </w:rPr>
            </w:pPr>
          </w:p>
        </w:tc>
        <w:tc>
          <w:tcPr>
            <w:tcW w:w="948" w:type="dxa"/>
            <w:vAlign w:val="center"/>
          </w:tcPr>
          <w:p w14:paraId="79D0A196">
            <w:pPr>
              <w:spacing w:line="360" w:lineRule="auto"/>
              <w:rPr>
                <w:rFonts w:hint="eastAsia" w:ascii="宋体" w:hAnsi="宋体" w:eastAsia="宋体" w:cs="宋体"/>
                <w:sz w:val="24"/>
                <w:szCs w:val="24"/>
                <w:highlight w:val="none"/>
              </w:rPr>
            </w:pPr>
          </w:p>
        </w:tc>
      </w:tr>
      <w:tr w14:paraId="69E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6BD89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106" w:type="dxa"/>
            <w:vAlign w:val="center"/>
          </w:tcPr>
          <w:p w14:paraId="260C02DF">
            <w:pPr>
              <w:spacing w:line="360" w:lineRule="auto"/>
              <w:rPr>
                <w:rFonts w:hint="eastAsia" w:ascii="宋体" w:hAnsi="宋体" w:eastAsia="宋体" w:cs="宋体"/>
                <w:sz w:val="24"/>
                <w:szCs w:val="24"/>
                <w:highlight w:val="none"/>
              </w:rPr>
            </w:pPr>
          </w:p>
        </w:tc>
        <w:tc>
          <w:tcPr>
            <w:tcW w:w="2528" w:type="dxa"/>
            <w:vAlign w:val="center"/>
          </w:tcPr>
          <w:p w14:paraId="1AFFBA5B">
            <w:pPr>
              <w:spacing w:line="360" w:lineRule="auto"/>
              <w:rPr>
                <w:rFonts w:hint="eastAsia" w:ascii="宋体" w:hAnsi="宋体" w:eastAsia="宋体" w:cs="宋体"/>
                <w:sz w:val="24"/>
                <w:szCs w:val="24"/>
                <w:highlight w:val="none"/>
              </w:rPr>
            </w:pPr>
          </w:p>
        </w:tc>
        <w:tc>
          <w:tcPr>
            <w:tcW w:w="948" w:type="dxa"/>
            <w:vAlign w:val="center"/>
          </w:tcPr>
          <w:p w14:paraId="78D12AF9">
            <w:pPr>
              <w:spacing w:line="360" w:lineRule="auto"/>
              <w:rPr>
                <w:rFonts w:hint="eastAsia" w:ascii="宋体" w:hAnsi="宋体" w:eastAsia="宋体" w:cs="宋体"/>
                <w:sz w:val="24"/>
                <w:szCs w:val="24"/>
                <w:highlight w:val="none"/>
              </w:rPr>
            </w:pPr>
          </w:p>
        </w:tc>
      </w:tr>
    </w:tbl>
    <w:p w14:paraId="3ECC12D2">
      <w:pPr>
        <w:adjustRightInd w:val="0"/>
        <w:snapToGrid w:val="0"/>
        <w:spacing w:line="360" w:lineRule="auto"/>
        <w:rPr>
          <w:rFonts w:hint="eastAsia" w:ascii="宋体" w:hAnsi="宋体" w:eastAsia="宋体" w:cs="宋体"/>
          <w:b/>
          <w:bCs/>
          <w:sz w:val="24"/>
          <w:szCs w:val="28"/>
          <w:highlight w:val="none"/>
        </w:rPr>
      </w:pPr>
    </w:p>
    <w:p w14:paraId="6485032B">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备注：</w:t>
      </w:r>
    </w:p>
    <w:p w14:paraId="5D25823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1.表中所列业绩应为投标人满足</w:t>
      </w:r>
      <w:r>
        <w:rPr>
          <w:rFonts w:hint="eastAsia" w:ascii="宋体" w:hAnsi="宋体" w:cs="宋体"/>
          <w:sz w:val="24"/>
          <w:highlight w:val="none"/>
          <w:lang w:val="en-US" w:eastAsia="zh-CN"/>
        </w:rPr>
        <w:t>招标</w:t>
      </w:r>
      <w:r>
        <w:rPr>
          <w:rFonts w:hint="eastAsia" w:ascii="宋体" w:hAnsi="宋体" w:eastAsia="宋体" w:cs="宋体"/>
          <w:sz w:val="24"/>
          <w:highlight w:val="none"/>
        </w:rPr>
        <w:t>文件要求的业绩；</w:t>
      </w:r>
    </w:p>
    <w:p w14:paraId="34B7CEF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2.中标候选人提供的以上业绩情况，如</w:t>
      </w:r>
      <w:r>
        <w:rPr>
          <w:rFonts w:hint="eastAsia" w:ascii="宋体" w:hAnsi="宋体" w:cs="宋体"/>
          <w:sz w:val="24"/>
          <w:highlight w:val="none"/>
          <w:lang w:val="en-US" w:eastAsia="zh-CN"/>
        </w:rPr>
        <w:t>招标</w:t>
      </w:r>
      <w:r>
        <w:rPr>
          <w:rFonts w:hint="eastAsia" w:ascii="宋体" w:hAnsi="宋体" w:eastAsia="宋体" w:cs="宋体"/>
          <w:sz w:val="24"/>
          <w:highlight w:val="none"/>
        </w:rPr>
        <w:t>文件《投标人须知前附表》有约定的，将按约定随中标候选人公示同时公告。</w:t>
      </w:r>
    </w:p>
    <w:p w14:paraId="5BE74C7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C9AB332">
      <w:pPr>
        <w:pStyle w:val="4"/>
        <w:rPr>
          <w:rFonts w:hint="eastAsia"/>
          <w:highlight w:val="none"/>
          <w:lang w:val="en-US" w:eastAsia="zh-CN"/>
        </w:rPr>
      </w:pP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十一</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3"/>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3"/>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191450E0">
      <w:pPr>
        <w:jc w:val="center"/>
        <w:rPr>
          <w:rFonts w:hint="default" w:ascii="Times New Roman" w:hAnsi="Times New Roman" w:eastAsia="宋体" w:cs="Times New Roman"/>
          <w:color w:val="auto"/>
          <w:sz w:val="32"/>
          <w:szCs w:val="28"/>
          <w:highlight w:val="none"/>
          <w:lang w:val="en-US" w:eastAsia="zh-CN"/>
        </w:rPr>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CAD713-224B-497B-BBB1-2C1D3A78C134}"/>
  </w:font>
  <w:font w:name="黑体">
    <w:panose1 w:val="02010609060101010101"/>
    <w:charset w:val="86"/>
    <w:family w:val="auto"/>
    <w:pitch w:val="default"/>
    <w:sig w:usb0="800002BF" w:usb1="38CF7CFA" w:usb2="00000016" w:usb3="00000000" w:csb0="00040001" w:csb1="00000000"/>
    <w:embedRegular r:id="rId2" w:fontKey="{C140D8B9-3A15-4B07-A2AC-1D69F3B2F8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97E9AD4E-784E-4E6B-BD4A-0D4EB19C94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53AD">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F13AB"/>
    <w:multiLevelType w:val="singleLevel"/>
    <w:tmpl w:val="B42F13AB"/>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DC0950"/>
    <w:rsid w:val="02EC1FFF"/>
    <w:rsid w:val="02F63A2F"/>
    <w:rsid w:val="03100052"/>
    <w:rsid w:val="031054AA"/>
    <w:rsid w:val="032A2860"/>
    <w:rsid w:val="034A60F0"/>
    <w:rsid w:val="03D13EED"/>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BE44D6"/>
    <w:rsid w:val="06C41B69"/>
    <w:rsid w:val="06C5217B"/>
    <w:rsid w:val="06F3181D"/>
    <w:rsid w:val="0700034F"/>
    <w:rsid w:val="07034950"/>
    <w:rsid w:val="07171DAE"/>
    <w:rsid w:val="071874D5"/>
    <w:rsid w:val="071F7685"/>
    <w:rsid w:val="0729785D"/>
    <w:rsid w:val="073A3E6D"/>
    <w:rsid w:val="07534192"/>
    <w:rsid w:val="075524D7"/>
    <w:rsid w:val="07924A9B"/>
    <w:rsid w:val="07971970"/>
    <w:rsid w:val="07B45450"/>
    <w:rsid w:val="07B87556"/>
    <w:rsid w:val="07F33DC6"/>
    <w:rsid w:val="0849203C"/>
    <w:rsid w:val="085F62D4"/>
    <w:rsid w:val="08935065"/>
    <w:rsid w:val="08B50556"/>
    <w:rsid w:val="08D12F8B"/>
    <w:rsid w:val="08E96A5C"/>
    <w:rsid w:val="0909558F"/>
    <w:rsid w:val="09267C87"/>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9A6B7F"/>
    <w:rsid w:val="0AA364AD"/>
    <w:rsid w:val="0AA84591"/>
    <w:rsid w:val="0AD57BB7"/>
    <w:rsid w:val="0AE60A5A"/>
    <w:rsid w:val="0B133295"/>
    <w:rsid w:val="0B224DC6"/>
    <w:rsid w:val="0B23686C"/>
    <w:rsid w:val="0B310B66"/>
    <w:rsid w:val="0B4B645B"/>
    <w:rsid w:val="0B5F3925"/>
    <w:rsid w:val="0B6121D2"/>
    <w:rsid w:val="0B655FB4"/>
    <w:rsid w:val="0B7A250D"/>
    <w:rsid w:val="0BB65F2A"/>
    <w:rsid w:val="0BB84DE3"/>
    <w:rsid w:val="0BDA16AA"/>
    <w:rsid w:val="0BE1330C"/>
    <w:rsid w:val="0BFB1B63"/>
    <w:rsid w:val="0C073878"/>
    <w:rsid w:val="0C410E60"/>
    <w:rsid w:val="0C523489"/>
    <w:rsid w:val="0C601702"/>
    <w:rsid w:val="0C7840D0"/>
    <w:rsid w:val="0C7F1C11"/>
    <w:rsid w:val="0C8C02F7"/>
    <w:rsid w:val="0CBA5828"/>
    <w:rsid w:val="0CE42333"/>
    <w:rsid w:val="0CFD51A3"/>
    <w:rsid w:val="0D042714"/>
    <w:rsid w:val="0D156991"/>
    <w:rsid w:val="0D225DB0"/>
    <w:rsid w:val="0D2D535E"/>
    <w:rsid w:val="0D305A16"/>
    <w:rsid w:val="0D3F57BC"/>
    <w:rsid w:val="0D40067A"/>
    <w:rsid w:val="0D58062B"/>
    <w:rsid w:val="0DA93E40"/>
    <w:rsid w:val="0DE40111"/>
    <w:rsid w:val="0DEE10BE"/>
    <w:rsid w:val="0DF43E62"/>
    <w:rsid w:val="0E100F06"/>
    <w:rsid w:val="0E296B84"/>
    <w:rsid w:val="0E2D1AB8"/>
    <w:rsid w:val="0E4378B3"/>
    <w:rsid w:val="0E763583"/>
    <w:rsid w:val="0EA35954"/>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A46535"/>
    <w:rsid w:val="11A80D47"/>
    <w:rsid w:val="11AB7101"/>
    <w:rsid w:val="11CF379D"/>
    <w:rsid w:val="11D84431"/>
    <w:rsid w:val="11DC78F9"/>
    <w:rsid w:val="120243B9"/>
    <w:rsid w:val="121F78C4"/>
    <w:rsid w:val="12586C88"/>
    <w:rsid w:val="12730B93"/>
    <w:rsid w:val="12902F6B"/>
    <w:rsid w:val="12A54313"/>
    <w:rsid w:val="12A5765A"/>
    <w:rsid w:val="12AE187B"/>
    <w:rsid w:val="12B271C9"/>
    <w:rsid w:val="12C66037"/>
    <w:rsid w:val="12F20B40"/>
    <w:rsid w:val="130328E2"/>
    <w:rsid w:val="13114A30"/>
    <w:rsid w:val="135342BD"/>
    <w:rsid w:val="13552773"/>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3537D5"/>
    <w:rsid w:val="17635248"/>
    <w:rsid w:val="17BE7C25"/>
    <w:rsid w:val="17C90A93"/>
    <w:rsid w:val="182E4A5F"/>
    <w:rsid w:val="183432DB"/>
    <w:rsid w:val="185E19C0"/>
    <w:rsid w:val="18602A8A"/>
    <w:rsid w:val="186D2DAD"/>
    <w:rsid w:val="18820C52"/>
    <w:rsid w:val="18AB1F57"/>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27C6F"/>
    <w:rsid w:val="1AD67E21"/>
    <w:rsid w:val="1AF8060F"/>
    <w:rsid w:val="1AFB36BE"/>
    <w:rsid w:val="1AFC1232"/>
    <w:rsid w:val="1B154000"/>
    <w:rsid w:val="1B6D5BEA"/>
    <w:rsid w:val="1BCF41AF"/>
    <w:rsid w:val="1BD86ABB"/>
    <w:rsid w:val="1BDB3E45"/>
    <w:rsid w:val="1C1147C7"/>
    <w:rsid w:val="1C2A75A8"/>
    <w:rsid w:val="1C314B47"/>
    <w:rsid w:val="1C536B8E"/>
    <w:rsid w:val="1C572903"/>
    <w:rsid w:val="1C8651B5"/>
    <w:rsid w:val="1C8B33CB"/>
    <w:rsid w:val="1C9D42AD"/>
    <w:rsid w:val="1CD33C78"/>
    <w:rsid w:val="1CEF0653"/>
    <w:rsid w:val="1D0C23D3"/>
    <w:rsid w:val="1D1633DB"/>
    <w:rsid w:val="1D3028A5"/>
    <w:rsid w:val="1D653FD5"/>
    <w:rsid w:val="1D813BCE"/>
    <w:rsid w:val="1D862F93"/>
    <w:rsid w:val="1D8A337B"/>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0FD1333"/>
    <w:rsid w:val="212F42EC"/>
    <w:rsid w:val="213B1AA3"/>
    <w:rsid w:val="21763A79"/>
    <w:rsid w:val="2193532F"/>
    <w:rsid w:val="21C67DF7"/>
    <w:rsid w:val="21D81213"/>
    <w:rsid w:val="21E253A6"/>
    <w:rsid w:val="22262F09"/>
    <w:rsid w:val="226E2973"/>
    <w:rsid w:val="228E23A6"/>
    <w:rsid w:val="22BD058C"/>
    <w:rsid w:val="22C32593"/>
    <w:rsid w:val="22CC3F58"/>
    <w:rsid w:val="22D402FC"/>
    <w:rsid w:val="22FD1E5A"/>
    <w:rsid w:val="23051DB7"/>
    <w:rsid w:val="231F1703"/>
    <w:rsid w:val="23221B80"/>
    <w:rsid w:val="2329538E"/>
    <w:rsid w:val="23900769"/>
    <w:rsid w:val="23A14683"/>
    <w:rsid w:val="23AB72A0"/>
    <w:rsid w:val="23AC3027"/>
    <w:rsid w:val="23B55F2B"/>
    <w:rsid w:val="23C84A7D"/>
    <w:rsid w:val="23D031BA"/>
    <w:rsid w:val="23F073B8"/>
    <w:rsid w:val="243C7B16"/>
    <w:rsid w:val="2460234C"/>
    <w:rsid w:val="2472589C"/>
    <w:rsid w:val="247C2D8F"/>
    <w:rsid w:val="248539D2"/>
    <w:rsid w:val="2496467F"/>
    <w:rsid w:val="24AE25E4"/>
    <w:rsid w:val="24B34650"/>
    <w:rsid w:val="24BE74B6"/>
    <w:rsid w:val="24C85C3F"/>
    <w:rsid w:val="25090731"/>
    <w:rsid w:val="251004E8"/>
    <w:rsid w:val="251B0465"/>
    <w:rsid w:val="251E609F"/>
    <w:rsid w:val="256924E9"/>
    <w:rsid w:val="258B0549"/>
    <w:rsid w:val="25A5669D"/>
    <w:rsid w:val="25A65A51"/>
    <w:rsid w:val="25B51460"/>
    <w:rsid w:val="25D02118"/>
    <w:rsid w:val="263F63D5"/>
    <w:rsid w:val="26831195"/>
    <w:rsid w:val="26CA52C8"/>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361C1D"/>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CF0062"/>
    <w:rsid w:val="2CE837D6"/>
    <w:rsid w:val="2CFA1613"/>
    <w:rsid w:val="2D1F29FA"/>
    <w:rsid w:val="2D2C26E6"/>
    <w:rsid w:val="2D3C541C"/>
    <w:rsid w:val="2D503240"/>
    <w:rsid w:val="2D6B7B04"/>
    <w:rsid w:val="2DB77A10"/>
    <w:rsid w:val="2DBA114A"/>
    <w:rsid w:val="2DBA2F11"/>
    <w:rsid w:val="2DD7283F"/>
    <w:rsid w:val="2E3C1B78"/>
    <w:rsid w:val="2E9A1EB4"/>
    <w:rsid w:val="2EA64F2E"/>
    <w:rsid w:val="2EB2322D"/>
    <w:rsid w:val="2EB77450"/>
    <w:rsid w:val="2EFB2629"/>
    <w:rsid w:val="2F0401BB"/>
    <w:rsid w:val="2F0E519C"/>
    <w:rsid w:val="2F190D56"/>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3C06C2"/>
    <w:rsid w:val="314825E1"/>
    <w:rsid w:val="31543F3A"/>
    <w:rsid w:val="31554CFE"/>
    <w:rsid w:val="31585844"/>
    <w:rsid w:val="31C20277"/>
    <w:rsid w:val="321720DE"/>
    <w:rsid w:val="3218123E"/>
    <w:rsid w:val="32190491"/>
    <w:rsid w:val="324C0DBC"/>
    <w:rsid w:val="325356E2"/>
    <w:rsid w:val="325E7BE3"/>
    <w:rsid w:val="32667020"/>
    <w:rsid w:val="32702C04"/>
    <w:rsid w:val="327515D8"/>
    <w:rsid w:val="329B497D"/>
    <w:rsid w:val="32A25A3B"/>
    <w:rsid w:val="32AB0692"/>
    <w:rsid w:val="32B545C0"/>
    <w:rsid w:val="32C043F9"/>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474A9"/>
    <w:rsid w:val="341D7D55"/>
    <w:rsid w:val="342F5CDB"/>
    <w:rsid w:val="34374063"/>
    <w:rsid w:val="345C74F2"/>
    <w:rsid w:val="346148D3"/>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5C01D8"/>
    <w:rsid w:val="369858BF"/>
    <w:rsid w:val="369E291D"/>
    <w:rsid w:val="36B6389F"/>
    <w:rsid w:val="36BB5604"/>
    <w:rsid w:val="36DA2C22"/>
    <w:rsid w:val="36EC3A0F"/>
    <w:rsid w:val="371371EE"/>
    <w:rsid w:val="37264343"/>
    <w:rsid w:val="372C7CDD"/>
    <w:rsid w:val="37445638"/>
    <w:rsid w:val="37450E5C"/>
    <w:rsid w:val="37500442"/>
    <w:rsid w:val="37A61E10"/>
    <w:rsid w:val="37B60EBC"/>
    <w:rsid w:val="37BB1460"/>
    <w:rsid w:val="37C56917"/>
    <w:rsid w:val="37C84E9C"/>
    <w:rsid w:val="37CF55FF"/>
    <w:rsid w:val="37D3697D"/>
    <w:rsid w:val="38304C62"/>
    <w:rsid w:val="3834542A"/>
    <w:rsid w:val="38374672"/>
    <w:rsid w:val="383A69FC"/>
    <w:rsid w:val="38483101"/>
    <w:rsid w:val="38573137"/>
    <w:rsid w:val="386E18A2"/>
    <w:rsid w:val="387376AD"/>
    <w:rsid w:val="387D56E4"/>
    <w:rsid w:val="387D5955"/>
    <w:rsid w:val="388F0AF6"/>
    <w:rsid w:val="389B098A"/>
    <w:rsid w:val="389D0A70"/>
    <w:rsid w:val="38A04AB1"/>
    <w:rsid w:val="38C31804"/>
    <w:rsid w:val="38C509BB"/>
    <w:rsid w:val="38D05821"/>
    <w:rsid w:val="38E56968"/>
    <w:rsid w:val="38EF28D7"/>
    <w:rsid w:val="38F52E00"/>
    <w:rsid w:val="39316051"/>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BC42F8"/>
    <w:rsid w:val="3BCE7B87"/>
    <w:rsid w:val="3BD038FF"/>
    <w:rsid w:val="3BF35840"/>
    <w:rsid w:val="3C042745"/>
    <w:rsid w:val="3C0F5324"/>
    <w:rsid w:val="3C137C90"/>
    <w:rsid w:val="3C770C51"/>
    <w:rsid w:val="3C7C5835"/>
    <w:rsid w:val="3C86556E"/>
    <w:rsid w:val="3C9C1EDC"/>
    <w:rsid w:val="3CA20495"/>
    <w:rsid w:val="3CA871F1"/>
    <w:rsid w:val="3CAF6B4F"/>
    <w:rsid w:val="3CE157CC"/>
    <w:rsid w:val="3CF45AB1"/>
    <w:rsid w:val="3D22462E"/>
    <w:rsid w:val="3D270A63"/>
    <w:rsid w:val="3D3251B2"/>
    <w:rsid w:val="3D475CBA"/>
    <w:rsid w:val="3D63216E"/>
    <w:rsid w:val="3D667DA8"/>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7E1BCF"/>
    <w:rsid w:val="3F876C14"/>
    <w:rsid w:val="3FBE1F95"/>
    <w:rsid w:val="3FCC680A"/>
    <w:rsid w:val="3FD339BE"/>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144A19"/>
    <w:rsid w:val="432664FB"/>
    <w:rsid w:val="43334BED"/>
    <w:rsid w:val="434F5A51"/>
    <w:rsid w:val="43625023"/>
    <w:rsid w:val="43647127"/>
    <w:rsid w:val="43771229"/>
    <w:rsid w:val="43C26ECE"/>
    <w:rsid w:val="43E86F4C"/>
    <w:rsid w:val="441578FA"/>
    <w:rsid w:val="441F0B16"/>
    <w:rsid w:val="4496304A"/>
    <w:rsid w:val="44A517DD"/>
    <w:rsid w:val="44A818BD"/>
    <w:rsid w:val="44AA1EA1"/>
    <w:rsid w:val="44AE49FA"/>
    <w:rsid w:val="45036AF3"/>
    <w:rsid w:val="4517434D"/>
    <w:rsid w:val="45487A8E"/>
    <w:rsid w:val="454F300E"/>
    <w:rsid w:val="45561319"/>
    <w:rsid w:val="4568227F"/>
    <w:rsid w:val="457A3D23"/>
    <w:rsid w:val="458F3906"/>
    <w:rsid w:val="45997458"/>
    <w:rsid w:val="459E5DCC"/>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8F069E"/>
    <w:rsid w:val="48971D34"/>
    <w:rsid w:val="48B32B2A"/>
    <w:rsid w:val="48EA57D2"/>
    <w:rsid w:val="49122810"/>
    <w:rsid w:val="491267DF"/>
    <w:rsid w:val="49226F0A"/>
    <w:rsid w:val="49362D3A"/>
    <w:rsid w:val="493A685C"/>
    <w:rsid w:val="49557B3A"/>
    <w:rsid w:val="495F603B"/>
    <w:rsid w:val="496B07D8"/>
    <w:rsid w:val="498B57D8"/>
    <w:rsid w:val="49A935EE"/>
    <w:rsid w:val="49BB05BF"/>
    <w:rsid w:val="49C75EDA"/>
    <w:rsid w:val="49DE0A5E"/>
    <w:rsid w:val="4A0B01F8"/>
    <w:rsid w:val="4A0F0210"/>
    <w:rsid w:val="4A1277D9"/>
    <w:rsid w:val="4A1A3D12"/>
    <w:rsid w:val="4A2F5729"/>
    <w:rsid w:val="4A3B288C"/>
    <w:rsid w:val="4A3D1B6F"/>
    <w:rsid w:val="4A443FBD"/>
    <w:rsid w:val="4A47036A"/>
    <w:rsid w:val="4AB53B4F"/>
    <w:rsid w:val="4ACD3F08"/>
    <w:rsid w:val="4AD71467"/>
    <w:rsid w:val="4B0215FB"/>
    <w:rsid w:val="4B233854"/>
    <w:rsid w:val="4B4A2CEC"/>
    <w:rsid w:val="4B4C61C0"/>
    <w:rsid w:val="4B575558"/>
    <w:rsid w:val="4B5856BF"/>
    <w:rsid w:val="4B5A0EBE"/>
    <w:rsid w:val="4B613429"/>
    <w:rsid w:val="4B7859A5"/>
    <w:rsid w:val="4B7A0ABE"/>
    <w:rsid w:val="4B960E56"/>
    <w:rsid w:val="4BD258F2"/>
    <w:rsid w:val="4BED5E07"/>
    <w:rsid w:val="4BF3033F"/>
    <w:rsid w:val="4BF52F0E"/>
    <w:rsid w:val="4BFC429C"/>
    <w:rsid w:val="4C1E2465"/>
    <w:rsid w:val="4C2A705C"/>
    <w:rsid w:val="4C5C55AD"/>
    <w:rsid w:val="4CAB67C6"/>
    <w:rsid w:val="4CB15087"/>
    <w:rsid w:val="4CC052CA"/>
    <w:rsid w:val="4CCC3C6F"/>
    <w:rsid w:val="4CFC7063"/>
    <w:rsid w:val="4D111FCA"/>
    <w:rsid w:val="4D5C3A5E"/>
    <w:rsid w:val="4D72244E"/>
    <w:rsid w:val="4D7240AF"/>
    <w:rsid w:val="4D9F1383"/>
    <w:rsid w:val="4DAA4D9B"/>
    <w:rsid w:val="4DB73221"/>
    <w:rsid w:val="4DC4703C"/>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4FFA6374"/>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3E0EB3"/>
    <w:rsid w:val="51452242"/>
    <w:rsid w:val="516D5B98"/>
    <w:rsid w:val="516E1798"/>
    <w:rsid w:val="5179477F"/>
    <w:rsid w:val="51B04CD5"/>
    <w:rsid w:val="51BB20EF"/>
    <w:rsid w:val="522220BC"/>
    <w:rsid w:val="522A380F"/>
    <w:rsid w:val="522B1438"/>
    <w:rsid w:val="52416EAD"/>
    <w:rsid w:val="524B7D2C"/>
    <w:rsid w:val="526806C6"/>
    <w:rsid w:val="527C6137"/>
    <w:rsid w:val="52890855"/>
    <w:rsid w:val="52A64F11"/>
    <w:rsid w:val="52A65DDA"/>
    <w:rsid w:val="52D15A02"/>
    <w:rsid w:val="52DE64B1"/>
    <w:rsid w:val="52E0059C"/>
    <w:rsid w:val="52E23FE1"/>
    <w:rsid w:val="530348CC"/>
    <w:rsid w:val="53312A7E"/>
    <w:rsid w:val="537D2167"/>
    <w:rsid w:val="53DF072C"/>
    <w:rsid w:val="546450D5"/>
    <w:rsid w:val="54AF2286"/>
    <w:rsid w:val="54B55930"/>
    <w:rsid w:val="54B813E9"/>
    <w:rsid w:val="54C87412"/>
    <w:rsid w:val="54CA4E7B"/>
    <w:rsid w:val="54CD4A28"/>
    <w:rsid w:val="54EB0FDA"/>
    <w:rsid w:val="54EC5ACF"/>
    <w:rsid w:val="5503044A"/>
    <w:rsid w:val="5529361E"/>
    <w:rsid w:val="5560764A"/>
    <w:rsid w:val="557773FB"/>
    <w:rsid w:val="558E2409"/>
    <w:rsid w:val="55903F90"/>
    <w:rsid w:val="55B94FAC"/>
    <w:rsid w:val="55D53CA2"/>
    <w:rsid w:val="55E42029"/>
    <w:rsid w:val="56130809"/>
    <w:rsid w:val="562C010C"/>
    <w:rsid w:val="56366476"/>
    <w:rsid w:val="56433C62"/>
    <w:rsid w:val="56885723"/>
    <w:rsid w:val="56BD3C46"/>
    <w:rsid w:val="56DA5E47"/>
    <w:rsid w:val="56DF0A43"/>
    <w:rsid w:val="57030BD5"/>
    <w:rsid w:val="571A55FE"/>
    <w:rsid w:val="572C6D7D"/>
    <w:rsid w:val="575A7E5A"/>
    <w:rsid w:val="57733075"/>
    <w:rsid w:val="577F4CFA"/>
    <w:rsid w:val="57A22D8A"/>
    <w:rsid w:val="57C609EB"/>
    <w:rsid w:val="57E67CBF"/>
    <w:rsid w:val="57FD73D2"/>
    <w:rsid w:val="58102C16"/>
    <w:rsid w:val="582160FE"/>
    <w:rsid w:val="582165A1"/>
    <w:rsid w:val="582A050E"/>
    <w:rsid w:val="586E207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091225"/>
    <w:rsid w:val="5B155DE7"/>
    <w:rsid w:val="5B2207E7"/>
    <w:rsid w:val="5B4D6AD9"/>
    <w:rsid w:val="5B5E05F5"/>
    <w:rsid w:val="5B7025B1"/>
    <w:rsid w:val="5B8027F4"/>
    <w:rsid w:val="5B8207A1"/>
    <w:rsid w:val="5B8D5F6F"/>
    <w:rsid w:val="5B9A46F8"/>
    <w:rsid w:val="5BA65FD3"/>
    <w:rsid w:val="5BC11016"/>
    <w:rsid w:val="5BD668B8"/>
    <w:rsid w:val="5BEC60DC"/>
    <w:rsid w:val="5BF57AC9"/>
    <w:rsid w:val="5C3D00E9"/>
    <w:rsid w:val="5C4750C0"/>
    <w:rsid w:val="5C9522CF"/>
    <w:rsid w:val="5C9F6CAA"/>
    <w:rsid w:val="5CA93F38"/>
    <w:rsid w:val="5CD52ED2"/>
    <w:rsid w:val="5CD62855"/>
    <w:rsid w:val="5CE15514"/>
    <w:rsid w:val="5CE371E2"/>
    <w:rsid w:val="5CEB5280"/>
    <w:rsid w:val="5D0A3BF7"/>
    <w:rsid w:val="5D13024E"/>
    <w:rsid w:val="5D1D5D61"/>
    <w:rsid w:val="5D213B63"/>
    <w:rsid w:val="5D697A13"/>
    <w:rsid w:val="5D6E129C"/>
    <w:rsid w:val="5D951E96"/>
    <w:rsid w:val="5DA603AA"/>
    <w:rsid w:val="5DE27226"/>
    <w:rsid w:val="5DE51034"/>
    <w:rsid w:val="5DEA21A7"/>
    <w:rsid w:val="5DF53918"/>
    <w:rsid w:val="5DF866B7"/>
    <w:rsid w:val="5DFF5981"/>
    <w:rsid w:val="5E230800"/>
    <w:rsid w:val="5E39312E"/>
    <w:rsid w:val="5E3E1E95"/>
    <w:rsid w:val="5E473A9D"/>
    <w:rsid w:val="5E483371"/>
    <w:rsid w:val="5E4963F2"/>
    <w:rsid w:val="5E5E2B95"/>
    <w:rsid w:val="5E9B7345"/>
    <w:rsid w:val="5ED510A9"/>
    <w:rsid w:val="5EFD7E9A"/>
    <w:rsid w:val="5F0C7C1F"/>
    <w:rsid w:val="5F3A5CEE"/>
    <w:rsid w:val="5F40721D"/>
    <w:rsid w:val="5F5A480F"/>
    <w:rsid w:val="5F7E4861"/>
    <w:rsid w:val="5F8C4E43"/>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9DC"/>
    <w:rsid w:val="60D80D31"/>
    <w:rsid w:val="60FF41BB"/>
    <w:rsid w:val="61244538"/>
    <w:rsid w:val="617011DB"/>
    <w:rsid w:val="61705965"/>
    <w:rsid w:val="61721E37"/>
    <w:rsid w:val="61796FFA"/>
    <w:rsid w:val="61883BAF"/>
    <w:rsid w:val="618F0721"/>
    <w:rsid w:val="61903065"/>
    <w:rsid w:val="619C1D31"/>
    <w:rsid w:val="61A24977"/>
    <w:rsid w:val="61B00E22"/>
    <w:rsid w:val="61BB1F4B"/>
    <w:rsid w:val="61BF394A"/>
    <w:rsid w:val="61DB15D5"/>
    <w:rsid w:val="61EA6B92"/>
    <w:rsid w:val="620D3216"/>
    <w:rsid w:val="622F6D22"/>
    <w:rsid w:val="62391B02"/>
    <w:rsid w:val="625978FB"/>
    <w:rsid w:val="626C4A83"/>
    <w:rsid w:val="62A13F4D"/>
    <w:rsid w:val="62AA45FB"/>
    <w:rsid w:val="62D64540"/>
    <w:rsid w:val="62D91739"/>
    <w:rsid w:val="62DD43B4"/>
    <w:rsid w:val="62E10E63"/>
    <w:rsid w:val="62FE72EA"/>
    <w:rsid w:val="63035AB9"/>
    <w:rsid w:val="63164D24"/>
    <w:rsid w:val="63316ACA"/>
    <w:rsid w:val="634467FD"/>
    <w:rsid w:val="63A65FFE"/>
    <w:rsid w:val="63B8285C"/>
    <w:rsid w:val="63E01F38"/>
    <w:rsid w:val="63EC1C65"/>
    <w:rsid w:val="63ED3058"/>
    <w:rsid w:val="64104931"/>
    <w:rsid w:val="64137F7D"/>
    <w:rsid w:val="649466C7"/>
    <w:rsid w:val="64B04B1B"/>
    <w:rsid w:val="64B04CD0"/>
    <w:rsid w:val="64BB18DC"/>
    <w:rsid w:val="64C175E6"/>
    <w:rsid w:val="6527595D"/>
    <w:rsid w:val="65366619"/>
    <w:rsid w:val="653E6BDA"/>
    <w:rsid w:val="654A79CF"/>
    <w:rsid w:val="654B42F0"/>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6EA76BB"/>
    <w:rsid w:val="670C7632"/>
    <w:rsid w:val="6723497B"/>
    <w:rsid w:val="67281F92"/>
    <w:rsid w:val="672F28FA"/>
    <w:rsid w:val="675326E7"/>
    <w:rsid w:val="676467A3"/>
    <w:rsid w:val="67C938CC"/>
    <w:rsid w:val="67EC408F"/>
    <w:rsid w:val="67F56318"/>
    <w:rsid w:val="67FE046D"/>
    <w:rsid w:val="680829E6"/>
    <w:rsid w:val="68095FB7"/>
    <w:rsid w:val="68174F57"/>
    <w:rsid w:val="683406DE"/>
    <w:rsid w:val="683871D4"/>
    <w:rsid w:val="68454FC1"/>
    <w:rsid w:val="684C43B6"/>
    <w:rsid w:val="68535110"/>
    <w:rsid w:val="6885769C"/>
    <w:rsid w:val="68B55F36"/>
    <w:rsid w:val="68BE36F5"/>
    <w:rsid w:val="68C462F1"/>
    <w:rsid w:val="68F04DBC"/>
    <w:rsid w:val="68F52FE1"/>
    <w:rsid w:val="68F91E38"/>
    <w:rsid w:val="69162D72"/>
    <w:rsid w:val="694A4441"/>
    <w:rsid w:val="694D5CE0"/>
    <w:rsid w:val="694F512A"/>
    <w:rsid w:val="697C4FC2"/>
    <w:rsid w:val="697E40EB"/>
    <w:rsid w:val="69801FE2"/>
    <w:rsid w:val="699F7F40"/>
    <w:rsid w:val="69AF73BD"/>
    <w:rsid w:val="69B376EC"/>
    <w:rsid w:val="69DD52B6"/>
    <w:rsid w:val="69E14DA6"/>
    <w:rsid w:val="69E20B1E"/>
    <w:rsid w:val="6A0E546F"/>
    <w:rsid w:val="6A177304"/>
    <w:rsid w:val="6A3B1269"/>
    <w:rsid w:val="6A415844"/>
    <w:rsid w:val="6A5B302E"/>
    <w:rsid w:val="6A9122B5"/>
    <w:rsid w:val="6AB97AD1"/>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B6A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2356D5"/>
    <w:rsid w:val="6D2A4124"/>
    <w:rsid w:val="6D463C2E"/>
    <w:rsid w:val="6D55050F"/>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9381B"/>
    <w:rsid w:val="6E1B3196"/>
    <w:rsid w:val="6E5F273D"/>
    <w:rsid w:val="6E66587A"/>
    <w:rsid w:val="6E7837FF"/>
    <w:rsid w:val="6E9D595D"/>
    <w:rsid w:val="6EB04C24"/>
    <w:rsid w:val="6EC726C0"/>
    <w:rsid w:val="6ED07197"/>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C60DD8"/>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EE22E1"/>
    <w:rsid w:val="72FD6249"/>
    <w:rsid w:val="73013DC3"/>
    <w:rsid w:val="73217033"/>
    <w:rsid w:val="732706F9"/>
    <w:rsid w:val="735715C9"/>
    <w:rsid w:val="736949E6"/>
    <w:rsid w:val="7376140D"/>
    <w:rsid w:val="737B68E0"/>
    <w:rsid w:val="738549F4"/>
    <w:rsid w:val="73880603"/>
    <w:rsid w:val="73D0707A"/>
    <w:rsid w:val="73D80E59"/>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7E03EF"/>
    <w:rsid w:val="7A88301C"/>
    <w:rsid w:val="7A884DCA"/>
    <w:rsid w:val="7AA53BCD"/>
    <w:rsid w:val="7AD17C9C"/>
    <w:rsid w:val="7B0A3A31"/>
    <w:rsid w:val="7B103033"/>
    <w:rsid w:val="7B163388"/>
    <w:rsid w:val="7B4F58E7"/>
    <w:rsid w:val="7B5015FF"/>
    <w:rsid w:val="7B6E2E0E"/>
    <w:rsid w:val="7B7D06A6"/>
    <w:rsid w:val="7B7F4512"/>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95EE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10358D"/>
    <w:rsid w:val="7E295E51"/>
    <w:rsid w:val="7E6241D9"/>
    <w:rsid w:val="7E643271"/>
    <w:rsid w:val="7E8314F8"/>
    <w:rsid w:val="7EC3062C"/>
    <w:rsid w:val="7EC52758"/>
    <w:rsid w:val="7EEB258C"/>
    <w:rsid w:val="7F397345"/>
    <w:rsid w:val="7F430BED"/>
    <w:rsid w:val="7F571ED1"/>
    <w:rsid w:val="7F7676A4"/>
    <w:rsid w:val="7F873A64"/>
    <w:rsid w:val="7F8F3FAC"/>
    <w:rsid w:val="7F970ECA"/>
    <w:rsid w:val="7F9E036E"/>
    <w:rsid w:val="7FA53646"/>
    <w:rsid w:val="7FAD558D"/>
    <w:rsid w:val="7FE707E4"/>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0"/>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5"/>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3"/>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4"/>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1"/>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5"/>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6"/>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5"/>
    <w:autoRedefine/>
    <w:semiHidden/>
    <w:unhideWhenUsed/>
    <w:qFormat/>
    <w:uiPriority w:val="0"/>
    <w:pPr>
      <w:shd w:val="clear" w:color="auto" w:fill="000080"/>
    </w:pPr>
  </w:style>
  <w:style w:type="paragraph" w:styleId="13">
    <w:name w:val="annotation text"/>
    <w:basedOn w:val="1"/>
    <w:link w:val="78"/>
    <w:autoRedefine/>
    <w:qFormat/>
    <w:uiPriority w:val="99"/>
    <w:pPr>
      <w:jc w:val="left"/>
    </w:pPr>
    <w:rPr>
      <w:rFonts w:ascii="Arial" w:hAnsi="Arial" w:eastAsia="黑体" w:cs="Arial"/>
    </w:rPr>
  </w:style>
  <w:style w:type="paragraph" w:styleId="14">
    <w:name w:val="Salutation"/>
    <w:basedOn w:val="1"/>
    <w:next w:val="1"/>
    <w:link w:val="140"/>
    <w:autoRedefine/>
    <w:semiHidden/>
    <w:unhideWhenUsed/>
    <w:qFormat/>
    <w:uiPriority w:val="0"/>
  </w:style>
  <w:style w:type="paragraph" w:styleId="15">
    <w:name w:val="Body Text 3"/>
    <w:basedOn w:val="1"/>
    <w:link w:val="131"/>
    <w:autoRedefine/>
    <w:semiHidden/>
    <w:unhideWhenUsed/>
    <w:qFormat/>
    <w:uiPriority w:val="0"/>
    <w:pPr>
      <w:spacing w:after="120"/>
    </w:pPr>
    <w:rPr>
      <w:sz w:val="16"/>
    </w:rPr>
  </w:style>
  <w:style w:type="paragraph" w:styleId="16">
    <w:name w:val="Body Text"/>
    <w:basedOn w:val="1"/>
    <w:next w:val="17"/>
    <w:link w:val="93"/>
    <w:autoRedefine/>
    <w:qFormat/>
    <w:uiPriority w:val="0"/>
    <w:rPr>
      <w:rFonts w:ascii="宋体" w:hAnsi="Arial" w:cs="Times New Roman"/>
      <w:sz w:val="28"/>
    </w:rPr>
  </w:style>
  <w:style w:type="paragraph" w:styleId="17">
    <w:name w:val="List Bullet 5"/>
    <w:basedOn w:val="1"/>
    <w:semiHidden/>
    <w:unhideWhenUsed/>
    <w:qFormat/>
    <w:uiPriority w:val="0"/>
    <w:pPr>
      <w:numPr>
        <w:ilvl w:val="0"/>
        <w:numId w:val="1"/>
      </w:numPr>
    </w:pPr>
  </w:style>
  <w:style w:type="paragraph" w:styleId="18">
    <w:name w:val="Body Text Indent"/>
    <w:basedOn w:val="1"/>
    <w:next w:val="19"/>
    <w:link w:val="141"/>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1"/>
    <w:autoRedefine/>
    <w:qFormat/>
    <w:uiPriority w:val="99"/>
    <w:rPr>
      <w:rFonts w:ascii="宋体" w:hAnsi="Courier New" w:cs="黑体"/>
      <w:szCs w:val="22"/>
    </w:rPr>
  </w:style>
  <w:style w:type="paragraph" w:styleId="22">
    <w:name w:val="Date"/>
    <w:basedOn w:val="1"/>
    <w:next w:val="1"/>
    <w:link w:val="75"/>
    <w:autoRedefine/>
    <w:qFormat/>
    <w:uiPriority w:val="0"/>
    <w:rPr>
      <w:rFonts w:ascii="Arial" w:hAnsi="Arial" w:cs="Arial"/>
      <w:b/>
      <w:sz w:val="28"/>
    </w:rPr>
  </w:style>
  <w:style w:type="paragraph" w:styleId="23">
    <w:name w:val="Body Text Indent 2"/>
    <w:basedOn w:val="1"/>
    <w:link w:val="105"/>
    <w:autoRedefine/>
    <w:semiHidden/>
    <w:unhideWhenUsed/>
    <w:qFormat/>
    <w:uiPriority w:val="0"/>
    <w:pPr>
      <w:spacing w:after="120" w:line="480" w:lineRule="auto"/>
      <w:ind w:left="420" w:leftChars="200"/>
    </w:pPr>
  </w:style>
  <w:style w:type="paragraph" w:styleId="24">
    <w:name w:val="endnote text"/>
    <w:basedOn w:val="1"/>
    <w:link w:val="142"/>
    <w:autoRedefine/>
    <w:semiHidden/>
    <w:unhideWhenUsed/>
    <w:qFormat/>
    <w:uiPriority w:val="0"/>
    <w:pPr>
      <w:snapToGrid w:val="0"/>
      <w:jc w:val="left"/>
    </w:pPr>
  </w:style>
  <w:style w:type="paragraph" w:styleId="25">
    <w:name w:val="Balloon Text"/>
    <w:basedOn w:val="1"/>
    <w:link w:val="68"/>
    <w:autoRedefine/>
    <w:unhideWhenUsed/>
    <w:qFormat/>
    <w:uiPriority w:val="99"/>
    <w:rPr>
      <w:sz w:val="18"/>
      <w:szCs w:val="18"/>
    </w:rPr>
  </w:style>
  <w:style w:type="paragraph" w:styleId="26">
    <w:name w:val="footer"/>
    <w:basedOn w:val="1"/>
    <w:link w:val="70"/>
    <w:autoRedefine/>
    <w:unhideWhenUsed/>
    <w:qFormat/>
    <w:uiPriority w:val="99"/>
    <w:pPr>
      <w:tabs>
        <w:tab w:val="center" w:pos="4153"/>
        <w:tab w:val="right" w:pos="8306"/>
      </w:tabs>
      <w:snapToGrid w:val="0"/>
      <w:jc w:val="left"/>
    </w:pPr>
    <w:rPr>
      <w:sz w:val="18"/>
      <w:szCs w:val="18"/>
    </w:rPr>
  </w:style>
  <w:style w:type="paragraph" w:styleId="27">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4"/>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3"/>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2"/>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4"/>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9"/>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8"/>
    <w:autoRedefine/>
    <w:unhideWhenUsed/>
    <w:qFormat/>
    <w:uiPriority w:val="99"/>
    <w:rPr>
      <w:rFonts w:ascii="@仿宋_GB2312" w:hAnsi="@仿宋_GB2312" w:eastAsia="@仿宋_GB2312" w:cs="@仿宋_GB2312"/>
      <w:b/>
      <w:bCs/>
    </w:rPr>
  </w:style>
  <w:style w:type="paragraph" w:styleId="39">
    <w:name w:val="Body Text First Indent"/>
    <w:basedOn w:val="16"/>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39"/>
    <w:autoRedefine/>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2">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3">
    <w:name w:val="列表段落1"/>
    <w:basedOn w:val="1"/>
    <w:autoRedefine/>
    <w:qFormat/>
    <w:uiPriority w:val="34"/>
    <w:pPr>
      <w:ind w:firstLine="420" w:firstLineChars="200"/>
    </w:pPr>
  </w:style>
  <w:style w:type="paragraph" w:customStyle="1" w:styleId="64">
    <w:name w:val="Char Char Char Char Char Char Char1 Char"/>
    <w:basedOn w:val="1"/>
    <w:autoRedefine/>
    <w:qFormat/>
    <w:uiPriority w:val="0"/>
    <w:rPr>
      <w:rFonts w:ascii="Arial" w:hAnsi="Arial" w:cs="Arial"/>
      <w:sz w:val="24"/>
    </w:rPr>
  </w:style>
  <w:style w:type="paragraph" w:customStyle="1" w:styleId="65">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6">
    <w:name w:val="Char"/>
    <w:basedOn w:val="1"/>
    <w:autoRedefine/>
    <w:qFormat/>
    <w:uiPriority w:val="0"/>
    <w:rPr>
      <w:rFonts w:ascii="Tahoma" w:hAnsi="Tahoma"/>
      <w:sz w:val="24"/>
    </w:rPr>
  </w:style>
  <w:style w:type="paragraph" w:customStyle="1" w:styleId="67">
    <w:name w:val="列表段落2"/>
    <w:basedOn w:val="1"/>
    <w:autoRedefine/>
    <w:qFormat/>
    <w:uiPriority w:val="34"/>
    <w:pPr>
      <w:ind w:firstLine="420" w:firstLineChars="200"/>
    </w:pPr>
  </w:style>
  <w:style w:type="character" w:customStyle="1" w:styleId="68">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9">
    <w:name w:val="页眉 字符"/>
    <w:basedOn w:val="43"/>
    <w:link w:val="27"/>
    <w:autoRedefine/>
    <w:qFormat/>
    <w:uiPriority w:val="99"/>
    <w:rPr>
      <w:rFonts w:ascii="@仿宋_GB2312" w:hAnsi="@仿宋_GB2312" w:eastAsia="@仿宋_GB2312" w:cs="@仿宋_GB2312"/>
      <w:sz w:val="18"/>
      <w:szCs w:val="18"/>
    </w:rPr>
  </w:style>
  <w:style w:type="character" w:customStyle="1" w:styleId="70">
    <w:name w:val="页脚 字符"/>
    <w:basedOn w:val="43"/>
    <w:link w:val="26"/>
    <w:autoRedefine/>
    <w:qFormat/>
    <w:uiPriority w:val="99"/>
    <w:rPr>
      <w:rFonts w:ascii="@仿宋_GB2312" w:hAnsi="@仿宋_GB2312" w:eastAsia="@仿宋_GB2312" w:cs="@仿宋_GB2312"/>
      <w:sz w:val="18"/>
      <w:szCs w:val="18"/>
    </w:rPr>
  </w:style>
  <w:style w:type="character" w:customStyle="1" w:styleId="71">
    <w:name w:val="纯文本 字符"/>
    <w:link w:val="21"/>
    <w:autoRedefine/>
    <w:qFormat/>
    <w:uiPriority w:val="0"/>
    <w:rPr>
      <w:rFonts w:ascii="宋体" w:hAnsi="Courier New"/>
    </w:rPr>
  </w:style>
  <w:style w:type="character" w:customStyle="1" w:styleId="72">
    <w:name w:val="纯文本 字符1"/>
    <w:basedOn w:val="43"/>
    <w:autoRedefine/>
    <w:semiHidden/>
    <w:qFormat/>
    <w:uiPriority w:val="99"/>
    <w:rPr>
      <w:rFonts w:ascii="宋体" w:hAnsi="Courier New" w:cs="Courier New"/>
      <w:szCs w:val="20"/>
    </w:rPr>
  </w:style>
  <w:style w:type="character" w:customStyle="1" w:styleId="73">
    <w:name w:val="未处理的提及1"/>
    <w:basedOn w:val="43"/>
    <w:autoRedefine/>
    <w:unhideWhenUsed/>
    <w:qFormat/>
    <w:uiPriority w:val="99"/>
    <w:rPr>
      <w:color w:val="605E5C"/>
      <w:shd w:val="clear" w:color="auto" w:fill="E1DFDD"/>
    </w:rPr>
  </w:style>
  <w:style w:type="character" w:customStyle="1" w:styleId="74">
    <w:name w:val="日期 字符"/>
    <w:basedOn w:val="43"/>
    <w:autoRedefine/>
    <w:semiHidden/>
    <w:qFormat/>
    <w:uiPriority w:val="99"/>
    <w:rPr>
      <w:rFonts w:ascii="@仿宋_GB2312" w:hAnsi="@仿宋_GB2312" w:eastAsia="@仿宋_GB2312" w:cs="@仿宋_GB2312"/>
      <w:szCs w:val="20"/>
    </w:rPr>
  </w:style>
  <w:style w:type="character" w:customStyle="1" w:styleId="75">
    <w:name w:val="日期 字符1"/>
    <w:link w:val="22"/>
    <w:autoRedefine/>
    <w:qFormat/>
    <w:uiPriority w:val="0"/>
    <w:rPr>
      <w:rFonts w:ascii="Arial" w:hAnsi="Arial" w:eastAsia="宋体" w:cs="Arial"/>
      <w:b/>
      <w:sz w:val="28"/>
      <w:szCs w:val="20"/>
    </w:rPr>
  </w:style>
  <w:style w:type="character" w:customStyle="1" w:styleId="76">
    <w:name w:val="纯文本 Char1"/>
    <w:autoRedefine/>
    <w:qFormat/>
    <w:locked/>
    <w:uiPriority w:val="99"/>
    <w:rPr>
      <w:rFonts w:ascii="Arial" w:hAnsi="Arial" w:eastAsia="Arial"/>
      <w:kern w:val="2"/>
      <w:sz w:val="21"/>
      <w:lang w:val="en-US" w:eastAsia="zh-CN" w:bidi="ar-SA"/>
    </w:rPr>
  </w:style>
  <w:style w:type="character" w:customStyle="1" w:styleId="77">
    <w:name w:val="批注文字 Char"/>
    <w:basedOn w:val="43"/>
    <w:autoRedefine/>
    <w:semiHidden/>
    <w:qFormat/>
    <w:uiPriority w:val="99"/>
    <w:rPr>
      <w:rFonts w:ascii="@仿宋_GB2312" w:hAnsi="@仿宋_GB2312" w:eastAsia="@仿宋_GB2312" w:cs="@仿宋_GB2312"/>
      <w:szCs w:val="20"/>
    </w:rPr>
  </w:style>
  <w:style w:type="character" w:customStyle="1" w:styleId="78">
    <w:name w:val="批注文字 字符"/>
    <w:link w:val="13"/>
    <w:autoRedefine/>
    <w:qFormat/>
    <w:uiPriority w:val="99"/>
    <w:rPr>
      <w:rFonts w:ascii="Arial" w:hAnsi="Arial" w:eastAsia="黑体" w:cs="Arial"/>
      <w:szCs w:val="20"/>
    </w:rPr>
  </w:style>
  <w:style w:type="character" w:customStyle="1" w:styleId="79">
    <w:name w:val="标题 1 字符"/>
    <w:basedOn w:val="43"/>
    <w:link w:val="2"/>
    <w:autoRedefine/>
    <w:qFormat/>
    <w:uiPriority w:val="9"/>
    <w:rPr>
      <w:rFonts w:ascii="@仿宋_GB2312" w:hAnsi="@仿宋_GB2312" w:eastAsia="@仿宋_GB2312" w:cs="@仿宋_GB2312"/>
      <w:b/>
      <w:bCs/>
      <w:kern w:val="44"/>
      <w:sz w:val="44"/>
      <w:szCs w:val="44"/>
    </w:rPr>
  </w:style>
  <w:style w:type="character" w:customStyle="1" w:styleId="80">
    <w:name w:val="标题 3 字符"/>
    <w:basedOn w:val="43"/>
    <w:autoRedefine/>
    <w:semiHidden/>
    <w:qFormat/>
    <w:uiPriority w:val="9"/>
    <w:rPr>
      <w:rFonts w:ascii="@仿宋_GB2312" w:hAnsi="@仿宋_GB2312" w:eastAsia="@仿宋_GB2312" w:cs="@仿宋_GB2312"/>
      <w:b/>
      <w:bCs/>
      <w:sz w:val="32"/>
      <w:szCs w:val="32"/>
    </w:rPr>
  </w:style>
  <w:style w:type="character" w:customStyle="1" w:styleId="81">
    <w:name w:val="fontstyle01"/>
    <w:basedOn w:val="43"/>
    <w:autoRedefine/>
    <w:qFormat/>
    <w:uiPriority w:val="0"/>
    <w:rPr>
      <w:rFonts w:hint="eastAsia" w:ascii="宋体" w:hAnsi="宋体" w:eastAsia="宋体"/>
      <w:color w:val="000000"/>
      <w:sz w:val="22"/>
      <w:szCs w:val="22"/>
    </w:rPr>
  </w:style>
  <w:style w:type="character" w:customStyle="1" w:styleId="82">
    <w:name w:val="fontstyle21"/>
    <w:basedOn w:val="43"/>
    <w:autoRedefine/>
    <w:qFormat/>
    <w:uiPriority w:val="0"/>
    <w:rPr>
      <w:rFonts w:hint="default" w:ascii="TimesNewRomanPSMT" w:hAnsi="TimesNewRomanPSMT"/>
      <w:color w:val="000000"/>
      <w:sz w:val="22"/>
      <w:szCs w:val="22"/>
    </w:rPr>
  </w:style>
  <w:style w:type="character" w:customStyle="1" w:styleId="8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4">
    <w:name w:val="标题 4 字符"/>
    <w:basedOn w:val="43"/>
    <w:autoRedefine/>
    <w:semiHidden/>
    <w:qFormat/>
    <w:uiPriority w:val="9"/>
    <w:rPr>
      <w:rFonts w:ascii="Cambria" w:hAnsi="Cambria" w:eastAsia="宋体" w:cs="黑体"/>
      <w:b/>
      <w:bCs/>
      <w:sz w:val="28"/>
      <w:szCs w:val="28"/>
    </w:rPr>
  </w:style>
  <w:style w:type="character" w:customStyle="1" w:styleId="85">
    <w:name w:val="标题 4 字符1"/>
    <w:link w:val="5"/>
    <w:autoRedefine/>
    <w:qFormat/>
    <w:uiPriority w:val="0"/>
    <w:rPr>
      <w:rFonts w:ascii="@仿宋_GB2312" w:hAnsi="@仿宋_GB2312" w:eastAsia="@仿宋_GB2312" w:cs="@仿宋_GB2312"/>
      <w:b/>
      <w:bCs/>
      <w:sz w:val="28"/>
      <w:szCs w:val="28"/>
    </w:rPr>
  </w:style>
  <w:style w:type="character" w:customStyle="1" w:styleId="86">
    <w:name w:val="标题 4 Char"/>
    <w:autoRedefine/>
    <w:qFormat/>
    <w:uiPriority w:val="0"/>
    <w:rPr>
      <w:rFonts w:ascii="Arial" w:hAnsi="Arial" w:eastAsia="Arial"/>
      <w:b/>
      <w:bCs/>
      <w:kern w:val="2"/>
      <w:sz w:val="28"/>
      <w:szCs w:val="28"/>
      <w:lang w:val="en-US" w:eastAsia="zh-CN" w:bidi="ar-SA"/>
    </w:rPr>
  </w:style>
  <w:style w:type="character" w:customStyle="1" w:styleId="87">
    <w:name w:val="fontstyle11"/>
    <w:basedOn w:val="43"/>
    <w:autoRedefine/>
    <w:qFormat/>
    <w:uiPriority w:val="0"/>
    <w:rPr>
      <w:rFonts w:hint="eastAsia" w:ascii="宋体" w:hAnsi="宋体" w:eastAsia="宋体"/>
      <w:color w:val="000000"/>
      <w:sz w:val="22"/>
      <w:szCs w:val="22"/>
    </w:rPr>
  </w:style>
  <w:style w:type="character" w:customStyle="1" w:styleId="88">
    <w:name w:val="批注主题 字符"/>
    <w:basedOn w:val="78"/>
    <w:link w:val="38"/>
    <w:autoRedefine/>
    <w:semiHidden/>
    <w:qFormat/>
    <w:uiPriority w:val="99"/>
    <w:rPr>
      <w:rFonts w:ascii="@仿宋_GB2312" w:hAnsi="@仿宋_GB2312" w:eastAsia="@仿宋_GB2312" w:cs="@仿宋_GB2312"/>
      <w:b/>
      <w:bCs/>
      <w:szCs w:val="20"/>
    </w:rPr>
  </w:style>
  <w:style w:type="table" w:customStyle="1" w:styleId="89">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90">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1">
    <w:name w:val="List Paragraph"/>
    <w:basedOn w:val="1"/>
    <w:autoRedefine/>
    <w:qFormat/>
    <w:uiPriority w:val="99"/>
    <w:pPr>
      <w:ind w:firstLine="420" w:firstLineChars="200"/>
    </w:pPr>
  </w:style>
  <w:style w:type="character" w:customStyle="1" w:styleId="92">
    <w:name w:val="正文文本 Char"/>
    <w:basedOn w:val="43"/>
    <w:autoRedefine/>
    <w:semiHidden/>
    <w:qFormat/>
    <w:uiPriority w:val="0"/>
    <w:rPr>
      <w:rFonts w:ascii="@仿宋_GB2312" w:hAnsi="@仿宋_GB2312" w:eastAsia="@仿宋_GB2312" w:cs="@仿宋_GB2312"/>
      <w:kern w:val="2"/>
      <w:sz w:val="21"/>
    </w:rPr>
  </w:style>
  <w:style w:type="character" w:customStyle="1" w:styleId="93">
    <w:name w:val="正文文本 字符"/>
    <w:link w:val="16"/>
    <w:autoRedefine/>
    <w:qFormat/>
    <w:uiPriority w:val="0"/>
    <w:rPr>
      <w:rFonts w:ascii="宋体" w:hAnsi="Arial"/>
      <w:kern w:val="2"/>
      <w:sz w:val="28"/>
    </w:rPr>
  </w:style>
  <w:style w:type="paragraph" w:customStyle="1" w:styleId="94">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5">
    <w:name w:val="Table Paragraph"/>
    <w:basedOn w:val="1"/>
    <w:autoRedefine/>
    <w:qFormat/>
    <w:uiPriority w:val="1"/>
    <w:rPr>
      <w:rFonts w:ascii="宋体" w:hAnsi="宋体" w:cs="宋体"/>
      <w:lang w:val="zh-CN" w:bidi="zh-CN"/>
    </w:rPr>
  </w:style>
  <w:style w:type="paragraph" w:customStyle="1" w:styleId="96">
    <w:name w:val="纯文本1"/>
    <w:basedOn w:val="1"/>
    <w:autoRedefine/>
    <w:qFormat/>
    <w:uiPriority w:val="0"/>
    <w:rPr>
      <w:rFonts w:ascii="Arial" w:hAnsi="Arial" w:eastAsia="Arial" w:cstheme="minorBidi"/>
    </w:rPr>
  </w:style>
  <w:style w:type="paragraph" w:customStyle="1" w:styleId="9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标题 2 字符"/>
    <w:basedOn w:val="43"/>
    <w:link w:val="3"/>
    <w:autoRedefine/>
    <w:qFormat/>
    <w:uiPriority w:val="0"/>
    <w:rPr>
      <w:rFonts w:hint="default" w:ascii="Cambria" w:hAnsi="Cambria" w:eastAsia="Cambria" w:cs="Cambria"/>
      <w:b/>
      <w:bCs/>
      <w:kern w:val="2"/>
      <w:sz w:val="32"/>
      <w:szCs w:val="32"/>
    </w:rPr>
  </w:style>
  <w:style w:type="paragraph" w:customStyle="1" w:styleId="101">
    <w:name w:val="正文_0"/>
    <w:basedOn w:val="1"/>
    <w:autoRedefine/>
    <w:qFormat/>
    <w:uiPriority w:val="0"/>
    <w:rPr>
      <w:rFonts w:ascii="Times New Roman" w:hAnsi="Times New Roman" w:cs="Times New Roman"/>
      <w:szCs w:val="24"/>
    </w:rPr>
  </w:style>
  <w:style w:type="character" w:customStyle="1" w:styleId="102">
    <w:name w:val="正文文本 Char1"/>
    <w:basedOn w:val="43"/>
    <w:autoRedefine/>
    <w:qFormat/>
    <w:uiPriority w:val="0"/>
    <w:rPr>
      <w:kern w:val="2"/>
      <w:sz w:val="21"/>
      <w:szCs w:val="22"/>
    </w:rPr>
  </w:style>
  <w:style w:type="character" w:customStyle="1" w:styleId="103">
    <w:name w:val="Blockquote Char_0_1"/>
    <w:basedOn w:val="43"/>
    <w:autoRedefine/>
    <w:qFormat/>
    <w:uiPriority w:val="0"/>
    <w:rPr>
      <w:sz w:val="24"/>
    </w:rPr>
  </w:style>
  <w:style w:type="character" w:customStyle="1" w:styleId="104">
    <w:name w:val="NormalCharacter"/>
    <w:autoRedefine/>
    <w:qFormat/>
    <w:uiPriority w:val="0"/>
    <w:rPr>
      <w:rFonts w:ascii="@仿宋_GB2312" w:hAnsi="@仿宋_GB2312" w:eastAsia="宋体" w:cs="@仿宋_GB2312"/>
      <w:kern w:val="2"/>
      <w:sz w:val="21"/>
      <w:lang w:val="en-US" w:eastAsia="zh-CN" w:bidi="ar-SA"/>
    </w:rPr>
  </w:style>
  <w:style w:type="character" w:customStyle="1" w:styleId="105">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6">
    <w:name w:val="纯文本 Char"/>
    <w:basedOn w:val="43"/>
    <w:autoRedefine/>
    <w:qFormat/>
    <w:uiPriority w:val="0"/>
    <w:rPr>
      <w:rFonts w:hint="eastAsia" w:ascii="宋体" w:hAnsi="Courier New" w:eastAsia="宋体" w:cs="Courier New"/>
      <w:kern w:val="2"/>
      <w:sz w:val="21"/>
      <w:szCs w:val="21"/>
    </w:rPr>
  </w:style>
  <w:style w:type="character" w:customStyle="1" w:styleId="107">
    <w:name w:val="msointenseemphasis"/>
    <w:basedOn w:val="43"/>
    <w:autoRedefine/>
    <w:qFormat/>
    <w:uiPriority w:val="0"/>
    <w:rPr>
      <w:b/>
      <w:bCs/>
      <w:i/>
      <w:iCs/>
      <w:color w:val="4F81BD"/>
    </w:rPr>
  </w:style>
  <w:style w:type="character" w:customStyle="1" w:styleId="108">
    <w:name w:val="标题 Char1"/>
    <w:basedOn w:val="43"/>
    <w:autoRedefine/>
    <w:qFormat/>
    <w:uiPriority w:val="0"/>
    <w:rPr>
      <w:rFonts w:hint="default" w:ascii="Cambria" w:hAnsi="Cambria" w:eastAsia="Cambria" w:cs="Times New Roman"/>
      <w:b/>
      <w:bCs/>
      <w:kern w:val="2"/>
      <w:sz w:val="32"/>
      <w:szCs w:val="32"/>
    </w:rPr>
  </w:style>
  <w:style w:type="character" w:customStyle="1" w:styleId="109">
    <w:name w:val="标题 字符"/>
    <w:basedOn w:val="43"/>
    <w:link w:val="37"/>
    <w:autoRedefine/>
    <w:qFormat/>
    <w:uiPriority w:val="0"/>
    <w:rPr>
      <w:rFonts w:hint="eastAsia" w:ascii="宋体" w:hAnsi="宋体" w:eastAsia="黑体" w:cs="宋体"/>
      <w:b/>
      <w:smallCaps/>
      <w:snapToGrid/>
      <w:kern w:val="2"/>
      <w:sz w:val="44"/>
      <w:szCs w:val="24"/>
    </w:rPr>
  </w:style>
  <w:style w:type="character" w:customStyle="1" w:styleId="110">
    <w:name w:val="明显引用 字符1"/>
    <w:basedOn w:val="43"/>
    <w:autoRedefine/>
    <w:qFormat/>
    <w:uiPriority w:val="0"/>
    <w:rPr>
      <w:i/>
      <w:iCs/>
      <w:color w:val="4472C4"/>
      <w:kern w:val="2"/>
      <w:sz w:val="21"/>
      <w:szCs w:val="24"/>
    </w:rPr>
  </w:style>
  <w:style w:type="character" w:customStyle="1" w:styleId="111">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2">
    <w:name w:val="页眉 Char1"/>
    <w:basedOn w:val="43"/>
    <w:autoRedefine/>
    <w:qFormat/>
    <w:uiPriority w:val="0"/>
    <w:rPr>
      <w:kern w:val="2"/>
      <w:sz w:val="18"/>
      <w:szCs w:val="18"/>
    </w:rPr>
  </w:style>
  <w:style w:type="character" w:customStyle="1" w:styleId="113">
    <w:name w:val="明显引用 Char1"/>
    <w:basedOn w:val="43"/>
    <w:autoRedefine/>
    <w:qFormat/>
    <w:uiPriority w:val="0"/>
    <w:rPr>
      <w:b/>
      <w:bCs/>
      <w:i/>
      <w:iCs/>
      <w:color w:val="4F81BD"/>
      <w:kern w:val="2"/>
      <w:sz w:val="21"/>
      <w:szCs w:val="24"/>
    </w:rPr>
  </w:style>
  <w:style w:type="character" w:customStyle="1" w:styleId="114">
    <w:name w:val="副标题 字符"/>
    <w:basedOn w:val="43"/>
    <w:link w:val="29"/>
    <w:autoRedefine/>
    <w:qFormat/>
    <w:uiPriority w:val="0"/>
    <w:rPr>
      <w:rFonts w:ascii="Arial" w:hAnsi="Arial" w:cs="Arial"/>
      <w:b/>
      <w:bCs/>
      <w:kern w:val="28"/>
      <w:sz w:val="32"/>
      <w:szCs w:val="32"/>
    </w:rPr>
  </w:style>
  <w:style w:type="character" w:customStyle="1" w:styleId="115">
    <w:name w:val="文档结构图 字符"/>
    <w:basedOn w:val="43"/>
    <w:link w:val="12"/>
    <w:autoRedefine/>
    <w:qFormat/>
    <w:uiPriority w:val="0"/>
    <w:rPr>
      <w:rFonts w:hint="default" w:ascii="Calibri" w:hAnsi="Calibri" w:cs="Calibri"/>
      <w:bCs/>
      <w:kern w:val="2"/>
      <w:sz w:val="21"/>
      <w:szCs w:val="32"/>
      <w:shd w:val="clear" w:color="auto" w:fill="000080"/>
    </w:rPr>
  </w:style>
  <w:style w:type="character" w:customStyle="1" w:styleId="116">
    <w:name w:val="标题 3 Char_0"/>
    <w:basedOn w:val="43"/>
    <w:autoRedefine/>
    <w:qFormat/>
    <w:uiPriority w:val="0"/>
    <w:rPr>
      <w:b/>
      <w:sz w:val="32"/>
    </w:rPr>
  </w:style>
  <w:style w:type="character" w:customStyle="1" w:styleId="117">
    <w:name w:val="页脚 Char1"/>
    <w:basedOn w:val="43"/>
    <w:autoRedefine/>
    <w:qFormat/>
    <w:uiPriority w:val="0"/>
    <w:rPr>
      <w:kern w:val="2"/>
      <w:sz w:val="18"/>
      <w:szCs w:val="18"/>
    </w:rPr>
  </w:style>
  <w:style w:type="character" w:customStyle="1" w:styleId="118">
    <w:name w:val="标题 7 Char_0"/>
    <w:basedOn w:val="43"/>
    <w:autoRedefine/>
    <w:qFormat/>
    <w:uiPriority w:val="0"/>
    <w:rPr>
      <w:b/>
      <w:bCs/>
      <w:sz w:val="24"/>
      <w:szCs w:val="24"/>
    </w:rPr>
  </w:style>
  <w:style w:type="character" w:customStyle="1" w:styleId="119">
    <w:name w:val="mini-outputtext1"/>
    <w:basedOn w:val="43"/>
    <w:autoRedefine/>
    <w:qFormat/>
    <w:uiPriority w:val="0"/>
  </w:style>
  <w:style w:type="character" w:customStyle="1" w:styleId="120">
    <w:name w:val="正文文本 Char_0"/>
    <w:basedOn w:val="43"/>
    <w:autoRedefine/>
    <w:qFormat/>
    <w:uiPriority w:val="0"/>
    <w:rPr>
      <w:kern w:val="2"/>
      <w:sz w:val="21"/>
      <w:szCs w:val="24"/>
    </w:rPr>
  </w:style>
  <w:style w:type="character" w:customStyle="1" w:styleId="121">
    <w:name w:val="标题 7 字符"/>
    <w:basedOn w:val="43"/>
    <w:link w:val="8"/>
    <w:autoRedefine/>
    <w:qFormat/>
    <w:uiPriority w:val="0"/>
    <w:rPr>
      <w:b/>
      <w:bCs/>
      <w:kern w:val="2"/>
      <w:sz w:val="30"/>
      <w:szCs w:val="18"/>
    </w:rPr>
  </w:style>
  <w:style w:type="character" w:customStyle="1" w:styleId="122">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3">
    <w:name w:val="Texte Char1"/>
    <w:basedOn w:val="43"/>
    <w:autoRedefine/>
    <w:qFormat/>
    <w:uiPriority w:val="0"/>
    <w:rPr>
      <w:rFonts w:hint="eastAsia" w:ascii="宋体" w:hAnsi="Courier New" w:eastAsia="宋体" w:cs="宋体"/>
      <w:kern w:val="2"/>
      <w:sz w:val="21"/>
      <w:szCs w:val="21"/>
    </w:rPr>
  </w:style>
  <w:style w:type="character" w:customStyle="1" w:styleId="124">
    <w:name w:val="标题 2 Char_0"/>
    <w:basedOn w:val="43"/>
    <w:autoRedefine/>
    <w:qFormat/>
    <w:uiPriority w:val="0"/>
    <w:rPr>
      <w:rFonts w:hint="eastAsia" w:ascii="黑体" w:hAnsi="宋体" w:eastAsia="黑体" w:cs="黑体"/>
      <w:b/>
      <w:smallCaps/>
      <w:snapToGrid/>
      <w:sz w:val="36"/>
      <w:szCs w:val="24"/>
    </w:rPr>
  </w:style>
  <w:style w:type="character" w:customStyle="1" w:styleId="125">
    <w:name w:val="msosubtlereference"/>
    <w:basedOn w:val="43"/>
    <w:autoRedefine/>
    <w:qFormat/>
    <w:uiPriority w:val="0"/>
    <w:rPr>
      <w:smallCaps/>
      <w:color w:val="C0504D"/>
      <w:u w:val="single"/>
    </w:rPr>
  </w:style>
  <w:style w:type="character" w:customStyle="1" w:styleId="126">
    <w:name w:val="标题 8 Char1"/>
    <w:basedOn w:val="43"/>
    <w:autoRedefine/>
    <w:qFormat/>
    <w:uiPriority w:val="0"/>
    <w:rPr>
      <w:rFonts w:hint="default" w:ascii="Cambria" w:hAnsi="Cambria" w:eastAsia="宋体" w:cs="Cambria"/>
      <w:kern w:val="2"/>
      <w:sz w:val="24"/>
      <w:szCs w:val="24"/>
    </w:rPr>
  </w:style>
  <w:style w:type="character" w:customStyle="1" w:styleId="127">
    <w:name w:val="msointensereference"/>
    <w:basedOn w:val="43"/>
    <w:autoRedefine/>
    <w:qFormat/>
    <w:uiPriority w:val="0"/>
    <w:rPr>
      <w:b/>
      <w:bCs/>
      <w:smallCaps/>
      <w:color w:val="C0504D"/>
      <w:spacing w:val="5"/>
      <w:u w:val="single"/>
    </w:rPr>
  </w:style>
  <w:style w:type="character" w:customStyle="1" w:styleId="128">
    <w:name w:val="textcontents"/>
    <w:basedOn w:val="43"/>
    <w:autoRedefine/>
    <w:qFormat/>
    <w:uiPriority w:val="0"/>
    <w:rPr>
      <w:rFonts w:hint="default" w:ascii="Times New Roman" w:hAnsi="Times New Roman" w:cs="Times New Roman"/>
    </w:rPr>
  </w:style>
  <w:style w:type="character" w:customStyle="1" w:styleId="129">
    <w:name w:val="msobooktitle"/>
    <w:basedOn w:val="43"/>
    <w:autoRedefine/>
    <w:qFormat/>
    <w:uiPriority w:val="0"/>
    <w:rPr>
      <w:b/>
      <w:bCs/>
      <w:smallCaps/>
      <w:spacing w:val="5"/>
    </w:rPr>
  </w:style>
  <w:style w:type="character" w:customStyle="1" w:styleId="130">
    <w:name w:val="文档结构图 Char1"/>
    <w:basedOn w:val="43"/>
    <w:autoRedefine/>
    <w:qFormat/>
    <w:uiPriority w:val="0"/>
    <w:rPr>
      <w:rFonts w:hint="eastAsia" w:ascii="宋体" w:hAnsi="宋体" w:eastAsia="宋体" w:cs="宋体"/>
      <w:kern w:val="2"/>
      <w:sz w:val="18"/>
      <w:szCs w:val="18"/>
    </w:rPr>
  </w:style>
  <w:style w:type="character" w:customStyle="1" w:styleId="131">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2">
    <w:name w:val="msosubtleemphasis"/>
    <w:basedOn w:val="43"/>
    <w:autoRedefine/>
    <w:qFormat/>
    <w:uiPriority w:val="0"/>
    <w:rPr>
      <w:i/>
      <w:iCs/>
      <w:color w:val="808080"/>
    </w:rPr>
  </w:style>
  <w:style w:type="character" w:customStyle="1" w:styleId="133">
    <w:name w:val="标题 5 字符"/>
    <w:basedOn w:val="43"/>
    <w:link w:val="6"/>
    <w:autoRedefine/>
    <w:qFormat/>
    <w:uiPriority w:val="0"/>
    <w:rPr>
      <w:rFonts w:hint="default" w:ascii="Calibri" w:hAnsi="Calibri" w:cs="Calibri"/>
      <w:b/>
      <w:bCs/>
      <w:kern w:val="2"/>
      <w:sz w:val="28"/>
      <w:szCs w:val="28"/>
    </w:rPr>
  </w:style>
  <w:style w:type="character" w:customStyle="1" w:styleId="134">
    <w:name w:val="标题 6 字符"/>
    <w:basedOn w:val="43"/>
    <w:link w:val="7"/>
    <w:autoRedefine/>
    <w:qFormat/>
    <w:uiPriority w:val="0"/>
    <w:rPr>
      <w:b/>
      <w:bCs/>
      <w:kern w:val="2"/>
      <w:sz w:val="30"/>
      <w:szCs w:val="18"/>
    </w:rPr>
  </w:style>
  <w:style w:type="character" w:customStyle="1" w:styleId="135">
    <w:name w:val="标题 8 字符"/>
    <w:basedOn w:val="43"/>
    <w:link w:val="9"/>
    <w:autoRedefine/>
    <w:qFormat/>
    <w:uiPriority w:val="0"/>
    <w:rPr>
      <w:rFonts w:hint="eastAsia" w:ascii="宋体" w:hAnsi="宋体" w:eastAsia="黑体" w:cs="宋体"/>
      <w:kern w:val="2"/>
      <w:sz w:val="32"/>
      <w:szCs w:val="32"/>
    </w:rPr>
  </w:style>
  <w:style w:type="character" w:customStyle="1" w:styleId="136">
    <w:name w:val="标题 9 字符"/>
    <w:basedOn w:val="43"/>
    <w:link w:val="10"/>
    <w:autoRedefine/>
    <w:qFormat/>
    <w:uiPriority w:val="0"/>
    <w:rPr>
      <w:rFonts w:hint="default" w:ascii="Cambria" w:hAnsi="Cambria" w:eastAsia="Cambria" w:cs="Cambria"/>
      <w:kern w:val="2"/>
      <w:sz w:val="21"/>
      <w:szCs w:val="21"/>
    </w:rPr>
  </w:style>
  <w:style w:type="character" w:customStyle="1" w:styleId="137">
    <w:name w:val="标题 9 Char1"/>
    <w:basedOn w:val="43"/>
    <w:autoRedefine/>
    <w:qFormat/>
    <w:uiPriority w:val="0"/>
    <w:rPr>
      <w:rFonts w:hint="default" w:ascii="Cambria" w:hAnsi="Cambria" w:eastAsia="宋体" w:cs="Cambria"/>
      <w:kern w:val="2"/>
      <w:sz w:val="21"/>
      <w:szCs w:val="21"/>
    </w:rPr>
  </w:style>
  <w:style w:type="character" w:customStyle="1" w:styleId="138">
    <w:name w:val="ask-title2"/>
    <w:basedOn w:val="43"/>
    <w:autoRedefine/>
    <w:qFormat/>
    <w:uiPriority w:val="0"/>
  </w:style>
  <w:style w:type="character" w:customStyle="1" w:styleId="139">
    <w:name w:val="标题 3 字符1"/>
    <w:basedOn w:val="43"/>
    <w:link w:val="4"/>
    <w:autoRedefine/>
    <w:qFormat/>
    <w:uiPriority w:val="0"/>
    <w:rPr>
      <w:rFonts w:hint="eastAsia" w:ascii="黑体" w:hAnsi="宋体" w:eastAsia="黑体" w:cs="黑体"/>
      <w:bCs/>
      <w:kern w:val="2"/>
      <w:sz w:val="24"/>
      <w:szCs w:val="24"/>
    </w:rPr>
  </w:style>
  <w:style w:type="character" w:customStyle="1" w:styleId="140">
    <w:name w:val="称呼 字符"/>
    <w:basedOn w:val="43"/>
    <w:link w:val="14"/>
    <w:autoRedefine/>
    <w:qFormat/>
    <w:uiPriority w:val="0"/>
    <w:rPr>
      <w:rFonts w:hint="eastAsia" w:ascii="仿宋_GB2312" w:eastAsia="仿宋_GB2312" w:cs="仿宋_GB2312"/>
      <w:kern w:val="2"/>
      <w:sz w:val="28"/>
    </w:rPr>
  </w:style>
  <w:style w:type="character" w:customStyle="1" w:styleId="141">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2">
    <w:name w:val="尾注文本 字符"/>
    <w:basedOn w:val="43"/>
    <w:link w:val="24"/>
    <w:autoRedefine/>
    <w:qFormat/>
    <w:uiPriority w:val="0"/>
    <w:rPr>
      <w:kern w:val="2"/>
      <w:sz w:val="21"/>
      <w:szCs w:val="24"/>
    </w:rPr>
  </w:style>
  <w:style w:type="character" w:customStyle="1" w:styleId="143">
    <w:name w:val="脚注文本 字符"/>
    <w:basedOn w:val="43"/>
    <w:link w:val="31"/>
    <w:autoRedefine/>
    <w:qFormat/>
    <w:uiPriority w:val="0"/>
    <w:rPr>
      <w:kern w:val="2"/>
      <w:sz w:val="18"/>
      <w:szCs w:val="18"/>
    </w:rPr>
  </w:style>
  <w:style w:type="character" w:customStyle="1" w:styleId="144">
    <w:name w:val="正文文本 2 字符"/>
    <w:basedOn w:val="43"/>
    <w:link w:val="34"/>
    <w:autoRedefine/>
    <w:qFormat/>
    <w:uiPriority w:val="0"/>
    <w:rPr>
      <w:rFonts w:hint="eastAsia" w:ascii="宋体" w:hAnsi="宋体" w:eastAsia="宋体" w:cs="宋体"/>
      <w:spacing w:val="-20"/>
      <w:kern w:val="2"/>
      <w:sz w:val="28"/>
    </w:rPr>
  </w:style>
  <w:style w:type="character" w:customStyle="1" w:styleId="145">
    <w:name w:val="引用 字符"/>
    <w:basedOn w:val="43"/>
    <w:autoRedefine/>
    <w:qFormat/>
    <w:uiPriority w:val="0"/>
    <w:rPr>
      <w:i/>
      <w:iCs/>
      <w:color w:val="000000"/>
      <w:kern w:val="2"/>
      <w:sz w:val="21"/>
      <w:szCs w:val="22"/>
    </w:rPr>
  </w:style>
  <w:style w:type="character" w:customStyle="1" w:styleId="146">
    <w:name w:val="引用 字符1"/>
    <w:basedOn w:val="43"/>
    <w:autoRedefine/>
    <w:qFormat/>
    <w:uiPriority w:val="0"/>
    <w:rPr>
      <w:i/>
      <w:iCs/>
      <w:color w:val="404040"/>
      <w:kern w:val="2"/>
      <w:sz w:val="21"/>
      <w:szCs w:val="24"/>
    </w:rPr>
  </w:style>
  <w:style w:type="character" w:customStyle="1" w:styleId="147">
    <w:name w:val="普通文字1 Char"/>
    <w:basedOn w:val="43"/>
    <w:autoRedefine/>
    <w:qFormat/>
    <w:uiPriority w:val="0"/>
    <w:rPr>
      <w:rFonts w:hint="eastAsia" w:ascii="宋体" w:hAnsi="Courier New" w:eastAsia="宋体" w:cs="Courier New"/>
      <w:szCs w:val="21"/>
    </w:rPr>
  </w:style>
  <w:style w:type="character" w:customStyle="1" w:styleId="148">
    <w:name w:val="批注文字 Char1"/>
    <w:basedOn w:val="43"/>
    <w:autoRedefine/>
    <w:qFormat/>
    <w:uiPriority w:val="0"/>
    <w:rPr>
      <w:kern w:val="2"/>
      <w:sz w:val="21"/>
      <w:szCs w:val="24"/>
    </w:rPr>
  </w:style>
  <w:style w:type="character" w:customStyle="1" w:styleId="149">
    <w:name w:val="tdrownotice1"/>
    <w:basedOn w:val="43"/>
    <w:autoRedefine/>
    <w:qFormat/>
    <w:uiPriority w:val="0"/>
    <w:rPr>
      <w:sz w:val="22"/>
    </w:rPr>
  </w:style>
  <w:style w:type="character" w:customStyle="1" w:styleId="150">
    <w:name w:val="标题4 Char Char"/>
    <w:basedOn w:val="43"/>
    <w:autoRedefine/>
    <w:qFormat/>
    <w:uiPriority w:val="0"/>
    <w:rPr>
      <w:rFonts w:hint="default" w:ascii="Arial" w:hAnsi="Arial" w:cs="Arial"/>
      <w:b/>
      <w:bCs/>
      <w:sz w:val="24"/>
      <w:szCs w:val="32"/>
    </w:rPr>
  </w:style>
  <w:style w:type="character" w:customStyle="1" w:styleId="151">
    <w:name w:val="纯文本 Char1_1"/>
    <w:basedOn w:val="43"/>
    <w:autoRedefine/>
    <w:qFormat/>
    <w:uiPriority w:val="0"/>
    <w:rPr>
      <w:rFonts w:hint="eastAsia" w:ascii="宋体" w:hAnsi="Courier New" w:eastAsia="宋体" w:cs="宋体"/>
      <w:kern w:val="2"/>
      <w:sz w:val="21"/>
      <w:szCs w:val="21"/>
    </w:rPr>
  </w:style>
  <w:style w:type="character" w:customStyle="1" w:styleId="152">
    <w:name w:val="标题 6 Char_0"/>
    <w:basedOn w:val="43"/>
    <w:autoRedefine/>
    <w:qFormat/>
    <w:uiPriority w:val="0"/>
    <w:rPr>
      <w:rFonts w:hint="default" w:ascii="Arial" w:hAnsi="Arial" w:eastAsia="黑体" w:cs="Arial"/>
      <w:b/>
      <w:bCs/>
      <w:sz w:val="24"/>
      <w:szCs w:val="24"/>
    </w:rPr>
  </w:style>
  <w:style w:type="character" w:customStyle="1" w:styleId="153">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4">
    <w:name w:val="脚注文本 Char_0"/>
    <w:basedOn w:val="43"/>
    <w:autoRedefine/>
    <w:qFormat/>
    <w:uiPriority w:val="0"/>
    <w:rPr>
      <w:sz w:val="18"/>
    </w:rPr>
  </w:style>
  <w:style w:type="character" w:customStyle="1" w:styleId="155">
    <w:name w:val="标题 2 Char"/>
    <w:basedOn w:val="43"/>
    <w:autoRedefine/>
    <w:qFormat/>
    <w:uiPriority w:val="0"/>
    <w:rPr>
      <w:rFonts w:hint="default" w:ascii="Cambria" w:hAnsi="Cambria" w:eastAsia="宋体" w:cs="Times New Roman"/>
      <w:b/>
      <w:bCs/>
      <w:kern w:val="2"/>
      <w:sz w:val="32"/>
      <w:szCs w:val="32"/>
    </w:rPr>
  </w:style>
  <w:style w:type="character" w:customStyle="1" w:styleId="156">
    <w:name w:val="标题 8 Char_0"/>
    <w:basedOn w:val="43"/>
    <w:autoRedefine/>
    <w:qFormat/>
    <w:uiPriority w:val="0"/>
    <w:rPr>
      <w:rFonts w:hint="default" w:ascii="Arial" w:hAnsi="Arial" w:eastAsia="黑体" w:cs="Arial"/>
      <w:sz w:val="24"/>
      <w:szCs w:val="24"/>
    </w:rPr>
  </w:style>
  <w:style w:type="character" w:customStyle="1" w:styleId="157">
    <w:name w:val="批注框文本 Char1"/>
    <w:basedOn w:val="43"/>
    <w:autoRedefine/>
    <w:qFormat/>
    <w:uiPriority w:val="0"/>
    <w:rPr>
      <w:kern w:val="2"/>
      <w:sz w:val="18"/>
      <w:szCs w:val="18"/>
    </w:rPr>
  </w:style>
  <w:style w:type="character" w:customStyle="1" w:styleId="158">
    <w:name w:val="纯文本 Char1_0"/>
    <w:basedOn w:val="43"/>
    <w:autoRedefine/>
    <w:qFormat/>
    <w:uiPriority w:val="0"/>
    <w:rPr>
      <w:rFonts w:hint="eastAsia" w:ascii="宋体" w:hAnsi="Courier New" w:eastAsia="宋体" w:cs="宋体"/>
      <w:kern w:val="2"/>
      <w:sz w:val="21"/>
      <w:szCs w:val="21"/>
    </w:rPr>
  </w:style>
  <w:style w:type="character" w:customStyle="1" w:styleId="159">
    <w:name w:val="Blockquote Char_0"/>
    <w:basedOn w:val="43"/>
    <w:autoRedefine/>
    <w:qFormat/>
    <w:uiPriority w:val="0"/>
    <w:rPr>
      <w:sz w:val="24"/>
    </w:rPr>
  </w:style>
  <w:style w:type="character" w:customStyle="1" w:styleId="160">
    <w:name w:val="标题 4 Char1"/>
    <w:basedOn w:val="43"/>
    <w:autoRedefine/>
    <w:qFormat/>
    <w:uiPriority w:val="0"/>
    <w:rPr>
      <w:rFonts w:hint="default" w:ascii="Cambria" w:hAnsi="Cambria" w:eastAsia="宋体" w:cs="Cambria"/>
      <w:b/>
      <w:kern w:val="2"/>
      <w:sz w:val="28"/>
      <w:szCs w:val="28"/>
    </w:rPr>
  </w:style>
  <w:style w:type="character" w:customStyle="1" w:styleId="161">
    <w:name w:val="标题 6 Char1"/>
    <w:basedOn w:val="43"/>
    <w:autoRedefine/>
    <w:qFormat/>
    <w:uiPriority w:val="0"/>
    <w:rPr>
      <w:rFonts w:hint="default" w:ascii="Cambria" w:hAnsi="Cambria" w:eastAsia="宋体" w:cs="Cambria"/>
      <w:b/>
      <w:kern w:val="2"/>
      <w:sz w:val="24"/>
      <w:szCs w:val="24"/>
    </w:rPr>
  </w:style>
  <w:style w:type="character" w:customStyle="1" w:styleId="162">
    <w:name w:val="标题 1 Char_0"/>
    <w:basedOn w:val="43"/>
    <w:autoRedefine/>
    <w:qFormat/>
    <w:uiPriority w:val="0"/>
    <w:rPr>
      <w:rFonts w:hint="eastAsia" w:ascii="黑体" w:hAnsi="宋体" w:eastAsia="黑体" w:cs="黑体"/>
      <w:sz w:val="52"/>
    </w:rPr>
  </w:style>
  <w:style w:type="character" w:customStyle="1" w:styleId="163">
    <w:name w:val="引用 Char1"/>
    <w:basedOn w:val="43"/>
    <w:autoRedefine/>
    <w:qFormat/>
    <w:uiPriority w:val="0"/>
    <w:rPr>
      <w:i/>
      <w:iCs/>
      <w:color w:val="000000"/>
      <w:kern w:val="2"/>
      <w:sz w:val="21"/>
      <w:szCs w:val="24"/>
    </w:rPr>
  </w:style>
  <w:style w:type="character" w:customStyle="1" w:styleId="164">
    <w:name w:val="标题 3 Char1"/>
    <w:basedOn w:val="43"/>
    <w:autoRedefine/>
    <w:qFormat/>
    <w:uiPriority w:val="0"/>
    <w:rPr>
      <w:rFonts w:hint="default" w:ascii="Calibri" w:hAnsi="Calibri" w:eastAsia="宋体" w:cs="Calibri"/>
      <w:b/>
      <w:kern w:val="2"/>
      <w:sz w:val="32"/>
    </w:rPr>
  </w:style>
  <w:style w:type="character" w:customStyle="1" w:styleId="165">
    <w:name w:val="Blockquote Char"/>
    <w:basedOn w:val="43"/>
    <w:autoRedefine/>
    <w:qFormat/>
    <w:uiPriority w:val="0"/>
    <w:rPr>
      <w:sz w:val="24"/>
    </w:rPr>
  </w:style>
  <w:style w:type="character" w:customStyle="1" w:styleId="166">
    <w:name w:val="标题 4 Char_0"/>
    <w:basedOn w:val="43"/>
    <w:autoRedefine/>
    <w:qFormat/>
    <w:uiPriority w:val="0"/>
    <w:rPr>
      <w:rFonts w:hint="default" w:ascii="Arial" w:hAnsi="Arial" w:eastAsia="黑体" w:cs="Arial"/>
      <w:sz w:val="28"/>
    </w:rPr>
  </w:style>
  <w:style w:type="character" w:customStyle="1" w:styleId="167">
    <w:name w:val="标题 7 Char1"/>
    <w:basedOn w:val="43"/>
    <w:autoRedefine/>
    <w:qFormat/>
    <w:uiPriority w:val="0"/>
    <w:rPr>
      <w:rFonts w:hint="default" w:ascii="Calibri" w:hAnsi="Calibri" w:eastAsia="宋体" w:cs="Calibri"/>
      <w:b/>
      <w:kern w:val="2"/>
      <w:sz w:val="24"/>
      <w:szCs w:val="24"/>
    </w:rPr>
  </w:style>
  <w:style w:type="character" w:customStyle="1" w:styleId="168">
    <w:name w:val="标题 5 Char1"/>
    <w:basedOn w:val="43"/>
    <w:autoRedefine/>
    <w:qFormat/>
    <w:uiPriority w:val="0"/>
    <w:rPr>
      <w:rFonts w:hint="default" w:ascii="Calibri" w:hAnsi="Calibri" w:eastAsia="宋体" w:cs="Calibri"/>
      <w:b/>
      <w:kern w:val="2"/>
      <w:sz w:val="28"/>
      <w:szCs w:val="28"/>
    </w:rPr>
  </w:style>
  <w:style w:type="character" w:customStyle="1" w:styleId="169">
    <w:name w:val="批注主题 Char2"/>
    <w:basedOn w:val="43"/>
    <w:autoRedefine/>
    <w:qFormat/>
    <w:uiPriority w:val="0"/>
    <w:rPr>
      <w:b/>
      <w:bCs/>
      <w:kern w:val="2"/>
      <w:sz w:val="21"/>
      <w:szCs w:val="22"/>
    </w:rPr>
  </w:style>
  <w:style w:type="character" w:customStyle="1" w:styleId="170">
    <w:name w:val="副标题 Char1"/>
    <w:basedOn w:val="43"/>
    <w:autoRedefine/>
    <w:qFormat/>
    <w:uiPriority w:val="0"/>
    <w:rPr>
      <w:rFonts w:hint="default" w:ascii="Cambria" w:hAnsi="Cambria" w:eastAsia="Cambria" w:cs="Times New Roman"/>
      <w:b/>
      <w:bCs/>
      <w:kern w:val="28"/>
      <w:sz w:val="32"/>
      <w:szCs w:val="32"/>
    </w:rPr>
  </w:style>
  <w:style w:type="character" w:customStyle="1" w:styleId="171">
    <w:name w:val="文档结构图 Char2"/>
    <w:basedOn w:val="43"/>
    <w:autoRedefine/>
    <w:qFormat/>
    <w:uiPriority w:val="0"/>
    <w:rPr>
      <w:rFonts w:hint="eastAsia" w:ascii="宋体" w:hAnsi="宋体" w:eastAsia="宋体" w:cs="宋体"/>
      <w:kern w:val="2"/>
      <w:sz w:val="18"/>
      <w:szCs w:val="18"/>
    </w:rPr>
  </w:style>
  <w:style w:type="character" w:customStyle="1" w:styleId="172">
    <w:name w:val="批注主题 Char1"/>
    <w:basedOn w:val="43"/>
    <w:autoRedefine/>
    <w:qFormat/>
    <w:uiPriority w:val="0"/>
    <w:rPr>
      <w:b/>
      <w:bCs/>
      <w:kern w:val="2"/>
      <w:sz w:val="21"/>
      <w:szCs w:val="24"/>
    </w:rPr>
  </w:style>
  <w:style w:type="character" w:customStyle="1" w:styleId="173">
    <w:name w:val="正文2 Char"/>
    <w:basedOn w:val="43"/>
    <w:autoRedefine/>
    <w:qFormat/>
    <w:uiPriority w:val="0"/>
    <w:rPr>
      <w:rFonts w:hint="eastAsia" w:ascii="楷体" w:hAnsi="楷体" w:eastAsia="楷体" w:cs="楷体"/>
      <w:b/>
      <w:color w:val="0000FF"/>
      <w:kern w:val="2"/>
      <w:sz w:val="21"/>
      <w:szCs w:val="22"/>
    </w:rPr>
  </w:style>
  <w:style w:type="character" w:customStyle="1" w:styleId="174">
    <w:name w:val="正文文本 Char2"/>
    <w:basedOn w:val="43"/>
    <w:autoRedefine/>
    <w:qFormat/>
    <w:uiPriority w:val="0"/>
    <w:rPr>
      <w:kern w:val="2"/>
      <w:sz w:val="21"/>
      <w:szCs w:val="22"/>
    </w:rPr>
  </w:style>
  <w:style w:type="character" w:customStyle="1" w:styleId="175">
    <w:name w:val="日期 Char1"/>
    <w:basedOn w:val="43"/>
    <w:autoRedefine/>
    <w:qFormat/>
    <w:uiPriority w:val="0"/>
    <w:rPr>
      <w:kern w:val="2"/>
      <w:sz w:val="21"/>
      <w:szCs w:val="22"/>
    </w:rPr>
  </w:style>
  <w:style w:type="character" w:customStyle="1" w:styleId="176">
    <w:name w:val="批注框文本 Char2"/>
    <w:basedOn w:val="43"/>
    <w:autoRedefine/>
    <w:qFormat/>
    <w:uiPriority w:val="0"/>
    <w:rPr>
      <w:kern w:val="2"/>
      <w:sz w:val="18"/>
      <w:szCs w:val="18"/>
    </w:rPr>
  </w:style>
  <w:style w:type="character" w:customStyle="1" w:styleId="177">
    <w:name w:val="标题 9 Char_0"/>
    <w:basedOn w:val="43"/>
    <w:autoRedefine/>
    <w:qFormat/>
    <w:uiPriority w:val="0"/>
    <w:rPr>
      <w:rFonts w:hint="default" w:ascii="Arial" w:hAnsi="Arial" w:eastAsia="黑体" w:cs="Arial"/>
      <w:sz w:val="21"/>
      <w:szCs w:val="21"/>
    </w:rPr>
  </w:style>
  <w:style w:type="character" w:customStyle="1" w:styleId="178">
    <w:name w:val="脚注文本 Char"/>
    <w:basedOn w:val="43"/>
    <w:autoRedefine/>
    <w:qFormat/>
    <w:uiPriority w:val="0"/>
    <w:rPr>
      <w:kern w:val="2"/>
      <w:sz w:val="18"/>
      <w:szCs w:val="18"/>
    </w:rPr>
  </w:style>
  <w:style w:type="character" w:customStyle="1" w:styleId="179">
    <w:name w:val="标题5 Char Char"/>
    <w:basedOn w:val="43"/>
    <w:autoRedefine/>
    <w:qFormat/>
    <w:uiPriority w:val="0"/>
    <w:rPr>
      <w:rFonts w:hint="default" w:ascii="Arial" w:hAnsi="Arial" w:cs="Arial"/>
      <w:b/>
      <w:bCs/>
      <w:sz w:val="24"/>
      <w:szCs w:val="32"/>
    </w:rPr>
  </w:style>
  <w:style w:type="character" w:customStyle="1" w:styleId="180">
    <w:name w:val="明显引用 字符"/>
    <w:basedOn w:val="43"/>
    <w:autoRedefine/>
    <w:qFormat/>
    <w:uiPriority w:val="0"/>
    <w:rPr>
      <w:b/>
      <w:bCs/>
      <w:i/>
      <w:iCs/>
      <w:color w:val="4F81BD"/>
      <w:kern w:val="2"/>
      <w:sz w:val="21"/>
      <w:szCs w:val="22"/>
    </w:rPr>
  </w:style>
  <w:style w:type="character" w:customStyle="1" w:styleId="181">
    <w:name w:val="批注文字 Char Char"/>
    <w:basedOn w:val="43"/>
    <w:autoRedefine/>
    <w:qFormat/>
    <w:uiPriority w:val="0"/>
    <w:rPr>
      <w:rFonts w:hint="eastAsia" w:ascii="宋体" w:hAnsi="Times New Roman" w:eastAsia="宋体" w:cs="Times New Roman"/>
      <w:sz w:val="28"/>
      <w:szCs w:val="20"/>
    </w:rPr>
  </w:style>
  <w:style w:type="character" w:customStyle="1" w:styleId="182">
    <w:name w:val="t_tag"/>
    <w:basedOn w:val="43"/>
    <w:autoRedefine/>
    <w:qFormat/>
    <w:uiPriority w:val="0"/>
  </w:style>
  <w:style w:type="character" w:customStyle="1" w:styleId="183">
    <w:name w:val="日期 Char2"/>
    <w:basedOn w:val="43"/>
    <w:autoRedefine/>
    <w:qFormat/>
    <w:uiPriority w:val="0"/>
    <w:rPr>
      <w:kern w:val="2"/>
      <w:sz w:val="21"/>
      <w:szCs w:val="22"/>
    </w:rPr>
  </w:style>
  <w:style w:type="character" w:customStyle="1" w:styleId="184">
    <w:name w:val="标题 1 Char1"/>
    <w:basedOn w:val="43"/>
    <w:autoRedefine/>
    <w:qFormat/>
    <w:uiPriority w:val="0"/>
    <w:rPr>
      <w:rFonts w:hint="default" w:ascii="Calibri" w:hAnsi="Calibri" w:eastAsia="宋体" w:cs="Calibri"/>
      <w:b/>
      <w:kern w:val="44"/>
      <w:sz w:val="44"/>
      <w:szCs w:val="44"/>
    </w:rPr>
  </w:style>
  <w:style w:type="character" w:customStyle="1" w:styleId="185">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6">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7">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8">
    <w:name w:val="AnnotationText"/>
    <w:basedOn w:val="1"/>
    <w:autoRedefine/>
    <w:qFormat/>
    <w:uiPriority w:val="0"/>
    <w:pPr>
      <w:jc w:val="left"/>
      <w:textAlignment w:val="baseline"/>
    </w:pPr>
    <w:rPr>
      <w:rFonts w:ascii="Arial" w:hAnsi="Arial" w:eastAsia="黑体"/>
    </w:rPr>
  </w:style>
  <w:style w:type="paragraph" w:customStyle="1" w:styleId="189">
    <w:name w:val="BodyText1I2"/>
    <w:basedOn w:val="190"/>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90">
    <w:name w:val="BodyTextIndent"/>
    <w:basedOn w:val="1"/>
    <w:autoRedefine/>
    <w:qFormat/>
    <w:uiPriority w:val="0"/>
    <w:pPr>
      <w:spacing w:after="120"/>
      <w:ind w:left="420" w:leftChars="200"/>
      <w:textAlignment w:val="baseline"/>
    </w:pPr>
  </w:style>
  <w:style w:type="paragraph" w:customStyle="1" w:styleId="191">
    <w:name w:val="BodyText1I"/>
    <w:basedOn w:val="192"/>
    <w:autoRedefine/>
    <w:qFormat/>
    <w:uiPriority w:val="0"/>
    <w:pPr>
      <w:ind w:firstLine="420" w:firstLineChars="100"/>
    </w:pPr>
    <w:rPr>
      <w:rFonts w:eastAsia="@仿宋_GB2312"/>
    </w:rPr>
  </w:style>
  <w:style w:type="paragraph" w:customStyle="1" w:styleId="192">
    <w:name w:val="BodyText"/>
    <w:basedOn w:val="1"/>
    <w:autoRedefine/>
    <w:qFormat/>
    <w:uiPriority w:val="0"/>
    <w:pPr>
      <w:spacing w:after="120"/>
      <w:textAlignment w:val="baseline"/>
    </w:pPr>
  </w:style>
  <w:style w:type="paragraph" w:customStyle="1" w:styleId="193">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4">
    <w:name w:val="Table Normal"/>
    <w:autoRedefine/>
    <w:unhideWhenUsed/>
    <w:qFormat/>
    <w:uiPriority w:val="0"/>
    <w:tblPr>
      <w:tblCellMar>
        <w:top w:w="0" w:type="dxa"/>
        <w:left w:w="0" w:type="dxa"/>
        <w:bottom w:w="0" w:type="dxa"/>
        <w:right w:w="0" w:type="dxa"/>
      </w:tblCellMar>
    </w:tblPr>
  </w:style>
  <w:style w:type="character" w:customStyle="1" w:styleId="195">
    <w:name w:val="font01"/>
    <w:basedOn w:val="43"/>
    <w:qFormat/>
    <w:uiPriority w:val="0"/>
    <w:rPr>
      <w:rFonts w:hint="eastAsia" w:ascii="宋体" w:hAnsi="宋体" w:eastAsia="宋体" w:cs="宋体"/>
      <w:color w:val="000000"/>
      <w:sz w:val="22"/>
      <w:szCs w:val="22"/>
      <w:u w:val="none"/>
    </w:rPr>
  </w:style>
  <w:style w:type="character" w:customStyle="1" w:styleId="196">
    <w:name w:val="font81"/>
    <w:basedOn w:val="43"/>
    <w:qFormat/>
    <w:uiPriority w:val="0"/>
    <w:rPr>
      <w:rFonts w:ascii="Calibri" w:hAnsi="Calibri" w:cs="Calibri"/>
      <w:color w:val="000000"/>
      <w:sz w:val="22"/>
      <w:szCs w:val="22"/>
      <w:u w:val="none"/>
    </w:rPr>
  </w:style>
  <w:style w:type="character" w:customStyle="1" w:styleId="197">
    <w:name w:val="font61"/>
    <w:basedOn w:val="43"/>
    <w:qFormat/>
    <w:uiPriority w:val="0"/>
    <w:rPr>
      <w:rFonts w:hint="eastAsia" w:ascii="宋体" w:hAnsi="宋体" w:eastAsia="宋体" w:cs="宋体"/>
      <w:color w:val="000000"/>
      <w:sz w:val="22"/>
      <w:szCs w:val="22"/>
      <w:u w:val="none"/>
    </w:rPr>
  </w:style>
  <w:style w:type="character" w:customStyle="1" w:styleId="198">
    <w:name w:val="font51"/>
    <w:basedOn w:val="43"/>
    <w:qFormat/>
    <w:uiPriority w:val="0"/>
    <w:rPr>
      <w:rFonts w:hint="eastAsia" w:ascii="宋体" w:hAnsi="宋体" w:eastAsia="宋体" w:cs="宋体"/>
      <w:color w:val="000000"/>
      <w:sz w:val="20"/>
      <w:szCs w:val="20"/>
      <w:u w:val="none"/>
    </w:rPr>
  </w:style>
  <w:style w:type="character" w:customStyle="1" w:styleId="199">
    <w:name w:val="font31"/>
    <w:basedOn w:val="43"/>
    <w:qFormat/>
    <w:uiPriority w:val="0"/>
    <w:rPr>
      <w:rFonts w:hint="default" w:ascii="Times New Roman" w:hAnsi="Times New Roman" w:cs="Times New Roman"/>
      <w:color w:val="000000"/>
      <w:sz w:val="20"/>
      <w:szCs w:val="20"/>
      <w:u w:val="none"/>
    </w:rPr>
  </w:style>
  <w:style w:type="character" w:customStyle="1" w:styleId="200">
    <w:name w:val="font91"/>
    <w:basedOn w:val="43"/>
    <w:qFormat/>
    <w:uiPriority w:val="0"/>
    <w:rPr>
      <w:rFonts w:hint="eastAsia" w:ascii="宋体" w:hAnsi="宋体" w:eastAsia="宋体" w:cs="宋体"/>
      <w:color w:val="000000"/>
      <w:sz w:val="20"/>
      <w:szCs w:val="20"/>
      <w:u w:val="none"/>
    </w:rPr>
  </w:style>
  <w:style w:type="character" w:customStyle="1" w:styleId="201">
    <w:name w:val="font21"/>
    <w:basedOn w:val="43"/>
    <w:qFormat/>
    <w:uiPriority w:val="0"/>
    <w:rPr>
      <w:rFonts w:hint="default" w:ascii="Times New Roman" w:hAnsi="Times New Roman" w:cs="Times New Roman"/>
      <w:color w:val="000000"/>
      <w:sz w:val="20"/>
      <w:szCs w:val="20"/>
      <w:u w:val="none"/>
    </w:rPr>
  </w:style>
  <w:style w:type="character" w:customStyle="1" w:styleId="202">
    <w:name w:val="font111"/>
    <w:basedOn w:val="43"/>
    <w:qFormat/>
    <w:uiPriority w:val="0"/>
    <w:rPr>
      <w:rFonts w:ascii="微软雅黑" w:hAnsi="微软雅黑" w:eastAsia="微软雅黑" w:cs="微软雅黑"/>
      <w:color w:val="000000"/>
      <w:sz w:val="22"/>
      <w:szCs w:val="22"/>
      <w:u w:val="none"/>
    </w:rPr>
  </w:style>
  <w:style w:type="character" w:customStyle="1" w:styleId="203">
    <w:name w:val="font1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52</Pages>
  <Words>10510</Words>
  <Characters>11274</Characters>
  <Lines>305</Lines>
  <Paragraphs>86</Paragraphs>
  <TotalTime>29</TotalTime>
  <ScaleCrop>false</ScaleCrop>
  <LinksUpToDate>false</LinksUpToDate>
  <CharactersWithSpaces>11363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略略略</cp:lastModifiedBy>
  <cp:lastPrinted>2024-09-23T05:39:00Z</cp:lastPrinted>
  <dcterms:modified xsi:type="dcterms:W3CDTF">2026-04-13T08:09:16Z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