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hint="eastAsia" w:asciiTheme="minorEastAsia" w:hAnsiTheme="minorEastAsia" w:eastAsiaTheme="minorEastAsia" w:cstheme="minorEastAsia"/>
          <w:color w:val="auto"/>
          <w:sz w:val="32"/>
          <w:szCs w:val="32"/>
          <w:highlight w:val="none"/>
        </w:rPr>
      </w:pPr>
      <w:bookmarkStart w:id="0" w:name="_Hlk9544796"/>
    </w:p>
    <w:p w14:paraId="0BAFB1D0">
      <w:pPr>
        <w:widowControl/>
        <w:jc w:val="center"/>
        <w:rPr>
          <w:rFonts w:hint="eastAsia" w:asciiTheme="minorEastAsia" w:hAnsiTheme="minorEastAsia" w:eastAsiaTheme="minorEastAsia" w:cstheme="minorEastAsia"/>
          <w:color w:val="auto"/>
          <w:sz w:val="32"/>
          <w:szCs w:val="32"/>
          <w:highlight w:val="none"/>
        </w:rPr>
      </w:pPr>
    </w:p>
    <w:p w14:paraId="7078104A">
      <w:pPr>
        <w:pStyle w:val="2"/>
        <w:ind w:firstLine="560"/>
        <w:rPr>
          <w:rFonts w:hint="eastAsia" w:asciiTheme="minorEastAsia" w:hAnsiTheme="minorEastAsia" w:eastAsiaTheme="minorEastAsia" w:cstheme="minorEastAsia"/>
          <w:snapToGrid w:val="0"/>
          <w:color w:val="auto"/>
          <w:kern w:val="0"/>
          <w:sz w:val="28"/>
          <w:szCs w:val="28"/>
          <w:highlight w:val="none"/>
        </w:rPr>
      </w:pPr>
    </w:p>
    <w:p w14:paraId="6269B2E7">
      <w:pPr>
        <w:rPr>
          <w:rFonts w:hint="eastAsia" w:asciiTheme="minorEastAsia" w:hAnsiTheme="minorEastAsia" w:eastAsiaTheme="minorEastAsia" w:cstheme="minorEastAsia"/>
          <w:color w:val="auto"/>
          <w:highlight w:val="none"/>
        </w:rPr>
      </w:pPr>
    </w:p>
    <w:p w14:paraId="75E68584">
      <w:pPr>
        <w:tabs>
          <w:tab w:val="left" w:pos="315"/>
          <w:tab w:val="left" w:pos="8820"/>
        </w:tabs>
        <w:spacing w:before="156" w:beforeLines="50" w:after="156" w:afterLines="50"/>
        <w:ind w:right="265" w:rightChars="126"/>
        <w:jc w:val="center"/>
        <w:rPr>
          <w:rFonts w:hint="eastAsia" w:asciiTheme="minorEastAsia" w:hAnsiTheme="minorEastAsia" w:eastAsiaTheme="minorEastAsia" w:cstheme="minorEastAsia"/>
          <w:b/>
          <w:bCs/>
          <w:color w:val="auto"/>
          <w:sz w:val="96"/>
          <w:szCs w:val="96"/>
          <w:highlight w:val="none"/>
        </w:rPr>
      </w:pPr>
      <w:r>
        <w:rPr>
          <w:rFonts w:hint="eastAsia" w:asciiTheme="minorEastAsia" w:hAnsiTheme="minorEastAsia" w:eastAsiaTheme="minorEastAsia" w:cstheme="minorEastAsia"/>
          <w:color w:val="auto"/>
          <w:sz w:val="72"/>
          <w:szCs w:val="72"/>
          <w:highlight w:val="none"/>
        </w:rPr>
        <w:t>招 标 文 件</w:t>
      </w:r>
    </w:p>
    <w:p w14:paraId="5D5B0AF1">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w:t>
      </w:r>
      <w:r>
        <w:rPr>
          <w:rFonts w:hint="eastAsia" w:asciiTheme="minorEastAsia" w:hAnsiTheme="minorEastAsia" w:eastAsiaTheme="minorEastAsia" w:cstheme="minorEastAsia"/>
          <w:b/>
          <w:bCs/>
          <w:color w:val="auto"/>
          <w:sz w:val="52"/>
          <w:szCs w:val="52"/>
          <w:highlight w:val="none"/>
          <w:lang w:val="en-US" w:eastAsia="zh-CN"/>
        </w:rPr>
        <w:t>货物</w:t>
      </w:r>
      <w:r>
        <w:rPr>
          <w:rFonts w:hint="eastAsia" w:asciiTheme="minorEastAsia" w:hAnsiTheme="minorEastAsia" w:eastAsiaTheme="minorEastAsia" w:cstheme="minorEastAsia"/>
          <w:b/>
          <w:bCs/>
          <w:color w:val="auto"/>
          <w:sz w:val="52"/>
          <w:szCs w:val="52"/>
          <w:highlight w:val="none"/>
        </w:rPr>
        <w:t>类）</w:t>
      </w:r>
    </w:p>
    <w:p w14:paraId="1E00BEB0">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p>
    <w:p w14:paraId="525DB781">
      <w:pPr>
        <w:tabs>
          <w:tab w:val="left" w:pos="315"/>
          <w:tab w:val="left" w:pos="8820"/>
        </w:tabs>
        <w:spacing w:before="312" w:beforeLines="100" w:after="156" w:afterLines="50" w:line="360" w:lineRule="auto"/>
        <w:ind w:right="267" w:rightChars="127"/>
        <w:jc w:val="center"/>
        <w:rPr>
          <w:rFonts w:hint="eastAsia" w:asciiTheme="minorEastAsia" w:hAnsiTheme="minorEastAsia" w:eastAsiaTheme="minorEastAsia" w:cstheme="minorEastAsia"/>
          <w:b/>
          <w:bCs/>
          <w:color w:val="auto"/>
          <w:sz w:val="44"/>
          <w:szCs w:val="44"/>
          <w:highlight w:val="none"/>
        </w:rPr>
      </w:pPr>
    </w:p>
    <w:p w14:paraId="1223749A">
      <w:pPr>
        <w:tabs>
          <w:tab w:val="left" w:pos="315"/>
          <w:tab w:val="left" w:pos="8820"/>
        </w:tabs>
        <w:spacing w:before="312" w:beforeLines="100" w:after="156" w:afterLines="50" w:line="360" w:lineRule="auto"/>
        <w:ind w:right="267" w:rightChars="127"/>
        <w:jc w:val="center"/>
        <w:rPr>
          <w:rFonts w:hint="eastAsia" w:asciiTheme="minorEastAsia" w:hAnsiTheme="minorEastAsia" w:eastAsiaTheme="minorEastAsia" w:cstheme="minorEastAsia"/>
          <w:b/>
          <w:bCs/>
          <w:color w:val="auto"/>
          <w:sz w:val="44"/>
          <w:szCs w:val="44"/>
          <w:highlight w:val="none"/>
        </w:rPr>
      </w:pPr>
    </w:p>
    <w:p w14:paraId="438712B2">
      <w:pPr>
        <w:tabs>
          <w:tab w:val="left" w:pos="315"/>
          <w:tab w:val="left" w:pos="8820"/>
        </w:tabs>
        <w:spacing w:before="312" w:beforeLines="100" w:after="156" w:afterLines="50" w:line="360" w:lineRule="auto"/>
        <w:ind w:right="267" w:rightChars="127"/>
        <w:jc w:val="center"/>
        <w:rPr>
          <w:rFonts w:hint="eastAsia" w:asciiTheme="minorEastAsia" w:hAnsiTheme="minorEastAsia" w:eastAsiaTheme="minorEastAsia" w:cstheme="minorEastAsia"/>
          <w:b/>
          <w:bCs/>
          <w:color w:val="auto"/>
          <w:sz w:val="44"/>
          <w:szCs w:val="44"/>
          <w:highlight w:val="none"/>
        </w:rPr>
      </w:pPr>
    </w:p>
    <w:p w14:paraId="58514CF3">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pacing w:val="20"/>
          <w:kern w:val="0"/>
          <w:sz w:val="32"/>
          <w:szCs w:val="32"/>
          <w:highlight w:val="none"/>
        </w:rPr>
        <w:t>项目名称：</w:t>
      </w:r>
      <w:r>
        <w:rPr>
          <w:rFonts w:hint="eastAsia" w:asciiTheme="minorEastAsia" w:hAnsiTheme="minorEastAsia" w:eastAsiaTheme="minorEastAsia" w:cstheme="minorEastAsia"/>
          <w:b/>
          <w:color w:val="auto"/>
          <w:spacing w:val="20"/>
          <w:kern w:val="0"/>
          <w:sz w:val="32"/>
          <w:szCs w:val="32"/>
          <w:highlight w:val="none"/>
          <w:u w:val="single"/>
        </w:rPr>
        <w:t xml:space="preserve"> </w:t>
      </w:r>
      <w:r>
        <w:rPr>
          <w:rFonts w:hint="eastAsia" w:asciiTheme="minorEastAsia" w:hAnsiTheme="minorEastAsia" w:eastAsiaTheme="minorEastAsia" w:cstheme="minorEastAsia"/>
          <w:b/>
          <w:color w:val="auto"/>
          <w:spacing w:val="20"/>
          <w:kern w:val="0"/>
          <w:sz w:val="32"/>
          <w:szCs w:val="32"/>
          <w:highlight w:val="none"/>
          <w:u w:val="single"/>
          <w:lang w:eastAsia="zh-CN"/>
        </w:rPr>
        <w:t>合肥悠享时光护理院2026年药品配送服务项目</w:t>
      </w:r>
      <w:r>
        <w:rPr>
          <w:rFonts w:hint="eastAsia" w:asciiTheme="minorEastAsia" w:hAnsiTheme="minorEastAsia" w:eastAsiaTheme="minorEastAsia" w:cstheme="minorEastAsia"/>
          <w:b/>
          <w:color w:val="auto"/>
          <w:spacing w:val="20"/>
          <w:kern w:val="0"/>
          <w:sz w:val="32"/>
          <w:szCs w:val="32"/>
          <w:highlight w:val="none"/>
          <w:u w:val="single"/>
        </w:rPr>
        <w:t xml:space="preserve"> </w:t>
      </w:r>
    </w:p>
    <w:p w14:paraId="5CD84946">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u w:val="single"/>
          <w:lang w:val="en-US" w:eastAsia="zh-CN"/>
        </w:rPr>
      </w:pPr>
      <w:r>
        <w:rPr>
          <w:rFonts w:hint="eastAsia" w:asciiTheme="minorEastAsia" w:hAnsiTheme="minorEastAsia" w:eastAsiaTheme="minorEastAsia" w:cstheme="minorEastAsia"/>
          <w:b/>
          <w:color w:val="auto"/>
          <w:spacing w:val="20"/>
          <w:kern w:val="0"/>
          <w:sz w:val="32"/>
          <w:szCs w:val="32"/>
          <w:highlight w:val="none"/>
        </w:rPr>
        <w:t>项目编号：</w:t>
      </w:r>
      <w:r>
        <w:rPr>
          <w:rFonts w:hint="eastAsia" w:asciiTheme="minorEastAsia" w:hAnsiTheme="minorEastAsia" w:eastAsiaTheme="minorEastAsia" w:cstheme="minorEastAsia"/>
          <w:b/>
          <w:color w:val="auto"/>
          <w:spacing w:val="20"/>
          <w:kern w:val="0"/>
          <w:sz w:val="32"/>
          <w:szCs w:val="32"/>
          <w:highlight w:val="none"/>
          <w:u w:val="single"/>
        </w:rPr>
        <w:t xml:space="preserve"> </w:t>
      </w:r>
      <w:r>
        <w:rPr>
          <w:rFonts w:hint="eastAsia" w:asciiTheme="minorEastAsia" w:hAnsiTheme="minorEastAsia" w:eastAsiaTheme="minorEastAsia" w:cstheme="minorEastAsia"/>
          <w:b/>
          <w:color w:val="auto"/>
          <w:spacing w:val="20"/>
          <w:kern w:val="0"/>
          <w:sz w:val="32"/>
          <w:szCs w:val="32"/>
          <w:highlight w:val="none"/>
          <w:u w:val="single"/>
          <w:lang w:eastAsia="zh-CN"/>
        </w:rPr>
        <w:t>BHSG-ZTB-202</w:t>
      </w:r>
      <w:r>
        <w:rPr>
          <w:rFonts w:hint="eastAsia" w:asciiTheme="minorEastAsia" w:hAnsiTheme="minorEastAsia" w:eastAsiaTheme="minorEastAsia" w:cstheme="minorEastAsia"/>
          <w:b/>
          <w:color w:val="auto"/>
          <w:spacing w:val="20"/>
          <w:kern w:val="0"/>
          <w:sz w:val="32"/>
          <w:szCs w:val="32"/>
          <w:highlight w:val="none"/>
          <w:u w:val="single"/>
          <w:lang w:val="en-US" w:eastAsia="zh-CN"/>
        </w:rPr>
        <w:t>6</w:t>
      </w:r>
      <w:r>
        <w:rPr>
          <w:rFonts w:hint="eastAsia" w:asciiTheme="minorEastAsia" w:hAnsiTheme="minorEastAsia" w:eastAsiaTheme="minorEastAsia" w:cstheme="minorEastAsia"/>
          <w:b/>
          <w:color w:val="auto"/>
          <w:spacing w:val="20"/>
          <w:kern w:val="0"/>
          <w:sz w:val="32"/>
          <w:szCs w:val="32"/>
          <w:highlight w:val="none"/>
          <w:u w:val="single"/>
          <w:lang w:eastAsia="zh-CN"/>
        </w:rPr>
        <w:t>-</w:t>
      </w:r>
      <w:r>
        <w:rPr>
          <w:rFonts w:hint="eastAsia" w:asciiTheme="minorEastAsia" w:hAnsiTheme="minorEastAsia" w:eastAsiaTheme="minorEastAsia" w:cstheme="minorEastAsia"/>
          <w:b/>
          <w:color w:val="auto"/>
          <w:spacing w:val="20"/>
          <w:kern w:val="0"/>
          <w:sz w:val="32"/>
          <w:szCs w:val="32"/>
          <w:highlight w:val="none"/>
          <w:u w:val="single"/>
          <w:lang w:val="en-US" w:eastAsia="zh-CN"/>
        </w:rPr>
        <w:t xml:space="preserve">16 </w:t>
      </w:r>
    </w:p>
    <w:p w14:paraId="3BD7A4C4">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u w:val="single"/>
          <w:lang w:eastAsia="zh-CN"/>
        </w:rPr>
      </w:pPr>
      <w:r>
        <w:rPr>
          <w:rFonts w:hint="eastAsia" w:asciiTheme="minorEastAsia" w:hAnsiTheme="minorEastAsia" w:eastAsiaTheme="minorEastAsia" w:cstheme="minorEastAsia"/>
          <w:b/>
          <w:color w:val="auto"/>
          <w:spacing w:val="20"/>
          <w:kern w:val="0"/>
          <w:sz w:val="32"/>
          <w:szCs w:val="32"/>
          <w:highlight w:val="none"/>
        </w:rPr>
        <w:t>招标人：</w:t>
      </w:r>
      <w:r>
        <w:rPr>
          <w:rFonts w:hint="eastAsia" w:asciiTheme="minorEastAsia" w:hAnsiTheme="minorEastAsia" w:eastAsiaTheme="minorEastAsia" w:cstheme="minorEastAsia"/>
          <w:b/>
          <w:color w:val="auto"/>
          <w:spacing w:val="20"/>
          <w:kern w:val="0"/>
          <w:sz w:val="32"/>
          <w:szCs w:val="32"/>
          <w:highlight w:val="none"/>
          <w:u w:val="single"/>
          <w:lang w:eastAsia="zh-CN"/>
        </w:rPr>
        <w:t>合肥悠享时光护理院有限公司</w:t>
      </w:r>
    </w:p>
    <w:p w14:paraId="06E0B908">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u w:val="single"/>
        </w:rPr>
      </w:pPr>
    </w:p>
    <w:p w14:paraId="20651653">
      <w:pPr>
        <w:tabs>
          <w:tab w:val="left" w:pos="2410"/>
        </w:tabs>
        <w:autoSpaceDE w:val="0"/>
        <w:autoSpaceDN w:val="0"/>
        <w:adjustRightInd w:val="0"/>
        <w:snapToGrid w:val="0"/>
        <w:spacing w:line="360" w:lineRule="auto"/>
        <w:ind w:firstLine="723" w:firstLineChars="200"/>
        <w:jc w:val="both"/>
        <w:rPr>
          <w:rFonts w:hint="eastAsia" w:asciiTheme="minorEastAsia" w:hAnsiTheme="minorEastAsia" w:eastAsiaTheme="minorEastAsia" w:cstheme="minorEastAsia"/>
          <w:b/>
          <w:color w:val="auto"/>
          <w:spacing w:val="20"/>
          <w:kern w:val="0"/>
          <w:sz w:val="32"/>
          <w:szCs w:val="32"/>
          <w:highlight w:val="none"/>
          <w:u w:val="single"/>
        </w:rPr>
      </w:pPr>
    </w:p>
    <w:p w14:paraId="560FB210">
      <w:pPr>
        <w:ind w:firstLine="3253" w:firstLineChars="900"/>
        <w:rPr>
          <w:rFonts w:hint="eastAsia" w:asciiTheme="minorEastAsia" w:hAnsiTheme="minorEastAsia" w:eastAsiaTheme="minorEastAsia" w:cstheme="minorEastAsia"/>
          <w:color w:val="auto"/>
          <w:highlight w:val="none"/>
        </w:rPr>
        <w:sectPr>
          <w:headerReference r:id="rId3" w:type="default"/>
          <w:footerReference r:id="rId4" w:type="default"/>
          <w:pgSz w:w="11906" w:h="16838"/>
          <w:pgMar w:top="1417" w:right="1417" w:bottom="1417" w:left="1417" w:header="851" w:footer="992" w:gutter="0"/>
          <w:cols w:space="720" w:num="1"/>
          <w:docGrid w:type="lines" w:linePitch="312" w:charSpace="0"/>
        </w:sectPr>
      </w:pPr>
      <w:r>
        <w:rPr>
          <w:rFonts w:hint="eastAsia" w:asciiTheme="minorEastAsia" w:hAnsiTheme="minorEastAsia" w:eastAsiaTheme="minorEastAsia" w:cstheme="minorEastAsia"/>
          <w:b/>
          <w:color w:val="auto"/>
          <w:sz w:val="36"/>
          <w:highlight w:val="none"/>
          <w:u w:val="single"/>
        </w:rPr>
        <w:t>202</w:t>
      </w:r>
      <w:r>
        <w:rPr>
          <w:rFonts w:hint="eastAsia" w:asciiTheme="minorEastAsia" w:hAnsiTheme="minorEastAsia" w:eastAsiaTheme="minorEastAsia" w:cstheme="minorEastAsia"/>
          <w:b/>
          <w:color w:val="auto"/>
          <w:sz w:val="36"/>
          <w:highlight w:val="none"/>
          <w:u w:val="single"/>
          <w:lang w:val="en-US" w:eastAsia="zh-CN"/>
        </w:rPr>
        <w:t>6</w:t>
      </w:r>
      <w:r>
        <w:rPr>
          <w:rFonts w:hint="eastAsia" w:asciiTheme="minorEastAsia" w:hAnsiTheme="minorEastAsia" w:eastAsiaTheme="minorEastAsia" w:cstheme="minorEastAsia"/>
          <w:b/>
          <w:color w:val="auto"/>
          <w:sz w:val="36"/>
          <w:highlight w:val="none"/>
        </w:rPr>
        <w:t>年</w:t>
      </w:r>
      <w:r>
        <w:rPr>
          <w:rFonts w:hint="eastAsia" w:asciiTheme="minorEastAsia" w:hAnsiTheme="minorEastAsia" w:eastAsiaTheme="minorEastAsia" w:cstheme="minorEastAsia"/>
          <w:b/>
          <w:color w:val="auto"/>
          <w:sz w:val="36"/>
          <w:highlight w:val="none"/>
          <w:u w:val="single"/>
        </w:rPr>
        <w:t xml:space="preserve"> </w:t>
      </w:r>
      <w:r>
        <w:rPr>
          <w:rFonts w:hint="eastAsia" w:asciiTheme="minorEastAsia" w:hAnsiTheme="minorEastAsia" w:eastAsiaTheme="minorEastAsia" w:cstheme="minorEastAsia"/>
          <w:b/>
          <w:color w:val="auto"/>
          <w:sz w:val="36"/>
          <w:highlight w:val="none"/>
          <w:u w:val="single"/>
          <w:lang w:val="en-US" w:eastAsia="zh-CN"/>
        </w:rPr>
        <w:t>6</w:t>
      </w:r>
      <w:r>
        <w:rPr>
          <w:rFonts w:hint="eastAsia" w:asciiTheme="minorEastAsia" w:hAnsiTheme="minorEastAsia" w:eastAsiaTheme="minorEastAsia" w:cstheme="minorEastAsia"/>
          <w:b/>
          <w:color w:val="auto"/>
          <w:sz w:val="36"/>
          <w:highlight w:val="none"/>
          <w:u w:val="single"/>
        </w:rPr>
        <w:t xml:space="preserve"> </w:t>
      </w:r>
      <w:r>
        <w:rPr>
          <w:rFonts w:hint="eastAsia" w:asciiTheme="minorEastAsia" w:hAnsiTheme="minorEastAsia" w:eastAsiaTheme="minorEastAsia" w:cstheme="minorEastAsia"/>
          <w:b/>
          <w:color w:val="auto"/>
          <w:sz w:val="36"/>
          <w:highlight w:val="none"/>
        </w:rPr>
        <w:t>月</w:t>
      </w:r>
      <w:bookmarkEnd w:id="0"/>
    </w:p>
    <w:p w14:paraId="107E0D1E">
      <w:pPr>
        <w:spacing w:line="360" w:lineRule="auto"/>
        <w:jc w:val="center"/>
        <w:outlineLvl w:val="1"/>
        <w:rPr>
          <w:rFonts w:hint="eastAsia" w:asciiTheme="minorEastAsia" w:hAnsiTheme="minorEastAsia" w:eastAsiaTheme="minorEastAsia" w:cstheme="minorEastAsia"/>
          <w:b/>
          <w:color w:val="auto"/>
          <w:sz w:val="28"/>
          <w:highlight w:val="none"/>
        </w:rPr>
      </w:pPr>
      <w:bookmarkStart w:id="1" w:name="_Toc13708"/>
      <w:r>
        <w:rPr>
          <w:rFonts w:hint="eastAsia" w:asciiTheme="minorEastAsia" w:hAnsiTheme="minorEastAsia" w:eastAsiaTheme="minorEastAsia" w:cstheme="minorEastAsia"/>
          <w:b/>
          <w:color w:val="auto"/>
          <w:sz w:val="28"/>
          <w:highlight w:val="none"/>
        </w:rPr>
        <w:t>第一章  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eastAsia" w:asciiTheme="minorEastAsia" w:hAnsiTheme="minorEastAsia" w:eastAsiaTheme="minorEastAsia" w:cstheme="minorEastAsia"/>
          <w:color w:val="auto"/>
          <w:spacing w:val="20"/>
          <w:sz w:val="24"/>
          <w:szCs w:val="24"/>
          <w:highlight w:val="none"/>
        </w:rPr>
      </w:pPr>
      <w:bookmarkStart w:id="2" w:name="_Toc28359080"/>
      <w:bookmarkStart w:id="3" w:name="_Toc35393791"/>
      <w:bookmarkStart w:id="4" w:name="_Toc28359003"/>
      <w:bookmarkStart w:id="5" w:name="_Toc35393622"/>
      <w:r>
        <w:rPr>
          <w:rFonts w:hint="eastAsia" w:asciiTheme="minorEastAsia" w:hAnsiTheme="minorEastAsia" w:eastAsiaTheme="minorEastAsia" w:cstheme="minorEastAsia"/>
          <w:color w:val="auto"/>
          <w:spacing w:val="20"/>
          <w:sz w:val="24"/>
          <w:szCs w:val="24"/>
          <w:highlight w:val="none"/>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u w:val="single"/>
          <w:lang w:val="en-US" w:eastAsia="zh-CN"/>
        </w:rPr>
        <w:t>合肥悠享时光护理院2026年药品配送服务项目</w:t>
      </w:r>
      <w:r>
        <w:rPr>
          <w:rFonts w:hint="eastAsia" w:asciiTheme="minorEastAsia" w:hAnsiTheme="minorEastAsia" w:eastAsiaTheme="minorEastAsia" w:cstheme="minorEastAsia"/>
          <w:color w:val="auto"/>
          <w:spacing w:val="20"/>
          <w:sz w:val="24"/>
          <w:szCs w:val="24"/>
          <w:highlight w:val="none"/>
          <w:lang w:val="en-US" w:eastAsia="zh-CN"/>
        </w:rPr>
        <w:t>的</w:t>
      </w:r>
      <w:r>
        <w:rPr>
          <w:rFonts w:hint="eastAsia" w:asciiTheme="minorEastAsia" w:hAnsiTheme="minorEastAsia" w:eastAsiaTheme="minorEastAsia" w:cstheme="minorEastAsia"/>
          <w:color w:val="auto"/>
          <w:spacing w:val="20"/>
          <w:sz w:val="24"/>
          <w:szCs w:val="24"/>
          <w:highlight w:val="none"/>
        </w:rPr>
        <w:t>潜在投标人应在</w:t>
      </w:r>
      <w:r>
        <w:rPr>
          <w:rFonts w:hint="eastAsia" w:asciiTheme="minorEastAsia" w:hAnsiTheme="minorEastAsia" w:eastAsiaTheme="minorEastAsia" w:cstheme="minorEastAsia"/>
          <w:color w:val="auto"/>
          <w:spacing w:val="20"/>
          <w:sz w:val="24"/>
          <w:szCs w:val="24"/>
          <w:highlight w:val="none"/>
          <w:u w:val="single"/>
          <w:lang w:eastAsia="zh-CN"/>
        </w:rPr>
        <w:t>合肥滨湖时光产业投资集团有限公司</w:t>
      </w:r>
      <w:r>
        <w:rPr>
          <w:rFonts w:hint="eastAsia" w:asciiTheme="minorEastAsia" w:hAnsiTheme="minorEastAsia" w:eastAsiaTheme="minorEastAsia" w:cstheme="minorEastAsia"/>
          <w:color w:val="auto"/>
          <w:spacing w:val="20"/>
          <w:kern w:val="10"/>
          <w:sz w:val="24"/>
          <w:szCs w:val="24"/>
          <w:highlight w:val="none"/>
          <w:u w:val="single"/>
        </w:rPr>
        <w:t>官方网站</w:t>
      </w:r>
      <w:r>
        <w:rPr>
          <w:rFonts w:hint="eastAsia" w:asciiTheme="minorEastAsia" w:hAnsiTheme="minorEastAsia" w:eastAsiaTheme="minorEastAsia" w:cstheme="minorEastAsia"/>
          <w:color w:val="auto"/>
          <w:spacing w:val="20"/>
          <w:sz w:val="24"/>
          <w:szCs w:val="24"/>
          <w:highlight w:val="none"/>
          <w:u w:val="single"/>
          <w:lang w:eastAsia="zh-CN"/>
        </w:rPr>
        <w:t>http://bhsggroup.cn/</w:t>
      </w:r>
      <w:r>
        <w:rPr>
          <w:rFonts w:hint="eastAsia" w:asciiTheme="minorEastAsia" w:hAnsiTheme="minorEastAsia" w:eastAsiaTheme="minorEastAsia" w:cstheme="minorEastAsia"/>
          <w:color w:val="auto"/>
          <w:sz w:val="24"/>
          <w:szCs w:val="24"/>
          <w:highlight w:val="none"/>
        </w:rPr>
        <w:t>获取招标文件，并于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2026年6月12日14：40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（北京时间）前递交投标文件</w:t>
      </w:r>
      <w:r>
        <w:rPr>
          <w:rFonts w:hint="eastAsia" w:asciiTheme="minorEastAsia" w:hAnsiTheme="minorEastAsia" w:eastAsiaTheme="minorEastAsia" w:cstheme="minorEastAsia"/>
          <w:color w:val="auto"/>
          <w:sz w:val="24"/>
          <w:szCs w:val="24"/>
          <w:highlight w:val="none"/>
        </w:rPr>
        <w:t>。</w:t>
      </w:r>
    </w:p>
    <w:p w14:paraId="32A30A9B">
      <w:pPr>
        <w:snapToGrid w:val="0"/>
        <w:spacing w:line="360" w:lineRule="auto"/>
        <w:rPr>
          <w:rFonts w:hint="eastAsia" w:asciiTheme="minorEastAsia" w:hAnsiTheme="minorEastAsia" w:eastAsiaTheme="minorEastAsia" w:cstheme="minorEastAsia"/>
          <w:color w:val="auto"/>
          <w:sz w:val="24"/>
          <w:szCs w:val="24"/>
          <w:highlight w:val="none"/>
        </w:rPr>
      </w:pPr>
    </w:p>
    <w:p w14:paraId="17C075BD">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bookmarkStart w:id="6" w:name="_Toc28359002"/>
      <w:bookmarkStart w:id="7" w:name="_Toc35393790"/>
      <w:bookmarkStart w:id="8" w:name="_Toc35393621"/>
      <w:bookmarkStart w:id="9" w:name="_Toc28359079"/>
      <w:bookmarkStart w:id="10" w:name="_Hlk24379207"/>
      <w:r>
        <w:rPr>
          <w:rFonts w:hint="eastAsia" w:asciiTheme="minorEastAsia" w:hAnsiTheme="minorEastAsia" w:eastAsiaTheme="minorEastAsia" w:cstheme="minorEastAsia"/>
          <w:b/>
          <w:bCs/>
          <w:color w:val="auto"/>
          <w:sz w:val="24"/>
          <w:szCs w:val="24"/>
          <w:highlight w:val="none"/>
        </w:rPr>
        <w:t>一、</w:t>
      </w:r>
      <w:bookmarkEnd w:id="6"/>
      <w:bookmarkEnd w:id="7"/>
      <w:bookmarkEnd w:id="8"/>
      <w:bookmarkEnd w:id="9"/>
      <w:r>
        <w:rPr>
          <w:rFonts w:hint="eastAsia" w:asciiTheme="minorEastAsia" w:hAnsiTheme="minorEastAsia" w:eastAsiaTheme="minorEastAsia" w:cstheme="minorEastAsia"/>
          <w:b/>
          <w:bCs/>
          <w:color w:val="auto"/>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u w:val="single"/>
          <w:lang w:val="en-US" w:eastAsia="zh-CN"/>
        </w:rPr>
        <w:t xml:space="preserve">BHSG-ZTB-2026-16  </w:t>
      </w:r>
    </w:p>
    <w:p w14:paraId="4AFC107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2.项目名称：</w:t>
      </w:r>
      <w:bookmarkEnd w:id="10"/>
      <w:r>
        <w:rPr>
          <w:rFonts w:hint="eastAsia" w:asciiTheme="minorEastAsia" w:hAnsiTheme="minorEastAsia" w:eastAsiaTheme="minorEastAsia" w:cstheme="minorEastAsia"/>
          <w:color w:val="auto"/>
          <w:sz w:val="24"/>
          <w:szCs w:val="24"/>
          <w:highlight w:val="none"/>
          <w:u w:val="single"/>
        </w:rPr>
        <w:t>合肥悠享时光护理院2026年药品配送服务项目</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715474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3.项目地点：</w:t>
      </w:r>
      <w:r>
        <w:rPr>
          <w:rFonts w:hint="eastAsia" w:asciiTheme="minorEastAsia" w:hAnsiTheme="minorEastAsia" w:eastAsiaTheme="minorEastAsia" w:cstheme="minorEastAsia"/>
          <w:color w:val="auto"/>
          <w:sz w:val="24"/>
          <w:szCs w:val="24"/>
          <w:highlight w:val="none"/>
          <w:u w:val="single"/>
        </w:rPr>
        <w:t>合肥市包河区</w:t>
      </w:r>
    </w:p>
    <w:p w14:paraId="19D9FE7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4.项目概况：</w:t>
      </w:r>
      <w:r>
        <w:rPr>
          <w:rFonts w:hint="eastAsia" w:asciiTheme="minorEastAsia" w:hAnsiTheme="minorEastAsia" w:eastAsiaTheme="minorEastAsia" w:cstheme="minorEastAsia"/>
          <w:color w:val="auto"/>
          <w:sz w:val="24"/>
          <w:szCs w:val="24"/>
          <w:highlight w:val="none"/>
          <w:u w:val="single"/>
          <w:lang w:val="en-US" w:eastAsia="zh-CN"/>
        </w:rPr>
        <w:t>合肥悠享时光护理院开展医疗业务所需药品配送服务，含西药、中成药等</w:t>
      </w:r>
      <w:r>
        <w:rPr>
          <w:rFonts w:hint="eastAsia" w:asciiTheme="minorEastAsia" w:hAnsiTheme="minorEastAsia" w:eastAsiaTheme="minorEastAsia" w:cstheme="minorEastAsia"/>
          <w:color w:val="auto"/>
          <w:sz w:val="24"/>
          <w:szCs w:val="24"/>
          <w:highlight w:val="none"/>
          <w:u w:val="single"/>
        </w:rPr>
        <w:t xml:space="preserve"> </w:t>
      </w:r>
    </w:p>
    <w:p w14:paraId="673AC95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5.项目预算：</w:t>
      </w:r>
      <w:r>
        <w:rPr>
          <w:rFonts w:hint="eastAsia" w:asciiTheme="minorEastAsia" w:hAnsiTheme="minorEastAsia" w:eastAsiaTheme="minorEastAsia" w:cstheme="minorEastAsia"/>
          <w:color w:val="auto"/>
          <w:sz w:val="24"/>
          <w:szCs w:val="24"/>
          <w:highlight w:val="none"/>
          <w:u w:val="single"/>
          <w:lang w:val="en-US" w:eastAsia="zh-CN"/>
        </w:rPr>
        <w:t>280000</w:t>
      </w:r>
      <w:r>
        <w:rPr>
          <w:rFonts w:hint="eastAsia" w:asciiTheme="minorEastAsia" w:hAnsiTheme="minorEastAsia" w:eastAsiaTheme="minorEastAsia" w:cstheme="minorEastAsia"/>
          <w:color w:val="auto"/>
          <w:sz w:val="24"/>
          <w:szCs w:val="24"/>
          <w:highlight w:val="none"/>
          <w:u w:val="single"/>
        </w:rPr>
        <w:t>元</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52FCADC">
      <w:pPr>
        <w:snapToGrid w:val="0"/>
        <w:spacing w:line="360" w:lineRule="auto"/>
        <w:ind w:firstLine="480" w:firstLineChars="200"/>
        <w:rPr>
          <w:rFonts w:hint="default" w:asciiTheme="minorEastAsia" w:hAnsiTheme="minorEastAsia" w:eastAsiaTheme="minorEastAsia" w:cstheme="minorEastAsia"/>
          <w:color w:val="auto"/>
          <w:sz w:val="24"/>
          <w:szCs w:val="24"/>
          <w:highlight w:val="none"/>
          <w:u w:val="single"/>
          <w:lang w:val="en-US"/>
        </w:rPr>
      </w:pPr>
      <w:r>
        <w:rPr>
          <w:rFonts w:hint="eastAsia" w:asciiTheme="minorEastAsia" w:hAnsiTheme="minorEastAsia" w:eastAsiaTheme="minorEastAsia" w:cstheme="minorEastAsia"/>
          <w:color w:val="auto"/>
          <w:sz w:val="24"/>
          <w:szCs w:val="24"/>
          <w:highlight w:val="none"/>
        </w:rPr>
        <w:t>6.最高</w:t>
      </w:r>
      <w:r>
        <w:rPr>
          <w:rFonts w:hint="eastAsia" w:asciiTheme="minorEastAsia" w:hAnsiTheme="minorEastAsia" w:eastAsiaTheme="minorEastAsia" w:cstheme="minorEastAsia"/>
          <w:color w:val="auto"/>
          <w:sz w:val="24"/>
          <w:szCs w:val="24"/>
          <w:highlight w:val="none"/>
          <w:lang w:val="en-US" w:eastAsia="zh-CN"/>
        </w:rPr>
        <w:t>费率</w:t>
      </w:r>
      <w:r>
        <w:rPr>
          <w:rFonts w:hint="eastAsia" w:asciiTheme="minorEastAsia" w:hAnsiTheme="minorEastAsia" w:eastAsiaTheme="minorEastAsia" w:cstheme="minorEastAsia"/>
          <w:color w:val="auto"/>
          <w:sz w:val="24"/>
          <w:szCs w:val="24"/>
          <w:highlight w:val="none"/>
        </w:rPr>
        <w:t>限价：</w:t>
      </w:r>
      <w:r>
        <w:rPr>
          <w:rFonts w:hint="eastAsia" w:asciiTheme="minorEastAsia" w:hAnsiTheme="minorEastAsia" w:eastAsiaTheme="minorEastAsia" w:cstheme="minorEastAsia"/>
          <w:color w:val="auto"/>
          <w:sz w:val="24"/>
          <w:szCs w:val="24"/>
          <w:highlight w:val="none"/>
          <w:u w:val="single"/>
          <w:lang w:val="en-US" w:eastAsia="zh-CN"/>
        </w:rPr>
        <w:t>100%</w:t>
      </w:r>
    </w:p>
    <w:p w14:paraId="499D128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7.项目类别：</w:t>
      </w:r>
      <w:r>
        <w:rPr>
          <w:rFonts w:hint="eastAsia" w:asciiTheme="minorEastAsia" w:hAnsiTheme="minorEastAsia" w:eastAsiaTheme="minorEastAsia" w:cstheme="minorEastAsia"/>
          <w:color w:val="auto"/>
          <w:sz w:val="24"/>
          <w:szCs w:val="24"/>
          <w:highlight w:val="none"/>
          <w:u w:val="single"/>
          <w:lang w:val="en-US" w:eastAsia="zh-CN"/>
        </w:rPr>
        <w:t>货物</w:t>
      </w:r>
      <w:r>
        <w:rPr>
          <w:rFonts w:hint="eastAsia" w:asciiTheme="minorEastAsia" w:hAnsiTheme="minorEastAsia" w:eastAsiaTheme="minorEastAsia" w:cstheme="minorEastAsia"/>
          <w:color w:val="auto"/>
          <w:sz w:val="24"/>
          <w:szCs w:val="24"/>
          <w:highlight w:val="none"/>
          <w:u w:val="single"/>
        </w:rPr>
        <w:t>类</w:t>
      </w:r>
    </w:p>
    <w:p w14:paraId="58807CC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8.合同履行期限：</w:t>
      </w:r>
      <w:r>
        <w:rPr>
          <w:rFonts w:hint="eastAsia" w:asciiTheme="minorEastAsia" w:hAnsiTheme="minorEastAsia" w:eastAsiaTheme="minorEastAsia" w:cstheme="minorEastAsia"/>
          <w:color w:val="auto"/>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Theme="minorEastAsia" w:hAnsiTheme="minorEastAsia" w:eastAsiaTheme="minorEastAsia" w:cstheme="minorEastAsia"/>
          <w:color w:val="auto"/>
          <w:sz w:val="24"/>
          <w:szCs w:val="18"/>
          <w:highlight w:val="none"/>
          <w:u w:val="single"/>
        </w:rPr>
      </w:pPr>
      <w:r>
        <w:rPr>
          <w:rFonts w:hint="eastAsia" w:asciiTheme="minorEastAsia" w:hAnsiTheme="minorEastAsia" w:eastAsiaTheme="minorEastAsia" w:cstheme="minorEastAsia"/>
          <w:color w:val="auto"/>
          <w:sz w:val="24"/>
          <w:szCs w:val="18"/>
          <w:highlight w:val="none"/>
        </w:rPr>
        <w:t>9.标段（包别）划分：</w:t>
      </w:r>
      <w:r>
        <w:rPr>
          <w:rFonts w:hint="eastAsia" w:asciiTheme="minorEastAsia" w:hAnsiTheme="minorEastAsia" w:eastAsiaTheme="minorEastAsia" w:cstheme="minorEastAsia"/>
          <w:color w:val="auto"/>
          <w:sz w:val="24"/>
          <w:szCs w:val="18"/>
          <w:highlight w:val="none"/>
          <w:u w:val="single"/>
        </w:rPr>
        <w:t>共分 1 个标段</w:t>
      </w:r>
    </w:p>
    <w:p w14:paraId="6ABEE2E3">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color w:val="auto"/>
          <w:sz w:val="24"/>
          <w:highlight w:val="none"/>
        </w:rPr>
        <w:t>投标人</w:t>
      </w:r>
      <w:r>
        <w:rPr>
          <w:rFonts w:hint="eastAsia" w:asciiTheme="minorEastAsia" w:hAnsiTheme="minorEastAsia" w:eastAsiaTheme="minorEastAsia" w:cstheme="minorEastAsia"/>
          <w:b/>
          <w:bCs/>
          <w:color w:val="auto"/>
          <w:sz w:val="24"/>
          <w:szCs w:val="18"/>
          <w:highlight w:val="none"/>
        </w:rPr>
        <w:t>资格</w:t>
      </w:r>
    </w:p>
    <w:p w14:paraId="5BCBDEE7">
      <w:pPr>
        <w:spacing w:line="360" w:lineRule="auto"/>
        <w:ind w:firstLine="435"/>
        <w:rPr>
          <w:rFonts w:hint="eastAsia" w:asciiTheme="minorEastAsia" w:hAnsiTheme="minorEastAsia" w:eastAsiaTheme="minorEastAsia" w:cstheme="minorEastAsia"/>
          <w:color w:val="auto"/>
          <w:sz w:val="24"/>
          <w:szCs w:val="18"/>
          <w:highlight w:val="none"/>
          <w:lang w:eastAsia="zh-CN"/>
        </w:rPr>
      </w:pPr>
      <w:r>
        <w:rPr>
          <w:rFonts w:hint="eastAsia" w:asciiTheme="minorEastAsia" w:hAnsiTheme="minorEastAsia" w:eastAsiaTheme="minorEastAsia" w:cstheme="minorEastAsia"/>
          <w:color w:val="auto"/>
          <w:sz w:val="24"/>
          <w:szCs w:val="18"/>
          <w:highlight w:val="none"/>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val="0"/>
          <w:bCs/>
          <w:color w:val="auto"/>
          <w:sz w:val="24"/>
          <w:highlight w:val="none"/>
          <w:lang w:val="en-US" w:eastAsia="zh-CN"/>
        </w:rPr>
        <w:t>资质要求：须同时满足以下条件：①</w:t>
      </w:r>
      <w:r>
        <w:rPr>
          <w:rFonts w:hint="eastAsia" w:asciiTheme="minorEastAsia" w:hAnsiTheme="minorEastAsia" w:eastAsiaTheme="minorEastAsia" w:cstheme="minorEastAsia"/>
          <w:color w:val="auto"/>
          <w:sz w:val="24"/>
          <w:szCs w:val="18"/>
          <w:highlight w:val="none"/>
        </w:rPr>
        <w:t>具有独立承担民事责任的能力</w:t>
      </w:r>
      <w:r>
        <w:rPr>
          <w:rFonts w:hint="eastAsia" w:asciiTheme="minorEastAsia" w:hAnsiTheme="minorEastAsia" w:eastAsiaTheme="minorEastAsia" w:cstheme="minorEastAsia"/>
          <w:color w:val="auto"/>
          <w:sz w:val="24"/>
          <w:szCs w:val="18"/>
          <w:highlight w:val="none"/>
          <w:lang w:val="en-US" w:eastAsia="zh-CN"/>
        </w:rPr>
        <w:t>；②具有有效的《药品经营许可证》</w:t>
      </w:r>
      <w:r>
        <w:rPr>
          <w:rFonts w:hint="eastAsia" w:asciiTheme="minorEastAsia" w:hAnsiTheme="minorEastAsia" w:eastAsiaTheme="minorEastAsia" w:cstheme="minorEastAsia"/>
          <w:color w:val="auto"/>
          <w:sz w:val="24"/>
          <w:szCs w:val="18"/>
          <w:highlight w:val="none"/>
          <w:lang w:eastAsia="zh-CN"/>
        </w:rPr>
        <w:t>；</w:t>
      </w:r>
    </w:p>
    <w:p w14:paraId="27677875">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lang w:val="en-US" w:eastAsia="zh-CN"/>
        </w:rPr>
        <w:t>2</w:t>
      </w:r>
      <w:r>
        <w:rPr>
          <w:rFonts w:hint="eastAsia" w:asciiTheme="minorEastAsia" w:hAnsiTheme="minorEastAsia" w:eastAsiaTheme="minorEastAsia" w:cstheme="minorEastAsia"/>
          <w:color w:val="auto"/>
          <w:sz w:val="24"/>
          <w:szCs w:val="18"/>
          <w:highlight w:val="none"/>
        </w:rPr>
        <w:t>.业绩要求：自202</w:t>
      </w:r>
      <w:r>
        <w:rPr>
          <w:rFonts w:hint="eastAsia" w:asciiTheme="minorEastAsia" w:hAnsiTheme="minorEastAsia" w:eastAsiaTheme="minorEastAsia" w:cstheme="minorEastAsia"/>
          <w:color w:val="auto"/>
          <w:sz w:val="24"/>
          <w:szCs w:val="18"/>
          <w:highlight w:val="none"/>
          <w:lang w:val="en-US" w:eastAsia="zh-CN"/>
        </w:rPr>
        <w:t>2</w:t>
      </w:r>
      <w:r>
        <w:rPr>
          <w:rFonts w:hint="eastAsia" w:asciiTheme="minorEastAsia" w:hAnsiTheme="minorEastAsia" w:eastAsiaTheme="minorEastAsia" w:cstheme="minorEastAsia"/>
          <w:color w:val="auto"/>
          <w:sz w:val="24"/>
          <w:szCs w:val="18"/>
          <w:highlight w:val="none"/>
        </w:rPr>
        <w:t>年1月1日以来（以合同签订时间为准），</w:t>
      </w:r>
      <w:r>
        <w:rPr>
          <w:rFonts w:hint="eastAsia" w:asciiTheme="minorEastAsia" w:hAnsiTheme="minorEastAsia" w:eastAsiaTheme="minorEastAsia" w:cstheme="minorEastAsia"/>
          <w:color w:val="auto"/>
          <w:sz w:val="24"/>
          <w:szCs w:val="18"/>
          <w:highlight w:val="none"/>
          <w:lang w:eastAsia="zh-CN"/>
        </w:rPr>
        <w:t>投标人须具有单个合同总金额不少于</w:t>
      </w:r>
      <w:r>
        <w:rPr>
          <w:rFonts w:hint="eastAsia" w:asciiTheme="minorEastAsia" w:hAnsiTheme="minorEastAsia" w:eastAsiaTheme="minorEastAsia" w:cstheme="minorEastAsia"/>
          <w:color w:val="auto"/>
          <w:sz w:val="24"/>
          <w:szCs w:val="18"/>
          <w:highlight w:val="none"/>
          <w:lang w:val="en-US" w:eastAsia="zh-CN"/>
        </w:rPr>
        <w:t>10</w:t>
      </w:r>
      <w:r>
        <w:rPr>
          <w:rFonts w:hint="eastAsia" w:asciiTheme="minorEastAsia" w:hAnsiTheme="minorEastAsia" w:eastAsiaTheme="minorEastAsia" w:cstheme="minorEastAsia"/>
          <w:color w:val="auto"/>
          <w:sz w:val="24"/>
          <w:szCs w:val="18"/>
          <w:highlight w:val="none"/>
          <w:lang w:eastAsia="zh-CN"/>
        </w:rPr>
        <w:t>万元的药品供货业绩</w:t>
      </w:r>
      <w:r>
        <w:rPr>
          <w:rFonts w:hint="eastAsia" w:asciiTheme="minorEastAsia" w:hAnsiTheme="minorEastAsia" w:eastAsiaTheme="minorEastAsia" w:cstheme="minorEastAsia"/>
          <w:color w:val="auto"/>
          <w:sz w:val="24"/>
          <w:szCs w:val="18"/>
          <w:highlight w:val="none"/>
        </w:rPr>
        <w:t>。</w:t>
      </w:r>
    </w:p>
    <w:p w14:paraId="78608DAE">
      <w:pPr>
        <w:spacing w:line="360" w:lineRule="auto"/>
        <w:ind w:firstLine="435"/>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3.财务要求：/</w:t>
      </w:r>
    </w:p>
    <w:p w14:paraId="28285CFD">
      <w:pPr>
        <w:spacing w:line="360" w:lineRule="auto"/>
        <w:ind w:firstLine="435"/>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4.本项目不接受联合体投标；</w:t>
      </w:r>
    </w:p>
    <w:p w14:paraId="1BF07069">
      <w:pPr>
        <w:spacing w:line="360" w:lineRule="auto"/>
        <w:ind w:firstLine="435"/>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5.投标人存在以下不良信用记录情形之一的，不得推荐为中标候选人，不得确定为中标人：</w:t>
      </w:r>
    </w:p>
    <w:p w14:paraId="610A45F6">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（1）被责令停产停业，暂扣或者吊销许可证，暂扣或者吊销执照；</w:t>
      </w:r>
    </w:p>
    <w:p w14:paraId="6309F2EB">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 xml:space="preserve">（2）进入清算程序，或被宣告破产，或其他丧失履约能力的情形； </w:t>
      </w:r>
    </w:p>
    <w:p w14:paraId="0D514240">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 xml:space="preserve">（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（4）在国家企业信用信息公示系统（http://www.gsxt.gov.cn/）中被列入严重违法失信企业名单；</w:t>
      </w:r>
    </w:p>
    <w:p w14:paraId="33DEFD68">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（5）在“信用中国”网站（http://www.creditchina.gov.cn/）中被列入失信被执行人名单；</w:t>
      </w:r>
    </w:p>
    <w:p w14:paraId="72A6C83D">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（6）在“信用中国”网站（http://www.creditchina.gov.cn/）中被列入重大税收违法案件当事人名单；</w:t>
      </w:r>
    </w:p>
    <w:p w14:paraId="46AEDED4">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（7）在近三年内投标人或其法定代表人（单位负责人）有行贿犯罪行为的。</w:t>
      </w:r>
    </w:p>
    <w:p w14:paraId="0EB539C8">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三、获取招标文件方式</w:t>
      </w:r>
    </w:p>
    <w:p w14:paraId="0731D28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1.获取时间：</w:t>
      </w:r>
      <w:r>
        <w:rPr>
          <w:rFonts w:hint="eastAsia" w:asciiTheme="minorEastAsia" w:hAnsiTheme="minorEastAsia" w:eastAsiaTheme="minorEastAsia" w:cstheme="minorEastAsia"/>
          <w:color w:val="auto"/>
          <w:sz w:val="24"/>
          <w:szCs w:val="24"/>
          <w:highlight w:val="none"/>
          <w:u w:val="single"/>
          <w:lang w:val="en-US" w:eastAsia="zh-CN"/>
        </w:rPr>
        <w:t xml:space="preserve">  2026年6月5日-2026年6月12日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F78CA82">
      <w:pPr>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rPr>
        <w:t>2.获取方式：登录</w:t>
      </w:r>
      <w:r>
        <w:rPr>
          <w:rFonts w:hint="eastAsia" w:asciiTheme="minorEastAsia" w:hAnsiTheme="minorEastAsia" w:eastAsiaTheme="minorEastAsia" w:cstheme="minorEastAsia"/>
          <w:color w:val="auto"/>
          <w:spacing w:val="20"/>
          <w:sz w:val="24"/>
          <w:szCs w:val="24"/>
          <w:highlight w:val="none"/>
          <w:u w:val="single"/>
          <w:lang w:eastAsia="zh-CN"/>
        </w:rPr>
        <w:t>合肥滨湖时光产业投资集团有限公司官方网站http://bhsggroup.cn/</w:t>
      </w:r>
      <w:r>
        <w:rPr>
          <w:rFonts w:hint="eastAsia" w:asciiTheme="minorEastAsia" w:hAnsiTheme="minorEastAsia" w:eastAsiaTheme="minorEastAsia" w:cstheme="minorEastAsia"/>
          <w:color w:val="auto"/>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四、提交投标文件截止时间、开标时间和地点</w:t>
      </w:r>
    </w:p>
    <w:p w14:paraId="28C77DB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1.投标文件提交截止时间：</w:t>
      </w:r>
      <w:r>
        <w:rPr>
          <w:rFonts w:hint="eastAsia" w:asciiTheme="minorEastAsia" w:hAnsiTheme="minorEastAsia" w:eastAsiaTheme="minorEastAsia" w:cstheme="minorEastAsia"/>
          <w:color w:val="auto"/>
          <w:sz w:val="24"/>
          <w:szCs w:val="24"/>
          <w:highlight w:val="none"/>
          <w:u w:val="single"/>
          <w:lang w:val="en-US" w:eastAsia="zh-CN"/>
        </w:rPr>
        <w:t xml:space="preserve"> 2026年6月12日14：40 。</w:t>
      </w:r>
    </w:p>
    <w:p w14:paraId="3B9ECD9D">
      <w:pPr>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2.投标文件提交地点：安徽省合肥市包河区郎溪路与汤岭关路交叉口西南140米（雍荣府三期S1幢5楼）</w:t>
      </w:r>
      <w:r>
        <w:rPr>
          <w:rFonts w:hint="eastAsia" w:asciiTheme="minorEastAsia" w:hAnsiTheme="minorEastAsia" w:eastAsiaTheme="minorEastAsia" w:cstheme="minorEastAsia"/>
          <w:color w:val="auto"/>
          <w:sz w:val="24"/>
          <w:szCs w:val="24"/>
          <w:highlight w:val="none"/>
          <w:lang w:eastAsia="zh-CN"/>
        </w:rPr>
        <w:t>。</w:t>
      </w:r>
    </w:p>
    <w:p w14:paraId="6BD91A30">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五、开标时间：同投标文件提交截止时间</w:t>
      </w:r>
    </w:p>
    <w:p w14:paraId="1D0A742B">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六、公告期限</w:t>
      </w:r>
    </w:p>
    <w:p w14:paraId="700DD5A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个工作日内。</w:t>
      </w:r>
    </w:p>
    <w:p w14:paraId="0FD68A36">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七、其他补充事宜</w:t>
      </w:r>
    </w:p>
    <w:p w14:paraId="25FBCEB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2945294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2.关于招标文件答疑的说明：（1）潜在投标人对招标文件的疑问须在2026年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（北京时间）前，以书面形式提交至项目联系人处，逾期不予受理；（2）招标人将在2026年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前，</w:t>
      </w:r>
      <w:r>
        <w:rPr>
          <w:rFonts w:hint="eastAsia" w:asciiTheme="minorEastAsia" w:hAnsiTheme="minorEastAsia" w:eastAsiaTheme="minorEastAsia" w:cstheme="minorEastAsia"/>
          <w:color w:val="auto"/>
          <w:sz w:val="24"/>
          <w:szCs w:val="24"/>
          <w:highlight w:val="none"/>
        </w:rPr>
        <w:t>在合肥滨湖时光产业投资集团有限公司官方网站（http://bhsggroup.cn/）发布答疑公告，请投标人自行关注；（3）答疑公告与本招标文件具有同等法律效力，未及时获取澄清信息导致的投标风险由投标人自行承担。</w:t>
      </w:r>
    </w:p>
    <w:p w14:paraId="70F2B58C">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八、对本次招标提出询问，请按以下方式联系。</w:t>
      </w:r>
    </w:p>
    <w:bookmarkEnd w:id="2"/>
    <w:bookmarkEnd w:id="3"/>
    <w:bookmarkEnd w:id="4"/>
    <w:bookmarkEnd w:id="5"/>
    <w:p w14:paraId="35C8DA28">
      <w:pPr>
        <w:widowControl/>
        <w:snapToGri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1.招标人信息</w:t>
      </w:r>
    </w:p>
    <w:p w14:paraId="5239CAF1">
      <w:pPr>
        <w:pStyle w:val="31"/>
        <w:spacing w:line="360" w:lineRule="auto"/>
        <w:ind w:left="479" w:leftChars="228" w:firstLine="0" w:firstLineChars="0"/>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r>
        <w:rPr>
          <w:rFonts w:hint="eastAsia" w:asciiTheme="minorEastAsia" w:hAnsiTheme="minorEastAsia" w:eastAsiaTheme="minorEastAsia" w:cstheme="minorEastAsia"/>
          <w:color w:val="auto"/>
          <w:kern w:val="2"/>
          <w:sz w:val="24"/>
          <w:szCs w:val="24"/>
          <w:highlight w:val="none"/>
          <w:u w:val="non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合肥悠享时光护理院有限公司</w:t>
      </w:r>
    </w:p>
    <w:p w14:paraId="7A7E5B2C">
      <w:pPr>
        <w:pStyle w:val="21"/>
        <w:snapToGrid w:val="0"/>
        <w:spacing w:line="360" w:lineRule="auto"/>
        <w:ind w:firstLine="480" w:firstLineChars="200"/>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w:t>
      </w:r>
      <w:r>
        <w:rPr>
          <w:rFonts w:hint="eastAsia" w:asciiTheme="minorEastAsia" w:hAnsiTheme="minorEastAsia" w:eastAsiaTheme="minorEastAsia" w:cstheme="minorEastAsia"/>
          <w:color w:val="auto"/>
          <w:kern w:val="2"/>
          <w:sz w:val="24"/>
          <w:szCs w:val="24"/>
          <w:highlight w:val="none"/>
          <w:u w:val="single"/>
          <w:lang w:val="en-US" w:eastAsia="zh-CN" w:bidi="ar-SA"/>
        </w:rPr>
        <w:t>安徽省合肥市包河区郎溪路与汤岭关路交叉口西南140米（雍荣府三期S1幢5楼）</w:t>
      </w:r>
    </w:p>
    <w:p w14:paraId="2651119C">
      <w:pPr>
        <w:pStyle w:val="21"/>
        <w:snapToGrid w:val="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账号：263761473241000002</w:t>
      </w:r>
    </w:p>
    <w:p w14:paraId="38966E55">
      <w:pPr>
        <w:pStyle w:val="21"/>
        <w:snapToGrid w:val="0"/>
        <w:spacing w:line="360" w:lineRule="auto"/>
        <w:ind w:firstLine="480" w:firstLineChars="200"/>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开户行：徽商银行股份有限公司合肥包河支行</w:t>
      </w:r>
    </w:p>
    <w:p w14:paraId="2AEF39E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2.项目联系方式</w:t>
      </w:r>
    </w:p>
    <w:p w14:paraId="3A3580FB">
      <w:pPr>
        <w:pStyle w:val="21"/>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孟</w:t>
      </w:r>
      <w:r>
        <w:rPr>
          <w:rFonts w:hint="eastAsia" w:asciiTheme="minorEastAsia" w:hAnsiTheme="minorEastAsia" w:eastAsiaTheme="minorEastAsia" w:cstheme="minorEastAsia"/>
          <w:color w:val="auto"/>
          <w:sz w:val="24"/>
          <w:szCs w:val="24"/>
          <w:highlight w:val="none"/>
          <w:u w:val="single"/>
        </w:rPr>
        <w:t xml:space="preserve">工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2635EA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0551-69001668    </w:t>
      </w:r>
      <w:r>
        <w:rPr>
          <w:rFonts w:hint="eastAsia" w:asciiTheme="minorEastAsia" w:hAnsiTheme="minorEastAsia" w:eastAsiaTheme="minorEastAsia" w:cstheme="minorEastAsia"/>
          <w:color w:val="auto"/>
          <w:sz w:val="24"/>
          <w:szCs w:val="24"/>
          <w:highlight w:val="none"/>
          <w:u w:val="single"/>
        </w:rPr>
        <w:t xml:space="preserve"> </w:t>
      </w:r>
    </w:p>
    <w:p w14:paraId="053EEB04">
      <w:pPr>
        <w:pStyle w:val="59"/>
        <w:widowControl w:val="0"/>
        <w:autoSpaceDE w:val="0"/>
        <w:autoSpaceDN w:val="0"/>
        <w:adjustRightInd w:val="0"/>
        <w:spacing w:before="0" w:after="0" w:line="360" w:lineRule="auto"/>
        <w:rPr>
          <w:rFonts w:hint="eastAsia" w:asciiTheme="minorEastAsia" w:hAnsiTheme="minorEastAsia" w:eastAsiaTheme="minorEastAsia" w:cstheme="minorEastAsia"/>
          <w:color w:val="auto"/>
          <w:kern w:val="2"/>
          <w:szCs w:val="18"/>
          <w:highlight w:val="none"/>
        </w:rPr>
      </w:pPr>
    </w:p>
    <w:p w14:paraId="33220FD7">
      <w:pPr>
        <w:autoSpaceDE w:val="0"/>
        <w:autoSpaceDN w:val="0"/>
        <w:adjustRightInd w:val="0"/>
        <w:spacing w:line="360" w:lineRule="auto"/>
        <w:ind w:firstLine="434" w:firstLineChars="181"/>
        <w:jc w:val="right"/>
        <w:rPr>
          <w:rFonts w:hint="eastAsia" w:asciiTheme="minorEastAsia" w:hAnsiTheme="minorEastAsia" w:eastAsiaTheme="minorEastAsia" w:cstheme="minorEastAsia"/>
          <w:bCs/>
          <w:color w:val="auto"/>
          <w:sz w:val="24"/>
          <w:szCs w:val="18"/>
          <w:highlight w:val="none"/>
        </w:rPr>
      </w:pPr>
      <w:r>
        <w:rPr>
          <w:rFonts w:hint="eastAsia" w:asciiTheme="minorEastAsia" w:hAnsiTheme="minorEastAsia" w:eastAsiaTheme="minorEastAsia" w:cstheme="minorEastAsia"/>
          <w:bCs/>
          <w:color w:val="auto"/>
          <w:sz w:val="24"/>
          <w:szCs w:val="18"/>
          <w:highlight w:val="none"/>
        </w:rPr>
        <w:br w:type="page"/>
      </w:r>
    </w:p>
    <w:p w14:paraId="592449C6">
      <w:pPr>
        <w:spacing w:line="360" w:lineRule="auto"/>
        <w:jc w:val="center"/>
        <w:outlineLvl w:val="1"/>
        <w:rPr>
          <w:rFonts w:hint="eastAsia" w:asciiTheme="minorEastAsia" w:hAnsiTheme="minorEastAsia" w:eastAsiaTheme="minorEastAsia" w:cstheme="minorEastAsia"/>
          <w:b/>
          <w:color w:val="auto"/>
          <w:sz w:val="28"/>
          <w:highlight w:val="none"/>
        </w:rPr>
      </w:pPr>
      <w:bookmarkStart w:id="11" w:name="_Toc19060"/>
      <w:bookmarkStart w:id="12" w:name="_Toc31897"/>
      <w:r>
        <w:rPr>
          <w:rFonts w:hint="eastAsia" w:asciiTheme="minorEastAsia" w:hAnsiTheme="minorEastAsia" w:eastAsiaTheme="minorEastAsia" w:cstheme="minorEastAsia"/>
          <w:b/>
          <w:color w:val="auto"/>
          <w:sz w:val="28"/>
          <w:highlight w:val="none"/>
        </w:rPr>
        <w:t>第二章  投标人须知</w:t>
      </w:r>
      <w:bookmarkEnd w:id="11"/>
      <w:bookmarkEnd w:id="12"/>
    </w:p>
    <w:p w14:paraId="7DFB80D4">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一、投标人须知前附表</w:t>
      </w:r>
    </w:p>
    <w:p w14:paraId="0DE12C81">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b/>
          <w:bCs/>
          <w:color w:val="auto"/>
          <w:sz w:val="24"/>
          <w:szCs w:val="18"/>
          <w:highlight w:val="none"/>
        </w:rPr>
        <w:t>注：</w:t>
      </w:r>
      <w:r>
        <w:rPr>
          <w:rFonts w:hint="eastAsia" w:asciiTheme="minorEastAsia" w:hAnsiTheme="minorEastAsia" w:eastAsiaTheme="minorEastAsia" w:cstheme="minorEastAsia"/>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条款名称</w:t>
            </w:r>
          </w:p>
        </w:tc>
        <w:tc>
          <w:tcPr>
            <w:tcW w:w="6687" w:type="dxa"/>
            <w:vAlign w:val="center"/>
          </w:tcPr>
          <w:p w14:paraId="62F3E7B9">
            <w:pPr>
              <w:pStyle w:val="60"/>
              <w:widowControl w:val="0"/>
              <w:spacing w:before="0" w:beforeAutospacing="0" w:after="0" w:afterAutospacing="0" w:line="360" w:lineRule="auto"/>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kern w:val="2"/>
                <w:sz w:val="24"/>
                <w:szCs w:val="20"/>
                <w:highlight w:val="none"/>
                <w:lang w:eastAsia="zh-CN"/>
              </w:rPr>
            </w:pPr>
            <w:r>
              <w:rPr>
                <w:rFonts w:hint="eastAsia" w:asciiTheme="minorEastAsia" w:hAnsiTheme="minorEastAsia" w:eastAsiaTheme="minorEastAsia" w:cstheme="minorEastAsia"/>
                <w:b w:val="0"/>
                <w:bCs w:val="0"/>
                <w:color w:val="auto"/>
                <w:sz w:val="24"/>
                <w:szCs w:val="18"/>
                <w:highlight w:val="none"/>
                <w:lang w:eastAsia="zh-CN"/>
              </w:rPr>
              <w:t>合肥</w:t>
            </w:r>
            <w:r>
              <w:rPr>
                <w:rFonts w:hint="eastAsia" w:asciiTheme="minorEastAsia" w:hAnsiTheme="minorEastAsia" w:eastAsiaTheme="minorEastAsia" w:cstheme="minorEastAsia"/>
                <w:b w:val="0"/>
                <w:bCs w:val="0"/>
                <w:color w:val="auto"/>
                <w:sz w:val="24"/>
                <w:szCs w:val="18"/>
                <w:highlight w:val="none"/>
                <w:lang w:val="en-US" w:eastAsia="zh-CN"/>
              </w:rPr>
              <w:t>悠享时光护理院</w:t>
            </w:r>
            <w:r>
              <w:rPr>
                <w:rFonts w:hint="eastAsia" w:asciiTheme="minorEastAsia" w:hAnsiTheme="minorEastAsia" w:eastAsiaTheme="minorEastAsia" w:cstheme="minorEastAsia"/>
                <w:b w:val="0"/>
                <w:bCs w:val="0"/>
                <w:color w:val="auto"/>
                <w:sz w:val="24"/>
                <w:szCs w:val="18"/>
                <w:highlight w:val="none"/>
                <w:lang w:eastAsia="zh-CN"/>
              </w:rPr>
              <w:t>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18"/>
                <w:highlight w:val="none"/>
                <w:lang w:eastAsia="zh-CN"/>
              </w:rPr>
            </w:pPr>
            <w:r>
              <w:rPr>
                <w:rFonts w:hint="eastAsia" w:asciiTheme="minorEastAsia" w:hAnsiTheme="minorEastAsia" w:eastAsiaTheme="minorEastAsia" w:cstheme="minorEastAsia"/>
                <w:b w:val="0"/>
                <w:bCs w:val="0"/>
                <w:color w:val="auto"/>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hint="eastAsia" w:eastAsia="仿宋_GB2312" w:asciiTheme="minorEastAsia" w:hAnsiTheme="minorEastAsia" w:cstheme="minorEastAsia"/>
                <w:b w:val="0"/>
                <w:color w:val="auto"/>
                <w:sz w:val="24"/>
                <w:highlight w:val="none"/>
                <w:lang w:eastAsia="zh-CN"/>
              </w:rPr>
            </w:pPr>
            <w:r>
              <w:rPr>
                <w:rFonts w:hint="eastAsia" w:ascii="Times New Roman" w:hAnsi="Times New Roman" w:cs="Times New Roman"/>
                <w:b w:val="0"/>
                <w:sz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不允许</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imes New Roman" w:hAnsi="Times New Roman" w:cs="Times New Roman"/>
                <w:b w:val="0"/>
                <w:sz w:val="24"/>
                <w:highlight w:val="none"/>
                <w:u w:val="none"/>
                <w:lang w:eastAsia="zh-CN"/>
              </w:rPr>
              <w:t>☑</w:t>
            </w:r>
            <w:r>
              <w:rPr>
                <w:rFonts w:hint="eastAsia" w:asciiTheme="minorEastAsia" w:hAnsiTheme="minorEastAsia" w:eastAsiaTheme="minorEastAsia" w:cstheme="minorEastAsia"/>
                <w:b w:val="0"/>
                <w:bCs w:val="0"/>
                <w:color w:val="auto"/>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imes New Roman" w:hAnsi="Times New Roman" w:cs="Times New Roman"/>
                <w:b w:val="0"/>
                <w:sz w:val="24"/>
                <w:highlight w:val="none"/>
                <w:u w:val="none"/>
                <w:lang w:eastAsia="zh-CN"/>
              </w:rPr>
              <w:t>☑</w:t>
            </w:r>
            <w:r>
              <w:rPr>
                <w:rFonts w:hint="eastAsia" w:asciiTheme="minorEastAsia" w:hAnsiTheme="minorEastAsia" w:eastAsiaTheme="minorEastAsia" w:cstheme="minorEastAsia"/>
                <w:b w:val="0"/>
                <w:color w:val="auto"/>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投标保证金</w:t>
            </w:r>
          </w:p>
        </w:tc>
        <w:tc>
          <w:tcPr>
            <w:tcW w:w="6687" w:type="dxa"/>
            <w:vAlign w:val="center"/>
          </w:tcPr>
          <w:p w14:paraId="04EAE9CC">
            <w:pPr>
              <w:spacing w:line="360" w:lineRule="auto"/>
              <w:jc w:val="left"/>
              <w:rPr>
                <w:rFonts w:hint="eastAsia" w:asciiTheme="minorEastAsia" w:hAnsiTheme="minorEastAsia" w:eastAsiaTheme="minorEastAsia" w:cstheme="minorEastAsia"/>
                <w:color w:val="auto"/>
                <w:sz w:val="24"/>
                <w:highlight w:val="none"/>
              </w:rPr>
            </w:pPr>
            <w:r>
              <w:rPr>
                <w:rFonts w:hint="eastAsia" w:ascii="Times New Roman" w:hAnsi="Times New Roman" w:cs="Times New Roman"/>
                <w:b w:val="0"/>
                <w:sz w:val="24"/>
                <w:highlight w:val="none"/>
              </w:rPr>
              <w:t>☑</w:t>
            </w:r>
            <w:r>
              <w:rPr>
                <w:rFonts w:hint="eastAsia" w:asciiTheme="minorEastAsia" w:hAnsiTheme="minorEastAsia" w:eastAsiaTheme="minorEastAsia" w:cstheme="minorEastAsia"/>
                <w:color w:val="auto"/>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rPr>
              <w:t>90</w:t>
            </w:r>
            <w:r>
              <w:rPr>
                <w:rFonts w:hint="eastAsia" w:asciiTheme="minorEastAsia" w:hAnsiTheme="minorEastAsia" w:eastAsiaTheme="minorEastAsia" w:cstheme="minorEastAsia"/>
                <w:b w:val="0"/>
                <w:color w:val="auto"/>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投标文件要求</w:t>
            </w:r>
          </w:p>
        </w:tc>
        <w:tc>
          <w:tcPr>
            <w:tcW w:w="6687" w:type="dxa"/>
            <w:vAlign w:val="center"/>
          </w:tcPr>
          <w:p w14:paraId="664DCFC2">
            <w:pPr>
              <w:pStyle w:val="60"/>
              <w:widowControl w:val="0"/>
              <w:spacing w:before="0" w:beforeAutospacing="0" w:after="0" w:afterAutospacing="0" w:line="360" w:lineRule="auto"/>
              <w:jc w:val="both"/>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（1）纸质版投标文件（建议胶装成册）：</w:t>
            </w:r>
          </w:p>
          <w:p w14:paraId="240EF84C">
            <w:pPr>
              <w:pStyle w:val="60"/>
              <w:widowControl w:val="0"/>
              <w:spacing w:before="0" w:beforeAutospacing="0" w:after="0" w:afterAutospacing="0" w:line="360" w:lineRule="auto"/>
              <w:jc w:val="both"/>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正本</w:t>
            </w:r>
            <w:r>
              <w:rPr>
                <w:rFonts w:hint="eastAsia" w:asciiTheme="minorEastAsia" w:hAnsiTheme="minorEastAsia" w:eastAsiaTheme="minorEastAsia" w:cstheme="minorEastAsia"/>
                <w:bCs w:val="0"/>
                <w:color w:val="auto"/>
                <w:sz w:val="24"/>
                <w:highlight w:val="none"/>
                <w:u w:val="single"/>
              </w:rPr>
              <w:t>1</w:t>
            </w:r>
            <w:r>
              <w:rPr>
                <w:rFonts w:hint="eastAsia" w:asciiTheme="minorEastAsia" w:hAnsiTheme="minorEastAsia" w:eastAsiaTheme="minorEastAsia" w:cstheme="minorEastAsia"/>
                <w:bCs w:val="0"/>
                <w:color w:val="auto"/>
                <w:sz w:val="24"/>
                <w:highlight w:val="none"/>
              </w:rPr>
              <w:t>份；副本</w:t>
            </w:r>
            <w:r>
              <w:rPr>
                <w:rFonts w:hint="eastAsia" w:asciiTheme="minorEastAsia" w:hAnsiTheme="minorEastAsia" w:eastAsiaTheme="minorEastAsia" w:cstheme="minorEastAsia"/>
                <w:bCs w:val="0"/>
                <w:color w:val="auto"/>
                <w:sz w:val="24"/>
                <w:highlight w:val="none"/>
                <w:u w:val="single"/>
                <w:lang w:val="en-US" w:eastAsia="zh-CN"/>
              </w:rPr>
              <w:t>2</w:t>
            </w:r>
            <w:r>
              <w:rPr>
                <w:rFonts w:hint="eastAsia" w:asciiTheme="minorEastAsia" w:hAnsiTheme="minorEastAsia" w:eastAsiaTheme="minorEastAsia" w:cstheme="minorEastAsia"/>
                <w:bCs w:val="0"/>
                <w:color w:val="auto"/>
                <w:sz w:val="24"/>
                <w:highlight w:val="none"/>
              </w:rPr>
              <w:t>份，密封提交。</w:t>
            </w:r>
          </w:p>
          <w:p w14:paraId="7B2843A8">
            <w:pPr>
              <w:pStyle w:val="60"/>
              <w:widowControl w:val="0"/>
              <w:spacing w:before="0" w:beforeAutospacing="0" w:after="0" w:afterAutospacing="0" w:line="360" w:lineRule="auto"/>
              <w:jc w:val="both"/>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U盘</w:t>
            </w:r>
            <w:r>
              <w:rPr>
                <w:rFonts w:hint="eastAsia" w:asciiTheme="minorEastAsia" w:hAnsiTheme="minorEastAsia" w:eastAsiaTheme="minorEastAsia" w:cstheme="minorEastAsia"/>
                <w:bCs w:val="0"/>
                <w:color w:val="auto"/>
                <w:sz w:val="24"/>
                <w:highlight w:val="none"/>
                <w:u w:val="single"/>
              </w:rPr>
              <w:t>1</w:t>
            </w:r>
            <w:r>
              <w:rPr>
                <w:rFonts w:hint="eastAsia" w:asciiTheme="minorEastAsia" w:hAnsiTheme="minorEastAsia" w:eastAsiaTheme="minorEastAsia" w:cstheme="minorEastAsia"/>
                <w:bCs w:val="0"/>
                <w:color w:val="auto"/>
                <w:sz w:val="24"/>
                <w:highlight w:val="none"/>
              </w:rPr>
              <w:t>份（加盖公章后完整版投标文件扫描件）。</w:t>
            </w:r>
          </w:p>
          <w:p w14:paraId="5F96EA8E">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Cs w:val="0"/>
                <w:color w:val="auto"/>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val="0"/>
                <w:color w:val="auto"/>
                <w:sz w:val="24"/>
                <w:szCs w:val="18"/>
                <w:highlight w:val="none"/>
              </w:rPr>
              <w:t>/</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val="0"/>
                <w:color w:val="auto"/>
                <w:sz w:val="24"/>
                <w:highlight w:val="none"/>
              </w:rPr>
              <w:t>投标截止时间：</w:t>
            </w:r>
            <w:r>
              <w:rPr>
                <w:rFonts w:hint="eastAsia" w:asciiTheme="minorEastAsia" w:hAnsiTheme="minorEastAsia" w:eastAsiaTheme="minorEastAsia" w:cstheme="minorEastAsia"/>
                <w:color w:val="auto"/>
                <w:kern w:val="2"/>
                <w:sz w:val="24"/>
                <w:szCs w:val="24"/>
                <w:highlight w:val="none"/>
              </w:rPr>
              <w:t>详见招标公告</w:t>
            </w:r>
          </w:p>
          <w:p w14:paraId="1C22647A">
            <w:pPr>
              <w:snapToGrid w:val="0"/>
              <w:spacing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highlight w:val="none"/>
              </w:rPr>
              <w:t>投标文件递交地点：</w:t>
            </w:r>
            <w:r>
              <w:rPr>
                <w:rFonts w:hint="eastAsia" w:asciiTheme="minorEastAsia" w:hAnsiTheme="minorEastAsia" w:eastAsiaTheme="minorEastAsia" w:cstheme="minorEastAsia"/>
                <w:b/>
                <w:bCs/>
                <w:color w:val="auto"/>
                <w:sz w:val="24"/>
                <w:highlight w:val="none"/>
              </w:rPr>
              <w:t>安徽省合肥市包河区郎溪路与汤岭关路交叉口西南140米（雍荣府三期S1幢5楼）</w:t>
            </w:r>
          </w:p>
          <w:p w14:paraId="41C2A69A">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投标文件接收时间：</w:t>
            </w:r>
            <w:r>
              <w:rPr>
                <w:rFonts w:hint="eastAsia" w:asciiTheme="minorEastAsia" w:hAnsiTheme="minorEastAsia" w:eastAsiaTheme="minorEastAsia" w:cstheme="minorEastAsia"/>
                <w:color w:val="auto"/>
                <w:kern w:val="2"/>
                <w:sz w:val="24"/>
                <w:szCs w:val="24"/>
                <w:highlight w:val="none"/>
              </w:rPr>
              <w:t>详见招标公告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val="0"/>
                <w:color w:val="auto"/>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highlight w:val="none"/>
                <w:u w:val="single"/>
                <w:lang w:eastAsia="zh-CN"/>
              </w:rPr>
              <w:t>□</w:t>
            </w:r>
            <w:r>
              <w:rPr>
                <w:rFonts w:hint="eastAsia" w:asciiTheme="minorEastAsia" w:hAnsiTheme="minorEastAsia" w:eastAsiaTheme="minorEastAsia" w:cstheme="minorEastAsia"/>
                <w:b w:val="0"/>
                <w:color w:val="auto"/>
                <w:sz w:val="24"/>
                <w:highlight w:val="none"/>
                <w:u w:val="single"/>
              </w:rPr>
              <w:t>最低</w:t>
            </w:r>
            <w:r>
              <w:rPr>
                <w:rFonts w:hint="eastAsia" w:asciiTheme="minorEastAsia" w:hAnsiTheme="minorEastAsia" w:eastAsiaTheme="minorEastAsia" w:cstheme="minorEastAsia"/>
                <w:b w:val="0"/>
                <w:color w:val="auto"/>
                <w:sz w:val="24"/>
                <w:highlight w:val="none"/>
                <w:u w:val="single"/>
                <w:lang w:eastAsia="zh-CN"/>
              </w:rPr>
              <w:t>投</w:t>
            </w:r>
            <w:r>
              <w:rPr>
                <w:rFonts w:hint="eastAsia" w:asciiTheme="minorEastAsia" w:hAnsiTheme="minorEastAsia" w:eastAsiaTheme="minorEastAsia" w:cstheme="minorEastAsia"/>
                <w:b w:val="0"/>
                <w:color w:val="auto"/>
                <w:sz w:val="24"/>
                <w:highlight w:val="none"/>
                <w:u w:val="single"/>
              </w:rPr>
              <w:t>标价法</w:t>
            </w:r>
          </w:p>
          <w:p w14:paraId="79A65AC0">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lang w:val="en-US" w:eastAsia="zh-CN"/>
              </w:rPr>
              <w:t>☑</w:t>
            </w:r>
            <w:r>
              <w:rPr>
                <w:rFonts w:hint="eastAsia" w:asciiTheme="minorEastAsia" w:hAnsiTheme="minorEastAsia" w:eastAsiaTheme="minorEastAsia" w:cstheme="minorEastAsia"/>
                <w:b w:val="0"/>
                <w:color w:val="auto"/>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招标人委托评标委员会确定</w:t>
            </w:r>
          </w:p>
          <w:p w14:paraId="509A50B4">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招标人确定</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投标人自行上网查看（</w:t>
            </w:r>
            <w:r>
              <w:rPr>
                <w:rFonts w:hint="eastAsia" w:asciiTheme="minorEastAsia" w:hAnsiTheme="minorEastAsia" w:eastAsiaTheme="minorEastAsia" w:cstheme="minorEastAsia"/>
                <w:b w:val="0"/>
                <w:bCs w:val="0"/>
                <w:color w:val="auto"/>
                <w:sz w:val="24"/>
                <w:szCs w:val="24"/>
                <w:highlight w:val="none"/>
                <w:lang w:eastAsia="zh-CN"/>
              </w:rPr>
              <w:t>合肥滨湖时光产业投资集团有限公司</w:t>
            </w:r>
            <w:r>
              <w:rPr>
                <w:rFonts w:hint="eastAsia" w:asciiTheme="minorEastAsia" w:hAnsiTheme="minorEastAsia" w:eastAsiaTheme="minorEastAsia" w:cstheme="minorEastAsia"/>
                <w:b w:val="0"/>
                <w:bCs w:val="0"/>
                <w:color w:val="auto"/>
                <w:sz w:val="24"/>
                <w:szCs w:val="24"/>
                <w:highlight w:val="none"/>
              </w:rPr>
              <w:t>官方网站http://bhsggroup.cn/）</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履约保证金</w:t>
            </w:r>
          </w:p>
          <w:p w14:paraId="13223BED">
            <w:pPr>
              <w:pStyle w:val="60"/>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bCs w:val="0"/>
                <w:color w:val="auto"/>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75FEA46E">
              <w:tc>
                <w:tcPr>
                  <w:tcW w:w="1166" w:type="pct"/>
                  <w:shd w:val="clear" w:color="auto" w:fill="auto"/>
                  <w:vAlign w:val="center"/>
                </w:tcPr>
                <w:p w14:paraId="4718342C">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（1）形式：</w:t>
                  </w:r>
                </w:p>
              </w:tc>
              <w:tc>
                <w:tcPr>
                  <w:tcW w:w="3834" w:type="pct"/>
                  <w:shd w:val="clear" w:color="auto" w:fill="auto"/>
                </w:tcPr>
                <w:p w14:paraId="6DA05038">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银行转账□银行电汇</w:t>
                  </w:r>
                </w:p>
                <w:p w14:paraId="57E3CB5A">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□银行保函□担保机构担保</w:t>
                  </w:r>
                </w:p>
                <w:p w14:paraId="1F7156D8">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□保证保险</w:t>
                  </w:r>
                </w:p>
              </w:tc>
            </w:tr>
            <w:tr w14:paraId="2CB397E3">
              <w:tblPrEx>
                <w:tblCellMar>
                  <w:top w:w="0" w:type="dxa"/>
                  <w:left w:w="108" w:type="dxa"/>
                  <w:bottom w:w="0" w:type="dxa"/>
                  <w:right w:w="108" w:type="dxa"/>
                </w:tblCellMar>
              </w:tblPrEx>
              <w:tc>
                <w:tcPr>
                  <w:tcW w:w="5000" w:type="pct"/>
                  <w:gridSpan w:val="2"/>
                  <w:shd w:val="clear" w:color="auto" w:fill="auto"/>
                </w:tcPr>
                <w:p w14:paraId="772132B4">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（2）金额：</w:t>
                  </w:r>
                  <w:r>
                    <w:rPr>
                      <w:rFonts w:hint="eastAsia" w:asciiTheme="minorEastAsia" w:hAnsiTheme="minorEastAsia" w:eastAsiaTheme="minorEastAsia" w:cstheme="minorEastAsia"/>
                      <w:b w:val="0"/>
                      <w:bCs w:val="0"/>
                      <w:color w:val="auto"/>
                      <w:sz w:val="24"/>
                      <w:szCs w:val="24"/>
                      <w:highlight w:val="none"/>
                      <w:lang w:val="en-US" w:eastAsia="zh-CN"/>
                    </w:rPr>
                    <w:t>/</w:t>
                  </w:r>
                </w:p>
                <w:p w14:paraId="29C7E0F4">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（4）如采用担保机构出具的保函（担保机构担保），应为经安徽省地方金融监督管理局审查批准，依法取得融资担保业务经营许可证的融资担保机构出具的无条件保函。</w:t>
                  </w:r>
                </w:p>
                <w:p w14:paraId="78D5A353">
                  <w:pPr>
                    <w:pStyle w:val="60"/>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(5)以上各类机构出具的以担保函、保证保险承担责任的方式均须满足无条件见索即付条件。</w:t>
                  </w:r>
                </w:p>
              </w:tc>
            </w:tr>
          </w:tbl>
          <w:p w14:paraId="660E10D8">
            <w:pPr>
              <w:pStyle w:val="94"/>
              <w:tabs>
                <w:tab w:val="left" w:pos="351"/>
              </w:tabs>
              <w:spacing w:line="360" w:lineRule="auto"/>
              <w:ind w:right="96"/>
              <w:jc w:val="left"/>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（6）履约保证金提交期限的要求：</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rPr>
              <w:t xml:space="preserve">。 </w:t>
            </w:r>
          </w:p>
          <w:p w14:paraId="13B93201">
            <w:pPr>
              <w:pStyle w:val="94"/>
              <w:tabs>
                <w:tab w:val="left" w:pos="351"/>
              </w:tabs>
              <w:spacing w:line="360" w:lineRule="auto"/>
              <w:ind w:right="96"/>
              <w:jc w:val="left"/>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（7）履约保证金退还：</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rPr>
              <w:t>。</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构成招标文件的其他材料</w:t>
            </w:r>
          </w:p>
        </w:tc>
        <w:tc>
          <w:tcPr>
            <w:tcW w:w="6687" w:type="dxa"/>
            <w:vAlign w:val="center"/>
          </w:tcPr>
          <w:p w14:paraId="51CA298E">
            <w:pPr>
              <w:pStyle w:val="60"/>
              <w:widowControl w:val="0"/>
              <w:spacing w:before="0" w:beforeAutospacing="0" w:after="0" w:afterAutospacing="0" w:line="360" w:lineRule="auto"/>
              <w:jc w:val="both"/>
              <w:rPr>
                <w:rFonts w:hint="default" w:asciiTheme="minorEastAsia" w:hAnsiTheme="minorEastAsia" w:eastAsiaTheme="minorEastAsia" w:cstheme="minorEastAsia"/>
                <w:b w:val="0"/>
                <w:color w:val="auto"/>
                <w:sz w:val="24"/>
                <w:highlight w:val="none"/>
                <w:lang w:val="en-US"/>
              </w:rPr>
            </w:pPr>
            <w:r>
              <w:rPr>
                <w:rFonts w:hint="eastAsia" w:asciiTheme="minorEastAsia" w:hAnsiTheme="minorEastAsia" w:eastAsiaTheme="minorEastAsia" w:cstheme="minorEastAsia"/>
                <w:b w:val="0"/>
                <w:bCs w:val="0"/>
                <w:color w:val="auto"/>
                <w:kern w:val="2"/>
                <w:sz w:val="24"/>
                <w:szCs w:val="20"/>
                <w:highlight w:val="none"/>
                <w:lang w:val="en-US" w:eastAsia="zh-CN" w:bidi="zh-CN"/>
              </w:rPr>
              <w:t>部分药品清单表</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关于联合体投标的相关约定</w:t>
            </w:r>
            <w:r>
              <w:rPr>
                <w:rFonts w:hint="eastAsia" w:asciiTheme="minorEastAsia" w:hAnsiTheme="minorEastAsia" w:eastAsiaTheme="minorEastAsia" w:cstheme="minorEastAsia"/>
                <w:b/>
                <w:bCs w:val="0"/>
                <w:color w:val="auto"/>
                <w:sz w:val="24"/>
                <w:highlight w:val="none"/>
              </w:rPr>
              <w:t>（本项目不涉及）</w:t>
            </w:r>
          </w:p>
        </w:tc>
        <w:tc>
          <w:tcPr>
            <w:tcW w:w="6687" w:type="dxa"/>
            <w:vAlign w:val="center"/>
          </w:tcPr>
          <w:p w14:paraId="346667AA">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（1）社保局官方网站查询的缴费记录截图；</w:t>
            </w:r>
          </w:p>
          <w:p w14:paraId="45DE2D08">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（2）社保局的书面证明材料；</w:t>
            </w:r>
          </w:p>
          <w:p w14:paraId="7B221451">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（4）其他经评标委员会认可的证明材料。</w:t>
            </w:r>
          </w:p>
          <w:p w14:paraId="3366B8DF">
            <w:pPr>
              <w:pStyle w:val="60"/>
              <w:widowControl w:val="0"/>
              <w:spacing w:before="0" w:beforeAutospacing="0" w:after="0" w:afterAutospacing="0" w:line="360" w:lineRule="auto"/>
              <w:jc w:val="both"/>
              <w:rPr>
                <w:rFonts w:hint="eastAsia" w:asciiTheme="minorEastAsia" w:hAnsiTheme="minorEastAsia" w:eastAsiaTheme="minorEastAsia" w:cstheme="minorEastAsia"/>
                <w:b w:val="0"/>
                <w:iCs/>
                <w:color w:val="auto"/>
                <w:sz w:val="24"/>
                <w:highlight w:val="none"/>
              </w:rPr>
            </w:pPr>
            <w:r>
              <w:rPr>
                <w:rFonts w:hint="eastAsia" w:asciiTheme="minorEastAsia" w:hAnsiTheme="minorEastAsia" w:eastAsiaTheme="minorEastAsia" w:cstheme="minorEastAsia"/>
                <w:b w:val="0"/>
                <w:iCs/>
                <w:color w:val="auto"/>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重要提示</w:t>
            </w:r>
          </w:p>
        </w:tc>
        <w:tc>
          <w:tcPr>
            <w:tcW w:w="6687" w:type="dxa"/>
            <w:vAlign w:val="center"/>
          </w:tcPr>
          <w:p w14:paraId="5408B304">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（4）中标人中标后被监管部门查实存在违法行为，不满足中标条件的，由招标人取消中标资格，并做好项目后续工作；</w:t>
            </w:r>
          </w:p>
          <w:p w14:paraId="790732CB">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解释权</w:t>
            </w:r>
          </w:p>
        </w:tc>
        <w:tc>
          <w:tcPr>
            <w:tcW w:w="6687" w:type="dxa"/>
            <w:vAlign w:val="center"/>
          </w:tcPr>
          <w:p w14:paraId="1549E31A">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（1）构成本招标文件的各个组成文件应互为解释，互为说明；</w:t>
            </w:r>
          </w:p>
          <w:p w14:paraId="138B6DD7">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（2）同一组成文件中就同一事项的规定或约定不一致的，除招标文件另有规定外，以编排顺序在后者为准；</w:t>
            </w:r>
          </w:p>
          <w:p w14:paraId="04829C26">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其他补充说明</w:t>
            </w:r>
          </w:p>
        </w:tc>
        <w:tc>
          <w:tcPr>
            <w:tcW w:w="6687" w:type="dxa"/>
            <w:vAlign w:val="center"/>
          </w:tcPr>
          <w:p w14:paraId="08EAB054">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1.本项目投标文件要求详见本须知前附表，投标文件现场递交，无需上传电子投标文件。 </w:t>
            </w:r>
          </w:p>
          <w:p w14:paraId="59D39FD2">
            <w:pPr>
              <w:spacing w:line="360" w:lineRule="auto"/>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2.本项目资金来源：</w:t>
            </w:r>
            <w:r>
              <w:rPr>
                <w:rFonts w:hint="eastAsia" w:asciiTheme="minorEastAsia" w:hAnsiTheme="minorEastAsia" w:eastAsiaTheme="minorEastAsia" w:cstheme="minorEastAsia"/>
                <w:b w:val="0"/>
                <w:bCs/>
                <w:color w:val="auto"/>
                <w:sz w:val="24"/>
                <w:szCs w:val="24"/>
                <w:highlight w:val="none"/>
                <w:lang w:eastAsia="zh-CN"/>
              </w:rPr>
              <w:t>自筹</w:t>
            </w:r>
          </w:p>
        </w:tc>
      </w:tr>
    </w:tbl>
    <w:p w14:paraId="193B77C2">
      <w:pPr>
        <w:spacing w:line="360" w:lineRule="auto"/>
        <w:ind w:firstLine="435"/>
        <w:rPr>
          <w:rFonts w:hint="eastAsia" w:asciiTheme="minorEastAsia" w:hAnsiTheme="minorEastAsia" w:eastAsiaTheme="minorEastAsia" w:cstheme="minorEastAsia"/>
          <w:color w:val="auto"/>
          <w:sz w:val="24"/>
          <w:szCs w:val="18"/>
          <w:highlight w:val="none"/>
        </w:rPr>
      </w:pPr>
    </w:p>
    <w:p w14:paraId="6B9B5BE4">
      <w:pPr>
        <w:rPr>
          <w:rFonts w:hint="eastAsia" w:asciiTheme="minorEastAsia" w:hAnsiTheme="minorEastAsia" w:eastAsiaTheme="minorEastAsia" w:cstheme="minorEastAsia"/>
          <w:b/>
          <w:color w:val="auto"/>
          <w:highlight w:val="none"/>
        </w:rPr>
      </w:pPr>
      <w:bookmarkStart w:id="13" w:name="_Toc460660062"/>
      <w:bookmarkStart w:id="14" w:name="_Toc283798416"/>
      <w:bookmarkStart w:id="15" w:name="_Toc11078137"/>
      <w:bookmarkStart w:id="16" w:name="_Toc26766"/>
      <w:bookmarkStart w:id="17" w:name="_Toc460226989"/>
      <w:bookmarkStart w:id="18" w:name="_Toc421916975"/>
      <w:bookmarkStart w:id="19" w:name="_Toc460226720"/>
      <w:r>
        <w:rPr>
          <w:rFonts w:hint="eastAsia" w:asciiTheme="minorEastAsia" w:hAnsiTheme="minorEastAsia" w:eastAsiaTheme="minorEastAsia" w:cstheme="minorEastAsia"/>
          <w:b/>
          <w:color w:val="auto"/>
          <w:highlight w:val="none"/>
        </w:rPr>
        <w:br w:type="page"/>
      </w:r>
    </w:p>
    <w:p w14:paraId="6A1DDFC7">
      <w:pPr>
        <w:pStyle w:val="8"/>
        <w:spacing w:line="416" w:lineRule="auto"/>
        <w:ind w:firstLine="1405" w:firstLineChars="500"/>
        <w:rPr>
          <w:rFonts w:hint="eastAsia" w:ascii="黑体" w:hAnsi="黑体" w:eastAsia="黑体" w:cs="黑体"/>
          <w:sz w:val="20"/>
        </w:rPr>
      </w:pPr>
      <w:r>
        <w:rPr>
          <w:rFonts w:hint="eastAsia" w:ascii="黑体" w:hAnsi="黑体" w:eastAsia="黑体" w:cs="黑体"/>
        </w:rPr>
        <w:t xml:space="preserve">附录 1 资格审查条件(资质最低条件) </w:t>
      </w:r>
    </w:p>
    <w:tbl>
      <w:tblPr>
        <w:tblStyle w:val="41"/>
        <w:tblpPr w:leftFromText="180" w:rightFromText="180" w:vertAnchor="text" w:horzAnchor="page" w:tblpX="1659" w:tblpY="325"/>
        <w:tblOverlap w:val="never"/>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51"/>
      </w:tblGrid>
      <w:tr w14:paraId="76E3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jc w:val="center"/>
        </w:trPr>
        <w:tc>
          <w:tcPr>
            <w:tcW w:w="5000" w:type="pct"/>
            <w:vAlign w:val="center"/>
          </w:tcPr>
          <w:p w14:paraId="3DBD65BA">
            <w:pPr>
              <w:pStyle w:val="94"/>
              <w:spacing w:before="66"/>
              <w:ind w:right="3182"/>
              <w:jc w:val="center"/>
              <w:rPr>
                <w:rFonts w:ascii="Times New Roman" w:hAnsi="Times New Roman" w:cs="Times New Roman"/>
                <w:b/>
                <w:sz w:val="24"/>
                <w:szCs w:val="24"/>
              </w:rPr>
            </w:pPr>
            <w:r>
              <w:rPr>
                <w:rFonts w:hint="eastAsia" w:ascii="Times New Roman" w:hAnsi="Times New Roman" w:cs="Times New Roman"/>
                <w:b/>
                <w:bCs/>
                <w:kern w:val="2"/>
                <w:sz w:val="24"/>
                <w:szCs w:val="24"/>
                <w:lang w:val="en-US" w:eastAsia="zh-CN" w:bidi="ar-SA"/>
              </w:rPr>
              <w:t xml:space="preserve">                        </w:t>
            </w:r>
            <w:r>
              <w:rPr>
                <w:rFonts w:ascii="Times New Roman" w:hAnsi="Times New Roman" w:cs="Times New Roman"/>
                <w:b/>
                <w:bCs/>
                <w:kern w:val="2"/>
                <w:sz w:val="24"/>
                <w:szCs w:val="24"/>
                <w:lang w:val="en-US" w:bidi="ar-SA"/>
              </w:rPr>
              <w:t>资质证书及其他要求</w:t>
            </w:r>
          </w:p>
        </w:tc>
      </w:tr>
      <w:tr w14:paraId="74040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tcPr>
          <w:p w14:paraId="61CD1ADD">
            <w:pPr>
              <w:pStyle w:val="94"/>
              <w:numPr>
                <w:ilvl w:val="0"/>
                <w:numId w:val="0"/>
              </w:numPr>
              <w:tabs>
                <w:tab w:val="left" w:pos="688"/>
              </w:tabs>
              <w:spacing w:before="123" w:line="360" w:lineRule="auto"/>
              <w:ind w:left="526" w:leftChars="0"/>
              <w:jc w:val="left"/>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kern w:val="2"/>
                <w:sz w:val="24"/>
                <w:szCs w:val="18"/>
                <w:lang w:val="en-US" w:eastAsia="zh-CN" w:bidi="zh-CN"/>
              </w:rPr>
              <w:t>1.</w:t>
            </w:r>
            <w:r>
              <w:rPr>
                <w:rFonts w:hint="eastAsia" w:asciiTheme="minorEastAsia" w:hAnsiTheme="minorEastAsia" w:eastAsiaTheme="minorEastAsia" w:cstheme="minorEastAsia"/>
                <w:color w:val="auto"/>
                <w:sz w:val="24"/>
                <w:szCs w:val="18"/>
                <w:highlight w:val="none"/>
                <w:lang w:val="en-US" w:eastAsia="zh-CN"/>
              </w:rPr>
              <w:t>具备有效的营业执照；</w:t>
            </w:r>
          </w:p>
          <w:p w14:paraId="308DEAA3">
            <w:pPr>
              <w:pStyle w:val="94"/>
              <w:numPr>
                <w:ilvl w:val="0"/>
                <w:numId w:val="0"/>
              </w:numPr>
              <w:tabs>
                <w:tab w:val="left" w:pos="688"/>
              </w:tabs>
              <w:spacing w:before="123" w:line="360" w:lineRule="auto"/>
              <w:ind w:left="526" w:leftChars="0"/>
              <w:jc w:val="left"/>
              <w:rPr>
                <w:rFonts w:hint="eastAsia" w:ascii="Times New Roman" w:hAnsi="Times New Roman" w:cs="Times New Roman"/>
                <w:spacing w:val="-3"/>
                <w:sz w:val="24"/>
                <w:szCs w:val="24"/>
                <w:highlight w:val="yellow"/>
                <w:lang w:eastAsia="zh-CN"/>
              </w:rPr>
            </w:pPr>
            <w:r>
              <w:rPr>
                <w:rFonts w:hint="eastAsia" w:asciiTheme="minorEastAsia" w:hAnsiTheme="minorEastAsia" w:eastAsiaTheme="minorEastAsia" w:cstheme="minorEastAsia"/>
                <w:color w:val="auto"/>
                <w:kern w:val="2"/>
                <w:sz w:val="24"/>
                <w:szCs w:val="18"/>
                <w:lang w:val="zh-CN" w:eastAsia="zh-CN" w:bidi="zh-CN"/>
              </w:rPr>
              <w:t>2</w:t>
            </w:r>
            <w:r>
              <w:rPr>
                <w:rFonts w:hint="eastAsia" w:asciiTheme="minorEastAsia" w:hAnsiTheme="minorEastAsia" w:eastAsiaTheme="minorEastAsia" w:cstheme="minorEastAsia"/>
                <w:color w:val="auto"/>
                <w:kern w:val="2"/>
                <w:sz w:val="24"/>
                <w:szCs w:val="18"/>
                <w:lang w:val="en-US" w:eastAsia="zh-CN" w:bidi="zh-CN"/>
              </w:rPr>
              <w:t>.具</w:t>
            </w:r>
            <w:r>
              <w:rPr>
                <w:rFonts w:hint="eastAsia" w:asciiTheme="minorEastAsia" w:hAnsiTheme="minorEastAsia" w:eastAsiaTheme="minorEastAsia" w:cstheme="minorEastAsia"/>
                <w:color w:val="auto"/>
                <w:sz w:val="24"/>
                <w:szCs w:val="18"/>
                <w:highlight w:val="none"/>
                <w:lang w:val="en-US" w:eastAsia="zh-CN"/>
              </w:rPr>
              <w:t>有有效的《药品经营许可证》。</w:t>
            </w:r>
          </w:p>
        </w:tc>
      </w:tr>
    </w:tbl>
    <w:p w14:paraId="4AFE88F8">
      <w:pPr>
        <w:snapToGrid w:val="0"/>
        <w:spacing w:line="360" w:lineRule="auto"/>
        <w:ind w:firstLine="480" w:firstLineChars="200"/>
        <w:rPr>
          <w:rFonts w:ascii="Times New Roman" w:hAnsi="Times New Roman" w:eastAsia="宋体" w:cs="Times New Roman"/>
          <w:sz w:val="24"/>
          <w:szCs w:val="24"/>
        </w:rPr>
      </w:pPr>
    </w:p>
    <w:p w14:paraId="579FE671">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注：投标人应提供营业执照、资质证书等材料扫描件。</w:t>
      </w:r>
    </w:p>
    <w:p w14:paraId="2C5854CB">
      <w:pPr>
        <w:pStyle w:val="19"/>
        <w:spacing w:before="2" w:line="360" w:lineRule="auto"/>
        <w:rPr>
          <w:rFonts w:ascii="Times New Roman" w:hAnsi="Times New Roman"/>
          <w:sz w:val="24"/>
          <w:szCs w:val="18"/>
        </w:rPr>
      </w:pPr>
      <w:r>
        <w:rPr>
          <w:rFonts w:ascii="Times New Roman" w:hAnsi="Times New Roman"/>
          <w:sz w:val="24"/>
          <w:szCs w:val="18"/>
        </w:rPr>
        <w:br w:type="page"/>
      </w:r>
    </w:p>
    <w:p w14:paraId="53B9BE1F">
      <w:pPr>
        <w:pStyle w:val="8"/>
        <w:spacing w:line="416" w:lineRule="auto"/>
        <w:ind w:left="1962"/>
        <w:rPr>
          <w:rFonts w:hint="eastAsia" w:ascii="黑体" w:hAnsi="黑体" w:eastAsia="黑体" w:cs="黑体"/>
        </w:rPr>
      </w:pPr>
      <w:bookmarkStart w:id="20" w:name="_Toc11078138"/>
      <w:bookmarkStart w:id="21" w:name="_Toc38879317"/>
      <w:bookmarkStart w:id="22" w:name="_Toc68098218"/>
      <w:r>
        <w:rPr>
          <w:rFonts w:hint="eastAsia" w:ascii="黑体" w:hAnsi="黑体" w:eastAsia="黑体" w:cs="黑体"/>
        </w:rPr>
        <w:t>附录2  资格审查条件（财务最低要求）</w:t>
      </w:r>
      <w:bookmarkEnd w:id="20"/>
      <w:bookmarkEnd w:id="21"/>
      <w:bookmarkEnd w:id="22"/>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14:paraId="295C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7BF84F4">
            <w:pPr>
              <w:pStyle w:val="96"/>
              <w:adjustRightInd w:val="0"/>
              <w:snapToGrid w:val="0"/>
              <w:jc w:val="center"/>
              <w:rPr>
                <w:rFonts w:ascii="Times New Roman" w:hAnsi="Times New Roman"/>
                <w:b/>
                <w:bCs/>
                <w:sz w:val="24"/>
                <w:szCs w:val="24"/>
              </w:rPr>
            </w:pPr>
            <w:r>
              <w:rPr>
                <w:rFonts w:ascii="Times New Roman" w:hAnsi="Times New Roman"/>
                <w:b/>
                <w:bCs/>
                <w:sz w:val="24"/>
                <w:szCs w:val="24"/>
              </w:rPr>
              <w:t>财务要求</w:t>
            </w:r>
          </w:p>
        </w:tc>
      </w:tr>
      <w:tr w14:paraId="0204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4516C81">
            <w:pPr>
              <w:pStyle w:val="96"/>
              <w:adjustRightInd w:val="0"/>
              <w:snapToGrid w:val="0"/>
              <w:spacing w:line="360" w:lineRule="auto"/>
              <w:ind w:firstLine="480" w:firstLineChars="200"/>
              <w:jc w:val="left"/>
              <w:rPr>
                <w:rFonts w:ascii="Times New Roman" w:hAnsi="Times New Roman"/>
                <w:bCs/>
                <w:sz w:val="24"/>
                <w:szCs w:val="24"/>
              </w:rPr>
            </w:pPr>
            <w:r>
              <w:rPr>
                <w:rFonts w:ascii="Times New Roman" w:hAnsi="Times New Roman"/>
                <w:bCs/>
                <w:snapToGrid w:val="0"/>
                <w:kern w:val="0"/>
                <w:sz w:val="24"/>
                <w:szCs w:val="24"/>
              </w:rPr>
              <w:sym w:font="Wingdings 2" w:char="0052"/>
            </w:r>
            <w:r>
              <w:rPr>
                <w:rFonts w:ascii="Times New Roman" w:hAnsi="Times New Roman"/>
                <w:bCs/>
                <w:sz w:val="24"/>
                <w:szCs w:val="24"/>
              </w:rPr>
              <w:t>无需提供。</w:t>
            </w:r>
          </w:p>
          <w:p w14:paraId="52BC84B4">
            <w:pPr>
              <w:pStyle w:val="96"/>
              <w:adjustRightInd w:val="0"/>
              <w:snapToGrid w:val="0"/>
              <w:spacing w:line="360" w:lineRule="auto"/>
              <w:ind w:firstLine="480" w:firstLineChars="200"/>
              <w:jc w:val="left"/>
              <w:rPr>
                <w:rFonts w:ascii="Times New Roman" w:hAnsi="Times New Roman"/>
                <w:bCs/>
                <w:sz w:val="24"/>
                <w:szCs w:val="24"/>
              </w:rPr>
            </w:pPr>
            <w:r>
              <w:rPr>
                <w:rFonts w:hint="eastAsia" w:ascii="Times New Roman" w:hAnsi="Times New Roman"/>
                <w:bCs/>
                <w:sz w:val="24"/>
                <w:szCs w:val="24"/>
                <w:lang w:eastAsia="zh-CN"/>
              </w:rPr>
              <w:t>□</w:t>
            </w:r>
            <w:r>
              <w:rPr>
                <w:rFonts w:ascii="Times New Roman" w:hAnsi="Times New Roman"/>
                <w:bCs/>
                <w:sz w:val="24"/>
                <w:szCs w:val="24"/>
              </w:rPr>
              <w:t>需提供以下材料：</w:t>
            </w:r>
          </w:p>
          <w:p w14:paraId="253BC030">
            <w:pPr>
              <w:pStyle w:val="96"/>
              <w:adjustRightInd w:val="0"/>
              <w:snapToGrid w:val="0"/>
              <w:spacing w:line="360" w:lineRule="auto"/>
              <w:ind w:firstLine="480" w:firstLineChars="200"/>
              <w:jc w:val="left"/>
              <w:rPr>
                <w:rFonts w:ascii="Times New Roman" w:hAnsi="Times New Roman"/>
                <w:bCs/>
                <w:sz w:val="24"/>
                <w:szCs w:val="24"/>
              </w:rPr>
            </w:pPr>
            <w:r>
              <w:rPr>
                <w:rFonts w:ascii="Times New Roman" w:hAnsi="Times New Roman"/>
                <w:bCs/>
                <w:sz w:val="24"/>
                <w:szCs w:val="24"/>
              </w:rPr>
              <w:t>经会计师事务所或审计机构审计的财务会计报表，包括资产负债表、现金流量表、利润表、财务情况说明书</w:t>
            </w:r>
          </w:p>
          <w:p w14:paraId="0048C044">
            <w:pPr>
              <w:pStyle w:val="96"/>
              <w:adjustRightInd w:val="0"/>
              <w:snapToGrid w:val="0"/>
              <w:rPr>
                <w:rFonts w:ascii="Times New Roman" w:hAnsi="Times New Roman"/>
                <w:bCs/>
                <w:sz w:val="24"/>
                <w:szCs w:val="24"/>
              </w:rPr>
            </w:pPr>
          </w:p>
        </w:tc>
      </w:tr>
    </w:tbl>
    <w:p w14:paraId="0799C4B3">
      <w:pPr>
        <w:pStyle w:val="96"/>
        <w:adjustRightInd w:val="0"/>
        <w:snapToGrid w:val="0"/>
        <w:spacing w:line="300" w:lineRule="exact"/>
        <w:rPr>
          <w:rFonts w:ascii="Times New Roman" w:hAnsi="Times New Roman"/>
          <w:bCs/>
          <w:kern w:val="0"/>
          <w:sz w:val="24"/>
          <w:szCs w:val="24"/>
        </w:rPr>
      </w:pPr>
    </w:p>
    <w:p w14:paraId="311BAC8E">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注：证明材料的信息应完整或能充分证明满足评审需要。</w:t>
      </w:r>
    </w:p>
    <w:p w14:paraId="0DB79D9E">
      <w:pPr>
        <w:pStyle w:val="96"/>
        <w:adjustRightInd w:val="0"/>
        <w:snapToGrid w:val="0"/>
        <w:spacing w:line="300" w:lineRule="exact"/>
        <w:rPr>
          <w:rFonts w:ascii="Times New Roman" w:hAnsi="Times New Roman"/>
          <w:bCs/>
          <w:snapToGrid w:val="0"/>
          <w:kern w:val="0"/>
          <w:sz w:val="24"/>
          <w:szCs w:val="24"/>
        </w:rPr>
      </w:pPr>
      <w:r>
        <w:rPr>
          <w:rFonts w:ascii="Times New Roman" w:hAnsi="Times New Roman"/>
          <w:bCs/>
          <w:snapToGrid w:val="0"/>
          <w:kern w:val="0"/>
          <w:sz w:val="24"/>
          <w:szCs w:val="24"/>
        </w:rPr>
        <w:br w:type="page"/>
      </w:r>
    </w:p>
    <w:p w14:paraId="58265FF2">
      <w:pPr>
        <w:pStyle w:val="8"/>
        <w:spacing w:line="416" w:lineRule="auto"/>
        <w:ind w:left="1962"/>
        <w:rPr>
          <w:rFonts w:hint="eastAsia" w:ascii="黑体" w:hAnsi="黑体" w:eastAsia="黑体" w:cs="黑体"/>
        </w:rPr>
      </w:pPr>
      <w:bookmarkStart w:id="23" w:name="_bookmark5"/>
      <w:bookmarkEnd w:id="23"/>
      <w:bookmarkStart w:id="24" w:name="附录3__资格审查条件(业绩最低要求)"/>
      <w:bookmarkEnd w:id="24"/>
      <w:r>
        <w:rPr>
          <w:rFonts w:hint="eastAsia" w:ascii="黑体" w:hAnsi="黑体" w:eastAsia="黑体" w:cs="黑体"/>
        </w:rPr>
        <w:t xml:space="preserve">附录 3 资格审查条件（业绩最低要求） </w:t>
      </w:r>
    </w:p>
    <w:p w14:paraId="533BA92F">
      <w:pPr>
        <w:pStyle w:val="19"/>
        <w:rPr>
          <w:rFonts w:ascii="Times New Roman" w:hAnsi="Times New Roman"/>
          <w:sz w:val="20"/>
        </w:rPr>
      </w:pPr>
    </w:p>
    <w:p w14:paraId="32D63F33">
      <w:pPr>
        <w:pStyle w:val="19"/>
        <w:spacing w:before="12"/>
        <w:rPr>
          <w:rFonts w:ascii="Times New Roman" w:hAnsi="Times New Roman"/>
          <w:sz w:val="23"/>
        </w:rPr>
      </w:pP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89"/>
      </w:tblGrid>
      <w:tr w14:paraId="12E73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trPr>
        <w:tc>
          <w:tcPr>
            <w:tcW w:w="5000" w:type="pct"/>
          </w:tcPr>
          <w:p w14:paraId="60435A2C">
            <w:pPr>
              <w:pStyle w:val="94"/>
              <w:spacing w:before="73"/>
              <w:ind w:left="3250" w:right="3135"/>
              <w:jc w:val="center"/>
              <w:rPr>
                <w:rFonts w:ascii="Times New Roman" w:hAnsi="Times New Roman" w:cs="Times New Roman"/>
                <w:b/>
                <w:sz w:val="24"/>
                <w:szCs w:val="24"/>
              </w:rPr>
            </w:pPr>
            <w:r>
              <w:rPr>
                <w:rFonts w:ascii="Times New Roman" w:hAnsi="Times New Roman" w:cs="Times New Roman"/>
                <w:b/>
                <w:sz w:val="24"/>
                <w:szCs w:val="24"/>
              </w:rPr>
              <w:t>投标人业绩要求</w:t>
            </w:r>
            <w:r>
              <w:rPr>
                <w:rFonts w:ascii="Times New Roman" w:hAnsi="Times New Roman" w:cs="Times New Roman"/>
                <w:b/>
                <w:w w:val="168"/>
                <w:sz w:val="24"/>
                <w:szCs w:val="24"/>
              </w:rPr>
              <w:t xml:space="preserve"> </w:t>
            </w:r>
          </w:p>
        </w:tc>
      </w:tr>
      <w:tr w14:paraId="01F2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tcPr>
          <w:p w14:paraId="4A58B02D">
            <w:pPr>
              <w:pStyle w:val="94"/>
              <w:rPr>
                <w:rFonts w:ascii="Times New Roman" w:hAnsi="Times New Roman" w:cs="Times New Roman"/>
                <w:sz w:val="24"/>
                <w:szCs w:val="24"/>
              </w:rPr>
            </w:pPr>
          </w:p>
          <w:p w14:paraId="476B7EF8">
            <w:pPr>
              <w:pStyle w:val="96"/>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eastAsia="宋体"/>
                <w:bCs/>
                <w:snapToGrid w:val="0"/>
                <w:kern w:val="0"/>
                <w:sz w:val="24"/>
                <w:szCs w:val="24"/>
              </w:rPr>
              <w:t>见招标公告要求。</w:t>
            </w:r>
          </w:p>
        </w:tc>
      </w:tr>
    </w:tbl>
    <w:p w14:paraId="4723A859">
      <w:pPr>
        <w:pStyle w:val="19"/>
        <w:spacing w:line="360" w:lineRule="auto"/>
        <w:rPr>
          <w:rFonts w:hint="eastAsia" w:ascii="Times New Roman" w:hAnsi="Times New Roman" w:eastAsia="宋体" w:cs="Times New Roman"/>
          <w:bCs/>
          <w:snapToGrid w:val="0"/>
          <w:kern w:val="0"/>
          <w:sz w:val="24"/>
          <w:szCs w:val="24"/>
          <w:lang w:val="en-US" w:eastAsia="zh-CN" w:bidi="ar-SA"/>
        </w:rPr>
      </w:pPr>
    </w:p>
    <w:p w14:paraId="0A424BE4">
      <w:pPr>
        <w:rPr>
          <w:rFonts w:hint="eastAsia" w:ascii="Times New Roman" w:hAnsi="Times New Roman" w:eastAsia="宋体" w:cs="Times New Roman"/>
          <w:bCs/>
          <w:snapToGrid w:val="0"/>
          <w:kern w:val="0"/>
          <w:sz w:val="24"/>
          <w:szCs w:val="24"/>
          <w:lang w:val="en-US" w:eastAsia="zh-CN" w:bidi="ar-SA"/>
        </w:rPr>
      </w:pPr>
      <w:r>
        <w:rPr>
          <w:rFonts w:hint="eastAsia" w:ascii="Times New Roman" w:hAnsi="Times New Roman" w:eastAsia="宋体" w:cs="Times New Roman"/>
          <w:bCs/>
          <w:snapToGrid w:val="0"/>
          <w:kern w:val="0"/>
          <w:sz w:val="24"/>
          <w:szCs w:val="24"/>
          <w:lang w:val="en-US" w:eastAsia="zh-CN" w:bidi="ar-SA"/>
        </w:rPr>
        <w:t>注：</w:t>
      </w:r>
    </w:p>
    <w:p w14:paraId="57E78388">
      <w:pPr>
        <w:pStyle w:val="2"/>
        <w:rPr>
          <w:rFonts w:hint="default" w:ascii="Times New Roman" w:hAnsi="Times New Roman" w:eastAsia="宋体" w:cs="Times New Roman"/>
          <w:bCs/>
          <w:snapToGrid w:val="0"/>
          <w:kern w:val="0"/>
          <w:sz w:val="24"/>
          <w:szCs w:val="24"/>
          <w:lang w:val="en-US" w:eastAsia="zh-CN" w:bidi="ar-SA"/>
        </w:rPr>
      </w:pPr>
    </w:p>
    <w:p w14:paraId="68A0213B">
      <w:pPr>
        <w:pStyle w:val="19"/>
        <w:spacing w:line="360" w:lineRule="auto"/>
        <w:rPr>
          <w:rFonts w:hint="eastAsia" w:ascii="Times New Roman" w:hAnsi="Times New Roman" w:eastAsia="宋体" w:cs="Times New Roman"/>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1.</w:t>
      </w:r>
      <w:r>
        <w:rPr>
          <w:rFonts w:hint="eastAsia" w:ascii="Times New Roman" w:hAnsi="Times New Roman" w:eastAsia="宋体" w:cs="Times New Roman"/>
          <w:bCs/>
          <w:snapToGrid w:val="0"/>
          <w:kern w:val="0"/>
          <w:sz w:val="24"/>
          <w:szCs w:val="24"/>
          <w:lang w:val="en-US" w:eastAsia="zh-CN" w:bidi="ar-SA"/>
        </w:rPr>
        <w:t>投标人应按下列规定提供业绩证明资料：合同扫描件；</w:t>
      </w:r>
    </w:p>
    <w:p w14:paraId="6060214A">
      <w:pPr>
        <w:pStyle w:val="19"/>
        <w:spacing w:line="360" w:lineRule="auto"/>
        <w:rPr>
          <w:rFonts w:hint="eastAsia" w:ascii="宋体" w:hAnsi="宋体" w:eastAsia="宋体" w:cs="宋体"/>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2.业绩合同可提供包含甲乙方、项目名称、合同总金额、合同签订时间、合同供货范围、合同签字盖章页等关键内容的关键页的扫描件；</w:t>
      </w:r>
    </w:p>
    <w:p w14:paraId="5CC90A02">
      <w:pPr>
        <w:pStyle w:val="19"/>
        <w:spacing w:line="360" w:lineRule="auto"/>
        <w:rPr>
          <w:rFonts w:ascii="Times New Roman" w:hAnsi="Times New Roman" w:eastAsia="宋体" w:cs="Times New Roman"/>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3.</w:t>
      </w:r>
      <w:r>
        <w:rPr>
          <w:rFonts w:hint="eastAsia" w:ascii="Times New Roman" w:hAnsi="Times New Roman" w:eastAsia="宋体" w:cs="Times New Roman"/>
          <w:bCs/>
          <w:snapToGrid w:val="0"/>
          <w:kern w:val="0"/>
          <w:sz w:val="24"/>
          <w:szCs w:val="24"/>
          <w:lang w:val="en-US" w:eastAsia="zh-CN" w:bidi="ar-SA"/>
        </w:rPr>
        <w:t>以上涉及到的材料扫描件信息应完整或能充分反映评审因素。如均未能明确反映出招标文件所要求的内容的（如合同总金额等），应另附买方（或合同甲方）出具的证明资料予以明确说明。</w:t>
      </w:r>
    </w:p>
    <w:p w14:paraId="2791DB9A">
      <w:pPr>
        <w:pStyle w:val="62"/>
        <w:tabs>
          <w:tab w:val="left" w:pos="1287"/>
        </w:tabs>
        <w:spacing w:before="1" w:line="393" w:lineRule="auto"/>
        <w:ind w:right="1133" w:firstLine="0" w:firstLineChars="0"/>
        <w:rPr>
          <w:rFonts w:ascii="Times New Roman" w:hAnsi="Times New Roman" w:eastAsia="宋体" w:cs="Times New Roman"/>
          <w:kern w:val="2"/>
          <w:sz w:val="28"/>
        </w:rPr>
      </w:pPr>
    </w:p>
    <w:p w14:paraId="21A26A81">
      <w:pPr>
        <w:pStyle w:val="62"/>
        <w:tabs>
          <w:tab w:val="left" w:pos="1287"/>
        </w:tabs>
        <w:spacing w:before="1" w:line="393" w:lineRule="auto"/>
        <w:ind w:right="1133" w:firstLine="0" w:firstLineChars="0"/>
        <w:rPr>
          <w:rFonts w:ascii="Times New Roman" w:hAnsi="Times New Roman" w:eastAsia="宋体" w:cs="Times New Roman"/>
          <w:kern w:val="2"/>
          <w:sz w:val="28"/>
        </w:rPr>
      </w:pPr>
    </w:p>
    <w:p w14:paraId="6EDC9C3F">
      <w:pPr>
        <w:pStyle w:val="62"/>
        <w:tabs>
          <w:tab w:val="left" w:pos="1287"/>
        </w:tabs>
        <w:spacing w:before="1" w:line="393" w:lineRule="auto"/>
        <w:ind w:right="1133" w:firstLine="0" w:firstLineChars="0"/>
        <w:rPr>
          <w:rFonts w:ascii="Times New Roman" w:hAnsi="Times New Roman" w:eastAsia="宋体" w:cs="Times New Roman"/>
          <w:kern w:val="2"/>
          <w:sz w:val="28"/>
        </w:rPr>
      </w:pPr>
    </w:p>
    <w:p w14:paraId="2062FE5F">
      <w:pPr>
        <w:pStyle w:val="62"/>
        <w:tabs>
          <w:tab w:val="left" w:pos="1287"/>
        </w:tabs>
        <w:spacing w:before="1" w:line="393" w:lineRule="auto"/>
        <w:ind w:right="1133" w:firstLine="0" w:firstLineChars="0"/>
        <w:rPr>
          <w:rFonts w:ascii="Times New Roman" w:hAnsi="Times New Roman" w:eastAsia="宋体" w:cs="Times New Roman"/>
          <w:kern w:val="2"/>
          <w:sz w:val="28"/>
        </w:rPr>
      </w:pPr>
    </w:p>
    <w:p w14:paraId="10C54221">
      <w:pPr>
        <w:pStyle w:val="62"/>
        <w:tabs>
          <w:tab w:val="left" w:pos="1287"/>
        </w:tabs>
        <w:spacing w:before="1" w:line="393" w:lineRule="auto"/>
        <w:ind w:right="1133" w:firstLine="0" w:firstLineChars="0"/>
        <w:rPr>
          <w:rFonts w:ascii="Times New Roman" w:hAnsi="Times New Roman" w:eastAsia="宋体" w:cs="Times New Roman"/>
          <w:kern w:val="2"/>
          <w:sz w:val="28"/>
        </w:rPr>
      </w:pPr>
    </w:p>
    <w:p w14:paraId="7A86A7A1">
      <w:pPr>
        <w:rPr>
          <w:rFonts w:ascii="Times New Roman" w:hAnsi="Times New Roman" w:cs="Times New Roman"/>
        </w:rPr>
      </w:pPr>
      <w:bookmarkStart w:id="25" w:name="附录4__资格审查条件(信誉最低要求)"/>
      <w:bookmarkEnd w:id="25"/>
      <w:bookmarkStart w:id="26" w:name="_bookmark6"/>
      <w:bookmarkEnd w:id="26"/>
      <w:r>
        <w:rPr>
          <w:rFonts w:ascii="Times New Roman" w:hAnsi="Times New Roman" w:cs="Times New Roman"/>
        </w:rPr>
        <w:br w:type="page"/>
      </w:r>
    </w:p>
    <w:p w14:paraId="1AD9BBCF">
      <w:pPr>
        <w:pStyle w:val="8"/>
        <w:spacing w:line="416" w:lineRule="auto"/>
        <w:jc w:val="center"/>
        <w:rPr>
          <w:rFonts w:hint="eastAsia" w:ascii="黑体" w:hAnsi="黑体" w:eastAsia="黑体" w:cs="黑体"/>
          <w:sz w:val="20"/>
        </w:rPr>
      </w:pPr>
      <w:r>
        <w:rPr>
          <w:rFonts w:hint="eastAsia" w:ascii="黑体" w:hAnsi="黑体" w:eastAsia="黑体" w:cs="黑体"/>
        </w:rPr>
        <w:t>附录 4 资格审查条件（信誉最低要求）</w:t>
      </w:r>
    </w:p>
    <w:p w14:paraId="2E06B277">
      <w:pPr>
        <w:pStyle w:val="19"/>
        <w:spacing w:before="11"/>
        <w:rPr>
          <w:rFonts w:ascii="Times New Roman" w:hAnsi="Times New Roman"/>
          <w:sz w:val="23"/>
        </w:rPr>
      </w:pP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89"/>
      </w:tblGrid>
      <w:tr w14:paraId="6587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000" w:type="pct"/>
          </w:tcPr>
          <w:p w14:paraId="51F956E5">
            <w:pPr>
              <w:pStyle w:val="94"/>
              <w:spacing w:before="46"/>
              <w:ind w:left="3250" w:right="3135"/>
              <w:jc w:val="center"/>
              <w:rPr>
                <w:rFonts w:ascii="Times New Roman" w:hAnsi="Times New Roman" w:cs="Times New Roman"/>
                <w:b/>
                <w:sz w:val="24"/>
                <w:szCs w:val="24"/>
              </w:rPr>
            </w:pPr>
            <w:r>
              <w:rPr>
                <w:rFonts w:ascii="Times New Roman" w:hAnsi="Times New Roman" w:cs="Times New Roman"/>
                <w:b/>
                <w:sz w:val="24"/>
                <w:szCs w:val="24"/>
              </w:rPr>
              <w:t>信誉要求</w:t>
            </w:r>
            <w:r>
              <w:rPr>
                <w:rFonts w:ascii="Times New Roman" w:hAnsi="Times New Roman" w:cs="Times New Roman"/>
                <w:b/>
                <w:w w:val="168"/>
                <w:sz w:val="24"/>
                <w:szCs w:val="24"/>
              </w:rPr>
              <w:t xml:space="preserve"> </w:t>
            </w:r>
          </w:p>
        </w:tc>
      </w:tr>
      <w:tr w14:paraId="7AC3D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5000" w:type="pct"/>
          </w:tcPr>
          <w:p w14:paraId="19D1C72E">
            <w:pPr>
              <w:pStyle w:val="94"/>
              <w:spacing w:before="11"/>
              <w:rPr>
                <w:rFonts w:ascii="Times New Roman" w:hAnsi="Times New Roman" w:cs="Times New Roman"/>
                <w:sz w:val="24"/>
                <w:szCs w:val="24"/>
              </w:rPr>
            </w:pPr>
          </w:p>
          <w:p w14:paraId="1FD2F313">
            <w:pPr>
              <w:pStyle w:val="94"/>
              <w:tabs>
                <w:tab w:val="left" w:pos="1074"/>
              </w:tabs>
              <w:spacing w:before="190"/>
              <w:ind w:left="1073" w:hanging="530"/>
              <w:rPr>
                <w:rFonts w:ascii="Times New Roman" w:hAnsi="Times New Roman" w:cs="Times New Roman"/>
                <w:sz w:val="24"/>
                <w:szCs w:val="24"/>
              </w:rPr>
            </w:pPr>
            <w:r>
              <w:rPr>
                <w:rFonts w:hint="eastAsia" w:ascii="Times New Roman" w:hAnsi="Times New Roman" w:eastAsia="宋体" w:cs="Times New Roman"/>
                <w:kern w:val="2"/>
                <w:sz w:val="24"/>
                <w:szCs w:val="24"/>
                <w:lang w:val="en-US" w:eastAsia="zh-CN" w:bidi="ar-SA"/>
              </w:rPr>
              <w:t>见招标公告。</w:t>
            </w:r>
          </w:p>
        </w:tc>
      </w:tr>
    </w:tbl>
    <w:p w14:paraId="47430E62">
      <w:pPr>
        <w:snapToGrid w:val="0"/>
        <w:spacing w:line="360" w:lineRule="auto"/>
        <w:ind w:firstLine="480" w:firstLineChars="200"/>
        <w:rPr>
          <w:rFonts w:ascii="Times New Roman" w:hAnsi="Times New Roman" w:eastAsia="宋体" w:cs="Times New Roman"/>
          <w:sz w:val="24"/>
          <w:szCs w:val="24"/>
        </w:rPr>
      </w:pPr>
    </w:p>
    <w:p w14:paraId="728B9699">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注：投标人在投标函中承诺，不需要提供相关证明材料。如投标人承诺与实际不符，将视为投标人弄虚作假。</w:t>
      </w:r>
    </w:p>
    <w:p w14:paraId="701D52FB">
      <w:pPr>
        <w:rPr>
          <w:rFonts w:ascii="Times New Roman" w:hAnsi="Times New Roman" w:cs="Times New Roman"/>
        </w:rPr>
      </w:pPr>
      <w:bookmarkStart w:id="27" w:name="附录5__资格审查条件（项目负责人最低要求）"/>
      <w:bookmarkEnd w:id="27"/>
      <w:bookmarkStart w:id="28" w:name="_bookmark7"/>
      <w:bookmarkEnd w:id="28"/>
      <w:r>
        <w:rPr>
          <w:rFonts w:ascii="Times New Roman" w:hAnsi="Times New Roman" w:cs="Times New Roman"/>
        </w:rPr>
        <w:br w:type="page"/>
      </w:r>
    </w:p>
    <w:p w14:paraId="30055A80">
      <w:pPr>
        <w:pStyle w:val="8"/>
        <w:spacing w:line="416" w:lineRule="auto"/>
        <w:ind w:firstLine="1687" w:firstLineChars="600"/>
        <w:rPr>
          <w:rFonts w:hint="eastAsia" w:ascii="黑体" w:hAnsi="黑体" w:eastAsia="黑体" w:cs="黑体"/>
        </w:rPr>
      </w:pPr>
      <w:bookmarkStart w:id="29" w:name="_bookmark9"/>
      <w:bookmarkEnd w:id="29"/>
      <w:bookmarkStart w:id="30" w:name="附录7__资格审查条件（其他要求）"/>
      <w:bookmarkEnd w:id="30"/>
      <w:r>
        <w:rPr>
          <w:rFonts w:hint="eastAsia" w:ascii="黑体" w:hAnsi="黑体" w:eastAsia="黑体" w:cs="黑体"/>
        </w:rPr>
        <w:t>附录 5 资格审查条件（其他要求）</w:t>
      </w:r>
    </w:p>
    <w:p w14:paraId="586DA8F4">
      <w:pPr>
        <w:pStyle w:val="19"/>
        <w:spacing w:before="2"/>
        <w:rPr>
          <w:rFonts w:ascii="Times New Roman" w:hAnsi="Times New Roman"/>
          <w:b/>
        </w:rPr>
      </w:pPr>
      <w:r>
        <w:rPr>
          <w:rFonts w:ascii="Times New Roman" w:hAnsi="Times New Roman"/>
        </w:rPr>
        <mc:AlternateContent>
          <mc:Choice Requires="wpg">
            <w:drawing>
              <wp:anchor distT="0" distB="0" distL="114300" distR="114300" simplePos="0" relativeHeight="251659264" behindDoc="1" locked="0" layoutInCell="1" allowOverlap="1">
                <wp:simplePos x="0" y="0"/>
                <wp:positionH relativeFrom="page">
                  <wp:posOffset>1071245</wp:posOffset>
                </wp:positionH>
                <wp:positionV relativeFrom="paragraph">
                  <wp:posOffset>356870</wp:posOffset>
                </wp:positionV>
                <wp:extent cx="5631180" cy="1117600"/>
                <wp:effectExtent l="1905" t="1905" r="5715" b="444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wps:wsp>
                      <wps:wsp>
                        <wps:cNvPr id="204" name="文本框 12"/>
                        <wps:cNvSpPr txBox="1"/>
                        <wps:spPr>
                          <a:xfrm>
                            <a:off x="5698" y="805"/>
                            <a:ext cx="969" cy="212"/>
                          </a:xfrm>
                          <a:prstGeom prst="rect">
                            <a:avLst/>
                          </a:prstGeom>
                          <a:noFill/>
                          <a:ln>
                            <a:noFill/>
                          </a:ln>
                          <a:effectLst/>
                        </wps:spPr>
                        <wps:txbx>
                          <w:txbxContent>
                            <w:p w14:paraId="74CBD86E">
                              <w:pPr>
                                <w:spacing w:line="211" w:lineRule="exact"/>
                                <w:jc w:val="left"/>
                                <w:rPr>
                                  <w:rFonts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7216;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AysLHp2gAAAAsBAAAPAAAAAAAAAAEAIAAAACIAAABkcnMvZG93&#10;bnJldi54bWxQSwECFAAUAAAACACHTuJA7j5kJ1QDAADXDgAADgAAAAAAAAABACAAAAApAQAAZHJz&#10;L2Uyb0RvYy54bWxQSwUGAAAAAAYABgBZAQAA7w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4CBD86E">
                        <w:pPr>
                          <w:spacing w:line="211" w:lineRule="exact"/>
                          <w:jc w:val="left"/>
                          <w:rPr>
                            <w:rFonts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31" w:name="_bookmark8"/>
      <w:bookmarkEnd w:id="31"/>
      <w:bookmarkStart w:id="32" w:name="附录6__资格审查条件（其他主要人员最低要求）"/>
      <w:bookmarkEnd w:id="32"/>
    </w:p>
    <w:p w14:paraId="2FB0CDC5">
      <w:pPr>
        <w:rPr>
          <w:rFonts w:hint="eastAsia" w:asciiTheme="minorEastAsia" w:hAnsiTheme="minorEastAsia" w:eastAsiaTheme="minorEastAsia" w:cstheme="minorEastAsia"/>
          <w:b/>
          <w:color w:val="auto"/>
          <w:highlight w:val="none"/>
        </w:rPr>
      </w:pPr>
    </w:p>
    <w:bookmarkEnd w:id="13"/>
    <w:bookmarkEnd w:id="14"/>
    <w:bookmarkEnd w:id="15"/>
    <w:bookmarkEnd w:id="16"/>
    <w:bookmarkEnd w:id="17"/>
    <w:bookmarkEnd w:id="18"/>
    <w:bookmarkEnd w:id="19"/>
    <w:p w14:paraId="4E88A126">
      <w:pPr>
        <w:spacing w:line="360" w:lineRule="auto"/>
        <w:jc w:val="center"/>
        <w:outlineLvl w:val="2"/>
        <w:rPr>
          <w:rFonts w:hint="eastAsia" w:asciiTheme="minorEastAsia" w:hAnsiTheme="minorEastAsia" w:eastAsiaTheme="minorEastAsia" w:cstheme="minorEastAsia"/>
          <w:b/>
          <w:color w:val="auto"/>
          <w:sz w:val="24"/>
          <w:highlight w:val="none"/>
        </w:rPr>
        <w:sectPr>
          <w:footerReference r:id="rId5" w:type="default"/>
          <w:pgSz w:w="11907" w:h="16840"/>
          <w:pgMar w:top="1474" w:right="1814" w:bottom="1474" w:left="1814" w:header="851" w:footer="992" w:gutter="0"/>
          <w:pgNumType w:start="46"/>
          <w:cols w:space="720" w:num="1"/>
          <w:docGrid w:linePitch="462" w:charSpace="0"/>
        </w:sectPr>
      </w:pPr>
    </w:p>
    <w:p w14:paraId="211EF456">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二、投标人须知正文</w:t>
      </w:r>
    </w:p>
    <w:p w14:paraId="77929CB8">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1.适用范围</w:t>
      </w:r>
    </w:p>
    <w:p w14:paraId="2BAE2E9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1.1本招标文件仅适用于本次招标所述的货物项目招标。</w:t>
      </w:r>
    </w:p>
    <w:p w14:paraId="36A5499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58EE23D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2.1货物：是指各种形态和种类的物品，包括原材料、燃料、设备、产品等。</w:t>
      </w:r>
    </w:p>
    <w:p w14:paraId="4EF48A28">
      <w:pPr>
        <w:spacing w:line="360" w:lineRule="auto"/>
        <w:ind w:firstLine="470"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 w:val="24"/>
          <w:highlight w:val="none"/>
        </w:rPr>
        <w:t>2.2时限（年份、月份等）计算：系指从投标文件提交截止之日向前追溯X年/月（“X”为“一”及以后整数）起算。</w:t>
      </w:r>
    </w:p>
    <w:p w14:paraId="6D33A8F0">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3.招标人及投标人</w:t>
      </w:r>
    </w:p>
    <w:p w14:paraId="46D339A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3.1招标人：是指开展招标活动的各类主体。本项目的招标人见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7A0CE69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3.2采购监督管理部门：</w:t>
      </w:r>
      <w:r>
        <w:rPr>
          <w:rFonts w:hint="eastAsia" w:asciiTheme="minorEastAsia" w:hAnsiTheme="minorEastAsia" w:eastAsiaTheme="minorEastAsia" w:cstheme="minorEastAsia"/>
          <w:color w:val="auto"/>
          <w:sz w:val="24"/>
          <w:szCs w:val="22"/>
          <w:highlight w:val="none"/>
        </w:rPr>
        <w:t>与</w:t>
      </w:r>
      <w:r>
        <w:rPr>
          <w:rFonts w:hint="eastAsia" w:asciiTheme="minorEastAsia" w:hAnsiTheme="minorEastAsia" w:eastAsiaTheme="minorEastAsia" w:cstheme="minorEastAsia"/>
          <w:color w:val="auto"/>
          <w:sz w:val="24"/>
          <w:highlight w:val="none"/>
        </w:rPr>
        <w:t>招标</w:t>
      </w:r>
      <w:r>
        <w:rPr>
          <w:rFonts w:hint="eastAsia" w:asciiTheme="minorEastAsia" w:hAnsiTheme="minorEastAsia" w:eastAsiaTheme="minorEastAsia" w:cstheme="minorEastAsia"/>
          <w:color w:val="auto"/>
          <w:sz w:val="24"/>
          <w:szCs w:val="22"/>
          <w:highlight w:val="none"/>
        </w:rPr>
        <w:t>活动有关的具有监督管理权利的相关部门。</w:t>
      </w:r>
      <w:r>
        <w:rPr>
          <w:rFonts w:hint="eastAsia" w:asciiTheme="minorEastAsia" w:hAnsiTheme="minorEastAsia" w:eastAsiaTheme="minorEastAsia" w:cstheme="minorEastAsia"/>
          <w:color w:val="auto"/>
          <w:sz w:val="24"/>
          <w:highlight w:val="none"/>
        </w:rPr>
        <w:t>本项目的采购监督管理部门见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0242332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3.4在中华人民共和国境内注册，能够独立承担民事责任，有生产或供应能力的本国投标人。</w:t>
      </w:r>
    </w:p>
    <w:p w14:paraId="2570A00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3.5若</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中允许联合体投标，对联合体规定如下：</w:t>
      </w:r>
    </w:p>
    <w:p w14:paraId="54D6244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3.5.1两个以上投标人可以组成一个投标联合体，以一个投标人的身份投标。</w:t>
      </w:r>
    </w:p>
    <w:p w14:paraId="28F9A2B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3.5.2联合体各方均应为在中华人民共和国境内注册，能够独立承担民事责任，有生产或供应能力的本国投标人。</w:t>
      </w:r>
    </w:p>
    <w:p w14:paraId="226ACF2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3.5.3招标人根据采购项目对投标人的特殊要求，联合体中至少应当有一方符合相关规定。</w:t>
      </w:r>
    </w:p>
    <w:p w14:paraId="1E06CD8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3.5.6以联合体形式参加采购活动的，联合体各方不得再单独参加或者与其他投标人另外组成联合体参加本项目投标，否则相关投标将被认定为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34A40FD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3.5.7对联合体投标的其他资格要求见</w:t>
      </w:r>
      <w:r>
        <w:rPr>
          <w:rFonts w:hint="eastAsia" w:asciiTheme="minorEastAsia" w:hAnsiTheme="minorEastAsia" w:eastAsiaTheme="minorEastAsia" w:cstheme="minorEastAsia"/>
          <w:color w:val="auto"/>
          <w:sz w:val="24"/>
          <w:highlight w:val="none"/>
          <w:u w:val="single"/>
        </w:rPr>
        <w:t>投标人资格</w:t>
      </w:r>
      <w:r>
        <w:rPr>
          <w:rFonts w:hint="eastAsia" w:asciiTheme="minorEastAsia" w:hAnsiTheme="minorEastAsia" w:eastAsiaTheme="minorEastAsia" w:cstheme="minorEastAsia"/>
          <w:color w:val="auto"/>
          <w:sz w:val="24"/>
          <w:highlight w:val="none"/>
        </w:rPr>
        <w:t>。</w:t>
      </w:r>
    </w:p>
    <w:p w14:paraId="0C51126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3.6单位负责人为同一人或者存在直接控股、管理关系的不同投标人，不得参加同一合同项下的采购活动。否则其投标将被认定为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14:paraId="0C5BF86B">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4.资金来源</w:t>
      </w:r>
    </w:p>
    <w:p w14:paraId="7B0F4E0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4.1本项目的招标人已获得足以支付本次招标后所签订的合同项下的资金。</w:t>
      </w:r>
    </w:p>
    <w:p w14:paraId="6721EB2B">
      <w:pPr>
        <w:spacing w:line="360" w:lineRule="auto"/>
        <w:ind w:firstLine="435"/>
        <w:rPr>
          <w:rFonts w:hint="eastAsia" w:asciiTheme="minorEastAsia" w:hAnsiTheme="minorEastAsia" w:eastAsiaTheme="minorEastAsia" w:cstheme="minorEastAsia"/>
          <w:color w:val="auto"/>
          <w:sz w:val="24"/>
          <w:highlight w:val="none"/>
        </w:rPr>
      </w:pPr>
      <w:bookmarkStart w:id="33" w:name="_Hlk11702998"/>
      <w:r>
        <w:rPr>
          <w:rFonts w:hint="eastAsia" w:asciiTheme="minorEastAsia" w:hAnsiTheme="minorEastAsia" w:eastAsiaTheme="minorEastAsia" w:cstheme="minorEastAsia"/>
          <w:color w:val="auto"/>
          <w:sz w:val="24"/>
          <w:highlight w:val="none"/>
        </w:rPr>
        <w:t>4.2项目预算金额或分项（或分标段）预算金额见</w:t>
      </w:r>
      <w:r>
        <w:rPr>
          <w:rFonts w:hint="eastAsia" w:asciiTheme="minorEastAsia" w:hAnsiTheme="minorEastAsia" w:eastAsiaTheme="minorEastAsia" w:cstheme="minorEastAsia"/>
          <w:color w:val="auto"/>
          <w:sz w:val="24"/>
          <w:highlight w:val="none"/>
          <w:u w:val="single"/>
        </w:rPr>
        <w:t>投标邀请（招标公告）</w:t>
      </w:r>
      <w:r>
        <w:rPr>
          <w:rFonts w:hint="eastAsia" w:asciiTheme="minorEastAsia" w:hAnsiTheme="minorEastAsia" w:eastAsiaTheme="minorEastAsia" w:cstheme="minorEastAsia"/>
          <w:color w:val="auto"/>
          <w:sz w:val="24"/>
          <w:highlight w:val="none"/>
        </w:rPr>
        <w:t>。</w:t>
      </w:r>
    </w:p>
    <w:bookmarkEnd w:id="33"/>
    <w:p w14:paraId="4784EAD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5.投标费用</w:t>
      </w:r>
    </w:p>
    <w:p w14:paraId="2F68E3F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不论投标的结果如何，投标人应承担所有与准备和参加投标有关的费用。</w:t>
      </w:r>
    </w:p>
    <w:p w14:paraId="5E0906C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6.适用法律</w:t>
      </w:r>
    </w:p>
    <w:p w14:paraId="22F3FFA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本项目招标人、投标人的相关行为和权利受招标人有关规定及本项目招标文件的约束和保护。</w:t>
      </w:r>
    </w:p>
    <w:p w14:paraId="7EA0D1F6">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7.招标文件构成</w:t>
      </w:r>
    </w:p>
    <w:p w14:paraId="04930EE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7.1招标文件包括下列内容：</w:t>
      </w:r>
    </w:p>
    <w:p w14:paraId="066F3482">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招标公告</w:t>
      </w:r>
    </w:p>
    <w:p w14:paraId="13087B8B">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投标人须知</w:t>
      </w:r>
    </w:p>
    <w:p w14:paraId="4D338D4C">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招标需求</w:t>
      </w:r>
    </w:p>
    <w:p w14:paraId="536B196B">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评标方法</w:t>
      </w:r>
    </w:p>
    <w:p w14:paraId="0310FD16">
      <w:pPr>
        <w:spacing w:line="360" w:lineRule="auto"/>
        <w:ind w:firstLine="840" w:firstLineChars="35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第五章  合同</w:t>
      </w:r>
      <w:r>
        <w:rPr>
          <w:rFonts w:hint="eastAsia" w:asciiTheme="minorEastAsia" w:hAnsiTheme="minorEastAsia" w:eastAsiaTheme="minorEastAsia" w:cstheme="minorEastAsia"/>
          <w:color w:val="auto"/>
          <w:sz w:val="24"/>
          <w:highlight w:val="none"/>
          <w:lang w:val="en-US" w:eastAsia="zh-CN"/>
        </w:rPr>
        <w:t>条款及格式</w:t>
      </w:r>
    </w:p>
    <w:p w14:paraId="56663621">
      <w:pPr>
        <w:spacing w:line="360" w:lineRule="auto"/>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  投标文件格式</w:t>
      </w:r>
    </w:p>
    <w:p w14:paraId="7E2F002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7.2招标文件中有不一致的，有澄清的部分以最终的澄清更正内容为准。</w:t>
      </w:r>
    </w:p>
    <w:p w14:paraId="2E27184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7.3现场考察及相关事项见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08171DD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7.4本次招标需要提供部分样品，对样品相关要求见采购需求，对样品的评审方法及评审标准见招标文件第四章。</w:t>
      </w:r>
    </w:p>
    <w:p w14:paraId="5425CF7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7.5投标人应认真阅读招标文件所有的事项、格式、条款和技术规范等。</w:t>
      </w:r>
    </w:p>
    <w:p w14:paraId="0723498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8.招标文件的澄清与修改</w:t>
      </w:r>
    </w:p>
    <w:p w14:paraId="6F3EFF8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8.2招标人可主动或在解答投标人提出的问题时对招标文件进行澄清或者修改。</w:t>
      </w:r>
    </w:p>
    <w:p w14:paraId="3364A08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hint="eastAsia" w:asciiTheme="minorEastAsia" w:hAnsiTheme="minorEastAsia" w:eastAsiaTheme="minorEastAsia" w:cstheme="minorEastAsia"/>
          <w:i/>
          <w:iCs/>
          <w:color w:val="auto"/>
          <w:sz w:val="24"/>
          <w:highlight w:val="none"/>
        </w:rPr>
      </w:pPr>
      <w:r>
        <w:rPr>
          <w:rFonts w:hint="eastAsia" w:asciiTheme="minorEastAsia" w:hAnsiTheme="minorEastAsia" w:eastAsiaTheme="minorEastAsia" w:cstheme="minorEastAsia"/>
          <w:color w:val="auto"/>
          <w:sz w:val="24"/>
          <w:highlight w:val="none"/>
        </w:rPr>
        <w:t>8.4对于没有提出疑问又参与了本项目投标的投标人将被视为完全认同本招标文件（含更正公告的内容）</w:t>
      </w:r>
      <w:r>
        <w:rPr>
          <w:rFonts w:hint="eastAsia" w:asciiTheme="minorEastAsia" w:hAnsiTheme="minorEastAsia" w:eastAsiaTheme="minorEastAsia" w:cstheme="minorEastAsia"/>
          <w:i/>
          <w:color w:val="auto"/>
          <w:sz w:val="24"/>
          <w:highlight w:val="none"/>
        </w:rPr>
        <w:t>。</w:t>
      </w:r>
    </w:p>
    <w:p w14:paraId="5EC7BC8F">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9.投标范围及投标文件中标准和计量单位的使用</w:t>
      </w:r>
    </w:p>
    <w:p w14:paraId="43F64B2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9.1项目有划分标段的，投标人可参与其中某一个或多个标段的投标，中标标段数详见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w:t>
      </w:r>
    </w:p>
    <w:p w14:paraId="4D899208">
      <w:pPr>
        <w:spacing w:line="360" w:lineRule="auto"/>
        <w:ind w:firstLine="435"/>
        <w:rPr>
          <w:rFonts w:hint="eastAsia" w:asciiTheme="minorEastAsia" w:hAnsiTheme="minorEastAsia" w:eastAsiaTheme="minorEastAsia" w:cstheme="minorEastAsia"/>
          <w:color w:val="auto"/>
          <w:sz w:val="24"/>
          <w:highlight w:val="none"/>
        </w:rPr>
      </w:pPr>
      <w:bookmarkStart w:id="34" w:name="_Hlk16458980"/>
      <w:r>
        <w:rPr>
          <w:rFonts w:hint="eastAsia" w:asciiTheme="minorEastAsia" w:hAnsiTheme="minorEastAsia" w:eastAsiaTheme="minorEastAsia" w:cstheme="minorEastAsia"/>
          <w:color w:val="auto"/>
          <w:sz w:val="24"/>
          <w:highlight w:val="none"/>
        </w:rPr>
        <w:t>9.2无论招标文件中是否要求，投标人所投货物及伴随的服务和工程均应符合国家强制性标准。</w:t>
      </w:r>
    </w:p>
    <w:bookmarkEnd w:id="34"/>
    <w:p w14:paraId="3CA6984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10.投标文件构成</w:t>
      </w:r>
    </w:p>
    <w:p w14:paraId="5C0C4D5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10.2上述文件应按照招标文件规定的格式填写、签署和盖章。</w:t>
      </w:r>
    </w:p>
    <w:p w14:paraId="50C1825A">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11.证明投标标的的合格性和符合招标文件规定的技术文件</w:t>
      </w:r>
    </w:p>
    <w:p w14:paraId="4EDFF40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11.1投标人应提交证明文件，证明其投标内容符合招标文件规定。该证明文件是投标文件的一部分。</w:t>
      </w:r>
    </w:p>
    <w:p w14:paraId="305D4E9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11.2上款所述的证明文件，可以是文字资料、图纸和数据</w:t>
      </w:r>
      <w:bookmarkStart w:id="35" w:name="_Hlk11703583"/>
      <w:r>
        <w:rPr>
          <w:rFonts w:hint="eastAsia" w:asciiTheme="minorEastAsia" w:hAnsiTheme="minorEastAsia" w:eastAsiaTheme="minorEastAsia" w:cstheme="minorEastAsia"/>
          <w:color w:val="auto"/>
          <w:sz w:val="24"/>
          <w:highlight w:val="none"/>
        </w:rPr>
        <w:t>。</w:t>
      </w:r>
    </w:p>
    <w:bookmarkEnd w:id="35"/>
    <w:p w14:paraId="60B070C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11.3本条所指证明文件不包括对招标文件相关部分的文字、图标的复制。</w:t>
      </w:r>
    </w:p>
    <w:p w14:paraId="777FD06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11.4为保证公平公正，除非另有规定或说明，投标人对同一项目投标时，不得同时提供备选投标方案。</w:t>
      </w:r>
    </w:p>
    <w:p w14:paraId="2F712FB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12.投标报价</w:t>
      </w:r>
    </w:p>
    <w:p w14:paraId="2299E58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12.2除非招标文件另有规定或经招标人同意支付的，最后报价均不得高于招标文件（公告）列明的项目预算，否则其投标文件将被认定为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0647795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12.3投标报价在合同履行过程中是固定不变的，不得以任何理由予以变更。任何包含价格调整要求的投标，其投标将被认定为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2B8F6E1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12.4招标人不接受具有附加条件的报价。</w:t>
      </w:r>
    </w:p>
    <w:p w14:paraId="1C1E4280">
      <w:pPr>
        <w:numPr>
          <w:ilvl w:val="0"/>
          <w:numId w:val="2"/>
        </w:num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投标保证金</w:t>
      </w:r>
    </w:p>
    <w:p w14:paraId="2D094F21">
      <w:pPr>
        <w:spacing w:line="360" w:lineRule="auto"/>
        <w:ind w:firstLine="437"/>
        <w:outlineLvl w:val="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中标人应按照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规定缴纳投标保证金。</w:t>
      </w:r>
    </w:p>
    <w:p w14:paraId="7DA25968">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14:paraId="786365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14.1投标有效期为从投标截止之日算起的日历天数，投标有效期详见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2FD1B75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63AB43A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15.投标文件的制作</w:t>
      </w:r>
    </w:p>
    <w:p w14:paraId="2FC9AE0D">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15.1投标文件份数</w:t>
      </w:r>
    </w:p>
    <w:p w14:paraId="0AAA34A5">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15.1.1投标人应按照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15.1.2投标文件应按招标文件要求加盖投标人公章，热敏纸无效。</w:t>
      </w:r>
    </w:p>
    <w:p w14:paraId="24F03A51">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15.1.3招标人保留要求中标人提供其投标文件电子版的权利。</w:t>
      </w:r>
    </w:p>
    <w:p w14:paraId="7BF59AF8">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15.2投标文件的封装和标记</w:t>
      </w:r>
    </w:p>
    <w:p w14:paraId="28DEE571">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15.2.1投标文件应装订成册并封装，建议在密封袋上标注项目名称、项目编号、投标人名称及包别。</w:t>
      </w:r>
    </w:p>
    <w:p w14:paraId="5CDA1D2D">
      <w:pPr>
        <w:spacing w:line="360" w:lineRule="auto"/>
        <w:ind w:firstLine="43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15.2.2建议投标人将正本单独封装，全部副本一起封装。</w:t>
      </w:r>
    </w:p>
    <w:p w14:paraId="6CA2674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15.2.3如果未按规定封装或加写标记，招标人将不承担投标文件错放或提前开封的责任，并可能导致投标无效。</w:t>
      </w:r>
    </w:p>
    <w:p w14:paraId="0FF5579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15.3开标现场提交的其他材料要求详见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071BA01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16.投标截止及投标文件的递交</w:t>
      </w:r>
    </w:p>
    <w:p w14:paraId="3E3EA57C">
      <w:pPr>
        <w:spacing w:line="360" w:lineRule="auto"/>
        <w:ind w:firstLine="437"/>
        <w:outlineLvl w:val="3"/>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16.1投标人应当在</w:t>
      </w:r>
      <w:r>
        <w:rPr>
          <w:rFonts w:hint="eastAsia" w:asciiTheme="minorEastAsia" w:hAnsiTheme="minorEastAsia" w:eastAsiaTheme="minorEastAsia" w:cstheme="minorEastAsia"/>
          <w:color w:val="auto"/>
          <w:sz w:val="24"/>
          <w:highlight w:val="none"/>
        </w:rPr>
        <w:t>“投标邀请”</w:t>
      </w:r>
      <w:r>
        <w:rPr>
          <w:rFonts w:hint="eastAsia" w:asciiTheme="minorEastAsia" w:hAnsiTheme="minorEastAsia" w:eastAsiaTheme="minorEastAsia" w:cstheme="minorEastAsia"/>
          <w:bCs/>
          <w:color w:val="auto"/>
          <w:sz w:val="24"/>
          <w:highlight w:val="none"/>
        </w:rPr>
        <w:t>规定的投标截止时间前，将投标文件密封送达</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bCs/>
          <w:color w:val="auto"/>
          <w:sz w:val="24"/>
          <w:highlight w:val="none"/>
        </w:rPr>
        <w:t>指定地点。</w:t>
      </w:r>
    </w:p>
    <w:p w14:paraId="55746967">
      <w:pPr>
        <w:spacing w:line="360" w:lineRule="auto"/>
        <w:ind w:firstLine="437"/>
        <w:outlineLvl w:val="3"/>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16.2在投标截止时间之后送达的投标文件将被拒绝。</w:t>
      </w:r>
    </w:p>
    <w:p w14:paraId="3D573F8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17.投标文件的修改、补充与撤回</w:t>
      </w:r>
    </w:p>
    <w:p w14:paraId="6C06F13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17.1投标人在投标截止时间前，可以对所递交的投标文件进行补充、修改或者撤回，并书面通知招标人。</w:t>
      </w:r>
    </w:p>
    <w:p w14:paraId="19A6762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17.2补充、修改的内容应当按照招标文件要求签署、盖章、密封后，作为投标文件的组成部分。</w:t>
      </w:r>
    </w:p>
    <w:p w14:paraId="2AE48333">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18.开标</w:t>
      </w:r>
    </w:p>
    <w:p w14:paraId="3B97419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18.1开标将在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规定的时间和地点进行。</w:t>
      </w:r>
    </w:p>
    <w:p w14:paraId="7E8FA83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18.3开标过程由招标人负责记录，并由参加开标的各投标人代表和相关工作人员签字确认。</w:t>
      </w:r>
    </w:p>
    <w:p w14:paraId="0A85CA6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4"/>
          <w:highlight w:val="none"/>
        </w:rPr>
        <w:t>18.5投标人应参加开标，投标人未参加开标的，视同认可开标结果。</w:t>
      </w:r>
    </w:p>
    <w:p w14:paraId="0F328CD0">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19.资格审查及组建评标委员会</w:t>
      </w:r>
    </w:p>
    <w:p w14:paraId="3FDFF82D">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19.1按照有关规定依法组建的评标委员会，负责本项目评标工作。</w:t>
      </w:r>
    </w:p>
    <w:p w14:paraId="154A5C5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19.3投标人存在不良信用记录的，其投标将被认定为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7E231433">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highlight w:val="none"/>
        </w:rPr>
        <w:t>19.3.1不良信用记录是指：</w:t>
      </w:r>
      <w:bookmarkStart w:id="36" w:name="_Hlk24663244"/>
      <w:r>
        <w:rPr>
          <w:rFonts w:hint="eastAsia" w:asciiTheme="minorEastAsia" w:hAnsiTheme="minorEastAsia" w:eastAsiaTheme="minorEastAsia" w:cstheme="minorEastAsia"/>
          <w:color w:val="auto"/>
          <w:sz w:val="24"/>
          <w:szCs w:val="18"/>
          <w:highlight w:val="none"/>
        </w:rPr>
        <w:t>（1）供应商被人民法院列入失信被执行人；（2）供应商被税务部门列入重大税收违法案件当事人名单。</w:t>
      </w:r>
    </w:p>
    <w:p w14:paraId="20A2B26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以联合体形式参加投标的，联合体任何成员存在以上不良信用记录的，联合体投标将被认定为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2153DF4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19.3.2信用信息查询渠道：“信用中国”网站（www.creditchina.gov.cn）。</w:t>
      </w:r>
    </w:p>
    <w:p w14:paraId="61A4010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投标人对不良信用记录的真实性和有效性负责。</w:t>
      </w:r>
    </w:p>
    <w:p w14:paraId="02E3086E">
      <w:pPr>
        <w:spacing w:line="360" w:lineRule="auto"/>
        <w:ind w:firstLine="435"/>
        <w:rPr>
          <w:rFonts w:hint="eastAsia" w:asciiTheme="minorEastAsia" w:hAnsiTheme="minorEastAsia" w:eastAsiaTheme="minorEastAsia" w:cstheme="minorEastAsia"/>
          <w:color w:val="auto"/>
          <w:sz w:val="24"/>
          <w:highlight w:val="none"/>
        </w:rPr>
      </w:pPr>
      <w:bookmarkStart w:id="37" w:name="_Hlk24663338"/>
      <w:r>
        <w:rPr>
          <w:rFonts w:hint="eastAsia" w:asciiTheme="minorEastAsia" w:hAnsiTheme="minorEastAsia" w:eastAsiaTheme="minorEastAsia" w:cstheme="minorEastAsia"/>
          <w:color w:val="auto"/>
          <w:sz w:val="24"/>
          <w:highlight w:val="none"/>
        </w:rPr>
        <w:t>信用信息查询时间为投标截止时间前2个工作日内。</w:t>
      </w:r>
    </w:p>
    <w:p w14:paraId="01BAA1A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在本招标文件规定的查询时间之外，网站信息发生的任何变更均不作为资格审查依据。</w:t>
      </w:r>
    </w:p>
    <w:bookmarkEnd w:id="36"/>
    <w:bookmarkEnd w:id="37"/>
    <w:p w14:paraId="15CA9C9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20.投标文件初审与澄清</w:t>
      </w:r>
    </w:p>
    <w:p w14:paraId="7C7CB32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20.2投标文件的澄清</w:t>
      </w:r>
    </w:p>
    <w:p w14:paraId="1DE93A0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20.2.2投标人的澄清、说明或补正将作为投标文件的一部分。</w:t>
      </w:r>
    </w:p>
    <w:p w14:paraId="26C09D2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20.3投标文件报价出现前后不一致的，按照下列规定修正：</w:t>
      </w:r>
    </w:p>
    <w:p w14:paraId="661C89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（1）投标文件中开标一览表内容与投标文件中相应内容不一致的，以开标一览表为准；</w:t>
      </w:r>
    </w:p>
    <w:p w14:paraId="2A46E0E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（2）大写金额和小写金额不一致的，以大写金额为准；</w:t>
      </w:r>
    </w:p>
    <w:p w14:paraId="46C0302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（3）单价金额小数点或者百分比有明显错位的，以开标一览表的总价为准，并修改单价；</w:t>
      </w:r>
    </w:p>
    <w:p w14:paraId="0156A43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（4）总价金额与按单价汇总金额不一致的，以单价金额计算结果为准。</w:t>
      </w:r>
    </w:p>
    <w:p w14:paraId="47EFDE7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同时出现两种以上不一致的，按照前款规定的顺序修正。修正后的报价按照第20.4条的规定经投标人确认后产生约束力，投标人不确认的，其投标将被认定为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4A04DA53">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对不同文字文本投标文件的解释发生异议的，以中文文本为准。</w:t>
      </w:r>
    </w:p>
    <w:p w14:paraId="29CAFC5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21.投标无效</w:t>
      </w:r>
    </w:p>
    <w:p w14:paraId="66224CB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评标委员会决定投标的响应性只根据招标文件要求和投标文件内容。</w:t>
      </w:r>
    </w:p>
    <w:p w14:paraId="1AB31EA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21.2如发现下列情况之一的，其投标将被认定为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76090DC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（1）投标文件未按照招标文件规定要求签署、盖章的；</w:t>
      </w:r>
    </w:p>
    <w:p w14:paraId="712F45C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（2）不具备招标文件中规定的资格要求的；</w:t>
      </w:r>
    </w:p>
    <w:p w14:paraId="074C39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（3）投标报价超过招标文件中规定的项目预算或者最高限价的；</w:t>
      </w:r>
    </w:p>
    <w:p w14:paraId="758D85F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（4）投标文件不满足招标文件全部实质性要求的；</w:t>
      </w:r>
    </w:p>
    <w:p w14:paraId="07F85E2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（5）投标文件含有招标人不能接受的附加条件的；</w:t>
      </w:r>
    </w:p>
    <w:p w14:paraId="55865FF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（6）法律、法规和招标文件规定的其他无效情形。</w:t>
      </w:r>
    </w:p>
    <w:p w14:paraId="659193CF">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22.比较与评价</w:t>
      </w:r>
    </w:p>
    <w:p w14:paraId="3897DE5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22.2评标严格按照招标文件的要求和条件进行。根据实际情况，在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中规定采用下列一种评标方法，详细评标方法和标准见招标文件第四章：</w:t>
      </w:r>
    </w:p>
    <w:p w14:paraId="06D0C2E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23.废标</w:t>
      </w:r>
    </w:p>
    <w:p w14:paraId="0D6082E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出现下列情形之一，将导致项目废标：</w:t>
      </w:r>
    </w:p>
    <w:p w14:paraId="6E5DA04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（1）符合专业条件的投标人或者对招标文件做实质性响应的投标人不足规定数量的；</w:t>
      </w:r>
    </w:p>
    <w:p w14:paraId="68E3CA3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（2）出现影响采购公正的违法、违规行为的；</w:t>
      </w:r>
    </w:p>
    <w:p w14:paraId="2E6C165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（3）投标人的报价均超过了采购估算，招标人不能支付的；</w:t>
      </w:r>
    </w:p>
    <w:p w14:paraId="6C48B93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6763FBF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24.保密要求</w:t>
      </w:r>
    </w:p>
    <w:p w14:paraId="042E497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24.1评标将在严格保密的情况下进行。</w:t>
      </w:r>
    </w:p>
    <w:p w14:paraId="77AB849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25.中标候选人的确定原则及标准</w:t>
      </w:r>
    </w:p>
    <w:p w14:paraId="33B96DF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26.确定中标候选人和中标人</w:t>
      </w:r>
    </w:p>
    <w:p w14:paraId="49EA950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26.1评标委员会将根据评标标准，按</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中规定数量推荐中标候选人。</w:t>
      </w:r>
    </w:p>
    <w:p w14:paraId="5FAC757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26.2按</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中规定，由评标委员会或招标人确定中标人。</w:t>
      </w:r>
    </w:p>
    <w:p w14:paraId="21BF181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27.编写评标报告</w:t>
      </w:r>
    </w:p>
    <w:p w14:paraId="304257A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28.中标结果公告</w:t>
      </w:r>
    </w:p>
    <w:p w14:paraId="4ECEEA5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28.1自中标人确定之日起3日内，招标人将在</w:t>
      </w:r>
      <w:r>
        <w:rPr>
          <w:rFonts w:hint="eastAsia" w:asciiTheme="minorEastAsia" w:hAnsiTheme="minorEastAsia" w:eastAsiaTheme="minorEastAsia" w:cstheme="minorEastAsia"/>
          <w:color w:val="auto"/>
          <w:sz w:val="24"/>
          <w:szCs w:val="22"/>
          <w:highlight w:val="none"/>
        </w:rPr>
        <w:t>公司网站</w:t>
      </w:r>
      <w:r>
        <w:rPr>
          <w:rFonts w:hint="eastAsia" w:asciiTheme="minorEastAsia" w:hAnsiTheme="minorEastAsia" w:eastAsiaTheme="minorEastAsia" w:cstheme="minorEastAsia"/>
          <w:color w:val="auto"/>
          <w:sz w:val="24"/>
          <w:highlight w:val="none"/>
        </w:rPr>
        <w:t>发布中标结果公告。</w:t>
      </w:r>
    </w:p>
    <w:p w14:paraId="5C7E35C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28.2中标结果公告内容应当包括招标人名称、地址、联系方式，项目名称和项目编号，中标人名称、地址和中标金额，主要中标标的的名称、</w:t>
      </w:r>
      <w:r>
        <w:rPr>
          <w:rFonts w:hint="eastAsia" w:asciiTheme="minorEastAsia" w:hAnsiTheme="minorEastAsia" w:eastAsiaTheme="minorEastAsia" w:cstheme="minorEastAsia"/>
          <w:color w:val="auto"/>
          <w:sz w:val="24"/>
          <w:highlight w:val="none"/>
          <w:lang w:eastAsia="zh-CN"/>
        </w:rPr>
        <w:t>规格</w:t>
      </w:r>
      <w:r>
        <w:rPr>
          <w:rFonts w:hint="eastAsia" w:asciiTheme="minorEastAsia" w:hAnsiTheme="minorEastAsia" w:eastAsiaTheme="minorEastAsia" w:cstheme="minorEastAsia"/>
          <w:color w:val="auto"/>
          <w:sz w:val="24"/>
          <w:highlight w:val="none"/>
        </w:rPr>
        <w:t>型号、数量、单价、服务要求，中标公告期限、评审专家名单以及</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中约定进行公告的内容。中标公告期限为3日。</w:t>
      </w:r>
    </w:p>
    <w:p w14:paraId="4737129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29.中标通知书</w:t>
      </w:r>
    </w:p>
    <w:p w14:paraId="388510E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29.1招标人发布中标公告</w:t>
      </w:r>
      <w:r>
        <w:rPr>
          <w:rFonts w:hint="eastAsia" w:asciiTheme="minorEastAsia" w:hAnsiTheme="minorEastAsia" w:eastAsiaTheme="minorEastAsia" w:cstheme="minorEastAsia"/>
          <w:iCs/>
          <w:color w:val="auto"/>
          <w:sz w:val="24"/>
          <w:highlight w:val="none"/>
        </w:rPr>
        <w:t>的</w:t>
      </w:r>
      <w:r>
        <w:rPr>
          <w:rFonts w:hint="eastAsia" w:asciiTheme="minorEastAsia" w:hAnsiTheme="minorEastAsia" w:eastAsiaTheme="minorEastAsia" w:cstheme="minorEastAsia"/>
          <w:color w:val="auto"/>
          <w:sz w:val="24"/>
          <w:highlight w:val="none"/>
        </w:rPr>
        <w:t>同时向中标人发出中标通知书。</w:t>
      </w:r>
    </w:p>
    <w:p w14:paraId="5762D43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29.3中标通知书是合同的组成部分。</w:t>
      </w:r>
    </w:p>
    <w:p w14:paraId="70764453">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30.告知招标结果</w:t>
      </w:r>
    </w:p>
    <w:p w14:paraId="0168332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30.1在公告中标结果的同时，招标人同时以</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31.履约保证金</w:t>
      </w:r>
    </w:p>
    <w:p w14:paraId="35E3C13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31.1中标人应按照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规定缴纳履约保证金。</w:t>
      </w:r>
    </w:p>
    <w:p w14:paraId="5E03420E">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32.签订合同</w:t>
      </w:r>
    </w:p>
    <w:p w14:paraId="081E5C9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32.1招标人与中标人应当自发出中标通知书之日起30日内签订合同。</w:t>
      </w:r>
    </w:p>
    <w:p w14:paraId="4C4D77D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32.2招标文件、中标人的投标文件及其澄清文件等，均为签订合同的依据。</w:t>
      </w:r>
    </w:p>
    <w:p w14:paraId="62DC1FA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32.5 投标人签订合同前，需向招标人演示投标产品的相关功能。否则招标人有权变更中标人。</w:t>
      </w:r>
    </w:p>
    <w:p w14:paraId="16881E40">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33.中标服务费</w:t>
      </w:r>
    </w:p>
    <w:p w14:paraId="5062C22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33.1本项目中标服务费的收取按</w:t>
      </w:r>
      <w:r>
        <w:rPr>
          <w:rFonts w:hint="eastAsia" w:asciiTheme="minorEastAsia" w:hAnsiTheme="minorEastAsia" w:eastAsiaTheme="minorEastAsia" w:cstheme="minorEastAsia"/>
          <w:color w:val="auto"/>
          <w:sz w:val="24"/>
          <w:highlight w:val="none"/>
          <w:u w:val="single"/>
        </w:rPr>
        <w:t>投标人须知前附表的</w:t>
      </w:r>
      <w:r>
        <w:rPr>
          <w:rFonts w:hint="eastAsia" w:asciiTheme="minorEastAsia" w:hAnsiTheme="minorEastAsia" w:eastAsiaTheme="minorEastAsia" w:cstheme="minorEastAsia"/>
          <w:color w:val="auto"/>
          <w:sz w:val="24"/>
          <w:highlight w:val="none"/>
        </w:rPr>
        <w:t>规定执行。</w:t>
      </w:r>
    </w:p>
    <w:p w14:paraId="1DE52509">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38" w:name="_Toc2583661"/>
      <w:bookmarkStart w:id="39" w:name="_Toc518923100"/>
      <w:r>
        <w:rPr>
          <w:rFonts w:hint="eastAsia" w:asciiTheme="minorEastAsia" w:hAnsiTheme="minorEastAsia" w:eastAsiaTheme="minorEastAsia" w:cstheme="minorEastAsia"/>
          <w:b/>
          <w:color w:val="auto"/>
          <w:sz w:val="24"/>
          <w:highlight w:val="none"/>
        </w:rPr>
        <w:t>34.廉洁自律规定</w:t>
      </w:r>
      <w:bookmarkEnd w:id="38"/>
      <w:bookmarkEnd w:id="39"/>
    </w:p>
    <w:p w14:paraId="2D99A53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40" w:name="_Toc2583662"/>
      <w:bookmarkStart w:id="41" w:name="_Toc518923101"/>
      <w:r>
        <w:rPr>
          <w:rFonts w:hint="eastAsia" w:asciiTheme="minorEastAsia" w:hAnsiTheme="minorEastAsia" w:eastAsiaTheme="minorEastAsia" w:cstheme="minorEastAsia"/>
          <w:b/>
          <w:color w:val="auto"/>
          <w:sz w:val="24"/>
          <w:highlight w:val="none"/>
        </w:rPr>
        <w:t>35.人员回避</w:t>
      </w:r>
      <w:bookmarkEnd w:id="40"/>
      <w:bookmarkEnd w:id="41"/>
    </w:p>
    <w:p w14:paraId="78341D4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color w:val="auto"/>
          <w:sz w:val="28"/>
          <w:highlight w:val="none"/>
        </w:rPr>
        <w:t>第三章  招标需求</w:t>
      </w:r>
    </w:p>
    <w:p w14:paraId="4F13AF8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前注：</w:t>
      </w:r>
    </w:p>
    <w:p w14:paraId="7DC2D6D2">
      <w:pPr>
        <w:spacing w:line="360" w:lineRule="auto"/>
        <w:ind w:firstLine="480" w:firstLineChars="200"/>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1、本说明中提出的技术方案仅为参考，如无明确限制，投标人可以进行优化，提供满足用户实际需要的更优（或者性能实质上不低于的）服务方案，且此方案须经</w:t>
      </w:r>
      <w:r>
        <w:rPr>
          <w:rFonts w:hint="eastAsia" w:asciiTheme="minorEastAsia" w:hAnsiTheme="minorEastAsia" w:eastAsiaTheme="minorEastAsia" w:cstheme="minorEastAsia"/>
          <w:color w:val="auto"/>
          <w:sz w:val="24"/>
          <w:szCs w:val="18"/>
          <w:highlight w:val="none"/>
          <w:lang w:eastAsia="zh-CN"/>
        </w:rPr>
        <w:t>评标委员会</w:t>
      </w:r>
      <w:r>
        <w:rPr>
          <w:rFonts w:hint="eastAsia" w:asciiTheme="minorEastAsia" w:hAnsiTheme="minorEastAsia" w:eastAsiaTheme="minorEastAsia" w:cstheme="minorEastAsia"/>
          <w:color w:val="auto"/>
          <w:sz w:val="24"/>
          <w:szCs w:val="18"/>
          <w:highlight w:val="none"/>
        </w:rPr>
        <w:t>评审认可；</w:t>
      </w:r>
    </w:p>
    <w:p w14:paraId="77A06B53">
      <w:pPr>
        <w:spacing w:line="360" w:lineRule="auto"/>
        <w:ind w:firstLine="480" w:firstLineChars="200"/>
        <w:rPr>
          <w:rFonts w:hint="eastAsia" w:asciiTheme="minorEastAsia" w:hAnsiTheme="minorEastAsia" w:eastAsiaTheme="minorEastAsia" w:cstheme="minorEastAsia"/>
          <w:color w:val="auto"/>
          <w:sz w:val="24"/>
          <w:szCs w:val="18"/>
          <w:highlight w:val="yellow"/>
        </w:rPr>
      </w:pPr>
      <w:r>
        <w:rPr>
          <w:rFonts w:hint="eastAsia" w:asciiTheme="minorEastAsia" w:hAnsiTheme="minorEastAsia" w:eastAsiaTheme="minorEastAsia" w:cstheme="minorEastAsia"/>
          <w:color w:val="auto"/>
          <w:sz w:val="24"/>
          <w:szCs w:val="18"/>
          <w:highlight w:val="none"/>
        </w:rPr>
        <w:t>2、如投标人因未及时勘察现场而导致的报价缺项漏项废标、或中标后无法完工，投标人自行承担一切后果。</w:t>
      </w:r>
    </w:p>
    <w:p w14:paraId="6F5501AF">
      <w:pPr>
        <w:spacing w:line="360" w:lineRule="auto"/>
        <w:ind w:firstLine="437"/>
        <w:rPr>
          <w:rFonts w:hint="eastAsia" w:asciiTheme="minorEastAsia" w:hAnsiTheme="minorEastAsia" w:eastAsiaTheme="minorEastAsia" w:cstheme="minorEastAsia"/>
          <w:b/>
          <w:color w:val="auto"/>
          <w:sz w:val="24"/>
          <w:szCs w:val="18"/>
          <w:highlight w:val="none"/>
        </w:rPr>
      </w:pPr>
      <w:r>
        <w:rPr>
          <w:rFonts w:hint="eastAsia" w:asciiTheme="minorEastAsia" w:hAnsiTheme="minorEastAsia" w:eastAsiaTheme="minorEastAsia" w:cstheme="minorEastAsia"/>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付款方式</w:t>
            </w:r>
          </w:p>
        </w:tc>
        <w:tc>
          <w:tcPr>
            <w:tcW w:w="5913" w:type="dxa"/>
            <w:vAlign w:val="center"/>
          </w:tcPr>
          <w:p w14:paraId="3E4B601F">
            <w:pPr>
              <w:spacing w:line="360" w:lineRule="auto"/>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kern w:val="2"/>
                <w:sz w:val="24"/>
                <w:szCs w:val="24"/>
                <w:highlight w:val="none"/>
                <w:lang w:val="en-US" w:eastAsia="zh-CN" w:bidi="ar-SA"/>
              </w:rPr>
              <w:t>招标人按照实际采购量据实结算，每月支付一次，招标人验收合格且收到中标人开具的等额、有效、合法的增值税发票后一个月内支付款项。中标人未按约定开具发票的，甲方有权顺延付款且不承担违约责任。</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p>
        </w:tc>
        <w:tc>
          <w:tcPr>
            <w:tcW w:w="2191" w:type="dxa"/>
            <w:vAlign w:val="center"/>
          </w:tcPr>
          <w:p w14:paraId="7AD85614">
            <w:pPr>
              <w:pStyle w:val="60"/>
              <w:widowControl w:val="0"/>
              <w:spacing w:before="0" w:beforeAutospacing="0" w:after="0" w:afterAutospacing="0" w:line="360" w:lineRule="auto"/>
              <w:jc w:val="center"/>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lang w:eastAsia="zh-CN"/>
              </w:rPr>
              <w:t>服务</w:t>
            </w:r>
            <w:r>
              <w:rPr>
                <w:rFonts w:hint="eastAsia" w:asciiTheme="minorEastAsia" w:hAnsiTheme="minorEastAsia" w:eastAsiaTheme="minorEastAsia" w:cstheme="minorEastAsia"/>
                <w:b w:val="0"/>
                <w:color w:val="auto"/>
                <w:sz w:val="24"/>
                <w:highlight w:val="none"/>
              </w:rPr>
              <w:t>地点</w:t>
            </w:r>
          </w:p>
        </w:tc>
        <w:tc>
          <w:tcPr>
            <w:tcW w:w="5913" w:type="dxa"/>
            <w:vAlign w:val="center"/>
          </w:tcPr>
          <w:p w14:paraId="6D93892F">
            <w:pPr>
              <w:pStyle w:val="186"/>
              <w:spacing w:before="0" w:after="0" w:line="360" w:lineRule="auto"/>
              <w:jc w:val="both"/>
              <w:rPr>
                <w:rFonts w:hint="eastAsia" w:asciiTheme="minorEastAsia" w:hAnsiTheme="minorEastAsia" w:eastAsiaTheme="minorEastAsia" w:cstheme="minorEastAsia"/>
                <w:b w:val="0"/>
                <w:color w:val="auto"/>
                <w:sz w:val="24"/>
                <w:highlight w:val="none"/>
              </w:rPr>
            </w:pPr>
            <w:r>
              <w:rPr>
                <w:rStyle w:val="103"/>
                <w:rFonts w:hint="eastAsia" w:asciiTheme="minorEastAsia" w:hAnsiTheme="minorEastAsia" w:eastAsiaTheme="minorEastAsia" w:cstheme="minorEastAsia"/>
                <w:b w:val="0"/>
                <w:color w:val="auto"/>
                <w:kern w:val="0"/>
                <w:sz w:val="24"/>
                <w:highlight w:val="none"/>
              </w:rPr>
              <w:t>合肥市包河区，招标人指定地点。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lang w:eastAsia="zh-CN"/>
              </w:rPr>
              <w:t>服务</w:t>
            </w:r>
            <w:r>
              <w:rPr>
                <w:rFonts w:hint="eastAsia" w:asciiTheme="minorEastAsia" w:hAnsiTheme="minorEastAsia" w:eastAsiaTheme="minorEastAsia" w:cstheme="minorEastAsia"/>
                <w:b w:val="0"/>
                <w:color w:val="auto"/>
                <w:sz w:val="24"/>
                <w:highlight w:val="none"/>
              </w:rPr>
              <w:t>期限</w:t>
            </w:r>
          </w:p>
        </w:tc>
        <w:tc>
          <w:tcPr>
            <w:tcW w:w="5913" w:type="dxa"/>
            <w:vAlign w:val="center"/>
          </w:tcPr>
          <w:p w14:paraId="0C36D94B">
            <w:pPr>
              <w:pStyle w:val="187"/>
              <w:widowControl/>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自合同签订之日起一年。</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highlight w:val="none"/>
                <w:lang w:val="en-US" w:eastAsia="zh-CN"/>
              </w:rPr>
              <w:t>中标人</w:t>
            </w:r>
            <w:r>
              <w:rPr>
                <w:rFonts w:hint="eastAsia" w:asciiTheme="minorEastAsia" w:hAnsiTheme="minorEastAsia" w:eastAsiaTheme="minorEastAsia" w:cstheme="minorEastAsia"/>
                <w:color w:val="auto"/>
                <w:sz w:val="24"/>
                <w:highlight w:val="none"/>
              </w:rPr>
              <w:t>履约良好</w:t>
            </w:r>
            <w:r>
              <w:rPr>
                <w:rFonts w:hint="eastAsia" w:asciiTheme="minorEastAsia" w:hAnsiTheme="minorEastAsia" w:eastAsiaTheme="minorEastAsia" w:cstheme="minorEastAsia"/>
                <w:color w:val="auto"/>
                <w:sz w:val="24"/>
                <w:highlight w:val="none"/>
                <w:lang w:eastAsia="zh-CN"/>
              </w:rPr>
              <w:t>、年度考核合格</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且</w:t>
            </w:r>
            <w:r>
              <w:rPr>
                <w:rFonts w:hint="eastAsia" w:asciiTheme="minorEastAsia" w:hAnsiTheme="minorEastAsia" w:eastAsiaTheme="minorEastAsia" w:cstheme="minorEastAsia"/>
                <w:color w:val="auto"/>
                <w:sz w:val="24"/>
                <w:highlight w:val="none"/>
              </w:rPr>
              <w:t>年度预算能够保障的，执行“招一续二”模式（即：可以续签下一年合同，合同一年一签，最多续签两次），续签合同费率不变。（年度服务期满前，</w:t>
            </w:r>
            <w:r>
              <w:rPr>
                <w:rFonts w:hint="eastAsia" w:asciiTheme="minorEastAsia" w:hAnsiTheme="minorEastAsia" w:eastAsiaTheme="minorEastAsia" w:cstheme="minorEastAsia"/>
                <w:color w:val="auto"/>
                <w:sz w:val="24"/>
                <w:highlight w:val="none"/>
                <w:lang w:val="en-US" w:eastAsia="zh-CN"/>
              </w:rPr>
              <w:t>招标人</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val="en-US" w:eastAsia="zh-CN"/>
              </w:rPr>
              <w:t>中标人</w:t>
            </w:r>
            <w:r>
              <w:rPr>
                <w:rFonts w:hint="eastAsia" w:asciiTheme="minorEastAsia" w:hAnsiTheme="minorEastAsia" w:eastAsiaTheme="minorEastAsia" w:cstheme="minorEastAsia"/>
                <w:color w:val="auto"/>
                <w:sz w:val="24"/>
                <w:highlight w:val="none"/>
              </w:rPr>
              <w:t>该年度的配送能力、服务表现等行为进行考核评价，该评价将作为合同续签的依据之一。）</w:t>
            </w:r>
          </w:p>
        </w:tc>
      </w:tr>
    </w:tbl>
    <w:p w14:paraId="453941A7">
      <w:pPr>
        <w:keepNext w:val="0"/>
        <w:keepLines w:val="0"/>
        <w:pageBreakBefore w:val="0"/>
        <w:widowControl w:val="0"/>
        <w:kinsoku/>
        <w:wordWrap/>
        <w:overflowPunct/>
        <w:topLinePunct w:val="0"/>
        <w:autoSpaceDE/>
        <w:autoSpaceDN/>
        <w:bidi w:val="0"/>
        <w:adjustRightInd/>
        <w:snapToGrid/>
        <w:spacing w:line="360" w:lineRule="auto"/>
        <w:ind w:left="0" w:right="0" w:firstLine="437"/>
        <w:textAlignment w:val="auto"/>
        <w:rPr>
          <w:rFonts w:hint="eastAsia" w:asciiTheme="minorEastAsia" w:hAnsiTheme="minorEastAsia" w:eastAsiaTheme="minorEastAsia" w:cstheme="minorEastAsia"/>
          <w:b/>
          <w:sz w:val="24"/>
          <w:szCs w:val="18"/>
          <w:highlight w:val="none"/>
        </w:rPr>
      </w:pPr>
      <w:r>
        <w:rPr>
          <w:rFonts w:hint="eastAsia" w:asciiTheme="minorEastAsia" w:hAnsiTheme="minorEastAsia" w:eastAsiaTheme="minorEastAsia" w:cstheme="minorEastAsia"/>
          <w:b/>
          <w:sz w:val="24"/>
          <w:szCs w:val="18"/>
          <w:highlight w:val="none"/>
        </w:rPr>
        <w:t>二、项目概况</w:t>
      </w:r>
    </w:p>
    <w:p w14:paraId="0BFD3A17">
      <w:pPr>
        <w:pStyle w:val="19"/>
        <w:keepNext w:val="0"/>
        <w:keepLines w:val="0"/>
        <w:pageBreakBefore w:val="0"/>
        <w:widowControl w:val="0"/>
        <w:kinsoku/>
        <w:wordWrap/>
        <w:overflowPunct/>
        <w:topLinePunct w:val="0"/>
        <w:autoSpaceDE/>
        <w:autoSpaceDN/>
        <w:bidi w:val="0"/>
        <w:adjustRightInd/>
        <w:snapToGrid/>
        <w:spacing w:after="0" w:line="360" w:lineRule="auto"/>
        <w:ind w:left="0" w:right="0" w:firstLine="437"/>
        <w:jc w:val="both"/>
        <w:textAlignment w:val="auto"/>
        <w:rPr>
          <w:rFonts w:hint="eastAsia" w:asciiTheme="minorEastAsia" w:hAnsiTheme="minorEastAsia" w:eastAsiaTheme="minorEastAsia" w:cstheme="minorEastAsia"/>
          <w:b w:val="0"/>
          <w:bCs/>
          <w:color w:val="auto"/>
          <w:kern w:val="2"/>
          <w:sz w:val="24"/>
          <w:highlight w:val="none"/>
          <w:lang w:val="en-US" w:eastAsia="zh-CN" w:bidi="ar-SA"/>
        </w:rPr>
      </w:pPr>
      <w:r>
        <w:rPr>
          <w:rFonts w:hint="eastAsia" w:asciiTheme="minorEastAsia" w:hAnsiTheme="minorEastAsia" w:eastAsiaTheme="minorEastAsia" w:cstheme="minorEastAsia"/>
          <w:color w:val="000000" w:themeColor="text1"/>
          <w:kern w:val="2"/>
          <w:sz w:val="24"/>
          <w:szCs w:val="18"/>
          <w:highlight w:val="none"/>
          <w:lang w:val="en-US" w:eastAsia="zh-CN" w:bidi="ar-SA"/>
          <w14:textFill>
            <w14:solidFill>
              <w14:schemeClr w14:val="tx1"/>
            </w14:solidFill>
          </w14:textFill>
        </w:rPr>
        <w:t>1.为保障合肥悠享时光护理院有限公司日常运营的药品使用需求，应对不同</w:t>
      </w:r>
      <w:r>
        <w:rPr>
          <w:rFonts w:hint="eastAsia" w:asciiTheme="minorEastAsia" w:hAnsiTheme="minorEastAsia" w:eastAsiaTheme="minorEastAsia" w:cstheme="minorEastAsia"/>
          <w:b w:val="0"/>
          <w:bCs/>
          <w:color w:val="auto"/>
          <w:kern w:val="2"/>
          <w:sz w:val="24"/>
          <w:highlight w:val="none"/>
          <w:lang w:val="en-US" w:eastAsia="zh-CN" w:bidi="ar-SA"/>
        </w:rPr>
        <w:t>长者用药需求变化，拟采购药品供应定点单位。</w:t>
      </w:r>
    </w:p>
    <w:p w14:paraId="20DE5E26">
      <w:pPr>
        <w:spacing w:line="360" w:lineRule="auto"/>
        <w:ind w:firstLine="437"/>
        <w:rPr>
          <w:rFonts w:hint="default" w:asciiTheme="minorEastAsia" w:hAnsiTheme="minorEastAsia" w:eastAsiaTheme="minorEastAsia" w:cstheme="minorEastAsia"/>
          <w:b w:val="0"/>
          <w:bCs/>
          <w:color w:val="auto"/>
          <w:kern w:val="2"/>
          <w:sz w:val="24"/>
          <w:highlight w:val="none"/>
          <w:lang w:val="en-US" w:eastAsia="zh-CN" w:bidi="ar-SA"/>
        </w:rPr>
      </w:pPr>
      <w:r>
        <w:rPr>
          <w:rFonts w:hint="eastAsia" w:asciiTheme="minorEastAsia" w:hAnsiTheme="minorEastAsia" w:eastAsiaTheme="minorEastAsia" w:cstheme="minorEastAsia"/>
          <w:b w:val="0"/>
          <w:bCs/>
          <w:color w:val="auto"/>
          <w:kern w:val="2"/>
          <w:sz w:val="24"/>
          <w:highlight w:val="none"/>
          <w:lang w:val="en-US" w:eastAsia="zh-CN" w:bidi="ar-SA"/>
        </w:rPr>
        <w:t>2.本次招标药品供应范围：</w:t>
      </w:r>
      <w:r>
        <w:rPr>
          <w:rFonts w:hint="eastAsia" w:asciiTheme="minorEastAsia" w:hAnsiTheme="minorEastAsia" w:eastAsiaTheme="minorEastAsia" w:cstheme="minorEastAsia"/>
          <w:b/>
          <w:bCs w:val="0"/>
          <w:color w:val="auto"/>
          <w:kern w:val="2"/>
          <w:sz w:val="24"/>
          <w:highlight w:val="none"/>
          <w:lang w:val="en-US" w:eastAsia="zh-CN" w:bidi="ar-SA"/>
        </w:rPr>
        <w:t>安徽省医药集中采购平台目录内药品，</w:t>
      </w:r>
      <w:r>
        <w:rPr>
          <w:rFonts w:hint="eastAsia" w:asciiTheme="minorEastAsia" w:hAnsiTheme="minorEastAsia" w:eastAsiaTheme="minorEastAsia" w:cstheme="minorEastAsia"/>
          <w:b w:val="0"/>
          <w:bCs/>
          <w:color w:val="auto"/>
          <w:kern w:val="2"/>
          <w:sz w:val="24"/>
          <w:highlight w:val="none"/>
          <w:lang w:val="en-US" w:eastAsia="zh-CN" w:bidi="ar-SA"/>
        </w:rPr>
        <w:t>安徽省医药集中采购平台目录外的药品不在本次招标范畴。招标人目前常用药品见附件：部分药品清单表。</w:t>
      </w:r>
    </w:p>
    <w:p w14:paraId="15A54401">
      <w:pPr>
        <w:spacing w:line="360" w:lineRule="auto"/>
        <w:ind w:firstLine="437"/>
        <w:rPr>
          <w:rFonts w:hint="eastAsia" w:asciiTheme="minorEastAsia" w:hAnsiTheme="minorEastAsia" w:eastAsiaTheme="minorEastAsia" w:cstheme="minorEastAsia"/>
          <w:b w:val="0"/>
          <w:bCs/>
          <w:color w:val="auto"/>
          <w:kern w:val="2"/>
          <w:sz w:val="24"/>
          <w:highlight w:val="none"/>
          <w:lang w:val="en-US" w:eastAsia="zh-CN" w:bidi="ar-SA"/>
        </w:rPr>
      </w:pPr>
      <w:r>
        <w:rPr>
          <w:rFonts w:hint="eastAsia" w:asciiTheme="minorEastAsia" w:hAnsiTheme="minorEastAsia" w:eastAsiaTheme="minorEastAsia" w:cstheme="minorEastAsia"/>
          <w:b w:val="0"/>
          <w:bCs/>
          <w:color w:val="auto"/>
          <w:kern w:val="2"/>
          <w:sz w:val="24"/>
          <w:highlight w:val="none"/>
          <w:lang w:val="en-US" w:eastAsia="zh-CN" w:bidi="ar-SA"/>
        </w:rPr>
        <w:t>常用药品供应品类主要包括降压药、降糖药、调血脂药、心脑血管用药、胃肠道用药、呼吸系统用药、泌尿系统用药、营养补充剂、抗生素及激素类药物、镇痛类药物、神经系统用药、急救药品、输液制剂、外用药品等。</w:t>
      </w:r>
    </w:p>
    <w:p w14:paraId="3C0A932D">
      <w:pPr>
        <w:spacing w:line="360" w:lineRule="auto"/>
        <w:ind w:firstLine="437"/>
        <w:rPr>
          <w:rFonts w:hint="default" w:asciiTheme="minorEastAsia" w:hAnsiTheme="minorEastAsia" w:eastAsiaTheme="minorEastAsia" w:cstheme="minorEastAsia"/>
          <w:b/>
          <w:sz w:val="24"/>
          <w:szCs w:val="18"/>
          <w:highlight w:val="none"/>
          <w:lang w:val="en-US" w:eastAsia="zh-CN"/>
        </w:rPr>
      </w:pPr>
      <w:r>
        <w:rPr>
          <w:rFonts w:hint="eastAsia" w:asciiTheme="minorEastAsia" w:hAnsiTheme="minorEastAsia" w:eastAsiaTheme="minorEastAsia" w:cstheme="minorEastAsia"/>
          <w:b/>
          <w:sz w:val="24"/>
          <w:szCs w:val="18"/>
          <w:highlight w:val="none"/>
        </w:rPr>
        <w:t>三、服务内容</w:t>
      </w:r>
      <w:r>
        <w:rPr>
          <w:rFonts w:hint="eastAsia" w:asciiTheme="minorEastAsia" w:hAnsiTheme="minorEastAsia" w:eastAsiaTheme="minorEastAsia" w:cstheme="minorEastAsia"/>
          <w:b/>
          <w:sz w:val="24"/>
          <w:szCs w:val="18"/>
          <w:highlight w:val="none"/>
          <w:lang w:val="en-US" w:eastAsia="zh-CN"/>
        </w:rPr>
        <w:t>及要求</w:t>
      </w:r>
    </w:p>
    <w:p w14:paraId="32A58616">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1.配送及质量标准</w:t>
      </w:r>
    </w:p>
    <w:p w14:paraId="59293880">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（1）投标人应具备覆盖配送区域的供应和运输能力，能满足药品说明书对药品的运输要求，按照药品要求提供相应的冷链运输服务。</w:t>
      </w:r>
    </w:p>
    <w:p w14:paraId="6DC81F00">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2）投标人每次接到招标人的供货通知后，应在5个工作日内将招标人所需药品送至指定地址，急需情况下急需药品接招标人通知后在24小时内送到，稀缺情况下稀缺药品应在接到招标人通知后一周内送到。履约服务期内，如累计超过5次发生未按时供货或验收不合格的，招标人有权解除合同。(</w:t>
      </w:r>
      <w:r>
        <w:rPr>
          <w:rFonts w:hint="eastAsia" w:asciiTheme="minorEastAsia" w:hAnsiTheme="minorEastAsia" w:eastAsiaTheme="minorEastAsia" w:cstheme="minorEastAsia"/>
          <w:b/>
          <w:bCs/>
          <w:sz w:val="24"/>
          <w:szCs w:val="18"/>
          <w:highlight w:val="none"/>
          <w:lang w:val="en-US" w:eastAsia="zh-CN"/>
        </w:rPr>
        <w:t>需提供承诺函，否则视为不响应</w:t>
      </w:r>
      <w:r>
        <w:rPr>
          <w:rFonts w:hint="eastAsia" w:asciiTheme="minorEastAsia" w:hAnsiTheme="minorEastAsia" w:eastAsiaTheme="minorEastAsia" w:cstheme="minorEastAsia"/>
          <w:sz w:val="24"/>
          <w:szCs w:val="18"/>
          <w:highlight w:val="none"/>
          <w:lang w:val="en-US" w:eastAsia="zh-CN"/>
        </w:rPr>
        <w:t>)</w:t>
      </w:r>
    </w:p>
    <w:p w14:paraId="7608479D">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（3）除非招标人对有效期另有规定，否则配送药品的有效期不得少于整个效期的三分之二，如有特殊紧急药品与招标人确定后进行供货。</w:t>
      </w:r>
    </w:p>
    <w:p w14:paraId="62536A9B">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（4）所供药品须具备有效的批准文号，随货提供质检报告。</w:t>
      </w:r>
    </w:p>
    <w:p w14:paraId="229BBF0C">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（5）部分药品清单表中列出的药品为招标人现使用药品，中标人须保证能够完全提供（</w:t>
      </w:r>
      <w:r>
        <w:rPr>
          <w:rFonts w:hint="eastAsia" w:asciiTheme="minorEastAsia" w:hAnsiTheme="minorEastAsia" w:eastAsiaTheme="minorEastAsia" w:cstheme="minorEastAsia"/>
          <w:b/>
          <w:bCs/>
          <w:sz w:val="24"/>
          <w:szCs w:val="18"/>
          <w:highlight w:val="none"/>
          <w:lang w:val="en-US" w:eastAsia="zh-CN"/>
        </w:rPr>
        <w:t>需提供药品配送清单，否则视为不响应</w:t>
      </w:r>
      <w:r>
        <w:rPr>
          <w:rFonts w:hint="eastAsia" w:asciiTheme="minorEastAsia" w:hAnsiTheme="minorEastAsia" w:eastAsiaTheme="minorEastAsia" w:cstheme="minorEastAsia"/>
          <w:sz w:val="24"/>
          <w:szCs w:val="18"/>
          <w:highlight w:val="none"/>
          <w:lang w:val="en-US" w:eastAsia="zh-CN"/>
        </w:rPr>
        <w:t>）。中标人不得以任何理由拒绝配送，否则招标人有权在要求中标人支付违约金的同时，书面通知中标人解除本合同。</w:t>
      </w:r>
    </w:p>
    <w:p w14:paraId="363CE12D">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6）药品清单表中已注明厂家（或品牌）和规格的为招标人现使用药品的厂家（或品牌），投标人优先提供，也可报通用名相同的其他厂家（或品牌）生产的药品；投标人未注明厂家（或品牌）的药品，中标人自行填写药品厂家（或品牌）和规格。但均需在安徽省医药集中采购平台目录内。</w:t>
      </w:r>
    </w:p>
    <w:p w14:paraId="1ECBC932">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（7）由于招标人业务持续更新，为满足长者实际用药需求，遵照医嘱，如需新增药品品类或药品品牌，中标人应积极配合招标人进行配送，费率保持不变，若中标人不配送，招标人有权自行采购。</w:t>
      </w:r>
    </w:p>
    <w:p w14:paraId="7AB3198B">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2.质量保证及验收</w:t>
      </w:r>
    </w:p>
    <w:p w14:paraId="7652729B">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（1）配送的药品质量应符合国家法定标准，以确保临床使用安全有效。严格确保配送药品合法合规。</w:t>
      </w:r>
    </w:p>
    <w:p w14:paraId="66E0A9D0">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（2）招标人因临床需要确认要进行产品质量检验，应及时以书面形式把质量检验的具体要求通知中标人，检验的费用由中标人承担。</w:t>
      </w:r>
    </w:p>
    <w:p w14:paraId="38F9E641">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（3）所供药品在有效期内，若上市许可持有人或者药监部门发出召回通知的，中标人应依据《药品召回管理办法》规定，及时告知招标人，实施召回。</w:t>
      </w:r>
    </w:p>
    <w:p w14:paraId="089DA42A">
      <w:pPr>
        <w:spacing w:line="360" w:lineRule="auto"/>
        <w:ind w:firstLine="480" w:firstLineChars="200"/>
        <w:rPr>
          <w:rFonts w:hint="eastAsia" w:asciiTheme="minorEastAsia" w:hAnsiTheme="minorEastAsia" w:eastAsiaTheme="minorEastAsia" w:cstheme="minorEastAsia"/>
          <w:strike w:val="0"/>
          <w:dstrike w:val="0"/>
          <w:sz w:val="24"/>
          <w:szCs w:val="18"/>
          <w:highlight w:val="none"/>
          <w:lang w:val="en-US" w:eastAsia="zh-CN"/>
        </w:rPr>
      </w:pPr>
      <w:r>
        <w:rPr>
          <w:rFonts w:hint="eastAsia" w:asciiTheme="minorEastAsia" w:hAnsiTheme="minorEastAsia" w:eastAsiaTheme="minorEastAsia" w:cstheme="minorEastAsia"/>
          <w:strike w:val="0"/>
          <w:dstrike w:val="0"/>
          <w:sz w:val="24"/>
          <w:szCs w:val="18"/>
          <w:highlight w:val="none"/>
          <w:lang w:val="en-US" w:eastAsia="zh-CN"/>
        </w:rPr>
        <w:t>（4）开票日期起一周内的药品，在包装完好且不影响乙方二次销售的情况下，中标人允许采购人免费退换。</w:t>
      </w:r>
    </w:p>
    <w:p w14:paraId="0BAD4FB7">
      <w:pPr>
        <w:spacing w:line="360" w:lineRule="auto"/>
        <w:ind w:firstLine="480" w:firstLineChars="200"/>
        <w:rPr>
          <w:rFonts w:hint="eastAsia" w:asciiTheme="minorEastAsia" w:hAnsiTheme="minorEastAsia" w:eastAsiaTheme="minorEastAsia" w:cstheme="minorEastAsia"/>
          <w:strike w:val="0"/>
          <w:dstrike w:val="0"/>
          <w:sz w:val="24"/>
          <w:szCs w:val="18"/>
          <w:highlight w:val="none"/>
          <w:lang w:val="en-US" w:eastAsia="zh-CN"/>
        </w:rPr>
      </w:pPr>
      <w:r>
        <w:rPr>
          <w:rFonts w:hint="eastAsia" w:asciiTheme="minorEastAsia" w:hAnsiTheme="minorEastAsia" w:eastAsiaTheme="minorEastAsia" w:cstheme="minorEastAsia"/>
          <w:strike w:val="0"/>
          <w:dstrike w:val="0"/>
          <w:sz w:val="24"/>
          <w:szCs w:val="18"/>
          <w:highlight w:val="none"/>
          <w:lang w:val="en-US" w:eastAsia="zh-CN"/>
        </w:rPr>
        <w:t>（5）中标人依据合同要求送货至现场，期间一切保证措施由中标人负责，招标人负责组织对进场的货物进行验收。对不符合采购计划要求和质量要求的，招标人有权拒绝接收。中标人应及时更退换被拒绝的药品，不得影响招标人的使用。</w:t>
      </w:r>
    </w:p>
    <w:p w14:paraId="1B36367F">
      <w:pPr>
        <w:spacing w:line="360" w:lineRule="auto"/>
        <w:ind w:firstLine="480" w:firstLineChars="200"/>
        <w:rPr>
          <w:rFonts w:hint="eastAsia" w:asciiTheme="minorEastAsia" w:hAnsiTheme="minorEastAsia" w:eastAsiaTheme="minorEastAsia" w:cstheme="minorEastAsia"/>
          <w:strike w:val="0"/>
          <w:dstrike w:val="0"/>
          <w:sz w:val="24"/>
          <w:szCs w:val="18"/>
          <w:highlight w:val="none"/>
          <w:lang w:val="en-US" w:eastAsia="zh-CN"/>
        </w:rPr>
      </w:pPr>
      <w:r>
        <w:rPr>
          <w:rFonts w:hint="eastAsia" w:asciiTheme="minorEastAsia" w:hAnsiTheme="minorEastAsia" w:eastAsiaTheme="minorEastAsia" w:cstheme="minorEastAsia"/>
          <w:strike w:val="0"/>
          <w:dstrike w:val="0"/>
          <w:sz w:val="24"/>
          <w:szCs w:val="18"/>
          <w:highlight w:val="none"/>
          <w:lang w:val="en-US" w:eastAsia="zh-CN"/>
        </w:rPr>
        <w:t>（6）药品验收：开箱检查需核查箱数及包装状况，核对药品</w:t>
      </w:r>
      <w:r>
        <w:rPr>
          <w:rFonts w:ascii="Segoe UI" w:hAnsi="Segoe UI" w:eastAsia="Segoe UI" w:cs="Segoe UI"/>
          <w:i w:val="0"/>
          <w:iCs w:val="0"/>
          <w:caps w:val="0"/>
          <w:color w:val="0F1115"/>
          <w:spacing w:val="0"/>
          <w:sz w:val="24"/>
          <w:szCs w:val="24"/>
          <w:shd w:val="clear" w:fill="FFFFFF"/>
        </w:rPr>
        <w:t>品种、剂型、规格、数量、生产厂家等</w:t>
      </w:r>
      <w:r>
        <w:rPr>
          <w:rFonts w:hint="eastAsia" w:asciiTheme="minorEastAsia" w:hAnsiTheme="minorEastAsia" w:eastAsiaTheme="minorEastAsia" w:cstheme="minorEastAsia"/>
          <w:strike w:val="0"/>
          <w:dstrike w:val="0"/>
          <w:sz w:val="24"/>
          <w:szCs w:val="18"/>
          <w:highlight w:val="none"/>
          <w:lang w:val="en-US" w:eastAsia="zh-CN"/>
        </w:rPr>
        <w:t>；查验送货清单、技术文件、相关资料、合格证等保证资料完备齐全；药品包装应完整、清洁、无破损、无受潮、无污染、</w:t>
      </w:r>
      <w:r>
        <w:rPr>
          <w:rFonts w:ascii="Segoe UI" w:hAnsi="Segoe UI" w:eastAsia="Segoe UI" w:cs="Segoe UI"/>
          <w:i w:val="0"/>
          <w:iCs w:val="0"/>
          <w:caps w:val="0"/>
          <w:color w:val="0F1115"/>
          <w:spacing w:val="0"/>
          <w:sz w:val="24"/>
          <w:szCs w:val="24"/>
          <w:shd w:val="clear" w:fill="FFFFFF"/>
        </w:rPr>
        <w:t>封</w:t>
      </w:r>
      <w:r>
        <w:rPr>
          <w:rFonts w:hint="eastAsia" w:ascii="Segoe UI" w:hAnsi="Segoe UI" w:eastAsia="宋体" w:cs="Segoe UI"/>
          <w:i w:val="0"/>
          <w:iCs w:val="0"/>
          <w:caps w:val="0"/>
          <w:color w:val="0F1115"/>
          <w:spacing w:val="0"/>
          <w:sz w:val="24"/>
          <w:szCs w:val="24"/>
          <w:shd w:val="clear" w:fill="FFFFFF"/>
          <w:lang w:val="en-US" w:eastAsia="zh-CN"/>
        </w:rPr>
        <w:t>口</w:t>
      </w:r>
      <w:r>
        <w:rPr>
          <w:rFonts w:ascii="Segoe UI" w:hAnsi="Segoe UI" w:eastAsia="Segoe UI" w:cs="Segoe UI"/>
          <w:i w:val="0"/>
          <w:iCs w:val="0"/>
          <w:caps w:val="0"/>
          <w:color w:val="0F1115"/>
          <w:spacing w:val="0"/>
          <w:sz w:val="24"/>
          <w:szCs w:val="24"/>
          <w:shd w:val="clear" w:fill="FFFFFF"/>
        </w:rPr>
        <w:t>完好，无二次封贴痕迹</w:t>
      </w:r>
      <w:r>
        <w:rPr>
          <w:rFonts w:hint="eastAsia" w:asciiTheme="minorEastAsia" w:hAnsiTheme="minorEastAsia" w:eastAsiaTheme="minorEastAsia" w:cstheme="minorEastAsia"/>
          <w:strike w:val="0"/>
          <w:dstrike w:val="0"/>
          <w:sz w:val="24"/>
          <w:szCs w:val="18"/>
          <w:highlight w:val="none"/>
          <w:lang w:val="en-US" w:eastAsia="zh-CN"/>
        </w:rPr>
        <w:t>；同时确保药品剩余保存期不低于总保质期的三分之二；</w:t>
      </w:r>
      <w:r>
        <w:rPr>
          <w:rFonts w:ascii="Segoe UI" w:hAnsi="Segoe UI" w:eastAsia="Segoe UI" w:cs="Segoe UI"/>
          <w:i w:val="0"/>
          <w:iCs w:val="0"/>
          <w:caps w:val="0"/>
          <w:color w:val="0F1115"/>
          <w:spacing w:val="0"/>
          <w:sz w:val="24"/>
          <w:szCs w:val="24"/>
          <w:shd w:val="clear" w:fill="FFFFFF"/>
        </w:rPr>
        <w:t>冷链药品需提供运输过程中的温度记录，且温度符合储存要求</w:t>
      </w:r>
      <w:r>
        <w:rPr>
          <w:rFonts w:hint="eastAsia" w:asciiTheme="minorEastAsia" w:hAnsiTheme="minorEastAsia" w:eastAsiaTheme="minorEastAsia" w:cstheme="minorEastAsia"/>
          <w:strike w:val="0"/>
          <w:dstrike w:val="0"/>
          <w:sz w:val="24"/>
          <w:szCs w:val="18"/>
          <w:highlight w:val="none"/>
          <w:lang w:val="en-US" w:eastAsia="zh-CN"/>
        </w:rPr>
        <w:t>。</w:t>
      </w:r>
    </w:p>
    <w:p w14:paraId="06CF9FC8">
      <w:pPr>
        <w:spacing w:line="360" w:lineRule="auto"/>
        <w:ind w:firstLine="480" w:firstLineChars="200"/>
        <w:rPr>
          <w:rFonts w:hint="eastAsia" w:asciiTheme="minorEastAsia" w:hAnsiTheme="minorEastAsia" w:eastAsiaTheme="minorEastAsia" w:cstheme="minorEastAsia"/>
          <w:strike w:val="0"/>
          <w:dstrike w:val="0"/>
          <w:sz w:val="24"/>
          <w:szCs w:val="18"/>
          <w:highlight w:val="none"/>
          <w:lang w:val="en-US" w:eastAsia="zh-CN"/>
        </w:rPr>
      </w:pPr>
      <w:r>
        <w:rPr>
          <w:rFonts w:hint="eastAsia" w:asciiTheme="minorEastAsia" w:hAnsiTheme="minorEastAsia" w:eastAsiaTheme="minorEastAsia" w:cstheme="minorEastAsia"/>
          <w:strike w:val="0"/>
          <w:dstrike w:val="0"/>
          <w:sz w:val="24"/>
          <w:szCs w:val="18"/>
          <w:highlight w:val="none"/>
          <w:lang w:val="en-US" w:eastAsia="zh-CN"/>
        </w:rPr>
        <w:t>（7）药品运输包装应符合国家发布的包装标准，包装要合理、规范，能保护物品在流通过程中避免或减轻各种外力的损害，便于储运,具有足够的强度、刚度与稳定性，具有防水、防潮、防虫、防腐、防盗等防护能力。</w:t>
      </w:r>
    </w:p>
    <w:p w14:paraId="7397F07E">
      <w:pPr>
        <w:spacing w:line="360" w:lineRule="auto"/>
        <w:ind w:firstLine="480" w:firstLineChars="200"/>
        <w:rPr>
          <w:rFonts w:hint="default"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3.未按约定时间完成配送，每延误1天，招标人可对中标人处以该批次配送货物总金额0.5%的违约金，最低不低于100元，逾期7天的，招标人有权单方面解除合同，由此所造成的法律责任和经济责任由中标人负责，请中标人自行考虑投标风险。</w:t>
      </w:r>
    </w:p>
    <w:p w14:paraId="1FAA29E4">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4.中标人供应药品的因质量问题引起的一切赔偿、罚款等均由中标人承担，并无条件退换货，如拒绝退换货，对应货款不予支付，造成后果的，招标人有权追究其相应责任。</w:t>
      </w:r>
    </w:p>
    <w:p w14:paraId="75C40CB9">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5.采购双方在药品购销过程中严格执行《中华人民共和国药品管理法》、《医疗机构药事管理规定》和《处方管理办法》等法律法规的有关规定，诚信经营。</w:t>
      </w:r>
    </w:p>
    <w:p w14:paraId="6ECD450A">
      <w:pPr>
        <w:spacing w:line="360" w:lineRule="auto"/>
        <w:ind w:firstLine="437"/>
        <w:rPr>
          <w:rFonts w:hint="default" w:asciiTheme="minorEastAsia" w:hAnsiTheme="minorEastAsia" w:eastAsiaTheme="minorEastAsia" w:cstheme="minorEastAsia"/>
          <w:b/>
          <w:sz w:val="24"/>
          <w:szCs w:val="18"/>
          <w:highlight w:val="none"/>
          <w:lang w:val="en-US" w:eastAsia="zh-CN"/>
        </w:rPr>
      </w:pPr>
      <w:r>
        <w:rPr>
          <w:rFonts w:hint="eastAsia" w:asciiTheme="minorEastAsia" w:hAnsiTheme="minorEastAsia" w:eastAsiaTheme="minorEastAsia" w:cstheme="minorEastAsia"/>
          <w:b/>
          <w:sz w:val="24"/>
          <w:szCs w:val="18"/>
          <w:highlight w:val="none"/>
          <w:lang w:val="en-US" w:eastAsia="zh-CN"/>
        </w:rPr>
        <w:t>四、报价要求</w:t>
      </w:r>
    </w:p>
    <w:p w14:paraId="6D8D6200">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1.本项目以</w:t>
      </w:r>
      <w:r>
        <w:rPr>
          <w:rFonts w:hint="eastAsia" w:asciiTheme="minorEastAsia" w:hAnsiTheme="minorEastAsia" w:eastAsiaTheme="minorEastAsia" w:cstheme="minorEastAsia"/>
          <w:b/>
          <w:bCs/>
          <w:sz w:val="24"/>
          <w:szCs w:val="18"/>
          <w:highlight w:val="none"/>
          <w:lang w:val="en-US" w:eastAsia="zh-CN"/>
        </w:rPr>
        <w:t>安徽省医药集中采购平台供货签收当日最新挂网价格为基准价</w:t>
      </w:r>
      <w:r>
        <w:rPr>
          <w:rFonts w:hint="eastAsia" w:asciiTheme="minorEastAsia" w:hAnsiTheme="minorEastAsia" w:eastAsiaTheme="minorEastAsia" w:cstheme="minorEastAsia"/>
          <w:sz w:val="24"/>
          <w:szCs w:val="18"/>
          <w:highlight w:val="none"/>
          <w:lang w:val="en-US" w:eastAsia="zh-CN"/>
        </w:rPr>
        <w:t>，采用费率报价的方式，即百分之</w:t>
      </w:r>
      <w:r>
        <w:rPr>
          <w:rFonts w:hint="eastAsia" w:asciiTheme="minorEastAsia" w:hAnsiTheme="minorEastAsia" w:eastAsiaTheme="minorEastAsia" w:cstheme="minorEastAsia"/>
          <w:sz w:val="24"/>
          <w:szCs w:val="18"/>
          <w:highlight w:val="none"/>
          <w:u w:val="single"/>
          <w:lang w:val="en-US" w:eastAsia="zh-CN"/>
        </w:rPr>
        <w:t xml:space="preserve">   </w:t>
      </w:r>
      <w:r>
        <w:rPr>
          <w:rFonts w:hint="eastAsia" w:asciiTheme="minorEastAsia" w:hAnsiTheme="minorEastAsia" w:eastAsiaTheme="minorEastAsia" w:cstheme="minorEastAsia"/>
          <w:sz w:val="24"/>
          <w:szCs w:val="18"/>
          <w:highlight w:val="none"/>
          <w:lang w:val="en-US" w:eastAsia="zh-CN"/>
        </w:rPr>
        <w:t>，最高不得超过100%（报价费率保留小数点后最多两位，如中标人报价费率为85.356%，小数点后第三位直接舍去，评审时投标人的评审费率即为85.35%，后期按85.35%结算）。</w:t>
      </w:r>
      <w:r>
        <w:rPr>
          <w:rFonts w:hint="eastAsia" w:asciiTheme="minorEastAsia" w:hAnsiTheme="minorEastAsia" w:eastAsiaTheme="minorEastAsia" w:cstheme="minorEastAsia"/>
          <w:b/>
          <w:bCs/>
          <w:sz w:val="24"/>
          <w:szCs w:val="18"/>
          <w:highlight w:val="none"/>
          <w:lang w:val="en-US" w:eastAsia="zh-CN"/>
        </w:rPr>
        <w:t>根据国家、省市政策规定不能二次议价药品品种不按照此费率执行，直接按签收当日平台最新挂网价格执行。</w:t>
      </w:r>
    </w:p>
    <w:p w14:paraId="433675AB">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2.投标人的报价应包含不限于所投货物、达到可使用状态的全部辅材、保险、税费、包装、调换、损耗、运输（含冷链运输）、现场落地、检测、验收、税金等完成工作所发生的一切应有费用，数量据实结算。以上所有费用均由成交投标人承担，投标人应自行考虑本项目报价风险。</w:t>
      </w:r>
    </w:p>
    <w:p w14:paraId="08428D50">
      <w:pPr>
        <w:spacing w:line="360" w:lineRule="auto"/>
        <w:ind w:firstLine="480" w:firstLineChars="200"/>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3.中标人按招标人实际需求分批配送、据实结算。本项目不设保底量，投标人须综合考虑中标后可能出现的实际配送量与招标文件预算之间的差距。招标人后期仅根据招标文件列明的方式据实结算（挂网基准价*中标费率*经招标人确认的实际供货数量），不再追加除此之外的其他费用。</w:t>
      </w:r>
    </w:p>
    <w:p w14:paraId="53C31A04">
      <w:pPr>
        <w:spacing w:line="240" w:lineRule="auto"/>
        <w:ind w:firstLine="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sz w:val="24"/>
          <w:szCs w:val="28"/>
          <w:highlight w:val="none"/>
          <w:lang w:val="en-US" w:eastAsia="zh-CN"/>
        </w:rPr>
        <w:br w:type="page"/>
      </w:r>
      <w:bookmarkStart w:id="42" w:name="_Toc7286"/>
    </w:p>
    <w:p w14:paraId="010B4F21">
      <w:pPr>
        <w:spacing w:line="360" w:lineRule="auto"/>
        <w:ind w:firstLine="437"/>
        <w:rPr>
          <w:rFonts w:hint="default" w:asciiTheme="minorEastAsia" w:hAnsiTheme="minorEastAsia" w:eastAsiaTheme="minorEastAsia" w:cstheme="minorEastAsia"/>
          <w:b/>
          <w:sz w:val="24"/>
          <w:szCs w:val="18"/>
          <w:highlight w:val="none"/>
          <w:lang w:val="en-US" w:eastAsia="zh-CN"/>
        </w:rPr>
      </w:pPr>
      <w:r>
        <w:rPr>
          <w:rFonts w:hint="eastAsia" w:asciiTheme="minorEastAsia" w:hAnsiTheme="minorEastAsia" w:eastAsiaTheme="minorEastAsia" w:cstheme="minorEastAsia"/>
          <w:b/>
          <w:sz w:val="24"/>
          <w:szCs w:val="18"/>
          <w:highlight w:val="none"/>
          <w:lang w:val="en-US" w:eastAsia="zh-CN"/>
        </w:rPr>
        <w:t>五、年度考核表</w:t>
      </w:r>
    </w:p>
    <w:tbl>
      <w:tblPr>
        <w:tblStyle w:val="41"/>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8"/>
        <w:gridCol w:w="1290"/>
        <w:gridCol w:w="5820"/>
        <w:gridCol w:w="1045"/>
        <w:gridCol w:w="20"/>
      </w:tblGrid>
      <w:tr w14:paraId="0871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8" w:hRule="atLeast"/>
          <w:jc w:val="center"/>
        </w:trPr>
        <w:tc>
          <w:tcPr>
            <w:tcW w:w="1058" w:type="dxa"/>
            <w:tcMar>
              <w:top w:w="60" w:type="dxa"/>
              <w:left w:w="120" w:type="dxa"/>
              <w:bottom w:w="30" w:type="dxa"/>
              <w:right w:w="120" w:type="dxa"/>
            </w:tcMar>
            <w:vAlign w:val="center"/>
          </w:tcPr>
          <w:p w14:paraId="0446382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290" w:type="dxa"/>
            <w:tcMar>
              <w:top w:w="60" w:type="dxa"/>
              <w:left w:w="120" w:type="dxa"/>
              <w:bottom w:w="30" w:type="dxa"/>
              <w:right w:w="120" w:type="dxa"/>
            </w:tcMar>
            <w:vAlign w:val="center"/>
          </w:tcPr>
          <w:p w14:paraId="2E226D7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考核</w:t>
            </w:r>
            <w:r>
              <w:rPr>
                <w:rFonts w:hint="eastAsia" w:ascii="宋体" w:hAnsi="宋体" w:eastAsia="宋体" w:cs="宋体"/>
                <w:sz w:val="21"/>
                <w:szCs w:val="21"/>
                <w:lang w:val="en-US" w:eastAsia="zh-CN"/>
              </w:rPr>
              <w:t>项目</w:t>
            </w:r>
          </w:p>
        </w:tc>
        <w:tc>
          <w:tcPr>
            <w:tcW w:w="5820" w:type="dxa"/>
            <w:tcMar>
              <w:top w:w="60" w:type="dxa"/>
              <w:left w:w="120" w:type="dxa"/>
              <w:bottom w:w="30" w:type="dxa"/>
              <w:right w:w="120" w:type="dxa"/>
            </w:tcMar>
            <w:vAlign w:val="center"/>
          </w:tcPr>
          <w:p w14:paraId="6A457EE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考核标</w:t>
            </w:r>
            <w:r>
              <w:rPr>
                <w:rFonts w:hint="eastAsia" w:ascii="宋体" w:hAnsi="宋体" w:eastAsia="宋体" w:cs="宋体"/>
                <w:sz w:val="21"/>
                <w:szCs w:val="21"/>
                <w:lang w:val="en-US" w:eastAsia="zh-CN"/>
              </w:rPr>
              <w:t>内容</w:t>
            </w:r>
          </w:p>
        </w:tc>
        <w:tc>
          <w:tcPr>
            <w:tcW w:w="1065" w:type="dxa"/>
            <w:gridSpan w:val="2"/>
            <w:tcMar>
              <w:top w:w="60" w:type="dxa"/>
              <w:left w:w="120" w:type="dxa"/>
              <w:bottom w:w="30" w:type="dxa"/>
              <w:right w:w="120" w:type="dxa"/>
            </w:tcMar>
            <w:vAlign w:val="center"/>
          </w:tcPr>
          <w:p w14:paraId="61C6B56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评分</w:t>
            </w:r>
          </w:p>
        </w:tc>
      </w:tr>
      <w:tr w14:paraId="6EBC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9" w:hRule="atLeast"/>
          <w:jc w:val="center"/>
        </w:trPr>
        <w:tc>
          <w:tcPr>
            <w:tcW w:w="1058" w:type="dxa"/>
            <w:tcMar>
              <w:top w:w="60" w:type="dxa"/>
              <w:left w:w="120" w:type="dxa"/>
              <w:bottom w:w="30" w:type="dxa"/>
              <w:right w:w="120" w:type="dxa"/>
            </w:tcMar>
            <w:vAlign w:val="center"/>
          </w:tcPr>
          <w:p w14:paraId="3F9668B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290" w:type="dxa"/>
            <w:tcMar>
              <w:top w:w="60" w:type="dxa"/>
              <w:left w:w="120" w:type="dxa"/>
              <w:bottom w:w="30" w:type="dxa"/>
              <w:right w:w="120" w:type="dxa"/>
            </w:tcMar>
            <w:vAlign w:val="center"/>
          </w:tcPr>
          <w:p w14:paraId="5995B42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配送时效（2</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5820" w:type="dxa"/>
            <w:tcMar>
              <w:top w:w="60" w:type="dxa"/>
              <w:left w:w="120" w:type="dxa"/>
              <w:bottom w:w="30" w:type="dxa"/>
              <w:right w:w="120" w:type="dxa"/>
            </w:tcMar>
            <w:vAlign w:val="center"/>
          </w:tcPr>
          <w:p w14:paraId="54D5345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常规药品接供货通知后5个工作日内送达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p w14:paraId="5BFF751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紧急药品24小时内送达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p w14:paraId="6E4A357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3.稀缺药品7日内到货。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11A2F89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客观原因经招标人书面确认可免予扣</w:t>
            </w:r>
            <w:r>
              <w:rPr>
                <w:rFonts w:hint="eastAsia" w:ascii="宋体" w:hAnsi="宋体" w:eastAsia="宋体" w:cs="宋体"/>
                <w:sz w:val="21"/>
                <w:szCs w:val="21"/>
                <w:lang w:val="en-US" w:eastAsia="zh-CN"/>
              </w:rPr>
              <w:t>分）</w:t>
            </w:r>
          </w:p>
        </w:tc>
        <w:tc>
          <w:tcPr>
            <w:tcW w:w="1065" w:type="dxa"/>
            <w:gridSpan w:val="2"/>
            <w:tcMar>
              <w:top w:w="60" w:type="dxa"/>
              <w:left w:w="120" w:type="dxa"/>
              <w:bottom w:w="30" w:type="dxa"/>
              <w:right w:w="120" w:type="dxa"/>
            </w:tcMar>
            <w:vAlign w:val="center"/>
          </w:tcPr>
          <w:p w14:paraId="44B1AE11">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5C60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251B2E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290" w:type="dxa"/>
            <w:tcMar>
              <w:top w:w="60" w:type="dxa"/>
              <w:left w:w="120" w:type="dxa"/>
              <w:bottom w:w="30" w:type="dxa"/>
              <w:right w:w="120" w:type="dxa"/>
            </w:tcMar>
            <w:vAlign w:val="center"/>
          </w:tcPr>
          <w:p w14:paraId="05932218">
            <w:pPr>
              <w:pStyle w:val="2"/>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药品质量及效期管理</w:t>
            </w:r>
          </w:p>
          <w:p w14:paraId="668DEB09">
            <w:pPr>
              <w:pStyle w:val="2"/>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5820" w:type="dxa"/>
            <w:tcMar>
              <w:top w:w="60" w:type="dxa"/>
              <w:left w:w="120" w:type="dxa"/>
              <w:bottom w:w="30" w:type="dxa"/>
              <w:right w:w="120" w:type="dxa"/>
            </w:tcMar>
            <w:vAlign w:val="center"/>
          </w:tcPr>
          <w:p w14:paraId="5636CB5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eastAsia="zh-CN"/>
              </w:rPr>
              <w:t>配送药品剩余有效期不低于总效期三分之二，无违规情况；（</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5066F3E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eastAsia="zh-CN"/>
              </w:rPr>
              <w:t>所有药品具备合法批准文号，随货附带质检报告；（</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p w14:paraId="79929BA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3.药品到货验收不合格、包装破损、质量不达标</w:t>
            </w:r>
            <w:r>
              <w:rPr>
                <w:rFonts w:hint="eastAsia" w:ascii="宋体" w:hAnsi="宋体" w:eastAsia="宋体" w:cs="宋体"/>
                <w:sz w:val="21"/>
                <w:szCs w:val="21"/>
                <w:lang w:val="en-US" w:eastAsia="zh-CN"/>
              </w:rPr>
              <w:t>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649D61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4.配合招标人质量抽检、送检工作。（</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1065" w:type="dxa"/>
            <w:gridSpan w:val="2"/>
            <w:tcMar>
              <w:top w:w="60" w:type="dxa"/>
              <w:left w:w="120" w:type="dxa"/>
              <w:bottom w:w="30" w:type="dxa"/>
              <w:right w:w="120" w:type="dxa"/>
            </w:tcMar>
            <w:vAlign w:val="center"/>
          </w:tcPr>
          <w:p w14:paraId="4331F3D7">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21C3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4" w:hRule="atLeast"/>
          <w:jc w:val="center"/>
        </w:trPr>
        <w:tc>
          <w:tcPr>
            <w:tcW w:w="1058" w:type="dxa"/>
            <w:tcMar>
              <w:top w:w="60" w:type="dxa"/>
              <w:left w:w="120" w:type="dxa"/>
              <w:bottom w:w="30" w:type="dxa"/>
              <w:right w:w="120" w:type="dxa"/>
            </w:tcMar>
            <w:vAlign w:val="center"/>
          </w:tcPr>
          <w:p w14:paraId="3590388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90" w:type="dxa"/>
            <w:tcMar>
              <w:top w:w="60" w:type="dxa"/>
              <w:left w:w="120" w:type="dxa"/>
              <w:bottom w:w="30" w:type="dxa"/>
              <w:right w:w="120" w:type="dxa"/>
            </w:tcMar>
            <w:vAlign w:val="center"/>
          </w:tcPr>
          <w:p w14:paraId="4389A1A1">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售后退换货及召回管理（15分）</w:t>
            </w:r>
          </w:p>
        </w:tc>
        <w:tc>
          <w:tcPr>
            <w:tcW w:w="5820" w:type="dxa"/>
            <w:tcMar>
              <w:top w:w="60" w:type="dxa"/>
              <w:left w:w="120" w:type="dxa"/>
              <w:bottom w:w="30" w:type="dxa"/>
              <w:right w:w="120" w:type="dxa"/>
            </w:tcMar>
            <w:vAlign w:val="center"/>
          </w:tcPr>
          <w:p w14:paraId="320D93E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开票7日内、包装完好药品可免费退换货</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2CA3DAF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接到药品召回通知后，及时告知、配合完成召回工作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66632DF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3.质量问题引发退换货不及时、影响院内运营</w:t>
            </w:r>
            <w:r>
              <w:rPr>
                <w:rFonts w:hint="eastAsia" w:ascii="宋体" w:hAnsi="宋体" w:eastAsia="宋体" w:cs="宋体"/>
                <w:sz w:val="21"/>
                <w:szCs w:val="21"/>
                <w:lang w:val="en-US"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1065" w:type="dxa"/>
            <w:gridSpan w:val="2"/>
            <w:tcMar>
              <w:top w:w="60" w:type="dxa"/>
              <w:left w:w="120" w:type="dxa"/>
              <w:bottom w:w="30" w:type="dxa"/>
              <w:right w:w="120" w:type="dxa"/>
            </w:tcMar>
            <w:vAlign w:val="center"/>
          </w:tcPr>
          <w:p w14:paraId="736A35B7">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57DC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3" w:hRule="atLeast"/>
          <w:jc w:val="center"/>
        </w:trPr>
        <w:tc>
          <w:tcPr>
            <w:tcW w:w="1058" w:type="dxa"/>
            <w:tcMar>
              <w:top w:w="60" w:type="dxa"/>
              <w:left w:w="120" w:type="dxa"/>
              <w:bottom w:w="30" w:type="dxa"/>
              <w:right w:w="120" w:type="dxa"/>
            </w:tcMar>
            <w:vAlign w:val="center"/>
          </w:tcPr>
          <w:p w14:paraId="6551B6D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290" w:type="dxa"/>
            <w:tcMar>
              <w:top w:w="60" w:type="dxa"/>
              <w:left w:w="120" w:type="dxa"/>
              <w:bottom w:w="30" w:type="dxa"/>
              <w:right w:w="120" w:type="dxa"/>
            </w:tcMar>
            <w:vAlign w:val="center"/>
          </w:tcPr>
          <w:p w14:paraId="2D376FAF">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新增药品适配履约</w:t>
            </w:r>
          </w:p>
          <w:p w14:paraId="52B682D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5820" w:type="dxa"/>
            <w:tcMar>
              <w:top w:w="60" w:type="dxa"/>
              <w:left w:w="120" w:type="dxa"/>
              <w:bottom w:w="30" w:type="dxa"/>
              <w:right w:w="120" w:type="dxa"/>
            </w:tcMar>
            <w:vAlign w:val="center"/>
          </w:tcPr>
          <w:p w14:paraId="587A8E0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招标人新增药品品类、品牌，供应商积极配合供货、及时响应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p w14:paraId="2966797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rPr>
            </w:pPr>
            <w:r>
              <w:rPr>
                <w:rFonts w:hint="eastAsia" w:ascii="宋体" w:hAnsi="宋体" w:eastAsia="宋体" w:cs="宋体"/>
                <w:sz w:val="21"/>
                <w:szCs w:val="21"/>
                <w:lang w:val="en-US" w:eastAsia="zh-CN"/>
              </w:rPr>
              <w:t>2.对</w:t>
            </w:r>
            <w:r>
              <w:rPr>
                <w:rFonts w:hint="eastAsia" w:ascii="宋体" w:hAnsi="宋体" w:eastAsia="宋体" w:cs="宋体"/>
                <w:sz w:val="21"/>
                <w:szCs w:val="21"/>
              </w:rPr>
              <w:t>新增药品品类、品牌</w:t>
            </w:r>
            <w:r>
              <w:rPr>
                <w:rFonts w:hint="eastAsia" w:ascii="宋体" w:hAnsi="宋体" w:eastAsia="宋体" w:cs="宋体"/>
                <w:sz w:val="21"/>
                <w:szCs w:val="21"/>
                <w:lang w:val="en-US" w:eastAsia="zh-CN"/>
              </w:rPr>
              <w:t>优先完成配送情况。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1065" w:type="dxa"/>
            <w:gridSpan w:val="2"/>
            <w:tcMar>
              <w:top w:w="60" w:type="dxa"/>
              <w:left w:w="120" w:type="dxa"/>
              <w:bottom w:w="30" w:type="dxa"/>
              <w:right w:w="120" w:type="dxa"/>
            </w:tcMar>
            <w:vAlign w:val="center"/>
          </w:tcPr>
          <w:p w14:paraId="65519AF7">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21C5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0A31F7B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290" w:type="dxa"/>
            <w:tcMar>
              <w:top w:w="60" w:type="dxa"/>
              <w:left w:w="120" w:type="dxa"/>
              <w:bottom w:w="30" w:type="dxa"/>
              <w:right w:w="120" w:type="dxa"/>
            </w:tcMar>
            <w:vAlign w:val="center"/>
          </w:tcPr>
          <w:p w14:paraId="6B4B01E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服务态度</w:t>
            </w:r>
          </w:p>
          <w:p w14:paraId="3D716D55">
            <w:pPr>
              <w:pStyle w:val="2"/>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20分</w:t>
            </w:r>
            <w:r>
              <w:rPr>
                <w:rFonts w:hint="eastAsia" w:ascii="宋体" w:hAnsi="宋体" w:eastAsia="宋体" w:cs="宋体"/>
                <w:sz w:val="21"/>
                <w:szCs w:val="21"/>
                <w:lang w:eastAsia="zh-CN"/>
              </w:rPr>
              <w:t>）</w:t>
            </w:r>
          </w:p>
        </w:tc>
        <w:tc>
          <w:tcPr>
            <w:tcW w:w="5820" w:type="dxa"/>
            <w:tcMar>
              <w:top w:w="60" w:type="dxa"/>
              <w:left w:w="120" w:type="dxa"/>
              <w:bottom w:w="30" w:type="dxa"/>
              <w:right w:w="120" w:type="dxa"/>
            </w:tcMar>
            <w:vAlign w:val="center"/>
          </w:tcPr>
          <w:p w14:paraId="35EBA4B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严格按照中标费率履约，无擅自涨价、拒供、挑供情况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01D74D3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2.无</w:t>
            </w:r>
            <w:r>
              <w:rPr>
                <w:rFonts w:hint="eastAsia" w:ascii="宋体" w:hAnsi="宋体" w:eastAsia="宋体" w:cs="宋体"/>
                <w:sz w:val="21"/>
                <w:szCs w:val="21"/>
              </w:rPr>
              <w:t>以药价上涨、采购量少、无货等理由拒绝正常配送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5BE7D35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3.严格遵守《药品管理法》等相关法律法规，诚信合规经营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p w14:paraId="6A4A214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4.严格执行安徽省药采平台最新挂网价调价规则。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1065" w:type="dxa"/>
            <w:gridSpan w:val="2"/>
            <w:tcMar>
              <w:top w:w="60" w:type="dxa"/>
              <w:left w:w="120" w:type="dxa"/>
              <w:bottom w:w="30" w:type="dxa"/>
              <w:right w:w="120" w:type="dxa"/>
            </w:tcMar>
            <w:vAlign w:val="center"/>
          </w:tcPr>
          <w:p w14:paraId="3AE06EE9">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0EFF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jc w:val="center"/>
        </w:trPr>
        <w:tc>
          <w:tcPr>
            <w:tcW w:w="9213" w:type="dxa"/>
            <w:gridSpan w:val="4"/>
            <w:tcMar>
              <w:top w:w="60" w:type="dxa"/>
              <w:left w:w="120" w:type="dxa"/>
              <w:bottom w:w="30" w:type="dxa"/>
              <w:right w:w="120" w:type="dxa"/>
            </w:tcMar>
          </w:tcPr>
          <w:p w14:paraId="74120807">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总分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100分</w:t>
            </w:r>
          </w:p>
        </w:tc>
      </w:tr>
      <w:tr w14:paraId="320A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jc w:val="center"/>
        </w:trPr>
        <w:tc>
          <w:tcPr>
            <w:tcW w:w="9213" w:type="dxa"/>
            <w:gridSpan w:val="4"/>
            <w:tcMar>
              <w:top w:w="60" w:type="dxa"/>
              <w:left w:w="120" w:type="dxa"/>
              <w:bottom w:w="30" w:type="dxa"/>
              <w:right w:w="120" w:type="dxa"/>
            </w:tcMar>
          </w:tcPr>
          <w:p w14:paraId="72FF0FA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（1）本考核总分100分，考核结果作为合同续签、后续合作及履约评价的核心依据；</w:t>
            </w:r>
          </w:p>
          <w:p w14:paraId="27667B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（2）涉及违约金的，按招标文件相关约定执行，与考核扣分并行；</w:t>
            </w:r>
          </w:p>
          <w:p w14:paraId="3DE602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（3）考核周期内出现重大违规情况，直接判定考核不合格，招标人有权解除合同。</w:t>
            </w:r>
          </w:p>
          <w:p w14:paraId="2B06B075">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1"/>
                <w:szCs w:val="21"/>
              </w:rPr>
            </w:pPr>
            <w:r>
              <w:rPr>
                <w:rFonts w:hint="eastAsia" w:ascii="宋体" w:hAnsi="宋体" w:eastAsia="宋体" w:cs="宋体"/>
                <w:kern w:val="2"/>
                <w:sz w:val="21"/>
                <w:szCs w:val="21"/>
                <w:highlight w:val="none"/>
                <w:lang w:val="en-US" w:eastAsia="zh-CN" w:bidi="ar-SA"/>
              </w:rPr>
              <w:t>（4）优秀（90分及以上）：符合合同续签条件，优先考虑续签；合格（70-89分）：基本符合履约要求，需针对扣分项整改，整改合格后方可考虑续签；不合格（70分以下）：不符合履约要求，招标人有权不予续签合同，情节严重的可按约定解除合同。</w:t>
            </w:r>
          </w:p>
        </w:tc>
      </w:tr>
      <w:tr w14:paraId="5376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jc w:val="center"/>
        </w:trPr>
        <w:tc>
          <w:tcPr>
            <w:tcW w:w="9213" w:type="dxa"/>
            <w:gridSpan w:val="4"/>
            <w:tcMar>
              <w:top w:w="60" w:type="dxa"/>
              <w:left w:w="120" w:type="dxa"/>
              <w:bottom w:w="30" w:type="dxa"/>
              <w:right w:w="120" w:type="dxa"/>
            </w:tcMar>
          </w:tcPr>
          <w:p w14:paraId="111408A4">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宋体" w:hAnsi="宋体" w:eastAsia="宋体" w:cs="@仿宋_GB2312"/>
                <w:kern w:val="2"/>
                <w:sz w:val="24"/>
                <w:szCs w:val="18"/>
                <w:highlight w:val="none"/>
                <w:lang w:val="en-US" w:eastAsia="zh-CN" w:bidi="ar-SA"/>
              </w:rPr>
            </w:pPr>
            <w:r>
              <w:rPr>
                <w:rFonts w:hint="eastAsia" w:ascii="宋体" w:hAnsi="宋体" w:cs="@仿宋_GB2312"/>
                <w:kern w:val="2"/>
                <w:sz w:val="24"/>
                <w:szCs w:val="18"/>
                <w:highlight w:val="none"/>
                <w:lang w:val="en-US" w:eastAsia="zh-CN" w:bidi="ar-SA"/>
              </w:rPr>
              <w:t>甲方（盖章）：                         乙方（盖章）：</w:t>
            </w:r>
          </w:p>
        </w:tc>
      </w:tr>
    </w:tbl>
    <w:p w14:paraId="28C11111">
      <w:pP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28D03CF6">
      <w:pPr>
        <w:spacing w:line="360" w:lineRule="auto"/>
        <w:jc w:val="center"/>
        <w:outlineLvl w:val="1"/>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第四章  评标办法</w:t>
      </w:r>
    </w:p>
    <w:p w14:paraId="7EA436DE">
      <w:pPr>
        <w:shd w:val="clear" w:color="auto" w:fill="auto"/>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一、总则</w:t>
      </w:r>
    </w:p>
    <w:p w14:paraId="3D68A6D0">
      <w:pPr>
        <w:shd w:val="clear" w:color="auto" w:fill="auto"/>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本项目将按照招标文件第二章 投标人须知的相关要求及本章的规定评标。</w:t>
      </w:r>
    </w:p>
    <w:p w14:paraId="49A1F963">
      <w:pPr>
        <w:shd w:val="clear" w:color="auto" w:fill="auto"/>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二、评标方法</w:t>
      </w:r>
    </w:p>
    <w:p w14:paraId="2E95613E">
      <w:pPr>
        <w:shd w:val="clear" w:color="auto" w:fill="auto"/>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2.1资格审查</w:t>
      </w:r>
    </w:p>
    <w:p w14:paraId="4DC428DB">
      <w:pPr>
        <w:shd w:val="clear" w:color="auto" w:fill="auto"/>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57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0117E215">
            <w:pPr>
              <w:shd w:val="clear" w:color="auto" w:fill="auto"/>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2"/>
                <w:highlight w:val="none"/>
              </w:rPr>
              <w:t>资格审查表</w:t>
            </w:r>
          </w:p>
        </w:tc>
      </w:tr>
      <w:tr w14:paraId="1A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5AA62FFD">
            <w:pPr>
              <w:shd w:val="clear" w:color="auto" w:fill="auto"/>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50" w:type="dxa"/>
            <w:tcBorders>
              <w:bottom w:val="single" w:color="auto" w:sz="4" w:space="0"/>
            </w:tcBorders>
            <w:noWrap w:val="0"/>
            <w:vAlign w:val="center"/>
          </w:tcPr>
          <w:p w14:paraId="4743468C">
            <w:pPr>
              <w:pStyle w:val="61"/>
              <w:pBdr>
                <w:bottom w:val="none" w:color="auto" w:sz="0" w:space="0"/>
              </w:pBdr>
              <w:shd w:val="clear" w:color="auto" w:fill="auto"/>
              <w:tabs>
                <w:tab w:val="clear" w:pos="4153"/>
                <w:tab w:val="clear" w:pos="8306"/>
              </w:tabs>
              <w:snapToGrid w:val="0"/>
              <w:spacing w:line="360" w:lineRule="auto"/>
              <w:ind w:right="-10"/>
              <w:jc w:val="center"/>
              <w:textAlignment w:val="auto"/>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评审指标</w:t>
            </w:r>
          </w:p>
        </w:tc>
        <w:tc>
          <w:tcPr>
            <w:tcW w:w="2192" w:type="dxa"/>
            <w:tcBorders>
              <w:bottom w:val="single" w:color="auto" w:sz="4" w:space="0"/>
            </w:tcBorders>
            <w:noWrap w:val="0"/>
            <w:vAlign w:val="center"/>
          </w:tcPr>
          <w:p w14:paraId="36AFC0B5">
            <w:pPr>
              <w:shd w:val="clear" w:color="auto" w:fill="auto"/>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评审标准</w:t>
            </w:r>
          </w:p>
        </w:tc>
        <w:tc>
          <w:tcPr>
            <w:tcW w:w="4674" w:type="dxa"/>
            <w:tcBorders>
              <w:bottom w:val="single" w:color="auto" w:sz="4" w:space="0"/>
            </w:tcBorders>
            <w:noWrap w:val="0"/>
            <w:vAlign w:val="center"/>
          </w:tcPr>
          <w:p w14:paraId="312CB3C3">
            <w:pPr>
              <w:shd w:val="clear" w:color="auto" w:fill="auto"/>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格式及材料要求</w:t>
            </w:r>
          </w:p>
        </w:tc>
      </w:tr>
      <w:tr w14:paraId="6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149CBD9E">
            <w:pPr>
              <w:shd w:val="clear" w:color="auto" w:fill="auto"/>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650" w:type="dxa"/>
            <w:noWrap w:val="0"/>
            <w:vAlign w:val="center"/>
          </w:tcPr>
          <w:p w14:paraId="4AA86155">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营业执照</w:t>
            </w:r>
          </w:p>
        </w:tc>
        <w:tc>
          <w:tcPr>
            <w:tcW w:w="2192" w:type="dxa"/>
            <w:tcBorders>
              <w:bottom w:val="single" w:color="auto" w:sz="4" w:space="0"/>
            </w:tcBorders>
            <w:noWrap w:val="0"/>
            <w:vAlign w:val="center"/>
          </w:tcPr>
          <w:p w14:paraId="288569C9">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合法有效</w:t>
            </w:r>
          </w:p>
        </w:tc>
        <w:tc>
          <w:tcPr>
            <w:tcW w:w="4674" w:type="dxa"/>
            <w:noWrap w:val="0"/>
            <w:vAlign w:val="center"/>
          </w:tcPr>
          <w:p w14:paraId="556CBA75">
            <w:pPr>
              <w:shd w:val="clear" w:color="auto" w:fill="auto"/>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提供有效的投标人营业执照（或事业单位法人登记证书）复印件，应</w:t>
            </w:r>
            <w:r>
              <w:rPr>
                <w:rFonts w:hint="eastAsia" w:asciiTheme="minorEastAsia" w:hAnsiTheme="minorEastAsia" w:eastAsiaTheme="minorEastAsia" w:cstheme="minorEastAsia"/>
                <w:color w:val="auto"/>
                <w:sz w:val="24"/>
                <w:highlight w:val="none"/>
                <w:lang w:eastAsia="zh-CN"/>
              </w:rPr>
              <w:t>完整地体现</w:t>
            </w:r>
            <w:r>
              <w:rPr>
                <w:rFonts w:hint="eastAsia" w:asciiTheme="minorEastAsia" w:hAnsiTheme="minorEastAsia" w:eastAsiaTheme="minorEastAsia" w:cstheme="minorEastAsia"/>
                <w:color w:val="auto"/>
                <w:sz w:val="24"/>
                <w:highlight w:val="none"/>
              </w:rPr>
              <w:t>出营业执照（或事业单位法人登记证书）的全部内容。联合体投标的联合体各方均须提供。</w:t>
            </w:r>
          </w:p>
        </w:tc>
      </w:tr>
      <w:tr w14:paraId="421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68681BA7">
            <w:pPr>
              <w:shd w:val="clear" w:color="auto" w:fill="auto"/>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650" w:type="dxa"/>
            <w:noWrap w:val="0"/>
            <w:vAlign w:val="center"/>
          </w:tcPr>
          <w:p w14:paraId="35E32FEC">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18"/>
                <w:highlight w:val="none"/>
              </w:rPr>
              <w:t>不良信用记录查询</w:t>
            </w:r>
          </w:p>
        </w:tc>
        <w:tc>
          <w:tcPr>
            <w:tcW w:w="2192" w:type="dxa"/>
            <w:noWrap w:val="0"/>
            <w:vAlign w:val="center"/>
          </w:tcPr>
          <w:p w14:paraId="45A7F59B">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投标人不得存在投</w:t>
            </w:r>
          </w:p>
          <w:p w14:paraId="4649F7DB">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标人资格中的不良</w:t>
            </w:r>
          </w:p>
          <w:p w14:paraId="330B4380">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信用记录情形</w:t>
            </w:r>
          </w:p>
        </w:tc>
        <w:tc>
          <w:tcPr>
            <w:tcW w:w="4674" w:type="dxa"/>
            <w:noWrap w:val="0"/>
            <w:vAlign w:val="center"/>
          </w:tcPr>
          <w:p w14:paraId="3A9C746C">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rPr>
            </w:pPr>
          </w:p>
          <w:p w14:paraId="56899FA7">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详见</w:t>
            </w:r>
            <w:r>
              <w:rPr>
                <w:rFonts w:hint="eastAsia" w:asciiTheme="minorEastAsia" w:hAnsiTheme="minorEastAsia" w:eastAsiaTheme="minorEastAsia" w:cstheme="minorEastAsia"/>
                <w:color w:val="auto"/>
                <w:sz w:val="24"/>
                <w:szCs w:val="28"/>
                <w:highlight w:val="none"/>
                <w:lang w:eastAsia="zh-CN"/>
              </w:rPr>
              <w:t>招标公告</w:t>
            </w:r>
          </w:p>
          <w:p w14:paraId="5BC7FA18">
            <w:pPr>
              <w:shd w:val="clear" w:color="auto" w:fill="auto"/>
              <w:spacing w:after="50" w:line="360" w:lineRule="auto"/>
              <w:ind w:right="-10"/>
              <w:jc w:val="center"/>
              <w:rPr>
                <w:rFonts w:hint="eastAsia" w:asciiTheme="minorEastAsia" w:hAnsiTheme="minorEastAsia" w:eastAsiaTheme="minorEastAsia" w:cstheme="minorEastAsia"/>
                <w:color w:val="auto"/>
                <w:sz w:val="24"/>
                <w:szCs w:val="28"/>
                <w:highlight w:val="none"/>
                <w:lang w:eastAsia="zh-CN"/>
              </w:rPr>
            </w:pPr>
          </w:p>
        </w:tc>
      </w:tr>
      <w:tr w14:paraId="08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4CFAABE">
            <w:pPr>
              <w:spacing w:before="75" w:line="192" w:lineRule="auto"/>
              <w:jc w:val="center"/>
              <w:rPr>
                <w:rFonts w:hint="eastAsia" w:asciiTheme="minorEastAsia" w:hAnsiTheme="minorEastAsia" w:eastAsiaTheme="minorEastAsia" w:cstheme="minorEastAsia"/>
                <w:color w:val="auto"/>
                <w:kern w:val="2"/>
                <w:sz w:val="23"/>
                <w:szCs w:val="23"/>
                <w:highlight w:val="none"/>
                <w:lang w:val="en-US" w:eastAsia="zh-CN" w:bidi="ar-SA"/>
              </w:rPr>
            </w:pPr>
            <w:r>
              <w:rPr>
                <w:rFonts w:hint="eastAsia" w:asciiTheme="minorEastAsia" w:hAnsiTheme="minorEastAsia" w:eastAsiaTheme="minorEastAsia" w:cstheme="minorEastAsia"/>
                <w:color w:val="auto"/>
                <w:sz w:val="23"/>
                <w:szCs w:val="23"/>
                <w:highlight w:val="none"/>
                <w:lang w:val="en-US" w:eastAsia="zh-CN"/>
              </w:rPr>
              <w:t>3</w:t>
            </w:r>
          </w:p>
        </w:tc>
        <w:tc>
          <w:tcPr>
            <w:tcW w:w="1650" w:type="dxa"/>
            <w:noWrap w:val="0"/>
            <w:vAlign w:val="center"/>
          </w:tcPr>
          <w:p w14:paraId="767C1FEE">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无不良信用记录声明函</w:t>
            </w:r>
          </w:p>
        </w:tc>
        <w:tc>
          <w:tcPr>
            <w:tcW w:w="2192" w:type="dxa"/>
            <w:noWrap w:val="0"/>
            <w:vAlign w:val="center"/>
          </w:tcPr>
          <w:p w14:paraId="494CAA66">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格式、填写要求符合</w:t>
            </w:r>
            <w:r>
              <w:rPr>
                <w:rFonts w:hint="eastAsia" w:asciiTheme="minorEastAsia" w:hAnsiTheme="minorEastAsia" w:eastAsiaTheme="minorEastAsia" w:cstheme="minorEastAsia"/>
                <w:color w:val="auto"/>
                <w:sz w:val="24"/>
                <w:szCs w:val="18"/>
                <w:highlight w:val="none"/>
                <w:lang w:val="en-US" w:eastAsia="zh-CN"/>
              </w:rPr>
              <w:t>招标</w:t>
            </w:r>
            <w:r>
              <w:rPr>
                <w:rFonts w:hint="eastAsia" w:asciiTheme="minorEastAsia" w:hAnsiTheme="minorEastAsia" w:eastAsiaTheme="minorEastAsia" w:cstheme="minorEastAsia"/>
                <w:color w:val="auto"/>
                <w:sz w:val="24"/>
                <w:szCs w:val="18"/>
                <w:highlight w:val="none"/>
              </w:rPr>
              <w:t>文件规定并加盖投标人签章</w:t>
            </w:r>
          </w:p>
        </w:tc>
        <w:tc>
          <w:tcPr>
            <w:tcW w:w="4674" w:type="dxa"/>
            <w:noWrap w:val="0"/>
            <w:vAlign w:val="center"/>
          </w:tcPr>
          <w:p w14:paraId="4B3887CF">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详见第六章</w:t>
            </w:r>
            <w:r>
              <w:rPr>
                <w:rFonts w:hint="eastAsia" w:asciiTheme="minorEastAsia" w:hAnsiTheme="minorEastAsia" w:eastAsiaTheme="minorEastAsia" w:cstheme="minorEastAsia"/>
                <w:color w:val="auto"/>
                <w:sz w:val="24"/>
                <w:szCs w:val="18"/>
                <w:highlight w:val="none"/>
                <w:lang w:val="en-US" w:eastAsia="zh-CN"/>
              </w:rPr>
              <w:t>投标</w:t>
            </w:r>
            <w:r>
              <w:rPr>
                <w:rFonts w:hint="eastAsia" w:asciiTheme="minorEastAsia" w:hAnsiTheme="minorEastAsia" w:eastAsiaTheme="minorEastAsia" w:cstheme="minorEastAsia"/>
                <w:color w:val="auto"/>
                <w:sz w:val="24"/>
                <w:szCs w:val="18"/>
                <w:highlight w:val="none"/>
              </w:rPr>
              <w:t>文件格式</w:t>
            </w:r>
            <w:r>
              <w:rPr>
                <w:rFonts w:hint="eastAsia" w:asciiTheme="minorEastAsia" w:hAnsiTheme="minorEastAsia" w:eastAsiaTheme="minorEastAsia" w:cstheme="minorEastAsia"/>
                <w:color w:val="auto"/>
                <w:sz w:val="24"/>
                <w:szCs w:val="18"/>
                <w:highlight w:val="none"/>
                <w:lang w:val="en-US" w:eastAsia="zh-CN"/>
              </w:rPr>
              <w:t>三</w:t>
            </w:r>
          </w:p>
        </w:tc>
      </w:tr>
      <w:tr w14:paraId="1B1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0E5776AC">
            <w:pPr>
              <w:spacing w:before="75" w:line="189" w:lineRule="auto"/>
              <w:jc w:val="center"/>
              <w:rPr>
                <w:rFonts w:hint="eastAsia" w:asciiTheme="minorEastAsia" w:hAnsiTheme="minorEastAsia" w:eastAsiaTheme="minorEastAsia" w:cstheme="minorEastAsia"/>
                <w:color w:val="auto"/>
                <w:kern w:val="2"/>
                <w:sz w:val="23"/>
                <w:szCs w:val="23"/>
                <w:highlight w:val="none"/>
                <w:lang w:val="en-US" w:eastAsia="zh-CN" w:bidi="ar-SA"/>
              </w:rPr>
            </w:pPr>
            <w:r>
              <w:rPr>
                <w:rFonts w:hint="eastAsia" w:asciiTheme="minorEastAsia" w:hAnsiTheme="minorEastAsia" w:eastAsiaTheme="minorEastAsia" w:cstheme="minorEastAsia"/>
                <w:color w:val="auto"/>
                <w:sz w:val="23"/>
                <w:szCs w:val="23"/>
                <w:highlight w:val="none"/>
                <w:lang w:val="en-US" w:eastAsia="zh-CN"/>
              </w:rPr>
              <w:t>4</w:t>
            </w:r>
          </w:p>
        </w:tc>
        <w:tc>
          <w:tcPr>
            <w:tcW w:w="1650" w:type="dxa"/>
            <w:noWrap w:val="0"/>
            <w:vAlign w:val="center"/>
          </w:tcPr>
          <w:p w14:paraId="240C291E">
            <w:pPr>
              <w:shd w:val="clear" w:color="auto" w:fill="auto"/>
              <w:spacing w:after="50" w:line="360" w:lineRule="auto"/>
              <w:ind w:right="-10"/>
              <w:jc w:val="center"/>
              <w:rPr>
                <w:rFonts w:hint="default"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投标人资质</w:t>
            </w:r>
          </w:p>
        </w:tc>
        <w:tc>
          <w:tcPr>
            <w:tcW w:w="2192" w:type="dxa"/>
            <w:noWrap w:val="0"/>
            <w:vAlign w:val="center"/>
          </w:tcPr>
          <w:p w14:paraId="56D1B9F2">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符合投标人资格中的资质要求</w:t>
            </w:r>
          </w:p>
        </w:tc>
        <w:tc>
          <w:tcPr>
            <w:tcW w:w="4674" w:type="dxa"/>
            <w:noWrap w:val="0"/>
            <w:vAlign w:val="center"/>
          </w:tcPr>
          <w:p w14:paraId="6BD33257">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提供符合投标人资格中要求的资质证书复印件</w:t>
            </w:r>
          </w:p>
        </w:tc>
      </w:tr>
      <w:tr w14:paraId="6B7D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4CC6E014">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5</w:t>
            </w:r>
          </w:p>
        </w:tc>
        <w:tc>
          <w:tcPr>
            <w:tcW w:w="1650" w:type="dxa"/>
            <w:noWrap w:val="0"/>
            <w:vAlign w:val="center"/>
          </w:tcPr>
          <w:p w14:paraId="31AD853D">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b w:val="0"/>
                <w:bCs w:val="0"/>
                <w:color w:val="auto"/>
                <w:sz w:val="24"/>
                <w:szCs w:val="28"/>
                <w:highlight w:val="none"/>
              </w:rPr>
              <w:t>符合投标人资格中的</w:t>
            </w:r>
            <w:r>
              <w:rPr>
                <w:rFonts w:hint="eastAsia" w:asciiTheme="minorEastAsia" w:hAnsiTheme="minorEastAsia" w:eastAsiaTheme="minorEastAsia" w:cstheme="minorEastAsia"/>
                <w:b w:val="0"/>
                <w:bCs w:val="0"/>
                <w:color w:val="auto"/>
                <w:sz w:val="24"/>
                <w:szCs w:val="28"/>
                <w:highlight w:val="none"/>
                <w:lang w:eastAsia="zh-CN"/>
              </w:rPr>
              <w:t>业绩</w:t>
            </w:r>
            <w:r>
              <w:rPr>
                <w:rFonts w:hint="eastAsia" w:asciiTheme="minorEastAsia" w:hAnsiTheme="minorEastAsia" w:eastAsiaTheme="minorEastAsia" w:cstheme="minorEastAsia"/>
                <w:b w:val="0"/>
                <w:bCs w:val="0"/>
                <w:color w:val="auto"/>
                <w:sz w:val="24"/>
                <w:szCs w:val="28"/>
                <w:highlight w:val="none"/>
              </w:rPr>
              <w:t>要求</w:t>
            </w:r>
          </w:p>
        </w:tc>
        <w:tc>
          <w:tcPr>
            <w:tcW w:w="2192" w:type="dxa"/>
            <w:noWrap w:val="0"/>
            <w:vAlign w:val="center"/>
          </w:tcPr>
          <w:p w14:paraId="5DD06934">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b w:val="0"/>
                <w:bCs w:val="0"/>
                <w:color w:val="auto"/>
                <w:sz w:val="24"/>
                <w:szCs w:val="20"/>
                <w:highlight w:val="none"/>
              </w:rPr>
              <w:t>提供</w:t>
            </w:r>
            <w:r>
              <w:rPr>
                <w:rFonts w:hint="eastAsia" w:asciiTheme="minorEastAsia" w:hAnsiTheme="minorEastAsia" w:eastAsiaTheme="minorEastAsia" w:cstheme="minorEastAsia"/>
                <w:b w:val="0"/>
                <w:bCs w:val="0"/>
                <w:color w:val="auto"/>
                <w:sz w:val="24"/>
                <w:szCs w:val="28"/>
                <w:highlight w:val="none"/>
              </w:rPr>
              <w:t>符合投标人资格中要求的</w:t>
            </w:r>
            <w:r>
              <w:rPr>
                <w:rFonts w:hint="eastAsia" w:asciiTheme="minorEastAsia" w:hAnsiTheme="minorEastAsia" w:eastAsiaTheme="minorEastAsia" w:cstheme="minorEastAsia"/>
                <w:b w:val="0"/>
                <w:bCs w:val="0"/>
                <w:color w:val="auto"/>
                <w:sz w:val="24"/>
                <w:szCs w:val="28"/>
                <w:highlight w:val="none"/>
                <w:lang w:eastAsia="zh-CN"/>
              </w:rPr>
              <w:t>业绩证明材料</w:t>
            </w:r>
          </w:p>
        </w:tc>
        <w:tc>
          <w:tcPr>
            <w:tcW w:w="4674" w:type="dxa"/>
            <w:noWrap w:val="0"/>
            <w:vAlign w:val="center"/>
          </w:tcPr>
          <w:p w14:paraId="102E8C93">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b w:val="0"/>
                <w:bCs w:val="0"/>
                <w:color w:val="auto"/>
                <w:sz w:val="24"/>
                <w:highlight w:val="none"/>
              </w:rPr>
              <w:t>详见第六章</w:t>
            </w:r>
            <w:r>
              <w:rPr>
                <w:rFonts w:hint="eastAsia" w:asciiTheme="minorEastAsia" w:hAnsiTheme="minorEastAsia" w:eastAsiaTheme="minorEastAsia" w:cstheme="minorEastAsia"/>
                <w:b w:val="0"/>
                <w:bCs w:val="0"/>
                <w:color w:val="auto"/>
                <w:sz w:val="24"/>
                <w:highlight w:val="none"/>
                <w:lang w:val="en-US" w:eastAsia="zh-CN"/>
              </w:rPr>
              <w:t>投标</w:t>
            </w:r>
            <w:r>
              <w:rPr>
                <w:rFonts w:hint="eastAsia" w:asciiTheme="minorEastAsia" w:hAnsiTheme="minorEastAsia" w:eastAsiaTheme="minorEastAsia" w:cstheme="minorEastAsia"/>
                <w:b w:val="0"/>
                <w:bCs w:val="0"/>
                <w:color w:val="auto"/>
                <w:sz w:val="24"/>
                <w:highlight w:val="none"/>
              </w:rPr>
              <w:t>文件格式</w:t>
            </w:r>
            <w:r>
              <w:rPr>
                <w:rFonts w:hint="eastAsia" w:asciiTheme="minorEastAsia" w:hAnsiTheme="minorEastAsia" w:eastAsiaTheme="minorEastAsia" w:cstheme="minorEastAsia"/>
                <w:b w:val="0"/>
                <w:bCs w:val="0"/>
                <w:color w:val="auto"/>
                <w:sz w:val="24"/>
                <w:szCs w:val="28"/>
                <w:highlight w:val="none"/>
              </w:rPr>
              <w:t>五</w:t>
            </w:r>
          </w:p>
        </w:tc>
      </w:tr>
      <w:tr w14:paraId="388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0A9B9838">
            <w:pPr>
              <w:spacing w:before="75" w:line="190" w:lineRule="auto"/>
              <w:jc w:val="center"/>
              <w:rPr>
                <w:rFonts w:hint="eastAsia" w:asciiTheme="minorEastAsia" w:hAnsiTheme="minorEastAsia" w:eastAsiaTheme="minorEastAsia" w:cstheme="minorEastAsia"/>
                <w:color w:val="auto"/>
                <w:kern w:val="2"/>
                <w:sz w:val="23"/>
                <w:szCs w:val="23"/>
                <w:highlight w:val="none"/>
                <w:lang w:val="en-US" w:eastAsia="zh-CN" w:bidi="ar-SA"/>
              </w:rPr>
            </w:pPr>
            <w:r>
              <w:rPr>
                <w:rFonts w:hint="eastAsia" w:asciiTheme="minorEastAsia" w:hAnsiTheme="minorEastAsia" w:eastAsiaTheme="minorEastAsia" w:cstheme="minorEastAsia"/>
                <w:color w:val="auto"/>
                <w:sz w:val="23"/>
                <w:szCs w:val="23"/>
                <w:highlight w:val="none"/>
                <w:lang w:val="en-US" w:eastAsia="zh-CN"/>
              </w:rPr>
              <w:t>6</w:t>
            </w:r>
          </w:p>
        </w:tc>
        <w:tc>
          <w:tcPr>
            <w:tcW w:w="1650" w:type="dxa"/>
            <w:noWrap w:val="0"/>
            <w:vAlign w:val="center"/>
          </w:tcPr>
          <w:p w14:paraId="5B4469FA">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授权书</w:t>
            </w:r>
          </w:p>
        </w:tc>
        <w:tc>
          <w:tcPr>
            <w:tcW w:w="2192" w:type="dxa"/>
            <w:noWrap w:val="0"/>
            <w:vAlign w:val="center"/>
          </w:tcPr>
          <w:p w14:paraId="1AD0737F">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格式、填写要求符合</w:t>
            </w:r>
            <w:r>
              <w:rPr>
                <w:rFonts w:hint="eastAsia" w:asciiTheme="minorEastAsia" w:hAnsiTheme="minorEastAsia" w:eastAsiaTheme="minorEastAsia" w:cstheme="minorEastAsia"/>
                <w:color w:val="auto"/>
                <w:sz w:val="24"/>
                <w:szCs w:val="18"/>
                <w:highlight w:val="none"/>
                <w:lang w:val="en-US" w:eastAsia="zh-CN"/>
              </w:rPr>
              <w:t>招标</w:t>
            </w:r>
            <w:r>
              <w:rPr>
                <w:rFonts w:hint="eastAsia" w:asciiTheme="minorEastAsia" w:hAnsiTheme="minorEastAsia" w:eastAsiaTheme="minorEastAsia" w:cstheme="minorEastAsia"/>
                <w:color w:val="auto"/>
                <w:sz w:val="24"/>
                <w:szCs w:val="18"/>
                <w:highlight w:val="none"/>
              </w:rPr>
              <w:t>文件规定并加盖投标人签章</w:t>
            </w:r>
          </w:p>
        </w:tc>
        <w:tc>
          <w:tcPr>
            <w:tcW w:w="4674" w:type="dxa"/>
            <w:noWrap w:val="0"/>
            <w:vAlign w:val="center"/>
          </w:tcPr>
          <w:p w14:paraId="221C000F">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法定代表人参加</w:t>
            </w:r>
            <w:r>
              <w:rPr>
                <w:rFonts w:hint="eastAsia" w:asciiTheme="minorEastAsia" w:hAnsiTheme="minorEastAsia" w:eastAsiaTheme="minorEastAsia" w:cstheme="minorEastAsia"/>
                <w:color w:val="auto"/>
                <w:sz w:val="24"/>
                <w:szCs w:val="18"/>
                <w:highlight w:val="none"/>
                <w:lang w:val="en-US" w:eastAsia="zh-CN"/>
              </w:rPr>
              <w:t>投标</w:t>
            </w:r>
            <w:r>
              <w:rPr>
                <w:rFonts w:hint="eastAsia" w:asciiTheme="minorEastAsia" w:hAnsiTheme="minorEastAsia" w:eastAsiaTheme="minorEastAsia" w:cstheme="minorEastAsia"/>
                <w:color w:val="auto"/>
                <w:sz w:val="24"/>
                <w:szCs w:val="18"/>
                <w:highlight w:val="none"/>
              </w:rPr>
              <w:t>的无需此件，提供身份证明即可。详见第六章</w:t>
            </w:r>
            <w:r>
              <w:rPr>
                <w:rFonts w:hint="eastAsia" w:asciiTheme="minorEastAsia" w:hAnsiTheme="minorEastAsia" w:eastAsiaTheme="minorEastAsia" w:cstheme="minorEastAsia"/>
                <w:b w:val="0"/>
                <w:bCs w:val="0"/>
                <w:color w:val="auto"/>
                <w:sz w:val="24"/>
                <w:highlight w:val="none"/>
                <w:lang w:val="en-US" w:eastAsia="zh-CN"/>
              </w:rPr>
              <w:t>投标</w:t>
            </w:r>
            <w:r>
              <w:rPr>
                <w:rFonts w:hint="eastAsia" w:asciiTheme="minorEastAsia" w:hAnsiTheme="minorEastAsia" w:eastAsiaTheme="minorEastAsia" w:cstheme="minorEastAsia"/>
                <w:color w:val="auto"/>
                <w:sz w:val="24"/>
                <w:szCs w:val="18"/>
                <w:highlight w:val="none"/>
              </w:rPr>
              <w:t>文件格式</w:t>
            </w:r>
            <w:r>
              <w:rPr>
                <w:rFonts w:hint="eastAsia" w:asciiTheme="minorEastAsia" w:hAnsiTheme="minorEastAsia" w:eastAsiaTheme="minorEastAsia" w:cstheme="minorEastAsia"/>
                <w:color w:val="auto"/>
                <w:sz w:val="24"/>
                <w:szCs w:val="18"/>
                <w:highlight w:val="none"/>
                <w:lang w:val="en-US" w:eastAsia="zh-CN"/>
              </w:rPr>
              <w:t>四</w:t>
            </w:r>
          </w:p>
        </w:tc>
      </w:tr>
      <w:tr w14:paraId="48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2981447E">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7</w:t>
            </w:r>
          </w:p>
        </w:tc>
        <w:tc>
          <w:tcPr>
            <w:tcW w:w="1650" w:type="dxa"/>
            <w:noWrap w:val="0"/>
            <w:vAlign w:val="center"/>
          </w:tcPr>
          <w:p w14:paraId="6172C79E">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报价</w:t>
            </w:r>
            <w:r>
              <w:rPr>
                <w:rFonts w:hint="eastAsia" w:asciiTheme="minorEastAsia" w:hAnsiTheme="minorEastAsia" w:eastAsiaTheme="minorEastAsia" w:cstheme="minorEastAsia"/>
                <w:color w:val="auto"/>
                <w:sz w:val="24"/>
                <w:szCs w:val="18"/>
                <w:highlight w:val="none"/>
                <w:lang w:val="en-US" w:eastAsia="zh-CN"/>
              </w:rPr>
              <w:t>表</w:t>
            </w:r>
          </w:p>
        </w:tc>
        <w:tc>
          <w:tcPr>
            <w:tcW w:w="2192" w:type="dxa"/>
            <w:noWrap w:val="0"/>
            <w:vAlign w:val="center"/>
          </w:tcPr>
          <w:p w14:paraId="6A928CFE">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符合</w:t>
            </w:r>
            <w:r>
              <w:rPr>
                <w:rFonts w:hint="eastAsia" w:asciiTheme="minorEastAsia" w:hAnsiTheme="minorEastAsia" w:eastAsiaTheme="minorEastAsia" w:cstheme="minorEastAsia"/>
                <w:color w:val="auto"/>
                <w:sz w:val="24"/>
                <w:szCs w:val="18"/>
                <w:highlight w:val="none"/>
                <w:lang w:val="en-US" w:eastAsia="zh-CN"/>
              </w:rPr>
              <w:t>招标</w:t>
            </w:r>
            <w:r>
              <w:rPr>
                <w:rFonts w:hint="eastAsia" w:asciiTheme="minorEastAsia" w:hAnsiTheme="minorEastAsia" w:eastAsiaTheme="minorEastAsia" w:cstheme="minorEastAsia"/>
                <w:color w:val="auto"/>
                <w:sz w:val="24"/>
                <w:szCs w:val="18"/>
                <w:highlight w:val="none"/>
              </w:rPr>
              <w:t>文件投标人须知正文第1</w:t>
            </w:r>
            <w:r>
              <w:rPr>
                <w:rFonts w:hint="eastAsia" w:asciiTheme="minorEastAsia" w:hAnsiTheme="minorEastAsia" w:eastAsiaTheme="minorEastAsia" w:cstheme="minorEastAsia"/>
                <w:color w:val="auto"/>
                <w:sz w:val="24"/>
                <w:szCs w:val="18"/>
                <w:highlight w:val="none"/>
                <w:lang w:val="en-US" w:eastAsia="zh-CN"/>
              </w:rPr>
              <w:t>1、12</w:t>
            </w:r>
            <w:r>
              <w:rPr>
                <w:rFonts w:hint="eastAsia" w:asciiTheme="minorEastAsia" w:hAnsiTheme="minorEastAsia" w:eastAsiaTheme="minorEastAsia" w:cstheme="minorEastAsia"/>
                <w:color w:val="auto"/>
                <w:sz w:val="24"/>
                <w:szCs w:val="18"/>
                <w:highlight w:val="none"/>
              </w:rPr>
              <w:t xml:space="preserve"> 条要求</w:t>
            </w:r>
          </w:p>
        </w:tc>
        <w:tc>
          <w:tcPr>
            <w:tcW w:w="4674" w:type="dxa"/>
            <w:noWrap w:val="0"/>
            <w:vAlign w:val="center"/>
          </w:tcPr>
          <w:p w14:paraId="41041F72">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详见第六章</w:t>
            </w:r>
            <w:r>
              <w:rPr>
                <w:rFonts w:hint="eastAsia" w:asciiTheme="minorEastAsia" w:hAnsiTheme="minorEastAsia" w:eastAsiaTheme="minorEastAsia" w:cstheme="minorEastAsia"/>
                <w:b w:val="0"/>
                <w:bCs w:val="0"/>
                <w:color w:val="auto"/>
                <w:sz w:val="24"/>
                <w:highlight w:val="none"/>
                <w:lang w:val="en-US" w:eastAsia="zh-CN"/>
              </w:rPr>
              <w:t>投标</w:t>
            </w:r>
            <w:r>
              <w:rPr>
                <w:rFonts w:hint="eastAsia" w:asciiTheme="minorEastAsia" w:hAnsiTheme="minorEastAsia" w:eastAsiaTheme="minorEastAsia" w:cstheme="minorEastAsia"/>
                <w:color w:val="auto"/>
                <w:sz w:val="24"/>
                <w:szCs w:val="18"/>
                <w:highlight w:val="none"/>
              </w:rPr>
              <w:t>文件格式一</w:t>
            </w:r>
          </w:p>
        </w:tc>
      </w:tr>
      <w:tr w14:paraId="029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B150BB3">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8</w:t>
            </w:r>
          </w:p>
        </w:tc>
        <w:tc>
          <w:tcPr>
            <w:tcW w:w="1650" w:type="dxa"/>
            <w:noWrap w:val="0"/>
            <w:vAlign w:val="center"/>
          </w:tcPr>
          <w:p w14:paraId="2E30DD12">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商务响应情况</w:t>
            </w:r>
          </w:p>
        </w:tc>
        <w:tc>
          <w:tcPr>
            <w:tcW w:w="2192" w:type="dxa"/>
            <w:noWrap w:val="0"/>
            <w:vAlign w:val="center"/>
          </w:tcPr>
          <w:p w14:paraId="533DD24D">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符合</w:t>
            </w:r>
            <w:r>
              <w:rPr>
                <w:rFonts w:hint="eastAsia" w:asciiTheme="minorEastAsia" w:hAnsiTheme="minorEastAsia" w:eastAsiaTheme="minorEastAsia" w:cstheme="minorEastAsia"/>
                <w:color w:val="auto"/>
                <w:sz w:val="24"/>
                <w:szCs w:val="18"/>
                <w:highlight w:val="none"/>
                <w:lang w:val="en-US" w:eastAsia="zh-CN"/>
              </w:rPr>
              <w:t>招标</w:t>
            </w:r>
            <w:r>
              <w:rPr>
                <w:rFonts w:hint="eastAsia" w:asciiTheme="minorEastAsia" w:hAnsiTheme="minorEastAsia" w:eastAsiaTheme="minorEastAsia" w:cstheme="minorEastAsia"/>
                <w:color w:val="auto"/>
                <w:sz w:val="24"/>
                <w:szCs w:val="18"/>
                <w:highlight w:val="none"/>
              </w:rPr>
              <w:t>文件招标</w:t>
            </w:r>
          </w:p>
          <w:p w14:paraId="0B44C99F">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需求中付款方式</w:t>
            </w:r>
            <w:r>
              <w:rPr>
                <w:rFonts w:hint="eastAsia" w:asciiTheme="minorEastAsia" w:hAnsiTheme="minorEastAsia" w:eastAsiaTheme="minorEastAsia" w:cstheme="minorEastAsia"/>
                <w:color w:val="auto"/>
                <w:sz w:val="24"/>
                <w:szCs w:val="18"/>
                <w:highlight w:val="none"/>
                <w:lang w:eastAsia="zh-CN"/>
              </w:rPr>
              <w:t>、</w:t>
            </w:r>
            <w:r>
              <w:rPr>
                <w:rFonts w:hint="eastAsia" w:asciiTheme="minorEastAsia" w:hAnsiTheme="minorEastAsia" w:eastAsiaTheme="minorEastAsia" w:cstheme="minorEastAsia"/>
                <w:color w:val="auto"/>
                <w:sz w:val="24"/>
                <w:szCs w:val="18"/>
                <w:highlight w:val="none"/>
                <w:lang w:val="en-US" w:eastAsia="zh-CN"/>
              </w:rPr>
              <w:t>服务</w:t>
            </w:r>
            <w:r>
              <w:rPr>
                <w:rFonts w:hint="eastAsia" w:asciiTheme="minorEastAsia" w:hAnsiTheme="minorEastAsia" w:eastAsiaTheme="minorEastAsia" w:cstheme="minorEastAsia"/>
                <w:color w:val="auto"/>
                <w:sz w:val="24"/>
                <w:szCs w:val="18"/>
                <w:highlight w:val="none"/>
              </w:rPr>
              <w:t>地点</w:t>
            </w:r>
            <w:r>
              <w:rPr>
                <w:rFonts w:hint="eastAsia" w:asciiTheme="minorEastAsia" w:hAnsiTheme="minorEastAsia" w:eastAsiaTheme="minorEastAsia" w:cstheme="minorEastAsia"/>
                <w:color w:val="auto"/>
                <w:sz w:val="24"/>
                <w:szCs w:val="18"/>
                <w:highlight w:val="none"/>
                <w:lang w:eastAsia="zh-CN"/>
              </w:rPr>
              <w:t>、</w:t>
            </w:r>
            <w:r>
              <w:rPr>
                <w:rFonts w:hint="eastAsia" w:asciiTheme="minorEastAsia" w:hAnsiTheme="minorEastAsia" w:eastAsiaTheme="minorEastAsia" w:cstheme="minorEastAsia"/>
                <w:color w:val="auto"/>
                <w:sz w:val="24"/>
                <w:szCs w:val="18"/>
                <w:highlight w:val="none"/>
                <w:lang w:val="en-US" w:eastAsia="zh-CN"/>
              </w:rPr>
              <w:t>服务</w:t>
            </w:r>
            <w:r>
              <w:rPr>
                <w:rFonts w:hint="eastAsia" w:asciiTheme="minorEastAsia" w:hAnsiTheme="minorEastAsia" w:eastAsiaTheme="minorEastAsia" w:cstheme="minorEastAsia"/>
                <w:color w:val="auto"/>
                <w:sz w:val="24"/>
                <w:szCs w:val="18"/>
                <w:highlight w:val="none"/>
              </w:rPr>
              <w:t>期限的要求</w:t>
            </w:r>
          </w:p>
        </w:tc>
        <w:tc>
          <w:tcPr>
            <w:tcW w:w="4674" w:type="dxa"/>
            <w:noWrap w:val="0"/>
            <w:vAlign w:val="center"/>
          </w:tcPr>
          <w:p w14:paraId="1B79CE96">
            <w:pPr>
              <w:shd w:val="clear" w:color="auto" w:fill="auto"/>
              <w:spacing w:after="50" w:line="360" w:lineRule="auto"/>
              <w:ind w:right="-10"/>
              <w:jc w:val="center"/>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详见第六章</w:t>
            </w:r>
            <w:r>
              <w:rPr>
                <w:rFonts w:hint="eastAsia" w:asciiTheme="minorEastAsia" w:hAnsiTheme="minorEastAsia" w:eastAsiaTheme="minorEastAsia" w:cstheme="minorEastAsia"/>
                <w:color w:val="auto"/>
                <w:sz w:val="24"/>
                <w:szCs w:val="18"/>
                <w:highlight w:val="none"/>
                <w:lang w:val="en-US" w:eastAsia="zh-CN"/>
              </w:rPr>
              <w:t>投标</w:t>
            </w:r>
            <w:r>
              <w:rPr>
                <w:rFonts w:hint="eastAsia" w:asciiTheme="minorEastAsia" w:hAnsiTheme="minorEastAsia" w:eastAsiaTheme="minorEastAsia" w:cstheme="minorEastAsia"/>
                <w:color w:val="auto"/>
                <w:sz w:val="24"/>
                <w:szCs w:val="18"/>
                <w:highlight w:val="none"/>
              </w:rPr>
              <w:t>文件格式</w:t>
            </w:r>
            <w:r>
              <w:rPr>
                <w:rFonts w:hint="eastAsia" w:asciiTheme="minorEastAsia" w:hAnsiTheme="minorEastAsia" w:eastAsiaTheme="minorEastAsia" w:cstheme="minorEastAsia"/>
                <w:b w:val="0"/>
                <w:bCs w:val="0"/>
                <w:color w:val="auto"/>
                <w:sz w:val="24"/>
                <w:highlight w:val="none"/>
                <w:lang w:val="en-US" w:eastAsia="zh-CN"/>
              </w:rPr>
              <w:t>七</w:t>
            </w:r>
          </w:p>
        </w:tc>
      </w:tr>
      <w:tr w14:paraId="6B3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55D6EBEE">
            <w:pPr>
              <w:adjustRightInd w:val="0"/>
              <w:snapToGrid w:val="0"/>
              <w:spacing w:line="360" w:lineRule="auto"/>
              <w:ind w:right="-10" w:right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1650" w:type="dxa"/>
            <w:noWrap w:val="0"/>
            <w:vAlign w:val="center"/>
          </w:tcPr>
          <w:p w14:paraId="0E1F59BE">
            <w:pPr>
              <w:spacing w:after="50" w:line="360" w:lineRule="auto"/>
              <w:ind w:right="-10" w:rightChars="0"/>
              <w:jc w:val="center"/>
              <w:rPr>
                <w:rFonts w:hint="eastAsia" w:asciiTheme="minorEastAsia" w:hAnsiTheme="minorEastAsia" w:eastAsiaTheme="minorEastAsia" w:cstheme="minorEastAsia"/>
                <w:b w:val="0"/>
                <w:bCs w:val="0"/>
                <w:color w:val="auto"/>
                <w:sz w:val="24"/>
                <w:szCs w:val="28"/>
                <w:highlight w:val="none"/>
              </w:rPr>
            </w:pPr>
            <w:r>
              <w:rPr>
                <w:rFonts w:hint="eastAsia" w:asciiTheme="minorEastAsia" w:hAnsiTheme="minorEastAsia" w:eastAsiaTheme="minorEastAsia" w:cstheme="minorEastAsia"/>
                <w:b w:val="0"/>
                <w:bCs w:val="0"/>
                <w:color w:val="auto"/>
                <w:sz w:val="24"/>
                <w:szCs w:val="28"/>
                <w:highlight w:val="none"/>
                <w:lang w:val="en-US" w:eastAsia="zh-CN"/>
              </w:rPr>
              <w:t>承诺函</w:t>
            </w:r>
          </w:p>
        </w:tc>
        <w:tc>
          <w:tcPr>
            <w:tcW w:w="2192" w:type="dxa"/>
            <w:noWrap w:val="0"/>
            <w:vAlign w:val="center"/>
          </w:tcPr>
          <w:p w14:paraId="007267A5">
            <w:pPr>
              <w:spacing w:after="50" w:line="360" w:lineRule="auto"/>
              <w:ind w:right="-10"/>
              <w:jc w:val="center"/>
              <w:rPr>
                <w:rFonts w:hint="eastAsia" w:asciiTheme="minorEastAsia" w:hAnsiTheme="minorEastAsia" w:eastAsiaTheme="minorEastAsia" w:cstheme="minorEastAsia"/>
                <w:b w:val="0"/>
                <w:bCs w:val="0"/>
                <w:color w:val="auto"/>
                <w:sz w:val="24"/>
                <w:szCs w:val="28"/>
                <w:highlight w:val="none"/>
              </w:rPr>
            </w:pPr>
            <w:r>
              <w:rPr>
                <w:rFonts w:hint="eastAsia" w:asciiTheme="minorEastAsia" w:hAnsiTheme="minorEastAsia" w:eastAsiaTheme="minorEastAsia" w:cstheme="minorEastAsia"/>
                <w:b w:val="0"/>
                <w:bCs w:val="0"/>
                <w:color w:val="auto"/>
                <w:sz w:val="24"/>
                <w:szCs w:val="28"/>
                <w:highlight w:val="none"/>
              </w:rPr>
              <w:t>符合</w:t>
            </w:r>
            <w:r>
              <w:rPr>
                <w:rFonts w:hint="eastAsia" w:asciiTheme="minorEastAsia" w:hAnsiTheme="minorEastAsia" w:eastAsiaTheme="minorEastAsia" w:cstheme="minorEastAsia"/>
                <w:b w:val="0"/>
                <w:bCs w:val="0"/>
                <w:color w:val="auto"/>
                <w:sz w:val="24"/>
                <w:szCs w:val="28"/>
                <w:highlight w:val="none"/>
                <w:lang w:eastAsia="zh-CN"/>
              </w:rPr>
              <w:t>招标文件</w:t>
            </w:r>
            <w:r>
              <w:rPr>
                <w:rFonts w:hint="eastAsia" w:asciiTheme="minorEastAsia" w:hAnsiTheme="minorEastAsia" w:eastAsiaTheme="minorEastAsia" w:cstheme="minorEastAsia"/>
                <w:b w:val="0"/>
                <w:bCs w:val="0"/>
                <w:color w:val="auto"/>
                <w:sz w:val="24"/>
                <w:szCs w:val="28"/>
                <w:highlight w:val="none"/>
              </w:rPr>
              <w:t>采购</w:t>
            </w:r>
          </w:p>
          <w:p w14:paraId="536D9BB6">
            <w:pPr>
              <w:spacing w:after="50" w:line="360" w:lineRule="auto"/>
              <w:ind w:right="-10" w:rightChars="0"/>
              <w:jc w:val="center"/>
              <w:rPr>
                <w:rFonts w:hint="eastAsia" w:asciiTheme="minorEastAsia" w:hAnsiTheme="minorEastAsia" w:eastAsiaTheme="minorEastAsia" w:cstheme="minorEastAsia"/>
                <w:b w:val="0"/>
                <w:bCs w:val="0"/>
                <w:color w:val="auto"/>
                <w:sz w:val="24"/>
                <w:szCs w:val="28"/>
                <w:highlight w:val="none"/>
              </w:rPr>
            </w:pPr>
            <w:r>
              <w:rPr>
                <w:rFonts w:hint="eastAsia" w:asciiTheme="minorEastAsia" w:hAnsiTheme="minorEastAsia" w:eastAsiaTheme="minorEastAsia" w:cstheme="minorEastAsia"/>
                <w:b w:val="0"/>
                <w:bCs w:val="0"/>
                <w:color w:val="auto"/>
                <w:sz w:val="24"/>
                <w:szCs w:val="28"/>
                <w:highlight w:val="none"/>
              </w:rPr>
              <w:t>需求中的要求</w:t>
            </w:r>
          </w:p>
        </w:tc>
        <w:tc>
          <w:tcPr>
            <w:tcW w:w="4674" w:type="dxa"/>
            <w:noWrap w:val="0"/>
            <w:vAlign w:val="center"/>
          </w:tcPr>
          <w:p w14:paraId="368069B4">
            <w:pPr>
              <w:adjustRightInd w:val="0"/>
              <w:snapToGrid w:val="0"/>
              <w:spacing w:line="360" w:lineRule="auto"/>
              <w:ind w:right="-10" w:rightChars="0"/>
              <w:jc w:val="center"/>
              <w:rPr>
                <w:rFonts w:hint="eastAsia" w:asciiTheme="minorEastAsia" w:hAnsiTheme="minorEastAsia" w:eastAsiaTheme="minorEastAsia" w:cstheme="minorEastAsia"/>
                <w:b w:val="0"/>
                <w:bCs w:val="0"/>
                <w:color w:val="auto"/>
                <w:sz w:val="24"/>
                <w:szCs w:val="18"/>
                <w:highlight w:val="none"/>
                <w:vertAlign w:val="baseline"/>
                <w:lang w:val="en-US" w:eastAsia="zh-CN"/>
              </w:rPr>
            </w:pPr>
            <w:r>
              <w:rPr>
                <w:rFonts w:hint="eastAsia" w:asciiTheme="minorEastAsia" w:hAnsiTheme="minorEastAsia" w:eastAsiaTheme="minorEastAsia" w:cstheme="minorEastAsia"/>
                <w:b w:val="0"/>
                <w:bCs w:val="0"/>
                <w:color w:val="auto"/>
                <w:sz w:val="24"/>
                <w:highlight w:val="none"/>
              </w:rPr>
              <w:t>详见第六章</w:t>
            </w:r>
            <w:r>
              <w:rPr>
                <w:rFonts w:hint="eastAsia" w:asciiTheme="minorEastAsia" w:hAnsiTheme="minorEastAsia" w:eastAsiaTheme="minorEastAsia" w:cstheme="minorEastAsia"/>
                <w:b w:val="0"/>
                <w:bCs w:val="0"/>
                <w:color w:val="auto"/>
                <w:sz w:val="24"/>
                <w:highlight w:val="none"/>
                <w:lang w:val="en-US" w:eastAsia="zh-CN"/>
              </w:rPr>
              <w:t>投标</w:t>
            </w:r>
            <w:r>
              <w:rPr>
                <w:rFonts w:hint="eastAsia" w:asciiTheme="minorEastAsia" w:hAnsiTheme="minorEastAsia" w:eastAsiaTheme="minorEastAsia" w:cstheme="minorEastAsia"/>
                <w:b w:val="0"/>
                <w:bCs w:val="0"/>
                <w:color w:val="auto"/>
                <w:sz w:val="24"/>
                <w:highlight w:val="none"/>
              </w:rPr>
              <w:t>文件格式</w:t>
            </w:r>
            <w:r>
              <w:rPr>
                <w:rFonts w:hint="eastAsia" w:asciiTheme="minorEastAsia" w:hAnsiTheme="minorEastAsia" w:eastAsiaTheme="minorEastAsia" w:cstheme="minorEastAsia"/>
                <w:b w:val="0"/>
                <w:bCs w:val="0"/>
                <w:color w:val="auto"/>
                <w:sz w:val="24"/>
                <w:highlight w:val="none"/>
                <w:lang w:eastAsia="zh-CN"/>
              </w:rPr>
              <w:t>六</w:t>
            </w:r>
          </w:p>
        </w:tc>
      </w:tr>
      <w:tr w14:paraId="3B9A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1ED3E550">
            <w:pPr>
              <w:keepNext w:val="0"/>
              <w:keepLines w:val="0"/>
              <w:suppressLineNumbers w:val="0"/>
              <w:spacing w:before="0" w:beforeAutospacing="0" w:after="50" w:afterAutospacing="0" w:line="360" w:lineRule="auto"/>
              <w:ind w:left="0" w:leftChars="0" w:right="-10" w:rightChars="0"/>
              <w:jc w:val="center"/>
              <w:rPr>
                <w:rFonts w:hint="default"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10</w:t>
            </w:r>
          </w:p>
        </w:tc>
        <w:tc>
          <w:tcPr>
            <w:tcW w:w="1650" w:type="dxa"/>
            <w:noWrap w:val="0"/>
            <w:vAlign w:val="center"/>
          </w:tcPr>
          <w:p w14:paraId="3772D253">
            <w:pPr>
              <w:keepNext w:val="0"/>
              <w:keepLines w:val="0"/>
              <w:suppressLineNumbers w:val="0"/>
              <w:spacing w:before="0" w:beforeAutospacing="0" w:after="50" w:afterAutospacing="0" w:line="360" w:lineRule="auto"/>
              <w:ind w:left="0" w:leftChars="0" w:right="-10" w:rightChars="0"/>
              <w:jc w:val="center"/>
              <w:rPr>
                <w:rFonts w:hint="default" w:asciiTheme="minorEastAsia" w:hAnsiTheme="minorEastAsia" w:eastAsiaTheme="minorEastAsia" w:cstheme="minorEastAsia"/>
                <w:b w:val="0"/>
                <w:bCs w:val="0"/>
                <w:color w:val="auto"/>
                <w:sz w:val="24"/>
                <w:szCs w:val="18"/>
                <w:highlight w:val="none"/>
                <w:lang w:val="en-US" w:eastAsia="zh-CN"/>
              </w:rPr>
            </w:pPr>
            <w:r>
              <w:rPr>
                <w:rFonts w:hint="eastAsia" w:asciiTheme="minorEastAsia" w:hAnsiTheme="minorEastAsia" w:eastAsiaTheme="minorEastAsia" w:cstheme="minorEastAsia"/>
                <w:b w:val="0"/>
                <w:bCs w:val="0"/>
                <w:color w:val="auto"/>
                <w:sz w:val="24"/>
                <w:szCs w:val="28"/>
                <w:highlight w:val="none"/>
                <w:lang w:val="en-US" w:eastAsia="zh-CN"/>
              </w:rPr>
              <w:t>部分药品配送清单</w:t>
            </w:r>
          </w:p>
        </w:tc>
        <w:tc>
          <w:tcPr>
            <w:tcW w:w="2192" w:type="dxa"/>
            <w:noWrap w:val="0"/>
            <w:vAlign w:val="center"/>
          </w:tcPr>
          <w:p w14:paraId="3916D58F">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Theme="minorEastAsia" w:hAnsiTheme="minorEastAsia" w:eastAsiaTheme="minorEastAsia" w:cstheme="minorEastAsia"/>
                <w:b w:val="0"/>
                <w:bCs w:val="0"/>
                <w:color w:val="auto"/>
                <w:sz w:val="24"/>
                <w:szCs w:val="18"/>
                <w:highlight w:val="none"/>
                <w:lang w:eastAsia="zh-CN"/>
              </w:rPr>
            </w:pPr>
            <w:r>
              <w:rPr>
                <w:rFonts w:hint="eastAsia" w:asciiTheme="minorEastAsia" w:hAnsiTheme="minorEastAsia" w:eastAsiaTheme="minorEastAsia" w:cstheme="minorEastAsia"/>
                <w:color w:val="auto"/>
                <w:sz w:val="24"/>
                <w:szCs w:val="18"/>
                <w:highlight w:val="none"/>
              </w:rPr>
              <w:t>格式、填写要求符合</w:t>
            </w:r>
            <w:r>
              <w:rPr>
                <w:rFonts w:hint="eastAsia" w:asciiTheme="minorEastAsia" w:hAnsiTheme="minorEastAsia" w:eastAsiaTheme="minorEastAsia" w:cstheme="minorEastAsia"/>
                <w:color w:val="auto"/>
                <w:sz w:val="24"/>
                <w:szCs w:val="18"/>
                <w:highlight w:val="none"/>
                <w:lang w:val="en-US" w:eastAsia="zh-CN"/>
              </w:rPr>
              <w:t>招标</w:t>
            </w:r>
            <w:r>
              <w:rPr>
                <w:rFonts w:hint="eastAsia" w:asciiTheme="minorEastAsia" w:hAnsiTheme="minorEastAsia" w:eastAsiaTheme="minorEastAsia" w:cstheme="minorEastAsia"/>
                <w:color w:val="auto"/>
                <w:sz w:val="24"/>
                <w:szCs w:val="18"/>
                <w:highlight w:val="none"/>
              </w:rPr>
              <w:t>文件规定并加盖投标人签章</w:t>
            </w:r>
          </w:p>
        </w:tc>
        <w:tc>
          <w:tcPr>
            <w:tcW w:w="4674" w:type="dxa"/>
            <w:noWrap w:val="0"/>
            <w:vAlign w:val="center"/>
          </w:tcPr>
          <w:p w14:paraId="2C7F4614">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b w:val="0"/>
                <w:bCs w:val="0"/>
                <w:color w:val="auto"/>
                <w:kern w:val="2"/>
                <w:sz w:val="21"/>
                <w:highlight w:val="none"/>
                <w:lang w:val="en-US" w:eastAsia="zh-CN" w:bidi="ar-SA"/>
              </w:rPr>
            </w:pPr>
            <w:r>
              <w:rPr>
                <w:rFonts w:hint="eastAsia" w:asciiTheme="minorEastAsia" w:hAnsiTheme="minorEastAsia" w:eastAsiaTheme="minorEastAsia" w:cstheme="minorEastAsia"/>
                <w:b w:val="0"/>
                <w:bCs w:val="0"/>
                <w:color w:val="auto"/>
                <w:sz w:val="24"/>
                <w:highlight w:val="none"/>
              </w:rPr>
              <w:t>详见第六章</w:t>
            </w:r>
            <w:r>
              <w:rPr>
                <w:rFonts w:hint="eastAsia" w:asciiTheme="minorEastAsia" w:hAnsiTheme="minorEastAsia" w:eastAsiaTheme="minorEastAsia" w:cstheme="minorEastAsia"/>
                <w:b w:val="0"/>
                <w:bCs w:val="0"/>
                <w:color w:val="auto"/>
                <w:sz w:val="24"/>
                <w:highlight w:val="none"/>
                <w:lang w:val="en-US" w:eastAsia="zh-CN"/>
              </w:rPr>
              <w:t>投标</w:t>
            </w:r>
            <w:r>
              <w:rPr>
                <w:rFonts w:hint="eastAsia" w:asciiTheme="minorEastAsia" w:hAnsiTheme="minorEastAsia" w:eastAsiaTheme="minorEastAsia" w:cstheme="minorEastAsia"/>
                <w:b w:val="0"/>
                <w:bCs w:val="0"/>
                <w:color w:val="auto"/>
                <w:sz w:val="24"/>
                <w:highlight w:val="none"/>
              </w:rPr>
              <w:t>文件格式</w:t>
            </w:r>
            <w:r>
              <w:rPr>
                <w:rFonts w:hint="eastAsia" w:asciiTheme="minorEastAsia" w:hAnsiTheme="minorEastAsia" w:eastAsiaTheme="minorEastAsia" w:cstheme="minorEastAsia"/>
                <w:b w:val="0"/>
                <w:bCs w:val="0"/>
                <w:color w:val="auto"/>
                <w:sz w:val="24"/>
                <w:szCs w:val="28"/>
                <w:highlight w:val="none"/>
                <w:lang w:val="en-US" w:eastAsia="zh-CN"/>
              </w:rPr>
              <w:t>八</w:t>
            </w:r>
          </w:p>
        </w:tc>
      </w:tr>
      <w:tr w14:paraId="1A17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3CB50C79">
            <w:pPr>
              <w:keepNext w:val="0"/>
              <w:keepLines w:val="0"/>
              <w:suppressLineNumbers w:val="0"/>
              <w:spacing w:before="0" w:beforeAutospacing="0" w:after="50" w:afterAutospacing="0" w:line="360" w:lineRule="auto"/>
              <w:ind w:left="0" w:leftChars="0" w:right="-10" w:rightChars="0"/>
              <w:jc w:val="center"/>
              <w:rPr>
                <w:rFonts w:hint="default" w:asciiTheme="minorEastAsia" w:hAnsiTheme="minorEastAsia" w:eastAsiaTheme="minorEastAsia" w:cstheme="minorEastAsia"/>
                <w:b w:val="0"/>
                <w:bCs w:val="0"/>
                <w:color w:val="auto"/>
                <w:sz w:val="24"/>
                <w:szCs w:val="28"/>
                <w:highlight w:val="none"/>
                <w:lang w:val="en-US" w:eastAsia="zh-CN"/>
              </w:rPr>
            </w:pPr>
            <w:r>
              <w:rPr>
                <w:rFonts w:hint="eastAsia" w:asciiTheme="minorEastAsia" w:hAnsiTheme="minorEastAsia" w:eastAsiaTheme="minorEastAsia" w:cstheme="minorEastAsia"/>
                <w:b w:val="0"/>
                <w:bCs w:val="0"/>
                <w:color w:val="auto"/>
                <w:sz w:val="24"/>
                <w:szCs w:val="28"/>
                <w:highlight w:val="none"/>
                <w:lang w:val="en-US" w:eastAsia="zh-CN"/>
              </w:rPr>
              <w:t>11</w:t>
            </w:r>
          </w:p>
        </w:tc>
        <w:tc>
          <w:tcPr>
            <w:tcW w:w="1650" w:type="dxa"/>
            <w:tcBorders>
              <w:bottom w:val="single" w:color="auto" w:sz="4" w:space="0"/>
            </w:tcBorders>
            <w:noWrap w:val="0"/>
            <w:vAlign w:val="center"/>
          </w:tcPr>
          <w:p w14:paraId="54A008EE">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b w:val="0"/>
                <w:bCs w:val="0"/>
                <w:color w:val="auto"/>
                <w:sz w:val="24"/>
                <w:szCs w:val="28"/>
                <w:highlight w:val="none"/>
                <w:lang w:val="en-US" w:eastAsia="zh-CN"/>
              </w:rPr>
            </w:pPr>
            <w:r>
              <w:rPr>
                <w:rFonts w:hint="eastAsia" w:asciiTheme="minorEastAsia" w:hAnsiTheme="minorEastAsia" w:eastAsiaTheme="minorEastAsia" w:cstheme="minorEastAsia"/>
                <w:b w:val="0"/>
                <w:bCs w:val="0"/>
                <w:color w:val="auto"/>
                <w:sz w:val="24"/>
                <w:szCs w:val="28"/>
                <w:highlight w:val="none"/>
                <w:lang w:val="en-US" w:eastAsia="zh-CN"/>
              </w:rPr>
              <w:t>其他相关证明材料</w:t>
            </w:r>
          </w:p>
        </w:tc>
        <w:tc>
          <w:tcPr>
            <w:tcW w:w="2192" w:type="dxa"/>
            <w:tcBorders>
              <w:bottom w:val="single" w:color="auto" w:sz="4" w:space="0"/>
            </w:tcBorders>
            <w:noWrap w:val="0"/>
            <w:vAlign w:val="center"/>
          </w:tcPr>
          <w:p w14:paraId="3D4B65A5">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b w:val="0"/>
                <w:bCs w:val="0"/>
                <w:color w:val="auto"/>
                <w:sz w:val="24"/>
                <w:szCs w:val="20"/>
                <w:highlight w:val="yellow"/>
              </w:rPr>
            </w:pPr>
            <w:r>
              <w:rPr>
                <w:rFonts w:hint="eastAsia" w:asciiTheme="minorEastAsia" w:hAnsiTheme="minorEastAsia" w:eastAsiaTheme="minorEastAsia" w:cstheme="minorEastAsia"/>
                <w:b w:val="0"/>
                <w:bCs w:val="0"/>
                <w:color w:val="auto"/>
                <w:sz w:val="24"/>
                <w:szCs w:val="28"/>
                <w:highlight w:val="none"/>
                <w:lang w:val="en-US" w:eastAsia="zh-CN"/>
              </w:rPr>
              <w:t>符合招标文件列明的其他实质性要求。</w:t>
            </w:r>
          </w:p>
        </w:tc>
        <w:tc>
          <w:tcPr>
            <w:tcW w:w="4674" w:type="dxa"/>
            <w:tcBorders>
              <w:bottom w:val="single" w:color="auto" w:sz="4" w:space="0"/>
            </w:tcBorders>
            <w:noWrap w:val="0"/>
            <w:vAlign w:val="center"/>
          </w:tcPr>
          <w:p w14:paraId="6E4076F7">
            <w:pPr>
              <w:keepNext w:val="0"/>
              <w:keepLines w:val="0"/>
              <w:suppressLineNumbers w:val="0"/>
              <w:spacing w:before="0" w:beforeAutospacing="0" w:after="50" w:afterAutospacing="0" w:line="360" w:lineRule="auto"/>
              <w:ind w:left="0" w:leftChars="0" w:right="-10" w:rightChars="0"/>
              <w:jc w:val="center"/>
              <w:rPr>
                <w:rFonts w:hint="eastAsia" w:asciiTheme="minorEastAsia" w:hAnsiTheme="minorEastAsia" w:eastAsiaTheme="minorEastAsia" w:cstheme="minorEastAsia"/>
                <w:b w:val="0"/>
                <w:bCs w:val="0"/>
                <w:color w:val="auto"/>
                <w:sz w:val="24"/>
                <w:highlight w:val="yellow"/>
              </w:rPr>
            </w:pPr>
          </w:p>
        </w:tc>
      </w:tr>
    </w:tbl>
    <w:p w14:paraId="47847403">
      <w:pPr>
        <w:shd w:val="clear" w:color="auto" w:fill="auto"/>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资格审查指标通过标准：</w:t>
      </w:r>
      <w:r>
        <w:rPr>
          <w:rFonts w:hint="eastAsia" w:asciiTheme="minorEastAsia" w:hAnsiTheme="minorEastAsia" w:eastAsiaTheme="minorEastAsia" w:cstheme="minorEastAsia"/>
          <w:color w:val="auto"/>
          <w:sz w:val="24"/>
          <w:highlight w:val="none"/>
        </w:rPr>
        <w:t>投标人必须通过资格审查表中的全部评审指标。</w:t>
      </w:r>
    </w:p>
    <w:p w14:paraId="22DC5236">
      <w:pPr>
        <w:pStyle w:val="3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 本项目采用综合评分法。</w:t>
      </w:r>
    </w:p>
    <w:p w14:paraId="0D17073E">
      <w:pPr>
        <w:pStyle w:val="3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2.2.1评标委员会按照下表对投标文件进行详细审查和评分。</w:t>
      </w:r>
    </w:p>
    <w:p w14:paraId="6EC886B4">
      <w:pPr>
        <w:pStyle w:val="3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2.2.2本项目综合评分满分为100分，其中：技术资信分值占总分值的权重为</w:t>
      </w:r>
      <w:r>
        <w:rPr>
          <w:rFonts w:hint="eastAsia" w:asciiTheme="minorEastAsia" w:hAnsiTheme="minorEastAsia" w:eastAsiaTheme="minorEastAsia" w:cstheme="minorEastAsia"/>
          <w:color w:val="auto"/>
          <w:sz w:val="24"/>
          <w:highlight w:val="none"/>
          <w:u w:val="single"/>
          <w:lang w:val="en-US" w:eastAsia="zh-CN"/>
        </w:rPr>
        <w:t>70%</w:t>
      </w:r>
      <w:r>
        <w:rPr>
          <w:rFonts w:hint="eastAsia" w:asciiTheme="minorEastAsia" w:hAnsiTheme="minorEastAsia" w:eastAsiaTheme="minorEastAsia" w:cstheme="minorEastAsia"/>
          <w:color w:val="auto"/>
          <w:sz w:val="24"/>
          <w:highlight w:val="none"/>
          <w:lang w:val="en-US" w:eastAsia="zh-CN"/>
        </w:rPr>
        <w:t>，价格分值占总分值的权重为</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lang w:val="en-US" w:eastAsia="zh-CN"/>
        </w:rPr>
        <w:t>。具体评分细则如下：</w:t>
      </w:r>
    </w:p>
    <w:tbl>
      <w:tblPr>
        <w:tblStyle w:val="4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5BF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5A5A31">
            <w:pPr>
              <w:spacing w:line="360" w:lineRule="auto"/>
              <w:jc w:val="center"/>
              <w:rPr>
                <w:rFonts w:hint="eastAsia" w:asciiTheme="minorEastAsia" w:hAnsiTheme="minorEastAsia" w:eastAsiaTheme="minorEastAsia" w:cstheme="minorEastAsia"/>
                <w:b/>
                <w:bCs/>
                <w:sz w:val="24"/>
                <w:highlight w:val="none"/>
              </w:rPr>
            </w:pPr>
            <w:bookmarkStart w:id="43" w:name="_Toc66363490"/>
            <w:r>
              <w:rPr>
                <w:rFonts w:hint="eastAsia" w:asciiTheme="minorEastAsia" w:hAnsiTheme="minorEastAsia" w:eastAsiaTheme="minorEastAsia" w:cstheme="minorEastAsia"/>
                <w:b/>
                <w:bCs/>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70AC7DDE">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034F5DBC">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70E5947C">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分值范围</w:t>
            </w:r>
          </w:p>
        </w:tc>
      </w:tr>
      <w:tr w14:paraId="2E86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0F84A2B">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技术资信分</w:t>
            </w:r>
          </w:p>
          <w:p w14:paraId="79C2D71E">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70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52F6ABAC">
            <w:pPr>
              <w:spacing w:line="360" w:lineRule="auto"/>
              <w:jc w:val="center"/>
              <w:rPr>
                <w:rFonts w:hint="default" w:asciiTheme="minorEastAsia" w:hAnsiTheme="minorEastAsia" w:eastAsiaTheme="minorEastAsia" w:cstheme="minorEastAsia"/>
                <w:bCs/>
                <w:sz w:val="24"/>
                <w:highlight w:val="none"/>
                <w:lang w:val="en-US"/>
              </w:rPr>
            </w:pPr>
            <w:r>
              <w:rPr>
                <w:rFonts w:hint="eastAsia" w:asciiTheme="minorEastAsia" w:hAnsiTheme="minorEastAsia" w:eastAsiaTheme="minorEastAsia" w:cstheme="minorEastAsia"/>
                <w:b/>
                <w:bCs w:val="0"/>
                <w:sz w:val="24"/>
                <w:highlight w:val="none"/>
                <w:lang w:val="en-US" w:eastAsia="zh-CN"/>
              </w:rPr>
              <w:t>供货及配送方案</w:t>
            </w:r>
          </w:p>
        </w:tc>
        <w:tc>
          <w:tcPr>
            <w:tcW w:w="3734" w:type="dxa"/>
            <w:tcBorders>
              <w:top w:val="single" w:color="auto" w:sz="4" w:space="0"/>
              <w:left w:val="single" w:color="auto" w:sz="4" w:space="0"/>
              <w:bottom w:val="single" w:color="auto" w:sz="4" w:space="0"/>
              <w:right w:val="single" w:color="auto" w:sz="4" w:space="0"/>
            </w:tcBorders>
            <w:vAlign w:val="center"/>
          </w:tcPr>
          <w:p w14:paraId="3965BEFC">
            <w:pPr>
              <w:spacing w:line="360" w:lineRule="auto"/>
              <w:jc w:val="both"/>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根据投标文件中提供的供货及配送方案进行综合评审：</w:t>
            </w:r>
          </w:p>
          <w:p w14:paraId="74C19D73">
            <w:pPr>
              <w:spacing w:line="360" w:lineRule="auto"/>
              <w:jc w:val="both"/>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1.方案内容详实，组织安排契合项目实际需求，服务措施具有较强可行性的，</w:t>
            </w:r>
            <w:r>
              <w:rPr>
                <w:rFonts w:ascii="宋体" w:hAnsi="宋体" w:eastAsia="宋体" w:cs="宋体"/>
                <w:b/>
                <w:bCs/>
                <w:sz w:val="24"/>
                <w:szCs w:val="24"/>
              </w:rPr>
              <w:t>得</w:t>
            </w:r>
            <w:r>
              <w:rPr>
                <w:rStyle w:val="44"/>
                <w:rFonts w:hint="eastAsia" w:ascii="宋体" w:hAnsi="宋体" w:eastAsia="宋体" w:cs="宋体"/>
                <w:bCs/>
                <w:color w:val="000000"/>
                <w:sz w:val="24"/>
                <w:szCs w:val="24"/>
                <w:lang w:val="en-US" w:eastAsia="zh-CN"/>
              </w:rPr>
              <w:t>10</w:t>
            </w:r>
            <w:r>
              <w:rPr>
                <w:rStyle w:val="44"/>
                <w:rFonts w:ascii="宋体" w:hAnsi="宋体" w:eastAsia="宋体" w:cs="宋体"/>
                <w:bCs/>
                <w:color w:val="000000"/>
                <w:sz w:val="24"/>
                <w:szCs w:val="24"/>
              </w:rPr>
              <w:t>＜F≤</w:t>
            </w:r>
            <w:r>
              <w:rPr>
                <w:rStyle w:val="44"/>
                <w:rFonts w:hint="eastAsia" w:ascii="宋体" w:hAnsi="宋体" w:eastAsia="宋体" w:cs="宋体"/>
                <w:bCs/>
                <w:color w:val="000000"/>
                <w:sz w:val="24"/>
                <w:szCs w:val="24"/>
                <w:lang w:val="en-US" w:eastAsia="zh-CN"/>
              </w:rPr>
              <w:t>15</w:t>
            </w:r>
            <w:r>
              <w:rPr>
                <w:rFonts w:ascii="宋体" w:hAnsi="宋体" w:eastAsia="宋体" w:cs="宋体"/>
                <w:b/>
                <w:bCs/>
                <w:sz w:val="24"/>
                <w:szCs w:val="24"/>
              </w:rPr>
              <w:t>分</w:t>
            </w:r>
            <w:r>
              <w:rPr>
                <w:rFonts w:hint="eastAsia" w:asciiTheme="minorEastAsia" w:hAnsiTheme="minorEastAsia" w:eastAsiaTheme="minorEastAsia" w:cstheme="minorEastAsia"/>
                <w:bCs/>
                <w:sz w:val="24"/>
                <w:highlight w:val="none"/>
                <w:lang w:val="en-US" w:eastAsia="zh-CN"/>
              </w:rPr>
              <w:t>；</w:t>
            </w:r>
          </w:p>
          <w:p w14:paraId="5F2DE616">
            <w:pPr>
              <w:spacing w:line="360" w:lineRule="auto"/>
              <w:jc w:val="both"/>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2.方案内容基本完整，组织安排基本满足项目需求，服务措施具有一定可行性的，</w:t>
            </w:r>
            <w:r>
              <w:rPr>
                <w:rFonts w:hint="eastAsia" w:asciiTheme="minorEastAsia" w:hAnsiTheme="minorEastAsia" w:eastAsiaTheme="minorEastAsia" w:cstheme="minorEastAsia"/>
                <w:b/>
                <w:bCs w:val="0"/>
                <w:sz w:val="24"/>
                <w:highlight w:val="none"/>
                <w:lang w:val="en-US" w:eastAsia="zh-CN"/>
              </w:rPr>
              <w:t>得</w:t>
            </w:r>
            <w:r>
              <w:rPr>
                <w:rStyle w:val="44"/>
                <w:rFonts w:hint="eastAsia" w:ascii="宋体" w:hAnsi="宋体" w:eastAsia="宋体" w:cs="宋体"/>
                <w:bCs/>
                <w:color w:val="000000"/>
                <w:sz w:val="24"/>
                <w:szCs w:val="24"/>
                <w:lang w:val="en-US" w:eastAsia="zh-CN"/>
              </w:rPr>
              <w:t>5</w:t>
            </w:r>
            <w:r>
              <w:rPr>
                <w:rStyle w:val="44"/>
                <w:rFonts w:ascii="宋体" w:hAnsi="宋体" w:eastAsia="宋体" w:cs="宋体"/>
                <w:bCs/>
                <w:color w:val="000000"/>
                <w:sz w:val="24"/>
                <w:szCs w:val="24"/>
              </w:rPr>
              <w:t>≤F≤</w:t>
            </w:r>
            <w:r>
              <w:rPr>
                <w:rStyle w:val="44"/>
                <w:rFonts w:hint="eastAsia" w:ascii="宋体" w:hAnsi="宋体" w:eastAsia="宋体" w:cs="宋体"/>
                <w:bCs/>
                <w:color w:val="000000"/>
                <w:sz w:val="24"/>
                <w:szCs w:val="24"/>
                <w:lang w:val="en-US" w:eastAsia="zh-CN"/>
              </w:rPr>
              <w:t>10</w:t>
            </w:r>
            <w:r>
              <w:rPr>
                <w:rFonts w:ascii="宋体" w:hAnsi="宋体" w:eastAsia="宋体" w:cs="宋体"/>
                <w:b/>
                <w:bCs/>
                <w:sz w:val="24"/>
                <w:szCs w:val="24"/>
              </w:rPr>
              <w:t>分</w:t>
            </w:r>
            <w:r>
              <w:rPr>
                <w:rFonts w:hint="eastAsia" w:asciiTheme="minorEastAsia" w:hAnsiTheme="minorEastAsia" w:eastAsiaTheme="minorEastAsia" w:cstheme="minorEastAsia"/>
                <w:bCs/>
                <w:sz w:val="24"/>
                <w:highlight w:val="none"/>
                <w:lang w:val="en-US" w:eastAsia="zh-CN"/>
              </w:rPr>
              <w:t>；</w:t>
            </w:r>
          </w:p>
          <w:p w14:paraId="5469D5E3">
            <w:pPr>
              <w:spacing w:line="360" w:lineRule="auto"/>
              <w:jc w:val="both"/>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3.方案细节待完善，安排待优化，服务措施待提升的，</w:t>
            </w:r>
            <w:r>
              <w:rPr>
                <w:rFonts w:ascii="宋体" w:hAnsi="宋体" w:eastAsia="宋体" w:cs="宋体"/>
                <w:b/>
                <w:bCs/>
                <w:sz w:val="24"/>
                <w:szCs w:val="24"/>
              </w:rPr>
              <w:t>得</w:t>
            </w:r>
            <w:r>
              <w:rPr>
                <w:rStyle w:val="44"/>
                <w:rFonts w:ascii="宋体" w:hAnsi="宋体" w:eastAsia="宋体" w:cs="宋体"/>
                <w:bCs/>
                <w:color w:val="000000"/>
                <w:sz w:val="24"/>
                <w:szCs w:val="24"/>
              </w:rPr>
              <w:t>0＜F＜</w:t>
            </w:r>
            <w:r>
              <w:rPr>
                <w:rStyle w:val="44"/>
                <w:rFonts w:hint="eastAsia" w:ascii="宋体" w:hAnsi="宋体" w:eastAsia="宋体" w:cs="宋体"/>
                <w:bCs/>
                <w:color w:val="000000"/>
                <w:sz w:val="24"/>
                <w:szCs w:val="24"/>
                <w:lang w:val="en-US" w:eastAsia="zh-CN"/>
              </w:rPr>
              <w:t>5</w:t>
            </w:r>
            <w:r>
              <w:rPr>
                <w:rFonts w:ascii="宋体" w:hAnsi="宋体" w:eastAsia="宋体" w:cs="宋体"/>
                <w:b/>
                <w:bCs/>
                <w:sz w:val="24"/>
                <w:szCs w:val="24"/>
              </w:rPr>
              <w:t>分</w:t>
            </w:r>
            <w:r>
              <w:rPr>
                <w:rFonts w:hint="eastAsia" w:asciiTheme="minorEastAsia" w:hAnsiTheme="minorEastAsia" w:eastAsiaTheme="minorEastAsia" w:cstheme="minorEastAsia"/>
                <w:bCs/>
                <w:sz w:val="24"/>
                <w:highlight w:val="none"/>
                <w:lang w:val="en-US" w:eastAsia="zh-CN"/>
              </w:rPr>
              <w:t>。</w:t>
            </w:r>
          </w:p>
          <w:p w14:paraId="78650A5B">
            <w:pPr>
              <w:spacing w:line="360" w:lineRule="auto"/>
              <w:jc w:val="both"/>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val="0"/>
                <w:sz w:val="24"/>
                <w:highlight w:val="none"/>
                <w:lang w:val="en-US" w:eastAsia="zh-CN"/>
              </w:rPr>
              <w:t>注：未提供的不得分。</w:t>
            </w:r>
          </w:p>
        </w:tc>
        <w:tc>
          <w:tcPr>
            <w:tcW w:w="1574" w:type="dxa"/>
            <w:tcBorders>
              <w:top w:val="single" w:color="auto" w:sz="4" w:space="0"/>
              <w:left w:val="single" w:color="auto" w:sz="4" w:space="0"/>
              <w:bottom w:val="single" w:color="auto" w:sz="4" w:space="0"/>
              <w:right w:val="single" w:color="auto" w:sz="4" w:space="0"/>
            </w:tcBorders>
            <w:vAlign w:val="center"/>
          </w:tcPr>
          <w:p w14:paraId="7CA317F2">
            <w:pPr>
              <w:spacing w:line="360" w:lineRule="auto"/>
              <w:jc w:val="center"/>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0-15分</w:t>
            </w:r>
          </w:p>
        </w:tc>
      </w:tr>
      <w:tr w14:paraId="3C6C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CA858CE">
            <w:pPr>
              <w:spacing w:line="360" w:lineRule="auto"/>
              <w:ind w:firstLine="435"/>
              <w:jc w:val="center"/>
              <w:rPr>
                <w:rFonts w:hint="eastAsia" w:asciiTheme="minorEastAsia" w:hAnsiTheme="minorEastAsia" w:eastAsiaTheme="minorEastAsia" w:cstheme="minorEastAsia"/>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FDDC03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val="0"/>
                <w:sz w:val="24"/>
                <w:highlight w:val="none"/>
                <w:lang w:val="en-US" w:eastAsia="zh-CN"/>
              </w:rPr>
              <w:t>售后服务承诺</w:t>
            </w:r>
          </w:p>
        </w:tc>
        <w:tc>
          <w:tcPr>
            <w:tcW w:w="3734" w:type="dxa"/>
            <w:tcBorders>
              <w:top w:val="single" w:color="auto" w:sz="4" w:space="0"/>
              <w:left w:val="single" w:color="auto" w:sz="4" w:space="0"/>
              <w:bottom w:val="single" w:color="auto" w:sz="4" w:space="0"/>
              <w:right w:val="single" w:color="auto" w:sz="4" w:space="0"/>
            </w:tcBorders>
            <w:vAlign w:val="center"/>
          </w:tcPr>
          <w:p w14:paraId="75862DDA">
            <w:pPr>
              <w:spacing w:line="360" w:lineRule="auto"/>
              <w:jc w:val="both"/>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根据投标文件中提供的售后服务承诺进行综合评审：</w:t>
            </w:r>
          </w:p>
          <w:p w14:paraId="7269D6B2">
            <w:pPr>
              <w:spacing w:line="360" w:lineRule="auto"/>
              <w:jc w:val="both"/>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1.承诺内容全面深入、详尽，覆盖面广、实用性强的，</w:t>
            </w:r>
            <w:r>
              <w:rPr>
                <w:rFonts w:ascii="宋体" w:hAnsi="宋体" w:eastAsia="宋体" w:cs="宋体"/>
                <w:b/>
                <w:bCs/>
                <w:sz w:val="24"/>
                <w:szCs w:val="24"/>
              </w:rPr>
              <w:t>得</w:t>
            </w:r>
            <w:r>
              <w:rPr>
                <w:rStyle w:val="44"/>
                <w:rFonts w:hint="eastAsia" w:ascii="宋体" w:hAnsi="宋体" w:eastAsia="宋体" w:cs="宋体"/>
                <w:bCs/>
                <w:color w:val="000000"/>
                <w:sz w:val="24"/>
                <w:szCs w:val="24"/>
                <w:lang w:val="en-US" w:eastAsia="zh-CN"/>
              </w:rPr>
              <w:t>10</w:t>
            </w:r>
            <w:r>
              <w:rPr>
                <w:rStyle w:val="44"/>
                <w:rFonts w:ascii="宋体" w:hAnsi="宋体" w:eastAsia="宋体" w:cs="宋体"/>
                <w:bCs/>
                <w:color w:val="000000"/>
                <w:sz w:val="24"/>
                <w:szCs w:val="24"/>
              </w:rPr>
              <w:t>＜F≤</w:t>
            </w:r>
            <w:r>
              <w:rPr>
                <w:rStyle w:val="44"/>
                <w:rFonts w:hint="eastAsia" w:ascii="宋体" w:hAnsi="宋体" w:eastAsia="宋体" w:cs="宋体"/>
                <w:bCs/>
                <w:color w:val="000000"/>
                <w:sz w:val="24"/>
                <w:szCs w:val="24"/>
                <w:lang w:val="en-US" w:eastAsia="zh-CN"/>
              </w:rPr>
              <w:t>15</w:t>
            </w:r>
            <w:r>
              <w:rPr>
                <w:rFonts w:ascii="宋体" w:hAnsi="宋体" w:eastAsia="宋体" w:cs="宋体"/>
                <w:b/>
                <w:bCs/>
                <w:sz w:val="24"/>
                <w:szCs w:val="24"/>
              </w:rPr>
              <w:t>分</w:t>
            </w:r>
            <w:r>
              <w:rPr>
                <w:rFonts w:hint="eastAsia" w:asciiTheme="minorEastAsia" w:hAnsiTheme="minorEastAsia" w:eastAsiaTheme="minorEastAsia" w:cstheme="minorEastAsia"/>
                <w:bCs/>
                <w:sz w:val="24"/>
                <w:highlight w:val="none"/>
                <w:lang w:val="en-US" w:eastAsia="zh-CN"/>
              </w:rPr>
              <w:t>；</w:t>
            </w:r>
          </w:p>
          <w:p w14:paraId="4A91927F">
            <w:pPr>
              <w:spacing w:line="360" w:lineRule="auto"/>
              <w:jc w:val="both"/>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2.承诺内容较为贴切、符合实际，具有一定实用性的，</w:t>
            </w:r>
            <w:r>
              <w:rPr>
                <w:rFonts w:hint="eastAsia" w:asciiTheme="minorEastAsia" w:hAnsiTheme="minorEastAsia" w:eastAsiaTheme="minorEastAsia" w:cstheme="minorEastAsia"/>
                <w:b/>
                <w:bCs w:val="0"/>
                <w:sz w:val="24"/>
                <w:highlight w:val="none"/>
                <w:lang w:val="en-US" w:eastAsia="zh-CN"/>
              </w:rPr>
              <w:t>得</w:t>
            </w:r>
            <w:r>
              <w:rPr>
                <w:rStyle w:val="44"/>
                <w:rFonts w:hint="eastAsia" w:ascii="宋体" w:hAnsi="宋体" w:eastAsia="宋体" w:cs="宋体"/>
                <w:bCs/>
                <w:color w:val="000000"/>
                <w:sz w:val="24"/>
                <w:szCs w:val="24"/>
                <w:lang w:val="en-US" w:eastAsia="zh-CN"/>
              </w:rPr>
              <w:t>5</w:t>
            </w:r>
            <w:r>
              <w:rPr>
                <w:rStyle w:val="44"/>
                <w:rFonts w:ascii="宋体" w:hAnsi="宋体" w:eastAsia="宋体" w:cs="宋体"/>
                <w:bCs/>
                <w:color w:val="000000"/>
                <w:sz w:val="24"/>
                <w:szCs w:val="24"/>
              </w:rPr>
              <w:t>≤F≤</w:t>
            </w:r>
            <w:r>
              <w:rPr>
                <w:rStyle w:val="44"/>
                <w:rFonts w:hint="eastAsia" w:ascii="宋体" w:hAnsi="宋体" w:eastAsia="宋体" w:cs="宋体"/>
                <w:bCs/>
                <w:color w:val="000000"/>
                <w:sz w:val="24"/>
                <w:szCs w:val="24"/>
                <w:lang w:val="en-US" w:eastAsia="zh-CN"/>
              </w:rPr>
              <w:t>10</w:t>
            </w:r>
            <w:r>
              <w:rPr>
                <w:rFonts w:ascii="宋体" w:hAnsi="宋体" w:eastAsia="宋体" w:cs="宋体"/>
                <w:b/>
                <w:bCs/>
                <w:sz w:val="24"/>
                <w:szCs w:val="24"/>
              </w:rPr>
              <w:t>分</w:t>
            </w:r>
            <w:r>
              <w:rPr>
                <w:rFonts w:hint="eastAsia" w:asciiTheme="minorEastAsia" w:hAnsiTheme="minorEastAsia" w:eastAsiaTheme="minorEastAsia" w:cstheme="minorEastAsia"/>
                <w:bCs/>
                <w:sz w:val="24"/>
                <w:highlight w:val="none"/>
                <w:lang w:val="en-US" w:eastAsia="zh-CN"/>
              </w:rPr>
              <w:t>；</w:t>
            </w:r>
          </w:p>
          <w:p w14:paraId="13CBD154">
            <w:pPr>
              <w:spacing w:line="360" w:lineRule="auto"/>
              <w:jc w:val="both"/>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3.承诺内容基本符合要求，内容有待完善的，</w:t>
            </w:r>
            <w:r>
              <w:rPr>
                <w:rFonts w:ascii="宋体" w:hAnsi="宋体" w:eastAsia="宋体" w:cs="宋体"/>
                <w:b/>
                <w:bCs/>
                <w:sz w:val="24"/>
                <w:szCs w:val="24"/>
              </w:rPr>
              <w:t>得</w:t>
            </w:r>
            <w:r>
              <w:rPr>
                <w:rStyle w:val="44"/>
                <w:rFonts w:ascii="宋体" w:hAnsi="宋体" w:eastAsia="宋体" w:cs="宋体"/>
                <w:bCs/>
                <w:color w:val="000000"/>
                <w:sz w:val="24"/>
                <w:szCs w:val="24"/>
              </w:rPr>
              <w:t>0＜F＜</w:t>
            </w:r>
            <w:r>
              <w:rPr>
                <w:rStyle w:val="44"/>
                <w:rFonts w:hint="eastAsia" w:ascii="宋体" w:hAnsi="宋体" w:eastAsia="宋体" w:cs="宋体"/>
                <w:bCs/>
                <w:color w:val="000000"/>
                <w:sz w:val="24"/>
                <w:szCs w:val="24"/>
                <w:lang w:val="en-US" w:eastAsia="zh-CN"/>
              </w:rPr>
              <w:t>5</w:t>
            </w:r>
            <w:r>
              <w:rPr>
                <w:rFonts w:ascii="宋体" w:hAnsi="宋体" w:eastAsia="宋体" w:cs="宋体"/>
                <w:b/>
                <w:bCs/>
                <w:sz w:val="24"/>
                <w:szCs w:val="24"/>
              </w:rPr>
              <w:t>分</w:t>
            </w:r>
            <w:r>
              <w:rPr>
                <w:rFonts w:hint="eastAsia" w:asciiTheme="minorEastAsia" w:hAnsiTheme="minorEastAsia" w:eastAsiaTheme="minorEastAsia" w:cstheme="minorEastAsia"/>
                <w:bCs/>
                <w:sz w:val="24"/>
                <w:highlight w:val="none"/>
                <w:lang w:val="en-US" w:eastAsia="zh-CN"/>
              </w:rPr>
              <w:t>。</w:t>
            </w:r>
          </w:p>
          <w:p w14:paraId="4348400B">
            <w:pPr>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val="0"/>
                <w:sz w:val="24"/>
                <w:highlight w:val="none"/>
                <w:lang w:val="en-US" w:eastAsia="zh-CN"/>
              </w:rPr>
              <w:t>注：差或未提供的不得分。</w:t>
            </w:r>
          </w:p>
        </w:tc>
        <w:tc>
          <w:tcPr>
            <w:tcW w:w="1574" w:type="dxa"/>
            <w:tcBorders>
              <w:top w:val="single" w:color="auto" w:sz="4" w:space="0"/>
              <w:left w:val="single" w:color="auto" w:sz="4" w:space="0"/>
              <w:bottom w:val="single" w:color="auto" w:sz="4" w:space="0"/>
              <w:right w:val="single" w:color="auto" w:sz="4" w:space="0"/>
            </w:tcBorders>
            <w:vAlign w:val="center"/>
          </w:tcPr>
          <w:p w14:paraId="1EE010B1">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0-15分</w:t>
            </w:r>
          </w:p>
        </w:tc>
      </w:tr>
      <w:tr w14:paraId="7957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66E4781C">
            <w:pPr>
              <w:spacing w:line="360" w:lineRule="auto"/>
              <w:ind w:firstLine="435"/>
              <w:jc w:val="center"/>
              <w:rPr>
                <w:rFonts w:hint="eastAsia" w:asciiTheme="minorEastAsia" w:hAnsiTheme="minorEastAsia" w:eastAsiaTheme="minorEastAsia" w:cstheme="minorEastAsia"/>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4E1D982">
            <w:pPr>
              <w:spacing w:line="360" w:lineRule="auto"/>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sz w:val="24"/>
                <w:highlight w:val="none"/>
                <w:lang w:val="en-US" w:eastAsia="zh-CN"/>
              </w:rPr>
              <w:t>体系认证</w:t>
            </w:r>
          </w:p>
        </w:tc>
        <w:tc>
          <w:tcPr>
            <w:tcW w:w="3734" w:type="dxa"/>
            <w:tcBorders>
              <w:top w:val="single" w:color="auto" w:sz="4" w:space="0"/>
              <w:left w:val="single" w:color="auto" w:sz="4" w:space="0"/>
              <w:bottom w:val="single" w:color="auto" w:sz="4" w:space="0"/>
              <w:right w:val="single" w:color="auto" w:sz="4" w:space="0"/>
            </w:tcBorders>
            <w:vAlign w:val="center"/>
          </w:tcPr>
          <w:p w14:paraId="4D081E2A">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投标人具有经中国国家认证认可监督管理委员会认可的认证机构颁发的下列认证：</w:t>
            </w:r>
          </w:p>
          <w:p w14:paraId="15966518">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1.质量管理体系认证，得3分；</w:t>
            </w:r>
          </w:p>
          <w:p w14:paraId="1EB0DC6D">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2.环境管理体系认证，得3分；</w:t>
            </w:r>
          </w:p>
          <w:p w14:paraId="0FE1B9CA">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3.职业健康安全管理体系认证，得3分。</w:t>
            </w:r>
          </w:p>
          <w:p w14:paraId="7D225A32">
            <w:pPr>
              <w:adjustRightInd w:val="0"/>
              <w:snapToGrid w:val="0"/>
              <w:spacing w:line="360" w:lineRule="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val="0"/>
                <w:sz w:val="24"/>
                <w:highlight w:val="none"/>
                <w:lang w:val="en-US" w:eastAsia="zh-CN"/>
              </w:rPr>
              <w:t>注：投标文件中提供全国认证认可信息公共服务平台官网认证信息查询截图，否则不得分。</w:t>
            </w:r>
          </w:p>
        </w:tc>
        <w:tc>
          <w:tcPr>
            <w:tcW w:w="1574" w:type="dxa"/>
            <w:tcBorders>
              <w:top w:val="single" w:color="auto" w:sz="4" w:space="0"/>
              <w:left w:val="single" w:color="auto" w:sz="4" w:space="0"/>
              <w:bottom w:val="single" w:color="auto" w:sz="4" w:space="0"/>
              <w:right w:val="single" w:color="auto" w:sz="4" w:space="0"/>
            </w:tcBorders>
            <w:vAlign w:val="center"/>
          </w:tcPr>
          <w:p w14:paraId="2D63D97E">
            <w:pPr>
              <w:spacing w:line="360" w:lineRule="auto"/>
              <w:jc w:val="center"/>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0-9分</w:t>
            </w:r>
          </w:p>
        </w:tc>
      </w:tr>
      <w:tr w14:paraId="5DA3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901DF61">
            <w:pPr>
              <w:spacing w:line="360" w:lineRule="auto"/>
              <w:ind w:firstLine="435"/>
              <w:jc w:val="center"/>
              <w:rPr>
                <w:rFonts w:hint="eastAsia" w:asciiTheme="minorEastAsia" w:hAnsiTheme="minorEastAsia" w:eastAsiaTheme="minorEastAsia" w:cstheme="minorEastAsia"/>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56EC148">
            <w:pPr>
              <w:spacing w:line="360" w:lineRule="auto"/>
              <w:jc w:val="center"/>
              <w:rPr>
                <w:rFonts w:hint="eastAsia" w:asciiTheme="minorEastAsia" w:hAnsiTheme="minorEastAsia" w:eastAsiaTheme="minorEastAsia" w:cstheme="minorEastAsia"/>
                <w:b/>
                <w:bCs/>
                <w:kern w:val="21"/>
                <w:sz w:val="24"/>
                <w:szCs w:val="24"/>
                <w:highlight w:val="none"/>
                <w:lang w:val="en-US" w:eastAsia="zh-CN"/>
              </w:rPr>
            </w:pPr>
            <w:r>
              <w:rPr>
                <w:rFonts w:hint="eastAsia" w:asciiTheme="minorEastAsia" w:hAnsiTheme="minorEastAsia" w:eastAsiaTheme="minorEastAsia" w:cstheme="minorEastAsia"/>
                <w:b/>
                <w:bCs/>
                <w:sz w:val="24"/>
                <w:highlight w:val="none"/>
                <w:lang w:val="en-US" w:eastAsia="zh-CN"/>
              </w:rPr>
              <w:t>运输能力</w:t>
            </w:r>
          </w:p>
        </w:tc>
        <w:tc>
          <w:tcPr>
            <w:tcW w:w="3734" w:type="dxa"/>
            <w:tcBorders>
              <w:top w:val="single" w:color="auto" w:sz="4" w:space="0"/>
              <w:left w:val="single" w:color="auto" w:sz="4" w:space="0"/>
              <w:bottom w:val="single" w:color="auto" w:sz="4" w:space="0"/>
              <w:right w:val="single" w:color="auto" w:sz="4" w:space="0"/>
            </w:tcBorders>
            <w:vAlign w:val="center"/>
          </w:tcPr>
          <w:p w14:paraId="32960CE1">
            <w:pPr>
              <w:adjustRightInd w:val="0"/>
              <w:snapToGrid w:val="0"/>
              <w:spacing w:line="360" w:lineRule="auto"/>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1.投标人配备1辆常规运输车的，得基础分4分，在此基础上每增加一辆加1分，本小项最高得5分。</w:t>
            </w:r>
          </w:p>
          <w:p w14:paraId="6AE72477">
            <w:pPr>
              <w:adjustRightInd w:val="0"/>
              <w:snapToGrid w:val="0"/>
              <w:spacing w:line="360" w:lineRule="auto"/>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2.投标人配备1辆经第三方机构验证的冷链运输车的，得基础分4分，在此基础上每增加1辆加2分,本小项最高得6分。</w:t>
            </w:r>
          </w:p>
          <w:p w14:paraId="5E2A1F52">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注：</w:t>
            </w:r>
          </w:p>
          <w:p w14:paraId="3FA59F5F">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1）投标人自有或租赁的车辆，均予以认可。</w:t>
            </w:r>
          </w:p>
          <w:p w14:paraId="0E64AC98">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2）如为自有车辆，投标文件中提供车辆行驶证及购车发票扫描件；如为租赁车辆，投标文件中同时提供车辆行驶证、出租方的购车发票、租赁合同扫描件及承诺（承诺内容至少包含：合同签订后租赁期将覆盖本项目服务期）。</w:t>
            </w:r>
          </w:p>
          <w:p w14:paraId="53A108D8">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3）针对上述第2小项，投标文件中须同时提供第三方机构出具的冷链运输车验证报告扫描件；</w:t>
            </w:r>
          </w:p>
          <w:p w14:paraId="0E3FC631">
            <w:pPr>
              <w:adjustRightInd w:val="0"/>
              <w:snapToGrid w:val="0"/>
              <w:spacing w:line="360" w:lineRule="auto"/>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highlight w:val="none"/>
                <w:lang w:val="en-US" w:eastAsia="zh-CN"/>
              </w:rPr>
              <w:t>4）上述材料如无法体现车辆类型信息的，相应车辆不得分。</w:t>
            </w:r>
          </w:p>
        </w:tc>
        <w:tc>
          <w:tcPr>
            <w:tcW w:w="1574" w:type="dxa"/>
            <w:tcBorders>
              <w:top w:val="single" w:color="auto" w:sz="4" w:space="0"/>
              <w:left w:val="single" w:color="auto" w:sz="4" w:space="0"/>
              <w:bottom w:val="single" w:color="auto" w:sz="4" w:space="0"/>
              <w:right w:val="single" w:color="auto" w:sz="4" w:space="0"/>
            </w:tcBorders>
            <w:vAlign w:val="center"/>
          </w:tcPr>
          <w:p w14:paraId="6DED9F1B">
            <w:pPr>
              <w:spacing w:line="360" w:lineRule="auto"/>
              <w:jc w:val="center"/>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val="0"/>
                <w:kern w:val="2"/>
                <w:sz w:val="24"/>
                <w:highlight w:val="none"/>
                <w:lang w:val="en-US" w:eastAsia="zh-CN" w:bidi="ar-SA"/>
              </w:rPr>
              <w:t>0-11分</w:t>
            </w:r>
          </w:p>
        </w:tc>
      </w:tr>
      <w:tr w14:paraId="537C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6936B829">
            <w:pPr>
              <w:spacing w:line="360" w:lineRule="auto"/>
              <w:ind w:firstLine="435"/>
              <w:jc w:val="center"/>
              <w:rPr>
                <w:rFonts w:hint="eastAsia" w:asciiTheme="minorEastAsia" w:hAnsiTheme="minorEastAsia" w:eastAsiaTheme="minorEastAsia" w:cstheme="minorEastAsia"/>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A7DA9EB">
            <w:pPr>
              <w:spacing w:line="360" w:lineRule="auto"/>
              <w:jc w:val="center"/>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5515E416">
            <w:pPr>
              <w:adjustRightInd w:val="0"/>
              <w:snapToGrid w:val="0"/>
              <w:spacing w:line="360" w:lineRule="auto"/>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color w:val="auto"/>
                <w:sz w:val="24"/>
                <w:szCs w:val="18"/>
                <w:highlight w:val="none"/>
              </w:rPr>
              <w:t>自202</w:t>
            </w:r>
            <w:r>
              <w:rPr>
                <w:rFonts w:hint="eastAsia" w:asciiTheme="minorEastAsia" w:hAnsiTheme="minorEastAsia" w:eastAsiaTheme="minorEastAsia" w:cstheme="minorEastAsia"/>
                <w:color w:val="auto"/>
                <w:sz w:val="24"/>
                <w:szCs w:val="18"/>
                <w:highlight w:val="none"/>
                <w:lang w:val="en-US" w:eastAsia="zh-CN"/>
              </w:rPr>
              <w:t>2</w:t>
            </w:r>
            <w:r>
              <w:rPr>
                <w:rFonts w:hint="eastAsia" w:asciiTheme="minorEastAsia" w:hAnsiTheme="minorEastAsia" w:eastAsiaTheme="minorEastAsia" w:cstheme="minorEastAsia"/>
                <w:color w:val="auto"/>
                <w:sz w:val="24"/>
                <w:szCs w:val="18"/>
                <w:highlight w:val="none"/>
              </w:rPr>
              <w:t>年1月1日以来（以合同签订时间为准），</w:t>
            </w:r>
            <w:r>
              <w:rPr>
                <w:rFonts w:hint="eastAsia" w:asciiTheme="minorEastAsia" w:hAnsiTheme="minorEastAsia" w:eastAsiaTheme="minorEastAsia" w:cstheme="minorEastAsia"/>
                <w:color w:val="auto"/>
                <w:sz w:val="24"/>
                <w:szCs w:val="18"/>
                <w:highlight w:val="none"/>
                <w:lang w:eastAsia="zh-CN"/>
              </w:rPr>
              <w:t>投标人须具有单个合同总金额不少于</w:t>
            </w:r>
            <w:r>
              <w:rPr>
                <w:rFonts w:hint="eastAsia" w:asciiTheme="minorEastAsia" w:hAnsiTheme="minorEastAsia" w:eastAsiaTheme="minorEastAsia" w:cstheme="minorEastAsia"/>
                <w:color w:val="auto"/>
                <w:sz w:val="24"/>
                <w:szCs w:val="18"/>
                <w:highlight w:val="none"/>
                <w:lang w:val="en-US" w:eastAsia="zh-CN"/>
              </w:rPr>
              <w:t>10</w:t>
            </w:r>
            <w:r>
              <w:rPr>
                <w:rFonts w:hint="eastAsia" w:asciiTheme="minorEastAsia" w:hAnsiTheme="minorEastAsia" w:eastAsiaTheme="minorEastAsia" w:cstheme="minorEastAsia"/>
                <w:color w:val="auto"/>
                <w:sz w:val="24"/>
                <w:szCs w:val="18"/>
                <w:highlight w:val="none"/>
                <w:lang w:eastAsia="zh-CN"/>
              </w:rPr>
              <w:t>万元的药品供货业绩</w:t>
            </w:r>
            <w:r>
              <w:rPr>
                <w:rFonts w:hint="eastAsia" w:asciiTheme="minorEastAsia" w:hAnsiTheme="minorEastAsia" w:eastAsiaTheme="minorEastAsia" w:cstheme="minorEastAsia"/>
                <w:color w:val="auto"/>
                <w:sz w:val="24"/>
                <w:szCs w:val="18"/>
                <w:highlight w:val="none"/>
                <w:lang w:val="en-US" w:eastAsia="zh-CN"/>
              </w:rPr>
              <w:t>的</w:t>
            </w:r>
            <w:r>
              <w:rPr>
                <w:rFonts w:hint="eastAsia" w:asciiTheme="minorEastAsia" w:hAnsiTheme="minorEastAsia" w:eastAsiaTheme="minorEastAsia" w:cstheme="minorEastAsia"/>
                <w:bCs/>
                <w:sz w:val="24"/>
                <w:highlight w:val="none"/>
                <w:lang w:val="en-US" w:eastAsia="zh-CN"/>
              </w:rPr>
              <w:t>，每提供一个业绩得4分，最高得12分。</w:t>
            </w:r>
          </w:p>
          <w:p w14:paraId="3CA7F410">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注：</w:t>
            </w:r>
          </w:p>
          <w:p w14:paraId="587F5CEC">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1）投标文件中提供业绩合同扫描件，如无法体现合同签订时间、服务内容等评审因素的，须同时另附业主单位（合同甲方）相关证明材料扫描件，否则不得分。</w:t>
            </w:r>
          </w:p>
          <w:p w14:paraId="0DEEA96F">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2）正在履约和履约完成的业绩均予以认可；</w:t>
            </w:r>
          </w:p>
          <w:p w14:paraId="4220C976">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3）同一业主单位（合同甲方）具有多个业绩的，仅计分一次，不重复得分。</w:t>
            </w:r>
          </w:p>
        </w:tc>
        <w:tc>
          <w:tcPr>
            <w:tcW w:w="1574" w:type="dxa"/>
            <w:tcBorders>
              <w:top w:val="single" w:color="auto" w:sz="4" w:space="0"/>
              <w:left w:val="single" w:color="auto" w:sz="4" w:space="0"/>
              <w:bottom w:val="single" w:color="auto" w:sz="4" w:space="0"/>
              <w:right w:val="single" w:color="auto" w:sz="4" w:space="0"/>
            </w:tcBorders>
            <w:vAlign w:val="center"/>
          </w:tcPr>
          <w:p w14:paraId="1BB407AD">
            <w:pPr>
              <w:spacing w:line="360" w:lineRule="auto"/>
              <w:jc w:val="center"/>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0-12分</w:t>
            </w:r>
          </w:p>
        </w:tc>
      </w:tr>
      <w:tr w14:paraId="520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6E9F9F36">
            <w:pPr>
              <w:spacing w:line="360" w:lineRule="auto"/>
              <w:ind w:firstLine="435"/>
              <w:jc w:val="center"/>
              <w:rPr>
                <w:rFonts w:hint="eastAsia" w:asciiTheme="minorEastAsia" w:hAnsiTheme="minorEastAsia" w:eastAsiaTheme="minorEastAsia" w:cstheme="minorEastAsia"/>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06DDA1A">
            <w:pPr>
              <w:spacing w:line="360" w:lineRule="auto"/>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投标人荣誉</w:t>
            </w:r>
          </w:p>
        </w:tc>
        <w:tc>
          <w:tcPr>
            <w:tcW w:w="3734" w:type="dxa"/>
            <w:tcBorders>
              <w:top w:val="single" w:color="auto" w:sz="4" w:space="0"/>
              <w:left w:val="single" w:color="auto" w:sz="4" w:space="0"/>
              <w:bottom w:val="single" w:color="auto" w:sz="4" w:space="0"/>
              <w:right w:val="single" w:color="auto" w:sz="4" w:space="0"/>
            </w:tcBorders>
            <w:vAlign w:val="center"/>
          </w:tcPr>
          <w:p w14:paraId="6B563C9C">
            <w:pPr>
              <w:adjustRightInd w:val="0"/>
              <w:snapToGrid w:val="0"/>
              <w:spacing w:line="360" w:lineRule="auto"/>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自2022年1月1日以来（以获奖时间为准），投标人获得党政机关（或事业单位）颁发药品经营方面（或药品质量管理方面）荣誉的：</w:t>
            </w:r>
          </w:p>
          <w:p w14:paraId="307EF0BA">
            <w:pPr>
              <w:adjustRightInd w:val="0"/>
              <w:snapToGrid w:val="0"/>
              <w:spacing w:line="360" w:lineRule="auto"/>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地市级及以上荣誉，每提供1个得4分；</w:t>
            </w:r>
          </w:p>
          <w:p w14:paraId="0821F2E7">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注：</w:t>
            </w:r>
          </w:p>
          <w:p w14:paraId="7145606A">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1）本项满分8分；</w:t>
            </w:r>
          </w:p>
          <w:p w14:paraId="75B878AA">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2）投标文件中提供获奖证书、批复、颁发单位颁奖文件、网上公示截图（具有其中之一即可）等证明材料扫描件，若证明材料中无法体现关键评审内容时，须同时提供颁奖单位出具的相关证明材料加以明确说明，未提供或提供不全的不得分；</w:t>
            </w:r>
          </w:p>
          <w:p w14:paraId="37E445B6">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3）党政机关包括：党的机关、人大机关、行政机关、政协机关、审判机关、检察机关，及各级党政机关派出机构、直属事业单位及工会、共青团、妇联等。</w:t>
            </w:r>
          </w:p>
          <w:p w14:paraId="01263A99">
            <w:pPr>
              <w:adjustRightInd w:val="0"/>
              <w:snapToGrid w:val="0"/>
              <w:spacing w:line="360" w:lineRule="auto"/>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4）奖项的级别以国家行政区划为界定，如地级市、自治州、地区、盟等党政机关（或事业单位）颁发的视为地市级，以此类推。</w:t>
            </w:r>
          </w:p>
        </w:tc>
        <w:tc>
          <w:tcPr>
            <w:tcW w:w="1574" w:type="dxa"/>
            <w:tcBorders>
              <w:top w:val="single" w:color="auto" w:sz="4" w:space="0"/>
              <w:left w:val="single" w:color="auto" w:sz="4" w:space="0"/>
              <w:bottom w:val="single" w:color="auto" w:sz="4" w:space="0"/>
              <w:right w:val="single" w:color="auto" w:sz="4" w:space="0"/>
            </w:tcBorders>
            <w:vAlign w:val="center"/>
          </w:tcPr>
          <w:p w14:paraId="10B74D78">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bCs/>
                <w:sz w:val="24"/>
                <w:highlight w:val="none"/>
                <w:lang w:val="en-US" w:eastAsia="zh-CN"/>
              </w:rPr>
              <w:t>0-8分</w:t>
            </w:r>
          </w:p>
        </w:tc>
      </w:tr>
      <w:tr w14:paraId="7775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4D1D39BB">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价格分</w:t>
            </w:r>
          </w:p>
          <w:p w14:paraId="0CBB2EFA">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30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36832D5E">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价格分统一采用低价优先法，即满足</w:t>
            </w:r>
            <w:r>
              <w:rPr>
                <w:rFonts w:hint="eastAsia" w:asciiTheme="minorEastAsia" w:hAnsiTheme="minorEastAsia" w:eastAsiaTheme="minorEastAsia" w:cstheme="minorEastAsia"/>
                <w:sz w:val="24"/>
                <w:highlight w:val="none"/>
                <w:lang w:eastAsia="zh-CN"/>
              </w:rPr>
              <w:t>招标文件</w:t>
            </w:r>
            <w:r>
              <w:rPr>
                <w:rFonts w:hint="eastAsia" w:asciiTheme="minorEastAsia" w:hAnsiTheme="minorEastAsia" w:eastAsiaTheme="minorEastAsia" w:cstheme="minorEastAsia"/>
                <w:sz w:val="24"/>
                <w:highlight w:val="none"/>
              </w:rPr>
              <w:t>要求且价格最低的最后报价为评标基准价，其价格分为满分</w:t>
            </w:r>
            <w:r>
              <w:rPr>
                <w:rFonts w:hint="eastAsia" w:asciiTheme="minorEastAsia" w:hAnsiTheme="minorEastAsia" w:eastAsiaTheme="minorEastAsia" w:cstheme="minorEastAsia"/>
                <w:sz w:val="24"/>
                <w:highlight w:val="none"/>
                <w:u w:val="single"/>
                <w:lang w:val="en-US" w:eastAsia="zh-CN"/>
              </w:rPr>
              <w:t>30</w:t>
            </w:r>
            <w:r>
              <w:rPr>
                <w:rFonts w:hint="eastAsia" w:asciiTheme="minorEastAsia" w:hAnsiTheme="minorEastAsia" w:eastAsiaTheme="minorEastAsia" w:cstheme="minorEastAsia"/>
                <w:sz w:val="24"/>
                <w:highlight w:val="none"/>
              </w:rPr>
              <w:t>分。其他投标人的价格分统一按照下列公式计算：</w:t>
            </w:r>
          </w:p>
          <w:p w14:paraId="05C82F31">
            <w:pPr>
              <w:spacing w:line="360" w:lineRule="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最后报价得分＝（评标基准价/最后报价）×</w:t>
            </w:r>
            <w:r>
              <w:rPr>
                <w:rFonts w:hint="eastAsia" w:asciiTheme="minorEastAsia" w:hAnsiTheme="minorEastAsia" w:eastAsiaTheme="minorEastAsia" w:cstheme="minorEastAsia"/>
                <w:sz w:val="24"/>
                <w:highlight w:val="none"/>
                <w:u w:val="single"/>
                <w:lang w:val="en-US" w:eastAsia="zh-CN"/>
              </w:rPr>
              <w:t>30</w:t>
            </w:r>
            <w:r>
              <w:rPr>
                <w:rFonts w:hint="eastAsia" w:asciiTheme="minorEastAsia" w:hAnsiTheme="minorEastAsia" w:eastAsiaTheme="minorEastAsia" w:cstheme="minorEastAsia"/>
                <w:sz w:val="24"/>
                <w:highlight w:val="none"/>
              </w:rPr>
              <w:t>％×100</w:t>
            </w:r>
          </w:p>
        </w:tc>
      </w:tr>
    </w:tbl>
    <w:p w14:paraId="24376DC7">
      <w:pPr>
        <w:shd w:val="clear" w:color="auto" w:fill="auto"/>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2.3分值汇总</w:t>
      </w:r>
    </w:p>
    <w:p w14:paraId="1172E17E">
      <w:pPr>
        <w:shd w:val="clear" w:color="auto" w:fill="auto"/>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（1）评标委员会各成员应当独立对每个有效投标人的投标文件进行评分，并汇总每个投标人的得分。取各位评委评分之平均值，四舍五入保留至小数点后两位数，得到该投标人的技术资信分。</w:t>
      </w:r>
    </w:p>
    <w:p w14:paraId="1FE20A05">
      <w:pPr>
        <w:shd w:val="clear" w:color="auto" w:fill="auto"/>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（2）将投标人的技术资信分加上根据上述标准计算出的价格分，即为该投标人的综合总得分。</w:t>
      </w:r>
    </w:p>
    <w:p w14:paraId="217B61A9">
      <w:pPr>
        <w:jc w:val="left"/>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4F600C98">
      <w:pPr>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sz w:val="28"/>
          <w:highlight w:val="none"/>
        </w:rPr>
        <w:t>第五章  合同条款及格式</w:t>
      </w:r>
      <w:bookmarkEnd w:id="43"/>
    </w:p>
    <w:p w14:paraId="482E278E">
      <w:pPr>
        <w:spacing w:line="360" w:lineRule="auto"/>
        <w:rPr>
          <w:rFonts w:hint="eastAsia" w:asciiTheme="minorEastAsia" w:hAnsiTheme="minorEastAsia" w:eastAsiaTheme="minorEastAsia" w:cstheme="minorEastAsia"/>
          <w:color w:val="auto"/>
          <w:szCs w:val="21"/>
          <w:highlight w:val="none"/>
          <w:lang w:bidi="ar"/>
        </w:rPr>
      </w:pPr>
    </w:p>
    <w:p w14:paraId="176F65FC">
      <w:pPr>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合同参考范本</w:t>
      </w:r>
    </w:p>
    <w:p w14:paraId="58132622">
      <w:pPr>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（货物类）</w:t>
      </w:r>
    </w:p>
    <w:p w14:paraId="71DE4795">
      <w:pPr>
        <w:spacing w:line="480" w:lineRule="auto"/>
        <w:jc w:val="center"/>
        <w:rPr>
          <w:rFonts w:hint="eastAsia" w:asciiTheme="minorEastAsia" w:hAnsiTheme="minorEastAsia" w:eastAsiaTheme="minorEastAsia" w:cstheme="minorEastAsia"/>
          <w:b/>
          <w:color w:val="auto"/>
          <w:sz w:val="24"/>
          <w:highlight w:val="none"/>
        </w:rPr>
      </w:pPr>
    </w:p>
    <w:p w14:paraId="75255655">
      <w:pPr>
        <w:spacing w:line="480" w:lineRule="auto"/>
        <w:jc w:val="center"/>
        <w:rPr>
          <w:rFonts w:hint="eastAsia" w:asciiTheme="minorEastAsia" w:hAnsiTheme="minorEastAsia" w:eastAsiaTheme="minorEastAsia" w:cstheme="minorEastAsia"/>
          <w:b/>
          <w:color w:val="auto"/>
          <w:sz w:val="24"/>
          <w:highlight w:val="none"/>
        </w:rPr>
      </w:pPr>
    </w:p>
    <w:p w14:paraId="4B9A7E5B">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第一部分 合同书</w:t>
      </w:r>
    </w:p>
    <w:p w14:paraId="6D3CE891">
      <w:pPr>
        <w:spacing w:line="480" w:lineRule="auto"/>
        <w:rPr>
          <w:rFonts w:hint="eastAsia" w:asciiTheme="minorEastAsia" w:hAnsiTheme="minorEastAsia" w:eastAsiaTheme="minorEastAsia" w:cstheme="minorEastAsia"/>
          <w:b/>
          <w:color w:val="auto"/>
          <w:sz w:val="24"/>
          <w:highlight w:val="none"/>
        </w:rPr>
      </w:pPr>
    </w:p>
    <w:p w14:paraId="516C56E6">
      <w:pPr>
        <w:spacing w:before="120" w:line="480" w:lineRule="auto"/>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合肥悠享时光护理院2026年药品配送服务项目</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3C6B5C1F">
      <w:pPr>
        <w:spacing w:before="120" w:line="480" w:lineRule="auto"/>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lang w:val="en-US" w:eastAsia="zh-CN"/>
        </w:rPr>
        <w:t xml:space="preserve"> BHSG-ZTB-2026-16</w:t>
      </w:r>
      <w:r>
        <w:rPr>
          <w:rFonts w:hint="eastAsia" w:asciiTheme="minorEastAsia" w:hAnsiTheme="minorEastAsia" w:eastAsiaTheme="minorEastAsia" w:cstheme="minorEastAsia"/>
          <w:color w:val="auto"/>
          <w:sz w:val="24"/>
          <w:highlight w:val="none"/>
          <w:u w:val="single"/>
        </w:rPr>
        <w:t xml:space="preserve"> </w:t>
      </w:r>
    </w:p>
    <w:p w14:paraId="49337E93">
      <w:pPr>
        <w:tabs>
          <w:tab w:val="left" w:pos="2410"/>
        </w:tabs>
        <w:autoSpaceDE w:val="0"/>
        <w:autoSpaceDN w:val="0"/>
        <w:adjustRightInd w:val="0"/>
        <w:snapToGrid w:val="0"/>
        <w:spacing w:line="360" w:lineRule="auto"/>
        <w:ind w:firstLine="960" w:firstLineChars="4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甲方（招标人）：</w:t>
      </w:r>
      <w:r>
        <w:rPr>
          <w:rFonts w:hint="eastAsia" w:asciiTheme="minorEastAsia" w:hAnsiTheme="minorEastAsia" w:eastAsiaTheme="minorEastAsia" w:cstheme="minorEastAsia"/>
          <w:color w:val="auto"/>
          <w:sz w:val="24"/>
          <w:highlight w:val="none"/>
          <w:u w:val="single"/>
          <w:lang w:eastAsia="zh-CN"/>
        </w:rPr>
        <w:t>合肥</w:t>
      </w:r>
      <w:r>
        <w:rPr>
          <w:rFonts w:hint="eastAsia" w:asciiTheme="minorEastAsia" w:hAnsiTheme="minorEastAsia" w:eastAsiaTheme="minorEastAsia" w:cstheme="minorEastAsia"/>
          <w:color w:val="auto"/>
          <w:sz w:val="24"/>
          <w:highlight w:val="none"/>
          <w:u w:val="single"/>
          <w:lang w:val="en-US" w:eastAsia="zh-CN"/>
        </w:rPr>
        <w:t>悠享时光护理院</w:t>
      </w:r>
      <w:r>
        <w:rPr>
          <w:rFonts w:hint="eastAsia" w:asciiTheme="minorEastAsia" w:hAnsiTheme="minorEastAsia" w:eastAsiaTheme="minorEastAsia" w:cstheme="minorEastAsia"/>
          <w:color w:val="auto"/>
          <w:sz w:val="24"/>
          <w:highlight w:val="none"/>
          <w:u w:val="single"/>
          <w:lang w:eastAsia="zh-CN"/>
        </w:rPr>
        <w:t>有限公司</w:t>
      </w:r>
    </w:p>
    <w:p w14:paraId="4D1E24BD">
      <w:pPr>
        <w:spacing w:before="120" w:line="480" w:lineRule="auto"/>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乙方（中标人）：</w:t>
      </w:r>
      <w:r>
        <w:rPr>
          <w:rFonts w:hint="eastAsia" w:asciiTheme="minorEastAsia" w:hAnsiTheme="minorEastAsia" w:eastAsiaTheme="minorEastAsia" w:cstheme="minorEastAsia"/>
          <w:color w:val="auto"/>
          <w:sz w:val="24"/>
          <w:highlight w:val="none"/>
          <w:u w:val="single"/>
        </w:rPr>
        <w:t xml:space="preserve">                              </w:t>
      </w:r>
    </w:p>
    <w:p w14:paraId="289AA5AD">
      <w:pPr>
        <w:spacing w:before="120" w:line="480" w:lineRule="auto"/>
        <w:ind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签订地：</w:t>
      </w:r>
      <w:r>
        <w:rPr>
          <w:rFonts w:hint="eastAsia" w:asciiTheme="minorEastAsia" w:hAnsiTheme="minorEastAsia" w:eastAsiaTheme="minorEastAsia" w:cstheme="minorEastAsia"/>
          <w:color w:val="auto"/>
          <w:sz w:val="24"/>
          <w:highlight w:val="none"/>
          <w:u w:val="single"/>
        </w:rPr>
        <w:t xml:space="preserve">                                     </w:t>
      </w:r>
    </w:p>
    <w:p w14:paraId="2E4C25D1">
      <w:pPr>
        <w:snapToGrid w:val="0"/>
        <w:spacing w:line="360" w:lineRule="auto"/>
        <w:ind w:firstLine="960" w:firstLineChars="4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p>
    <w:p w14:paraId="7E7314A1">
      <w:pPr>
        <w:spacing w:before="120" w:line="480" w:lineRule="auto"/>
        <w:ind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719AA9DE">
      <w:pPr>
        <w:autoSpaceDE w:val="0"/>
        <w:autoSpaceDN w:val="0"/>
        <w:adjustRightInd w:val="0"/>
        <w:spacing w:line="600" w:lineRule="exact"/>
        <w:ind w:firstLine="640"/>
        <w:jc w:val="center"/>
        <w:rPr>
          <w:rFonts w:hint="eastAsia" w:asciiTheme="minorEastAsia" w:hAnsiTheme="minorEastAsia" w:eastAsiaTheme="minorEastAsia" w:cstheme="minorEastAsia"/>
          <w:color w:val="auto"/>
          <w:sz w:val="24"/>
          <w:highlight w:val="none"/>
        </w:rPr>
        <w:sectPr>
          <w:pgSz w:w="11907" w:h="16840"/>
          <w:pgMar w:top="1474" w:right="1814" w:bottom="1474" w:left="1814" w:header="851" w:footer="992" w:gutter="0"/>
          <w:pgNumType w:start="46"/>
          <w:cols w:space="720" w:num="1"/>
          <w:docGrid w:linePitch="462" w:charSpace="0"/>
        </w:sectPr>
      </w:pPr>
    </w:p>
    <w:p w14:paraId="7CDA6EF5">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44" w:name="_Toc24059"/>
      <w:bookmarkStart w:id="45" w:name="_Toc3029"/>
      <w:bookmarkStart w:id="46" w:name="_Toc2232"/>
      <w:r>
        <w:rPr>
          <w:rFonts w:hint="eastAsia" w:asciiTheme="minorEastAsia" w:hAnsiTheme="minorEastAsia" w:eastAsiaTheme="minorEastAsia" w:cstheme="minorEastAsia"/>
          <w:b/>
          <w:bCs/>
          <w:color w:val="auto"/>
          <w:sz w:val="24"/>
          <w:highlight w:val="none"/>
          <w:lang w:val="zh-CN"/>
        </w:rPr>
        <w:t>1.1 合同组成部分</w:t>
      </w:r>
      <w:bookmarkEnd w:id="44"/>
      <w:bookmarkEnd w:id="45"/>
      <w:bookmarkEnd w:id="46"/>
    </w:p>
    <w:p w14:paraId="1C8856FA">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1.1.1本合同及其补充合同、变更协议；</w:t>
      </w:r>
    </w:p>
    <w:p w14:paraId="1A088D62">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1.1.2中标通知书；</w:t>
      </w:r>
    </w:p>
    <w:p w14:paraId="6BA195F2">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1.1.3</w:t>
      </w:r>
      <w:r>
        <w:rPr>
          <w:rFonts w:hint="eastAsia" w:asciiTheme="minorEastAsia" w:hAnsiTheme="minorEastAsia" w:eastAsiaTheme="minorEastAsia" w:cstheme="minorEastAsia"/>
          <w:color w:val="auto"/>
          <w:sz w:val="24"/>
          <w:highlight w:val="none"/>
        </w:rPr>
        <w:t>投标</w:t>
      </w:r>
      <w:r>
        <w:rPr>
          <w:rFonts w:hint="eastAsia" w:asciiTheme="minorEastAsia" w:hAnsiTheme="minorEastAsia" w:eastAsiaTheme="minorEastAsia" w:cstheme="minorEastAsia"/>
          <w:color w:val="auto"/>
          <w:sz w:val="24"/>
          <w:highlight w:val="none"/>
          <w:lang w:val="zh-CN"/>
        </w:rPr>
        <w:t>文件（含澄清或者说明文件）；</w:t>
      </w:r>
    </w:p>
    <w:p w14:paraId="5787B3AA">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1.1.4</w:t>
      </w:r>
      <w:r>
        <w:rPr>
          <w:rFonts w:hint="eastAsia" w:asciiTheme="minorEastAsia" w:hAnsiTheme="minorEastAsia" w:eastAsiaTheme="minorEastAsia" w:cstheme="minorEastAsia"/>
          <w:color w:val="auto"/>
          <w:sz w:val="24"/>
          <w:highlight w:val="none"/>
        </w:rPr>
        <w:t>招标</w:t>
      </w:r>
      <w:r>
        <w:rPr>
          <w:rFonts w:hint="eastAsia" w:asciiTheme="minorEastAsia" w:hAnsiTheme="minorEastAsia" w:eastAsiaTheme="minorEastAsia" w:cstheme="minorEastAsia"/>
          <w:color w:val="auto"/>
          <w:sz w:val="24"/>
          <w:highlight w:val="none"/>
          <w:lang w:val="zh-CN"/>
        </w:rPr>
        <w:t>文件（含澄清或者修改文件）；</w:t>
      </w:r>
    </w:p>
    <w:p w14:paraId="18A5803A">
      <w:pPr>
        <w:spacing w:line="360" w:lineRule="auto"/>
        <w:ind w:firstLine="435"/>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1.1.5其他相关采购文件。</w:t>
      </w:r>
    </w:p>
    <w:p w14:paraId="4504039D">
      <w:pPr>
        <w:spacing w:line="360" w:lineRule="auto"/>
        <w:ind w:firstLine="437"/>
        <w:outlineLvl w:val="3"/>
        <w:rPr>
          <w:rFonts w:hint="eastAsia" w:asciiTheme="minorEastAsia" w:hAnsiTheme="minorEastAsia" w:eastAsiaTheme="minorEastAsia" w:cstheme="minorEastAsia"/>
          <w:b/>
          <w:bCs/>
          <w:color w:val="auto"/>
          <w:sz w:val="24"/>
          <w:highlight w:val="none"/>
          <w:lang w:val="en-US" w:eastAsia="zh-CN"/>
        </w:rPr>
      </w:pPr>
      <w:bookmarkStart w:id="47" w:name="_Toc21631"/>
      <w:bookmarkStart w:id="48" w:name="_Toc21551"/>
      <w:bookmarkStart w:id="49" w:name="_Toc23292"/>
      <w:r>
        <w:rPr>
          <w:rFonts w:hint="eastAsia" w:asciiTheme="minorEastAsia" w:hAnsiTheme="minorEastAsia" w:eastAsiaTheme="minorEastAsia" w:cstheme="minorEastAsia"/>
          <w:b/>
          <w:bCs/>
          <w:color w:val="auto"/>
          <w:sz w:val="24"/>
          <w:highlight w:val="none"/>
          <w:lang w:val="zh-CN"/>
        </w:rPr>
        <w:t>1.</w:t>
      </w:r>
      <w:r>
        <w:rPr>
          <w:rFonts w:hint="eastAsia" w:asciiTheme="minorEastAsia" w:hAnsiTheme="minorEastAsia" w:eastAsiaTheme="minorEastAsia" w:cstheme="minorEastAsia"/>
          <w:b/>
          <w:bCs/>
          <w:color w:val="auto"/>
          <w:sz w:val="24"/>
          <w:highlight w:val="none"/>
          <w:lang w:val="en-US" w:eastAsia="zh-CN"/>
        </w:rPr>
        <w:t>2</w:t>
      </w:r>
      <w:r>
        <w:rPr>
          <w:rFonts w:hint="eastAsia" w:asciiTheme="minorEastAsia" w:hAnsiTheme="minorEastAsia" w:eastAsiaTheme="minorEastAsia" w:cstheme="minorEastAsia"/>
          <w:b/>
          <w:bCs/>
          <w:color w:val="auto"/>
          <w:sz w:val="24"/>
          <w:highlight w:val="none"/>
          <w:lang w:val="zh-CN"/>
        </w:rPr>
        <w:t xml:space="preserve"> 服务</w:t>
      </w:r>
    </w:p>
    <w:p w14:paraId="134370D2">
      <w:pPr>
        <w:spacing w:line="360" w:lineRule="auto"/>
        <w:ind w:firstLine="435"/>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1.2.1项目</w:t>
      </w:r>
      <w:r>
        <w:rPr>
          <w:rFonts w:hint="eastAsia" w:asciiTheme="minorEastAsia" w:hAnsiTheme="minorEastAsia" w:eastAsiaTheme="minorEastAsia" w:cstheme="minorEastAsia"/>
          <w:color w:val="auto"/>
          <w:sz w:val="24"/>
          <w:highlight w:val="none"/>
          <w:lang w:val="zh-CN"/>
        </w:rPr>
        <w:t>名称：</w:t>
      </w:r>
      <w:r>
        <w:rPr>
          <w:rFonts w:hint="eastAsia" w:asciiTheme="minorEastAsia" w:hAnsiTheme="minorEastAsia" w:eastAsiaTheme="minorEastAsia" w:cstheme="minorEastAsia"/>
          <w:color w:val="auto"/>
          <w:sz w:val="24"/>
          <w:highlight w:val="none"/>
          <w:u w:val="single"/>
          <w:lang w:val="en-US" w:eastAsia="zh-CN"/>
        </w:rPr>
        <w:t>合肥悠享时光护理院2026年药品配送服务项目</w:t>
      </w:r>
      <w:r>
        <w:rPr>
          <w:rFonts w:hint="eastAsia" w:asciiTheme="minorEastAsia" w:hAnsiTheme="minorEastAsia" w:eastAsiaTheme="minorEastAsia" w:cstheme="minorEastAsia"/>
          <w:color w:val="auto"/>
          <w:sz w:val="24"/>
          <w:highlight w:val="none"/>
          <w:lang w:val="zh-CN"/>
        </w:rPr>
        <w:t>；</w:t>
      </w:r>
    </w:p>
    <w:p w14:paraId="7F7F6910">
      <w:pPr>
        <w:spacing w:line="360" w:lineRule="auto"/>
        <w:ind w:firstLine="435"/>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1.2.2项目</w:t>
      </w:r>
      <w:r>
        <w:rPr>
          <w:rFonts w:hint="eastAsia" w:asciiTheme="minorEastAsia" w:hAnsiTheme="minorEastAsia" w:eastAsiaTheme="minorEastAsia" w:cstheme="minorEastAsia"/>
          <w:color w:val="auto"/>
          <w:sz w:val="24"/>
          <w:highlight w:val="none"/>
          <w:lang w:val="zh-CN"/>
        </w:rPr>
        <w:t>内容：为保障合肥悠享时光护理院有限公司日常运营的药品使用需求，应对不同长者用药需求变化，拟采购药品供应定点单位。</w:t>
      </w:r>
    </w:p>
    <w:p w14:paraId="0A31D5E5">
      <w:pPr>
        <w:spacing w:line="360" w:lineRule="auto"/>
        <w:ind w:firstLine="435"/>
        <w:outlineLvl w:val="9"/>
        <w:rPr>
          <w:rFonts w:hint="eastAsia"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color w:val="auto"/>
          <w:sz w:val="24"/>
          <w:highlight w:val="none"/>
          <w:lang w:val="en-US" w:eastAsia="zh-CN"/>
        </w:rPr>
        <w:t>1.2.3</w:t>
      </w:r>
      <w:r>
        <w:rPr>
          <w:rFonts w:hint="eastAsia" w:asciiTheme="minorEastAsia" w:hAnsiTheme="minorEastAsia" w:eastAsiaTheme="minorEastAsia" w:cstheme="minorEastAsia"/>
          <w:color w:val="auto"/>
          <w:sz w:val="24"/>
          <w:highlight w:val="none"/>
          <w:lang w:val="zh-CN"/>
        </w:rPr>
        <w:t>药品</w:t>
      </w:r>
      <w:r>
        <w:rPr>
          <w:rFonts w:hint="eastAsia" w:asciiTheme="minorEastAsia" w:hAnsiTheme="minorEastAsia" w:eastAsiaTheme="minorEastAsia" w:cstheme="minorEastAsia"/>
          <w:color w:val="auto"/>
          <w:sz w:val="24"/>
          <w:highlight w:val="none"/>
          <w:lang w:val="en-US" w:eastAsia="zh-CN"/>
        </w:rPr>
        <w:t>供货</w:t>
      </w:r>
      <w:r>
        <w:rPr>
          <w:rFonts w:hint="eastAsia" w:asciiTheme="minorEastAsia" w:hAnsiTheme="minorEastAsia" w:eastAsiaTheme="minorEastAsia" w:cstheme="minorEastAsia"/>
          <w:color w:val="auto"/>
          <w:sz w:val="24"/>
          <w:highlight w:val="none"/>
          <w:lang w:val="zh-CN"/>
        </w:rPr>
        <w:t>范围：</w:t>
      </w:r>
      <w:r>
        <w:rPr>
          <w:rFonts w:hint="eastAsia" w:asciiTheme="minorEastAsia" w:hAnsiTheme="minorEastAsia" w:eastAsiaTheme="minorEastAsia" w:cstheme="minorEastAsia"/>
          <w:b/>
          <w:bCs/>
          <w:color w:val="auto"/>
          <w:sz w:val="24"/>
          <w:highlight w:val="none"/>
          <w:u w:val="single"/>
          <w:lang w:val="zh-CN"/>
        </w:rPr>
        <w:t>安徽省医药集中采购平台目录内药品，</w:t>
      </w:r>
      <w:r>
        <w:rPr>
          <w:rFonts w:hint="eastAsia" w:asciiTheme="minorEastAsia" w:hAnsiTheme="minorEastAsia" w:eastAsiaTheme="minorEastAsia" w:cstheme="minorEastAsia"/>
          <w:b w:val="0"/>
          <w:bCs w:val="0"/>
          <w:color w:val="auto"/>
          <w:sz w:val="24"/>
          <w:highlight w:val="none"/>
          <w:u w:val="single"/>
          <w:lang w:val="zh-CN"/>
        </w:rPr>
        <w:t>安徽省医药集中采购平台目录外的药品不在本次招标范畴。甲方目前常用药品见附件：部分药品清单表。</w:t>
      </w:r>
    </w:p>
    <w:p w14:paraId="77B56C0E">
      <w:pPr>
        <w:spacing w:line="360" w:lineRule="auto"/>
        <w:ind w:firstLine="435"/>
        <w:outlineLvl w:val="9"/>
        <w:rPr>
          <w:rFonts w:hint="eastAsia" w:asciiTheme="minorEastAsia" w:hAnsiTheme="minorEastAsia" w:eastAsiaTheme="minorEastAsia" w:cstheme="minorEastAsia"/>
          <w:color w:val="auto"/>
          <w:sz w:val="24"/>
          <w:highlight w:val="none"/>
          <w:u w:val="none"/>
          <w:lang w:val="en-US" w:eastAsia="zh-CN"/>
        </w:rPr>
      </w:pPr>
      <w:r>
        <w:rPr>
          <w:rFonts w:hint="eastAsia" w:asciiTheme="minorEastAsia" w:hAnsiTheme="minorEastAsia" w:eastAsiaTheme="minorEastAsia" w:cstheme="minorEastAsia"/>
          <w:color w:val="auto"/>
          <w:sz w:val="24"/>
          <w:highlight w:val="none"/>
          <w:u w:val="none"/>
          <w:lang w:val="en-US" w:eastAsia="zh-CN"/>
        </w:rPr>
        <w:t>1.2.4部分药品清单表如下：</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62"/>
        <w:gridCol w:w="2275"/>
        <w:gridCol w:w="725"/>
        <w:gridCol w:w="913"/>
        <w:gridCol w:w="2437"/>
        <w:gridCol w:w="1018"/>
      </w:tblGrid>
      <w:tr w14:paraId="4DA5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CBF100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序号</w:t>
            </w:r>
          </w:p>
        </w:tc>
        <w:tc>
          <w:tcPr>
            <w:tcW w:w="962" w:type="dxa"/>
            <w:vAlign w:val="center"/>
          </w:tcPr>
          <w:p w14:paraId="01D1AE8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种类</w:t>
            </w:r>
          </w:p>
        </w:tc>
        <w:tc>
          <w:tcPr>
            <w:tcW w:w="2275" w:type="dxa"/>
            <w:vAlign w:val="center"/>
          </w:tcPr>
          <w:p w14:paraId="737876F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药名名称</w:t>
            </w:r>
          </w:p>
        </w:tc>
        <w:tc>
          <w:tcPr>
            <w:tcW w:w="725" w:type="dxa"/>
            <w:vAlign w:val="center"/>
          </w:tcPr>
          <w:p w14:paraId="65F6D1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规格</w:t>
            </w:r>
          </w:p>
        </w:tc>
        <w:tc>
          <w:tcPr>
            <w:tcW w:w="913" w:type="dxa"/>
            <w:vAlign w:val="center"/>
          </w:tcPr>
          <w:p w14:paraId="0720CF1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单位</w:t>
            </w:r>
          </w:p>
        </w:tc>
        <w:tc>
          <w:tcPr>
            <w:tcW w:w="2437" w:type="dxa"/>
            <w:vAlign w:val="center"/>
          </w:tcPr>
          <w:p w14:paraId="43C66A6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生产厂家</w:t>
            </w:r>
          </w:p>
        </w:tc>
        <w:tc>
          <w:tcPr>
            <w:tcW w:w="1018" w:type="dxa"/>
            <w:vAlign w:val="center"/>
          </w:tcPr>
          <w:p w14:paraId="3AA6499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备注</w:t>
            </w:r>
          </w:p>
        </w:tc>
      </w:tr>
      <w:tr w14:paraId="2D9C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A0EA124">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1</w:t>
            </w:r>
          </w:p>
        </w:tc>
        <w:tc>
          <w:tcPr>
            <w:tcW w:w="962" w:type="dxa"/>
            <w:vAlign w:val="center"/>
          </w:tcPr>
          <w:p w14:paraId="4C830979">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526365DC">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43839130">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1D30AF3F">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79C8F286">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61051225">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r w14:paraId="7550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62F4D26">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2</w:t>
            </w:r>
          </w:p>
        </w:tc>
        <w:tc>
          <w:tcPr>
            <w:tcW w:w="962" w:type="dxa"/>
            <w:vAlign w:val="center"/>
          </w:tcPr>
          <w:p w14:paraId="716B1042">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3283F077">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4FBDB202">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7BAD3C9F">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46CE183E">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0573EBD7">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r w14:paraId="7DC3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F5FE9D0">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3</w:t>
            </w:r>
          </w:p>
        </w:tc>
        <w:tc>
          <w:tcPr>
            <w:tcW w:w="962" w:type="dxa"/>
            <w:vAlign w:val="center"/>
          </w:tcPr>
          <w:p w14:paraId="49BE66F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6AB0FB38">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3DEE8DF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1CB9B251">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7BEB90D0">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758AAF05">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r w14:paraId="02CE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15ABB97">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w:t>
            </w:r>
          </w:p>
        </w:tc>
        <w:tc>
          <w:tcPr>
            <w:tcW w:w="962" w:type="dxa"/>
            <w:vAlign w:val="center"/>
          </w:tcPr>
          <w:p w14:paraId="7086EB6E">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0D7D665B">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522BEBA8">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5F6D8AC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4AC4D263">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6D75EDE6">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bl>
    <w:p w14:paraId="473AC588">
      <w:pPr>
        <w:pStyle w:val="2"/>
        <w:rPr>
          <w:rFonts w:hint="default"/>
          <w:lang w:val="en-US" w:eastAsia="zh-CN"/>
        </w:rPr>
      </w:pPr>
    </w:p>
    <w:p w14:paraId="1E6B3FBA">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en-US" w:eastAsia="zh-CN"/>
        </w:rPr>
        <w:t>1.3</w:t>
      </w:r>
      <w:r>
        <w:rPr>
          <w:rFonts w:hint="eastAsia" w:asciiTheme="minorEastAsia" w:hAnsiTheme="minorEastAsia" w:eastAsiaTheme="minorEastAsia" w:cstheme="minorEastAsia"/>
          <w:b/>
          <w:bCs/>
          <w:color w:val="auto"/>
          <w:sz w:val="24"/>
          <w:highlight w:val="none"/>
          <w:lang w:val="zh-CN"/>
        </w:rPr>
        <w:t>价款</w:t>
      </w:r>
      <w:bookmarkEnd w:id="47"/>
      <w:bookmarkEnd w:id="48"/>
      <w:bookmarkEnd w:id="49"/>
    </w:p>
    <w:p w14:paraId="4667BDB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1.3.1</w:t>
      </w:r>
      <w:r>
        <w:rPr>
          <w:rFonts w:hint="eastAsia" w:asciiTheme="minorEastAsia" w:hAnsiTheme="minorEastAsia" w:eastAsiaTheme="minorEastAsia" w:cstheme="minorEastAsia"/>
          <w:color w:val="auto"/>
          <w:sz w:val="24"/>
          <w:highlight w:val="none"/>
        </w:rPr>
        <w:t>本合同</w:t>
      </w:r>
      <w:r>
        <w:rPr>
          <w:rFonts w:hint="eastAsia" w:asciiTheme="minorEastAsia" w:hAnsiTheme="minorEastAsia" w:eastAsiaTheme="minorEastAsia" w:cstheme="minorEastAsia"/>
          <w:color w:val="auto"/>
          <w:sz w:val="24"/>
          <w:highlight w:val="none"/>
          <w:lang w:val="en-US" w:eastAsia="zh-CN"/>
        </w:rPr>
        <w:t>预算</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 xml:space="preserve">  280000  </w:t>
      </w:r>
      <w:r>
        <w:rPr>
          <w:rFonts w:hint="eastAsia" w:asciiTheme="minorEastAsia" w:hAnsiTheme="minorEastAsia" w:eastAsiaTheme="minorEastAsia" w:cstheme="minorEastAsia"/>
          <w:color w:val="auto"/>
          <w:sz w:val="24"/>
          <w:highlight w:val="none"/>
        </w:rPr>
        <w:t>元（大写：人民币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贰拾捌万元整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106682C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1.3.2</w:t>
      </w:r>
      <w:r>
        <w:rPr>
          <w:rFonts w:hint="eastAsia" w:asciiTheme="minorEastAsia" w:hAnsiTheme="minorEastAsia" w:eastAsiaTheme="minorEastAsia" w:cstheme="minorEastAsia"/>
          <w:color w:val="auto"/>
          <w:sz w:val="24"/>
          <w:highlight w:val="none"/>
          <w:lang w:eastAsia="zh-CN"/>
        </w:rPr>
        <w:t>本合同费率为：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none"/>
          <w:lang w:eastAsia="zh-CN"/>
        </w:rPr>
        <w:t>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bCs/>
          <w:color w:val="auto"/>
          <w:sz w:val="24"/>
          <w:highlight w:val="none"/>
        </w:rPr>
        <w:t>根据国家、省市政策规定不能二次议价药品品种不按照此费率执行，</w:t>
      </w:r>
      <w:r>
        <w:rPr>
          <w:rFonts w:hint="eastAsia" w:asciiTheme="minorEastAsia" w:hAnsiTheme="minorEastAsia" w:eastAsiaTheme="minorEastAsia" w:cstheme="minorEastAsia"/>
          <w:b/>
          <w:bCs/>
          <w:sz w:val="24"/>
          <w:szCs w:val="18"/>
          <w:highlight w:val="none"/>
          <w:lang w:val="en-US" w:eastAsia="zh-CN"/>
        </w:rPr>
        <w:t>直接按签收当日平台最新挂网价格执行</w:t>
      </w:r>
      <w:r>
        <w:rPr>
          <w:rFonts w:hint="eastAsia" w:asciiTheme="minorEastAsia" w:hAnsiTheme="minorEastAsia" w:eastAsiaTheme="minorEastAsia" w:cstheme="minorEastAsia"/>
          <w:color w:val="auto"/>
          <w:sz w:val="24"/>
          <w:highlight w:val="none"/>
        </w:rPr>
        <w:t>。</w:t>
      </w:r>
    </w:p>
    <w:p w14:paraId="4BA98277">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乙方</w:t>
      </w:r>
      <w:r>
        <w:rPr>
          <w:rFonts w:hint="eastAsia" w:asciiTheme="minorEastAsia" w:hAnsiTheme="minorEastAsia" w:eastAsiaTheme="minorEastAsia" w:cstheme="minorEastAsia"/>
          <w:color w:val="auto"/>
          <w:sz w:val="24"/>
          <w:highlight w:val="none"/>
        </w:rPr>
        <w:t>按</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实际需求分批配送、据实结算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val="en-US" w:eastAsia="zh-CN"/>
        </w:rPr>
        <w:t>合同</w:t>
      </w:r>
      <w:r>
        <w:rPr>
          <w:rFonts w:hint="eastAsia" w:asciiTheme="minorEastAsia" w:hAnsiTheme="minorEastAsia" w:eastAsiaTheme="minorEastAsia" w:cstheme="minorEastAsia"/>
          <w:color w:val="auto"/>
          <w:sz w:val="24"/>
          <w:highlight w:val="none"/>
        </w:rPr>
        <w:t>不设保底量，</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根据招标文件列明的方式据实结算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结算价=</w:t>
      </w:r>
      <w:r>
        <w:rPr>
          <w:rFonts w:hint="eastAsia" w:asciiTheme="minorEastAsia" w:hAnsiTheme="minorEastAsia" w:eastAsiaTheme="minorEastAsia" w:cstheme="minorEastAsia"/>
          <w:color w:val="auto"/>
          <w:sz w:val="24"/>
          <w:highlight w:val="none"/>
        </w:rPr>
        <w:t>挂网基准价*</w:t>
      </w:r>
      <w:r>
        <w:rPr>
          <w:rFonts w:hint="eastAsia" w:asciiTheme="minorEastAsia" w:hAnsiTheme="minorEastAsia" w:eastAsiaTheme="minorEastAsia" w:cstheme="minorEastAsia"/>
          <w:color w:val="auto"/>
          <w:sz w:val="24"/>
          <w:highlight w:val="none"/>
          <w:lang w:val="en-US" w:eastAsia="zh-CN"/>
        </w:rPr>
        <w:t>合同</w:t>
      </w:r>
      <w:r>
        <w:rPr>
          <w:rFonts w:hint="eastAsia" w:asciiTheme="minorEastAsia" w:hAnsiTheme="minorEastAsia" w:eastAsiaTheme="minorEastAsia" w:cstheme="minorEastAsia"/>
          <w:color w:val="auto"/>
          <w:sz w:val="24"/>
          <w:highlight w:val="none"/>
        </w:rPr>
        <w:t>费率*经</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确认的实际供货数量</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color w:val="auto"/>
          <w:kern w:val="2"/>
          <w:sz w:val="24"/>
          <w:highlight w:val="none"/>
          <w:lang w:val="en-US" w:eastAsia="zh-CN" w:bidi="ar-SA"/>
        </w:rPr>
        <w:t>基准价以安徽省医药集中采购平台供货签收当日最新挂网价格为准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年度</w:t>
      </w:r>
      <w:r>
        <w:rPr>
          <w:rFonts w:hint="eastAsia" w:asciiTheme="minorEastAsia" w:hAnsiTheme="minorEastAsia" w:eastAsiaTheme="minorEastAsia" w:cstheme="minorEastAsia"/>
          <w:color w:val="auto"/>
          <w:sz w:val="24"/>
          <w:highlight w:val="none"/>
          <w:lang w:eastAsia="zh-CN"/>
        </w:rPr>
        <w:t>结算总价</w:t>
      </w:r>
      <w:r>
        <w:rPr>
          <w:rFonts w:hint="eastAsia" w:asciiTheme="minorEastAsia" w:hAnsiTheme="minorEastAsia" w:eastAsiaTheme="minorEastAsia" w:cstheme="minorEastAsia"/>
          <w:color w:val="auto"/>
          <w:sz w:val="24"/>
          <w:highlight w:val="none"/>
        </w:rPr>
        <w:t>不得超过本</w:t>
      </w:r>
      <w:r>
        <w:rPr>
          <w:rFonts w:hint="eastAsia" w:asciiTheme="minorEastAsia" w:hAnsiTheme="minorEastAsia" w:eastAsiaTheme="minorEastAsia" w:cstheme="minorEastAsia"/>
          <w:color w:val="auto"/>
          <w:sz w:val="24"/>
          <w:highlight w:val="none"/>
          <w:lang w:val="en-US" w:eastAsia="zh-CN"/>
        </w:rPr>
        <w:t>合同</w:t>
      </w:r>
      <w:r>
        <w:rPr>
          <w:rFonts w:hint="eastAsia" w:asciiTheme="minorEastAsia" w:hAnsiTheme="minorEastAsia" w:eastAsiaTheme="minorEastAsia" w:cstheme="minorEastAsia"/>
          <w:color w:val="auto"/>
          <w:sz w:val="24"/>
          <w:highlight w:val="none"/>
        </w:rPr>
        <w:t>预算28万元</w:t>
      </w:r>
      <w:r>
        <w:rPr>
          <w:rFonts w:hint="eastAsia" w:asciiTheme="minorEastAsia" w:hAnsiTheme="minorEastAsia" w:eastAsiaTheme="minorEastAsia" w:cstheme="minorEastAsia"/>
          <w:color w:val="auto"/>
          <w:sz w:val="24"/>
          <w:highlight w:val="none"/>
          <w:lang w:eastAsia="zh-CN"/>
        </w:rPr>
        <w:t>。</w:t>
      </w:r>
    </w:p>
    <w:p w14:paraId="52EE91D8">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50" w:name="_Toc1814"/>
      <w:bookmarkStart w:id="51" w:name="_Toc10340"/>
      <w:bookmarkStart w:id="52" w:name="_Toc22618"/>
      <w:r>
        <w:rPr>
          <w:rFonts w:hint="eastAsia" w:asciiTheme="minorEastAsia" w:hAnsiTheme="minorEastAsia" w:eastAsiaTheme="minorEastAsia" w:cstheme="minorEastAsia"/>
          <w:b/>
          <w:bCs/>
          <w:color w:val="auto"/>
          <w:sz w:val="24"/>
          <w:highlight w:val="none"/>
          <w:lang w:val="zh-CN"/>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lang w:val="zh-CN"/>
        </w:rPr>
        <w:t xml:space="preserve"> 付款和发票</w:t>
      </w:r>
      <w:bookmarkEnd w:id="50"/>
      <w:bookmarkEnd w:id="51"/>
      <w:bookmarkEnd w:id="52"/>
    </w:p>
    <w:p w14:paraId="4078A77C">
      <w:pPr>
        <w:spacing w:line="360" w:lineRule="auto"/>
        <w:ind w:firstLine="43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.1付款方式：</w:t>
      </w:r>
      <w:r>
        <w:rPr>
          <w:rFonts w:hint="eastAsia" w:asciiTheme="minorEastAsia" w:hAnsiTheme="minorEastAsia" w:eastAsiaTheme="minorEastAsia" w:cstheme="minorEastAsia"/>
          <w:b w:val="0"/>
          <w:bCs/>
          <w:kern w:val="2"/>
          <w:sz w:val="24"/>
          <w:szCs w:val="24"/>
          <w:highlight w:val="none"/>
          <w:lang w:val="en-US" w:eastAsia="zh-CN" w:bidi="ar-SA"/>
        </w:rPr>
        <w:t>甲方按照实际采购量据实结算，每月支付一次，甲方验收合格且收到乙方开具的等额、有效、合法的增值税发票后一个月内支付款项。乙方未按约定开具发票的，甲方有权顺延付款且不承担违约责任。</w:t>
      </w:r>
    </w:p>
    <w:p w14:paraId="10DBE27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.2发票类型：</w:t>
      </w:r>
      <w:r>
        <w:rPr>
          <w:rFonts w:hint="eastAsia" w:asciiTheme="minorEastAsia" w:hAnsiTheme="minorEastAsia" w:eastAsiaTheme="minorEastAsia" w:cstheme="minorEastAsia"/>
          <w:color w:val="auto"/>
          <w:sz w:val="24"/>
          <w:highlight w:val="none"/>
          <w:u w:val="single"/>
          <w:lang w:val="en-US" w:eastAsia="zh-CN"/>
        </w:rPr>
        <w:t>增值税专用发票</w:t>
      </w:r>
      <w:r>
        <w:rPr>
          <w:rFonts w:hint="eastAsia" w:asciiTheme="minorEastAsia" w:hAnsiTheme="minorEastAsia" w:eastAsiaTheme="minorEastAsia" w:cstheme="minorEastAsia"/>
          <w:color w:val="auto"/>
          <w:sz w:val="24"/>
          <w:highlight w:val="none"/>
        </w:rPr>
        <w:t>；</w:t>
      </w:r>
    </w:p>
    <w:p w14:paraId="149FD66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.3发票开具方式：</w:t>
      </w:r>
      <w:r>
        <w:rPr>
          <w:rFonts w:hint="eastAsia" w:asciiTheme="minorEastAsia" w:hAnsiTheme="minorEastAsia" w:eastAsiaTheme="minorEastAsia" w:cstheme="minorEastAsia"/>
          <w:color w:val="auto"/>
          <w:sz w:val="24"/>
          <w:highlight w:val="none"/>
          <w:lang w:eastAsia="zh-CN"/>
        </w:rPr>
        <w:t>甲方验收合格且收到乙方开具的等额、有效、合法的增值税发票后一个月内支付款项。乙方未按约定开具发票的，甲方有权顺延付款且不承担违约责任。</w:t>
      </w:r>
    </w:p>
    <w:p w14:paraId="46B39176">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53" w:name="_Toc2846"/>
      <w:bookmarkStart w:id="54" w:name="_Toc32071"/>
      <w:bookmarkStart w:id="55" w:name="_Toc19304"/>
      <w:r>
        <w:rPr>
          <w:rFonts w:hint="eastAsia" w:asciiTheme="minorEastAsia" w:hAnsiTheme="minorEastAsia" w:eastAsiaTheme="minorEastAsia" w:cstheme="minorEastAsia"/>
          <w:b/>
          <w:bCs/>
          <w:color w:val="auto"/>
          <w:sz w:val="24"/>
          <w:highlight w:val="none"/>
          <w:lang w:val="zh-CN"/>
        </w:rPr>
        <w:t>1.</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lang w:val="zh-CN"/>
        </w:rPr>
        <w:t xml:space="preserve"> 服务期限、地点和方式</w:t>
      </w:r>
      <w:bookmarkEnd w:id="53"/>
      <w:bookmarkEnd w:id="54"/>
      <w:bookmarkEnd w:id="55"/>
    </w:p>
    <w:p w14:paraId="6F90780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服务</w:t>
      </w:r>
      <w:r>
        <w:rPr>
          <w:rFonts w:hint="eastAsia" w:asciiTheme="minorEastAsia" w:hAnsiTheme="minorEastAsia" w:eastAsiaTheme="minorEastAsia" w:cstheme="minorEastAsia"/>
          <w:color w:val="auto"/>
          <w:sz w:val="24"/>
          <w:highlight w:val="none"/>
        </w:rPr>
        <w:t>期限：自合同签订之日起一年。若乙方履约良好、年度考核合格，且年度预算能够保障的，执行“招一续二”模式（即：可以续签下一年合同，合同一年一签，最多续签两次），续签合同费率不变。（年度服务期满前，甲方将对乙方该年度的配送能力、服务表现等行为进行考核评价，该评价将作为合同续签的依据之一。）</w:t>
      </w:r>
    </w:p>
    <w:p w14:paraId="465804A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服务</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lang w:eastAsia="zh-CN"/>
        </w:rPr>
        <w:t>合肥市包河区，甲方指定地点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587A3A1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服务</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color w:val="auto"/>
          <w:sz w:val="24"/>
          <w:highlight w:val="none"/>
          <w:u w:val="single"/>
          <w:lang w:eastAsia="zh-CN"/>
        </w:rPr>
        <w:t>上门服务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B7F6C5F">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1.6服务要求</w:t>
      </w:r>
    </w:p>
    <w:p w14:paraId="5D7FEC76">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1.6.1配送及质量标准</w:t>
      </w:r>
    </w:p>
    <w:p w14:paraId="49654365">
      <w:pPr>
        <w:numPr>
          <w:ilvl w:val="0"/>
          <w:numId w:val="0"/>
        </w:num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kern w:val="2"/>
          <w:sz w:val="24"/>
          <w:szCs w:val="18"/>
          <w:lang w:val="en-US" w:eastAsia="zh-CN" w:bidi="ar-SA"/>
        </w:rPr>
        <w:t>（1）</w:t>
      </w:r>
      <w:r>
        <w:rPr>
          <w:rFonts w:hint="eastAsia" w:asciiTheme="minorEastAsia" w:hAnsiTheme="minorEastAsia" w:eastAsiaTheme="minorEastAsia" w:cstheme="minorEastAsia"/>
          <w:sz w:val="24"/>
          <w:szCs w:val="18"/>
          <w:highlight w:val="none"/>
          <w:lang w:val="en-US" w:eastAsia="zh-CN"/>
        </w:rPr>
        <w:t>乙方应具备覆盖配送区域的供应和运输能力，能满足药品说明书对药品的运输要求，按照药品要求提供相应的冷链运输服务。</w:t>
      </w:r>
    </w:p>
    <w:p w14:paraId="16552CFA">
      <w:pPr>
        <w:numPr>
          <w:ilvl w:val="0"/>
          <w:numId w:val="0"/>
        </w:num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kern w:val="2"/>
          <w:sz w:val="24"/>
          <w:szCs w:val="18"/>
          <w:lang w:val="en-US" w:eastAsia="zh-CN" w:bidi="ar-SA"/>
        </w:rPr>
        <w:t>（2）</w:t>
      </w:r>
      <w:r>
        <w:rPr>
          <w:rFonts w:hint="eastAsia" w:asciiTheme="minorEastAsia" w:hAnsiTheme="minorEastAsia" w:eastAsiaTheme="minorEastAsia" w:cstheme="minorEastAsia"/>
          <w:sz w:val="24"/>
          <w:szCs w:val="18"/>
          <w:highlight w:val="none"/>
          <w:lang w:val="en-US" w:eastAsia="zh-CN"/>
        </w:rPr>
        <w:t>乙方每次接到甲方的供货通知后，应在5个工作日内将甲方所需药品送至指定地址，常用药品供应率在95%以上。急需情况下急需药品接甲方通知后在24小时内送到，稀缺情况下稀缺药品应在接到甲方通知后一周内送到。履约服务期内，如累计超过5次发生未按时供货或验收不合格的，甲方有权解除合同。</w:t>
      </w:r>
    </w:p>
    <w:p w14:paraId="6414CFF1">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（3）除非甲方对有效期另有规定，否则配送药品的有效期不得少于整个效期的三分之二，如有特殊紧急药品与甲方确定后进行供货。</w:t>
      </w:r>
    </w:p>
    <w:p w14:paraId="19BE8EE9">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（4）所供药品须具备有效的批准文号，随货提供质检报告。</w:t>
      </w:r>
    </w:p>
    <w:p w14:paraId="5C903767">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（5）部分药品清单表中列出的药品为甲方现使用药品，乙方须保证能够完全提供。乙方不得以任何理由拒绝配送，否则甲方有权在要求乙方支付违约金的同时，书面通知乙方解除本合同。</w:t>
      </w:r>
    </w:p>
    <w:p w14:paraId="6F5BF8B6">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（6）由于甲方业务持续更新，为满足长者实际用药需求，遵照医嘱，如需新增药品品类或药品品牌，乙方应积极配合甲方进行配送，费率保持不变，若乙方不配送，甲方有权自行采购。</w:t>
      </w:r>
    </w:p>
    <w:p w14:paraId="4693E586">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1.6.2质量保证及验收</w:t>
      </w:r>
    </w:p>
    <w:p w14:paraId="4764112E">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（1）配送的药品质量应符合国家法定标准，以确保临床使用安全有效。严格确保配送药品合法合规。</w:t>
      </w:r>
    </w:p>
    <w:p w14:paraId="05A1113F">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（2）甲方因临床需要确认要进行产品质量检验，应及时以书面形式把质量检验的具体要求通知乙方，检验的费用由乙方承担。</w:t>
      </w:r>
    </w:p>
    <w:p w14:paraId="41B69D78">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（3）所供药品在有效期内，若上市许可持有人或者药监部门发出召回通知的，乙方应依据《药品召回管理办法》规定，及时告知甲方，实施召回。</w:t>
      </w:r>
    </w:p>
    <w:p w14:paraId="0E3FA1AA">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（4）开票日期起一周内的药品，在包装完好且不影响乙方二次销售的情况下，乙方允许甲方免费退换。</w:t>
      </w:r>
    </w:p>
    <w:p w14:paraId="1C6100CB">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5）乙方依据合同要求送货至现场，期间一切保证措施由乙方负责，甲方负责组织对进场的货物进行验收。对不符合采购计划要求和质量要求的，甲方有权拒绝接收。乙方应及时更退换被拒绝的药品，不得影响甲方的使用。</w:t>
      </w:r>
    </w:p>
    <w:p w14:paraId="5DA51B26">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6）药品验收：开箱检查需核查箱数及包装状况，核对药品品种、剂型、规格、数量、生产厂家等；查验送货清单、技术文件、相关资料、合格证等保证资料完备齐全；药品包装应完整、清洁、无破损、无受潮、无污染、封口完好，无二次封贴痕迹；同时确保药品剩余保存期不低于总保质期的三分之二；冷链药品需提供运输过程中的温度记录，且温度符合储存要求。</w:t>
      </w:r>
    </w:p>
    <w:p w14:paraId="7E84EE95">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7）药品运输包装应符合国家发布的包装标准，包装要合理、规范，能保护物品在流通过程中避免或减轻各种外力的损害，便于储运,具有足够的强度、刚度与稳定性，具有防水、防潮、防虫、防腐、防盗等防护能力。</w:t>
      </w:r>
    </w:p>
    <w:p w14:paraId="61C2E346">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1.6.3未按约定时间完成配送，每延误1天，甲方可对乙方处以该批次配送货物总金额0.5%的违约金，最低不低于100元，或按本合同第1.7.2条约定标准计收乙方违约金（以较高者为准），逾期7天的，甲方有权单方面解除合同，由此所造成的法律责任和经济责任由乙方负责。</w:t>
      </w:r>
    </w:p>
    <w:p w14:paraId="6207EA4A">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1.6.4乙方供应药品的因质量问题引起的一切赔偿、罚款等均由乙方承担，并无条件退换货，如拒绝退换货，对应货款不予支付，造成后果的，甲方有权追究其相应责任。</w:t>
      </w:r>
    </w:p>
    <w:p w14:paraId="4FB161C9">
      <w:pPr>
        <w:spacing w:line="360" w:lineRule="auto"/>
        <w:ind w:firstLine="435"/>
        <w:rPr>
          <w:rFonts w:hint="eastAsia" w:asciiTheme="minorEastAsia" w:hAnsiTheme="minorEastAsia" w:eastAsiaTheme="minorEastAsia" w:cstheme="minorEastAsia"/>
          <w:sz w:val="24"/>
          <w:szCs w:val="18"/>
          <w:highlight w:val="none"/>
          <w:lang w:val="en-US" w:eastAsia="zh-CN"/>
        </w:rPr>
      </w:pPr>
      <w:r>
        <w:rPr>
          <w:rFonts w:hint="eastAsia" w:asciiTheme="minorEastAsia" w:hAnsiTheme="minorEastAsia" w:eastAsiaTheme="minorEastAsia" w:cstheme="minorEastAsia"/>
          <w:sz w:val="24"/>
          <w:szCs w:val="18"/>
          <w:highlight w:val="none"/>
          <w:lang w:val="en-US" w:eastAsia="zh-CN"/>
        </w:rPr>
        <w:t>1.6.5采购双方在药品购销过程中严格执行《中华人民共和国药品管理法》、《医疗机构药事管理规定》和《处方管理办法》等法律法规的有关规定，诚信经营。</w:t>
      </w:r>
    </w:p>
    <w:p w14:paraId="5F466494">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sz w:val="24"/>
          <w:szCs w:val="18"/>
          <w:highlight w:val="none"/>
          <w:lang w:val="en-US" w:eastAsia="zh-CN"/>
        </w:rPr>
        <w:t>1.6.6合同履行期间，若安徽省医药集中采购平台药品挂网目录及价格发生调整，双方一律按该平台供货签收当日最新挂网价格执行。</w:t>
      </w:r>
    </w:p>
    <w:p w14:paraId="68AA7AE1">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56" w:name="_Toc21423"/>
      <w:bookmarkStart w:id="57" w:name="_Toc19554"/>
      <w:bookmarkStart w:id="58" w:name="_Toc27250"/>
      <w:r>
        <w:rPr>
          <w:rFonts w:hint="eastAsia" w:asciiTheme="minorEastAsia" w:hAnsiTheme="minorEastAsia" w:eastAsiaTheme="minorEastAsia" w:cstheme="minorEastAsia"/>
          <w:b/>
          <w:bCs/>
          <w:color w:val="auto"/>
          <w:sz w:val="24"/>
          <w:highlight w:val="none"/>
          <w:lang w:val="zh-CN"/>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lang w:val="zh-CN"/>
        </w:rPr>
        <w:t xml:space="preserve"> 违约责任</w:t>
      </w:r>
      <w:bookmarkEnd w:id="56"/>
      <w:bookmarkEnd w:id="57"/>
      <w:bookmarkEnd w:id="58"/>
    </w:p>
    <w:p w14:paraId="3E4DB02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除不可抗力外，如果甲方没有按照本合同约定的付款方式付款，且非因乙方未按本合同第1.4.3条约定及时开具合规发票所致，那么乙方可要求甲方支付违约金，违约金按每迟延付款一日的应付而未付款的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0.05</w:t>
      </w:r>
      <w:r>
        <w:rPr>
          <w:rFonts w:hint="eastAsia" w:asciiTheme="minorEastAsia" w:hAnsiTheme="minorEastAsia" w:eastAsiaTheme="minorEastAsia" w:cstheme="minorEastAsia"/>
          <w:color w:val="auto"/>
          <w:sz w:val="24"/>
          <w:highlight w:val="none"/>
        </w:rPr>
        <w:t>%计算，最高限额为本合同总价的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%；迟延付款的违约金计算数额达到前述最高限额之日起，乙方有权在要求甲方支付违约金的同时，书面通知甲方解除本合同；</w:t>
      </w:r>
    </w:p>
    <w:p w14:paraId="63D0BD84">
      <w:pPr>
        <w:snapToGrid w:val="0"/>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xml:space="preserve">除前述约定外，除不可抗力外，其他乙方没有按照本合同约定的期限、地点和要求履行，那么甲方可要求乙方支付违约金，违约金按每迟延履行一日的应提供而未提供服务价格的 </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 xml:space="preserve"> %计算，最高限额为本合同</w:t>
      </w:r>
      <w:r>
        <w:rPr>
          <w:rFonts w:hint="eastAsia" w:asciiTheme="minorEastAsia" w:hAnsiTheme="minorEastAsia" w:eastAsiaTheme="minorEastAsia" w:cstheme="minorEastAsia"/>
          <w:color w:val="auto"/>
          <w:sz w:val="24"/>
          <w:highlight w:val="none"/>
          <w:lang w:eastAsia="zh-CN"/>
        </w:rPr>
        <w:t>总</w:t>
      </w:r>
      <w:r>
        <w:rPr>
          <w:rFonts w:hint="eastAsia" w:asciiTheme="minorEastAsia" w:hAnsiTheme="minorEastAsia" w:eastAsiaTheme="minorEastAsia" w:cstheme="minorEastAsia"/>
          <w:color w:val="auto"/>
          <w:sz w:val="24"/>
          <w:highlight w:val="none"/>
        </w:rPr>
        <w:t>价的</w:t>
      </w: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，但因乙方原因造成的人身伤亡、第三方财产损失及知识产权侵权赔偿不受此限额限制</w:t>
      </w:r>
      <w:r>
        <w:rPr>
          <w:rFonts w:hint="eastAsia" w:asciiTheme="minorEastAsia" w:hAnsiTheme="minorEastAsia" w:eastAsiaTheme="minorEastAsia" w:cstheme="minorEastAsia"/>
          <w:color w:val="auto"/>
          <w:sz w:val="24"/>
          <w:highlight w:val="none"/>
        </w:rPr>
        <w:t>；迟延履行的违约金计算数额达到前述最高限额之日起，甲方有权在要求乙方支付违约金的同时，书面通知乙方解除本合同。</w:t>
      </w:r>
    </w:p>
    <w:p w14:paraId="4FB1290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1.7.3</w:t>
      </w:r>
      <w:r>
        <w:rPr>
          <w:rFonts w:hint="eastAsia" w:asciiTheme="minorEastAsia" w:hAnsiTheme="minorEastAsia" w:eastAsiaTheme="minorEastAsia" w:cstheme="minorEastAsia"/>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59" w:name="_Toc28375"/>
      <w:bookmarkStart w:id="60" w:name="_Toc15583"/>
      <w:bookmarkStart w:id="61" w:name="_Toc16021"/>
      <w:r>
        <w:rPr>
          <w:rFonts w:hint="eastAsia" w:asciiTheme="minorEastAsia" w:hAnsiTheme="minorEastAsia" w:eastAsiaTheme="minorEastAsia" w:cstheme="minorEastAsia"/>
          <w:b/>
          <w:bCs/>
          <w:color w:val="auto"/>
          <w:sz w:val="24"/>
          <w:highlight w:val="none"/>
          <w:lang w:val="zh-CN"/>
        </w:rPr>
        <w:t>1.</w:t>
      </w: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lang w:val="zh-CN"/>
        </w:rPr>
        <w:t xml:space="preserve"> 合同争议的解决</w:t>
      </w:r>
      <w:bookmarkEnd w:id="59"/>
      <w:bookmarkEnd w:id="60"/>
      <w:bookmarkEnd w:id="61"/>
    </w:p>
    <w:p w14:paraId="4E7903B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1.8.2</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种方式解决：</w:t>
      </w:r>
    </w:p>
    <w:p w14:paraId="0A5F3C7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.1将争议提交</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仲裁委员会依申请仲裁时其现行有效的仲裁规则裁决；</w:t>
      </w:r>
    </w:p>
    <w:p w14:paraId="2FCB57F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合肥市包河区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人民法院起诉。</w:t>
      </w:r>
    </w:p>
    <w:p w14:paraId="4922D538">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62" w:name="_Toc11173"/>
      <w:bookmarkStart w:id="63" w:name="_Toc7245"/>
      <w:bookmarkStart w:id="64" w:name="_Toc15322"/>
      <w:r>
        <w:rPr>
          <w:rFonts w:hint="eastAsia" w:asciiTheme="minorEastAsia" w:hAnsiTheme="minorEastAsia" w:eastAsiaTheme="minorEastAsia" w:cstheme="minorEastAsia"/>
          <w:b/>
          <w:bCs/>
          <w:color w:val="auto"/>
          <w:sz w:val="24"/>
          <w:highlight w:val="none"/>
          <w:lang w:val="zh-CN"/>
        </w:rPr>
        <w:t>1.</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sz w:val="24"/>
          <w:highlight w:val="none"/>
          <w:lang w:val="zh-CN"/>
        </w:rPr>
        <w:t xml:space="preserve"> 合同生效</w:t>
      </w:r>
      <w:bookmarkEnd w:id="62"/>
      <w:bookmarkEnd w:id="63"/>
      <w:bookmarkEnd w:id="64"/>
    </w:p>
    <w:p w14:paraId="1500EEE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本合同自双方当事人盖章时生效，本合同一式</w:t>
      </w:r>
      <w:r>
        <w:rPr>
          <w:rFonts w:hint="eastAsia" w:asciiTheme="minorEastAsia" w:hAnsiTheme="minorEastAsia" w:eastAsiaTheme="minorEastAsia" w:cstheme="minorEastAsia"/>
          <w:sz w:val="24"/>
          <w:highlight w:val="none"/>
          <w:u w:val="single"/>
        </w:rPr>
        <w:t xml:space="preserve"> 肆 </w:t>
      </w:r>
      <w:r>
        <w:rPr>
          <w:rFonts w:hint="eastAsia" w:asciiTheme="minorEastAsia" w:hAnsiTheme="minorEastAsia" w:eastAsiaTheme="minorEastAsia" w:cstheme="minorEastAsia"/>
          <w:sz w:val="24"/>
          <w:highlight w:val="none"/>
        </w:rPr>
        <w:t>份，甲乙双方各执</w:t>
      </w:r>
      <w:r>
        <w:rPr>
          <w:rFonts w:hint="eastAsia" w:asciiTheme="minorEastAsia" w:hAnsiTheme="minorEastAsia" w:eastAsiaTheme="minorEastAsia" w:cstheme="minorEastAsia"/>
          <w:sz w:val="24"/>
          <w:highlight w:val="none"/>
          <w:u w:val="single"/>
        </w:rPr>
        <w:t xml:space="preserve"> 贰 </w:t>
      </w:r>
      <w:r>
        <w:rPr>
          <w:rFonts w:hint="eastAsia" w:asciiTheme="minorEastAsia" w:hAnsiTheme="minorEastAsia" w:eastAsiaTheme="minorEastAsia" w:cstheme="minorEastAsia"/>
          <w:sz w:val="24"/>
          <w:highlight w:val="none"/>
        </w:rPr>
        <w:t>份，具有同等法律效力。</w:t>
      </w:r>
    </w:p>
    <w:p w14:paraId="16B13459">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p>
    <w:p w14:paraId="2F71E59B">
      <w:pPr>
        <w:autoSpaceDE w:val="0"/>
        <w:autoSpaceDN w:val="0"/>
        <w:adjustRightInd w:val="0"/>
        <w:spacing w:line="560" w:lineRule="exac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甲    方：</w:t>
      </w:r>
      <w:r>
        <w:rPr>
          <w:rFonts w:hint="eastAsia" w:asciiTheme="minorEastAsia" w:hAnsiTheme="minorEastAsia" w:eastAsiaTheme="minorEastAsia" w:cstheme="minorEastAsia"/>
          <w:bCs/>
          <w:color w:val="auto"/>
          <w:sz w:val="24"/>
          <w:highlight w:val="none"/>
          <w:u w:val="single"/>
          <w:lang w:val="zh-CN"/>
        </w:rPr>
        <w:t xml:space="preserve">    （单位盖章）     </w:t>
      </w:r>
      <w:r>
        <w:rPr>
          <w:rFonts w:hint="eastAsia" w:asciiTheme="minorEastAsia" w:hAnsiTheme="minorEastAsia" w:eastAsiaTheme="minorEastAsia" w:cstheme="minorEastAsia"/>
          <w:bCs/>
          <w:color w:val="auto"/>
          <w:sz w:val="24"/>
          <w:highlight w:val="none"/>
          <w:lang w:val="zh-CN"/>
        </w:rPr>
        <w:t xml:space="preserve">          乙方：</w:t>
      </w:r>
      <w:r>
        <w:rPr>
          <w:rFonts w:hint="eastAsia" w:asciiTheme="minorEastAsia" w:hAnsiTheme="minorEastAsia" w:eastAsiaTheme="minorEastAsia" w:cstheme="minorEastAsia"/>
          <w:bCs/>
          <w:color w:val="auto"/>
          <w:sz w:val="24"/>
          <w:highlight w:val="none"/>
          <w:u w:val="single"/>
          <w:lang w:val="zh-CN"/>
        </w:rPr>
        <w:t xml:space="preserve">    （单位盖章）     </w:t>
      </w:r>
    </w:p>
    <w:p w14:paraId="016171E0">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                               法定代表人</w:t>
      </w:r>
    </w:p>
    <w:p w14:paraId="35DD5961">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或授权代表（签字）：                      或授权代表（签字）：</w:t>
      </w:r>
    </w:p>
    <w:p w14:paraId="4B7635D3">
      <w:pPr>
        <w:widowControl/>
        <w:spacing w:line="560" w:lineRule="exact"/>
        <w:jc w:val="left"/>
        <w:rPr>
          <w:rFonts w:hint="eastAsia" w:asciiTheme="minorEastAsia" w:hAnsiTheme="minorEastAsia" w:eastAsiaTheme="minorEastAsia" w:cstheme="minorEastAsia"/>
          <w:bCs/>
          <w:color w:val="auto"/>
          <w:sz w:val="24"/>
          <w:highlight w:val="none"/>
        </w:rPr>
      </w:pPr>
      <w:bookmarkStart w:id="65" w:name="_Toc331685783"/>
      <w:r>
        <w:rPr>
          <w:rFonts w:hint="eastAsia" w:asciiTheme="minorEastAsia" w:hAnsiTheme="minorEastAsia" w:eastAsiaTheme="minorEastAsia" w:cstheme="minorEastAsia"/>
          <w:bCs/>
          <w:color w:val="auto"/>
          <w:sz w:val="24"/>
          <w:highlight w:val="none"/>
        </w:rPr>
        <w:t>时间：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               时间：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p>
    <w:p w14:paraId="4D5CA790">
      <w:pPr>
        <w:widowControl/>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1D780D0B">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第二部分 合同一般条款</w:t>
      </w:r>
      <w:bookmarkEnd w:id="65"/>
    </w:p>
    <w:p w14:paraId="1B043DFC">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66" w:name="_Toc16917"/>
      <w:bookmarkStart w:id="67" w:name="_Ref467379101"/>
      <w:bookmarkStart w:id="68" w:name="_Ref467379109"/>
      <w:bookmarkStart w:id="69" w:name="_Toc259093669"/>
      <w:bookmarkStart w:id="70" w:name="_Toc487900349"/>
      <w:bookmarkStart w:id="71" w:name="_Toc28763"/>
      <w:bookmarkStart w:id="72" w:name="_Ref467379225"/>
      <w:bookmarkStart w:id="73" w:name="_Ref467379094"/>
      <w:bookmarkStart w:id="74" w:name="_Ref467378499"/>
      <w:bookmarkStart w:id="75" w:name="_Toc19614"/>
      <w:bookmarkStart w:id="76" w:name="_Ref467378463"/>
      <w:bookmarkStart w:id="77" w:name="_Ref467378404"/>
      <w:bookmarkStart w:id="78" w:name="_Ref467379214"/>
      <w:bookmarkStart w:id="79" w:name="_Ref467379195"/>
      <w:bookmarkStart w:id="80" w:name="_Ref467379205"/>
      <w:bookmarkStart w:id="81" w:name="_Toc279701240"/>
      <w:r>
        <w:rPr>
          <w:rFonts w:hint="eastAsia" w:asciiTheme="minorEastAsia" w:hAnsiTheme="minorEastAsia" w:eastAsiaTheme="minorEastAsia" w:cstheme="minorEastAsia"/>
          <w:b/>
          <w:bCs/>
          <w:color w:val="auto"/>
          <w:sz w:val="24"/>
          <w:highlight w:val="none"/>
          <w:lang w:val="zh-CN"/>
        </w:rPr>
        <w:t>2.1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20BA50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本合同中的下列词语应按以下内容进行解释：</w:t>
      </w:r>
    </w:p>
    <w:p w14:paraId="3AC8DEB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2.1.1“合同”系指招标人和中标人签订的载明双方当事人所达成的协议，并包括所有的附件、附录和构成合同的其他文件。</w:t>
      </w:r>
    </w:p>
    <w:p w14:paraId="2F07FEC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2.1.2“合同价”系指根据合同约定，中标人在完全履行合同义务后，招标人应支付给中标人的价格。</w:t>
      </w:r>
    </w:p>
    <w:p w14:paraId="616AD9D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67201D1C">
      <w:pPr>
        <w:spacing w:line="360" w:lineRule="auto"/>
        <w:ind w:firstLine="435"/>
        <w:rPr>
          <w:rFonts w:hint="eastAsia" w:asciiTheme="minorEastAsia" w:hAnsiTheme="minorEastAsia" w:eastAsiaTheme="minorEastAsia" w:cstheme="minorEastAsia"/>
          <w:color w:val="auto"/>
          <w:sz w:val="24"/>
          <w:highlight w:val="none"/>
        </w:rPr>
      </w:pPr>
      <w:bookmarkStart w:id="82" w:name="_Ref467378840"/>
      <w:r>
        <w:rPr>
          <w:rFonts w:hint="eastAsia" w:asciiTheme="minorEastAsia" w:hAnsiTheme="minorEastAsia" w:eastAsiaTheme="minorEastAsia" w:cstheme="minorEastAsia"/>
          <w:color w:val="auto"/>
          <w:sz w:val="24"/>
          <w:highlight w:val="none"/>
        </w:rPr>
        <w:t>2.1.4“甲方”系指与中标人签署合同的招标人</w:t>
      </w:r>
      <w:bookmarkEnd w:id="82"/>
      <w:r>
        <w:rPr>
          <w:rFonts w:hint="eastAsia" w:asciiTheme="minorEastAsia" w:hAnsiTheme="minorEastAsia" w:eastAsiaTheme="minorEastAsia" w:cstheme="minorEastAsia"/>
          <w:color w:val="auto"/>
          <w:sz w:val="24"/>
          <w:highlight w:val="none"/>
        </w:rPr>
        <w:t>；招标人委托招标代理机构代表其与乙方签订合同的，招标人的授权委托书作为合同附件。</w:t>
      </w:r>
    </w:p>
    <w:p w14:paraId="1973B5F0">
      <w:pPr>
        <w:spacing w:line="360" w:lineRule="auto"/>
        <w:ind w:firstLine="435"/>
        <w:rPr>
          <w:rFonts w:hint="eastAsia" w:asciiTheme="minorEastAsia" w:hAnsiTheme="minorEastAsia" w:eastAsiaTheme="minorEastAsia" w:cstheme="minorEastAsia"/>
          <w:color w:val="auto"/>
          <w:sz w:val="24"/>
          <w:highlight w:val="none"/>
        </w:rPr>
      </w:pPr>
      <w:bookmarkStart w:id="83" w:name="_Ref467379400"/>
      <w:r>
        <w:rPr>
          <w:rFonts w:hint="eastAsia" w:asciiTheme="minorEastAsia" w:hAnsiTheme="minorEastAsia" w:eastAsiaTheme="minorEastAsia" w:cstheme="minorEastAsia"/>
          <w:color w:val="auto"/>
          <w:sz w:val="24"/>
          <w:highlight w:val="none"/>
        </w:rPr>
        <w:t>2.1.5“乙方”系指根据合同约定交付货物的中标人</w:t>
      </w:r>
      <w:bookmarkEnd w:id="83"/>
      <w:r>
        <w:rPr>
          <w:rFonts w:hint="eastAsia" w:asciiTheme="minorEastAsia" w:hAnsiTheme="minorEastAsia" w:eastAsiaTheme="minorEastAsia" w:cstheme="minorEastAsia"/>
          <w:color w:val="auto"/>
          <w:sz w:val="24"/>
          <w:highlight w:val="none"/>
        </w:rPr>
        <w:t>；两个以上的自然人、法人或者其他组织组成一个联合体，以一个</w:t>
      </w:r>
      <w:r>
        <w:rPr>
          <w:rFonts w:hint="eastAsia" w:asciiTheme="minorEastAsia" w:hAnsiTheme="minorEastAsia" w:eastAsiaTheme="minorEastAsia" w:cstheme="minorEastAsia"/>
          <w:color w:val="auto"/>
          <w:sz w:val="24"/>
          <w:highlight w:val="none"/>
          <w:lang w:eastAsia="zh-CN"/>
        </w:rPr>
        <w:t>乙方</w:t>
      </w:r>
      <w:r>
        <w:rPr>
          <w:rFonts w:hint="eastAsia" w:asciiTheme="minorEastAsia" w:hAnsiTheme="minorEastAsia" w:eastAsiaTheme="minorEastAsia" w:cstheme="minorEastAsia"/>
          <w:color w:val="auto"/>
          <w:sz w:val="24"/>
          <w:highlight w:val="none"/>
        </w:rPr>
        <w:t>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Theme="minorEastAsia" w:hAnsiTheme="minorEastAsia" w:eastAsiaTheme="minorEastAsia" w:cstheme="minorEastAsia"/>
          <w:color w:val="auto"/>
          <w:sz w:val="24"/>
          <w:highlight w:val="none"/>
        </w:rPr>
      </w:pPr>
      <w:bookmarkStart w:id="84" w:name="_Ref467379436"/>
      <w:r>
        <w:rPr>
          <w:rFonts w:hint="eastAsia" w:asciiTheme="minorEastAsia" w:hAnsiTheme="minorEastAsia" w:eastAsiaTheme="minorEastAsia" w:cstheme="minorEastAsia"/>
          <w:color w:val="auto"/>
          <w:sz w:val="24"/>
          <w:highlight w:val="none"/>
        </w:rPr>
        <w:t>2.1.6“现场”系指合同约定货物将要运至或者安装的地点。</w:t>
      </w:r>
      <w:bookmarkEnd w:id="84"/>
    </w:p>
    <w:p w14:paraId="17C0AED3">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85" w:name="_Toc279701241"/>
      <w:bookmarkStart w:id="86" w:name="_Toc487900350"/>
      <w:bookmarkStart w:id="87" w:name="_Toc259093670"/>
      <w:bookmarkStart w:id="88" w:name="_Toc32504"/>
      <w:bookmarkStart w:id="89" w:name="_Toc27635"/>
      <w:bookmarkStart w:id="90" w:name="_Toc13336"/>
      <w:r>
        <w:rPr>
          <w:rFonts w:hint="eastAsia" w:asciiTheme="minorEastAsia" w:hAnsiTheme="minorEastAsia" w:eastAsiaTheme="minorEastAsia" w:cstheme="minorEastAsia"/>
          <w:b/>
          <w:bCs/>
          <w:color w:val="auto"/>
          <w:sz w:val="24"/>
          <w:highlight w:val="none"/>
          <w:lang w:val="zh-CN"/>
        </w:rPr>
        <w:t>2.2 技术规范</w:t>
      </w:r>
      <w:bookmarkEnd w:id="85"/>
      <w:bookmarkEnd w:id="86"/>
      <w:bookmarkEnd w:id="87"/>
      <w:bookmarkEnd w:id="88"/>
      <w:bookmarkEnd w:id="89"/>
      <w:bookmarkEnd w:id="90"/>
    </w:p>
    <w:p w14:paraId="0707D0B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CE82C2C">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91" w:name="_Toc9829"/>
      <w:bookmarkStart w:id="92" w:name="_Toc279701242"/>
      <w:bookmarkStart w:id="93" w:name="_Toc27853"/>
      <w:bookmarkStart w:id="94" w:name="_Toc487900351"/>
      <w:bookmarkStart w:id="95" w:name="_Toc31634"/>
      <w:bookmarkStart w:id="96" w:name="_Toc259093671"/>
      <w:r>
        <w:rPr>
          <w:rFonts w:hint="eastAsia" w:asciiTheme="minorEastAsia" w:hAnsiTheme="minorEastAsia" w:eastAsiaTheme="minorEastAsia" w:cstheme="minorEastAsia"/>
          <w:b/>
          <w:bCs/>
          <w:color w:val="auto"/>
          <w:sz w:val="24"/>
          <w:highlight w:val="none"/>
          <w:lang w:val="zh-CN"/>
        </w:rPr>
        <w:t>2.3 知识产权</w:t>
      </w:r>
      <w:bookmarkEnd w:id="91"/>
      <w:bookmarkEnd w:id="92"/>
      <w:bookmarkEnd w:id="93"/>
      <w:bookmarkEnd w:id="94"/>
      <w:bookmarkEnd w:id="95"/>
      <w:bookmarkEnd w:id="96"/>
    </w:p>
    <w:p w14:paraId="6123897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54ADC6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2.3.2具有知识产权的计算机软件等货物的知识产权归属，按照法律法规的相关规定执行。</w:t>
      </w:r>
    </w:p>
    <w:p w14:paraId="5A1E108F">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97" w:name="_Toc11932"/>
      <w:bookmarkStart w:id="98" w:name="_Toc29149"/>
      <w:bookmarkStart w:id="99" w:name="_Toc4194"/>
      <w:r>
        <w:rPr>
          <w:rFonts w:hint="eastAsia" w:asciiTheme="minorEastAsia" w:hAnsiTheme="minorEastAsia" w:eastAsiaTheme="minorEastAsia" w:cstheme="minorEastAsia"/>
          <w:b/>
          <w:bCs/>
          <w:color w:val="auto"/>
          <w:sz w:val="24"/>
          <w:highlight w:val="none"/>
          <w:lang w:val="zh-CN"/>
        </w:rPr>
        <w:t>2.4 包装和装运</w:t>
      </w:r>
      <w:bookmarkEnd w:id="97"/>
      <w:bookmarkEnd w:id="98"/>
      <w:bookmarkEnd w:id="99"/>
    </w:p>
    <w:p w14:paraId="28ED989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w:t>
      </w:r>
      <w:r>
        <w:rPr>
          <w:rFonts w:hint="eastAsia" w:asciiTheme="minorEastAsia" w:hAnsiTheme="minorEastAsia" w:eastAsiaTheme="minorEastAsia" w:cstheme="minorEastAsia"/>
          <w:b/>
          <w:i/>
          <w:color w:val="auto"/>
          <w:sz w:val="24"/>
          <w:highlight w:val="none"/>
          <w:u w:val="single"/>
        </w:rPr>
        <w:t>合同</w:t>
      </w:r>
      <w:r>
        <w:rPr>
          <w:rFonts w:hint="eastAsia" w:asciiTheme="minorEastAsia" w:hAnsiTheme="minorEastAsia" w:eastAsiaTheme="minorEastAsia" w:cstheme="minorEastAsia"/>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F724CF8">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00" w:name="_Toc279701245"/>
      <w:bookmarkStart w:id="101" w:name="_Ref467379542"/>
      <w:bookmarkStart w:id="102" w:name="_Toc487900354"/>
      <w:bookmarkStart w:id="103" w:name="_Ref467379536"/>
      <w:bookmarkStart w:id="104" w:name="_Ref467378591"/>
      <w:bookmarkStart w:id="105" w:name="_Ref467378541"/>
      <w:bookmarkStart w:id="106" w:name="_Ref467379527"/>
      <w:bookmarkStart w:id="107" w:name="_Toc259093674"/>
      <w:bookmarkStart w:id="108" w:name="_Toc30272"/>
      <w:bookmarkStart w:id="109" w:name="_Toc19074"/>
      <w:bookmarkStart w:id="110" w:name="_Toc26182"/>
      <w:r>
        <w:rPr>
          <w:rFonts w:hint="eastAsia" w:asciiTheme="minorEastAsia" w:hAnsiTheme="minorEastAsia" w:eastAsiaTheme="minorEastAsia" w:cstheme="minorEastAsia"/>
          <w:b/>
          <w:bCs/>
          <w:color w:val="auto"/>
          <w:sz w:val="24"/>
          <w:highlight w:val="none"/>
          <w:lang w:val="zh-CN"/>
        </w:rPr>
        <w:t>2.</w:t>
      </w:r>
      <w:bookmarkEnd w:id="100"/>
      <w:bookmarkEnd w:id="101"/>
      <w:bookmarkEnd w:id="102"/>
      <w:bookmarkEnd w:id="103"/>
      <w:bookmarkEnd w:id="104"/>
      <w:bookmarkEnd w:id="105"/>
      <w:bookmarkEnd w:id="106"/>
      <w:bookmarkEnd w:id="107"/>
      <w:r>
        <w:rPr>
          <w:rFonts w:hint="eastAsia" w:asciiTheme="minorEastAsia" w:hAnsiTheme="minorEastAsia" w:eastAsiaTheme="minorEastAsia" w:cstheme="minorEastAsia"/>
          <w:b/>
          <w:bCs/>
          <w:color w:val="auto"/>
          <w:sz w:val="24"/>
          <w:highlight w:val="none"/>
          <w:lang w:val="zh-CN"/>
        </w:rPr>
        <w:t>5 履约检查和问题反馈</w:t>
      </w:r>
      <w:bookmarkEnd w:id="108"/>
      <w:bookmarkEnd w:id="109"/>
      <w:bookmarkEnd w:id="110"/>
    </w:p>
    <w:p w14:paraId="3E1378BF">
      <w:pPr>
        <w:spacing w:line="360" w:lineRule="auto"/>
        <w:ind w:firstLine="435"/>
        <w:rPr>
          <w:rFonts w:hint="eastAsia" w:asciiTheme="minorEastAsia" w:hAnsiTheme="minorEastAsia" w:eastAsiaTheme="minorEastAsia" w:cstheme="minorEastAsia"/>
          <w:color w:val="auto"/>
          <w:sz w:val="24"/>
          <w:highlight w:val="none"/>
        </w:rPr>
      </w:pPr>
      <w:bookmarkStart w:id="111" w:name="_Ref467379657"/>
      <w:r>
        <w:rPr>
          <w:rFonts w:hint="eastAsia" w:asciiTheme="minorEastAsia" w:hAnsiTheme="minorEastAsia" w:eastAsiaTheme="minorEastAsia" w:cstheme="minorEastAsia"/>
          <w:color w:val="auto"/>
          <w:sz w:val="24"/>
          <w:highlight w:val="none"/>
        </w:rPr>
        <w:t>2.5.1</w:t>
      </w:r>
      <w:bookmarkEnd w:id="111"/>
      <w:bookmarkStart w:id="112" w:name="_Toc186431854"/>
      <w:bookmarkStart w:id="113" w:name="_Toc279701247"/>
      <w:bookmarkStart w:id="114" w:name="_Toc259093676"/>
      <w:bookmarkStart w:id="115" w:name="_Toc487900357"/>
      <w:bookmarkStart w:id="116" w:name="_Ref467379793"/>
      <w:bookmarkStart w:id="117" w:name="_Ref467379807"/>
      <w:r>
        <w:rPr>
          <w:rFonts w:hint="eastAsia" w:asciiTheme="minorEastAsia" w:hAnsiTheme="minorEastAsia" w:eastAsiaTheme="minorEastAsia" w:cstheme="minorEastAsia"/>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2.5.2合同履行期间，甲方有权将履行过程中出现的问题反馈给乙方，双方当事人应以书面形式约定需要完善和改进的内容</w:t>
      </w:r>
      <w:bookmarkEnd w:id="112"/>
      <w:bookmarkStart w:id="118" w:name="_Toc186431855"/>
      <w:r>
        <w:rPr>
          <w:rFonts w:hint="eastAsia" w:asciiTheme="minorEastAsia" w:hAnsiTheme="minorEastAsia" w:eastAsiaTheme="minorEastAsia" w:cstheme="minorEastAsia"/>
          <w:color w:val="auto"/>
          <w:sz w:val="24"/>
          <w:highlight w:val="none"/>
        </w:rPr>
        <w:t>。</w:t>
      </w:r>
    </w:p>
    <w:bookmarkEnd w:id="118"/>
    <w:p w14:paraId="38763DE8">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19" w:name="_Toc7836"/>
      <w:bookmarkStart w:id="120" w:name="_Toc19219"/>
      <w:bookmarkStart w:id="121" w:name="_Toc28451"/>
      <w:r>
        <w:rPr>
          <w:rFonts w:hint="eastAsia" w:asciiTheme="minorEastAsia" w:hAnsiTheme="minorEastAsia" w:eastAsiaTheme="minorEastAsia" w:cstheme="minorEastAsia"/>
          <w:b/>
          <w:bCs/>
          <w:color w:val="auto"/>
          <w:sz w:val="24"/>
          <w:highlight w:val="none"/>
          <w:lang w:val="zh-CN"/>
        </w:rPr>
        <w:t>2.6 结算方式和付款条件</w:t>
      </w:r>
      <w:bookmarkEnd w:id="113"/>
      <w:bookmarkEnd w:id="114"/>
      <w:bookmarkEnd w:id="115"/>
      <w:bookmarkEnd w:id="116"/>
      <w:bookmarkEnd w:id="117"/>
      <w:bookmarkEnd w:id="119"/>
      <w:bookmarkEnd w:id="120"/>
      <w:bookmarkEnd w:id="121"/>
    </w:p>
    <w:p w14:paraId="146E528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w:t>
      </w:r>
      <w:r>
        <w:rPr>
          <w:rFonts w:hint="eastAsia" w:asciiTheme="minorEastAsia" w:hAnsiTheme="minorEastAsia" w:eastAsiaTheme="minorEastAsia" w:cstheme="minorEastAsia"/>
          <w:b/>
          <w:i/>
          <w:color w:val="auto"/>
          <w:sz w:val="24"/>
          <w:highlight w:val="none"/>
          <w:u w:val="single"/>
        </w:rPr>
        <w:t>合同</w:t>
      </w:r>
      <w:r>
        <w:rPr>
          <w:rFonts w:hint="eastAsia" w:asciiTheme="minorEastAsia" w:hAnsiTheme="minorEastAsia" w:eastAsiaTheme="minorEastAsia" w:cstheme="minorEastAsia"/>
          <w:b/>
          <w:i/>
          <w:color w:val="auto"/>
          <w:sz w:val="24"/>
          <w:highlight w:val="none"/>
          <w:u w:val="single"/>
          <w:lang w:eastAsia="zh-CN"/>
        </w:rPr>
        <w:t>约定</w:t>
      </w:r>
      <w:r>
        <w:rPr>
          <w:rFonts w:hint="eastAsia" w:asciiTheme="minorEastAsia" w:hAnsiTheme="minorEastAsia" w:eastAsiaTheme="minorEastAsia" w:cstheme="minorEastAsia"/>
          <w:color w:val="auto"/>
          <w:sz w:val="24"/>
          <w:highlight w:val="none"/>
        </w:rPr>
        <w:t>。</w:t>
      </w:r>
    </w:p>
    <w:p w14:paraId="1DABA900">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22" w:name="_Ref467379863"/>
      <w:bookmarkStart w:id="123" w:name="_Toc487900358"/>
      <w:bookmarkStart w:id="124" w:name="_Ref467379923"/>
      <w:bookmarkStart w:id="125" w:name="_Toc259093677"/>
      <w:bookmarkStart w:id="126" w:name="_Toc279701248"/>
      <w:bookmarkStart w:id="127" w:name="_Ref467379852"/>
      <w:bookmarkStart w:id="128" w:name="_Toc3225"/>
      <w:bookmarkStart w:id="129" w:name="_Toc774"/>
      <w:bookmarkStart w:id="130" w:name="_Toc16110"/>
      <w:r>
        <w:rPr>
          <w:rFonts w:hint="eastAsia" w:asciiTheme="minorEastAsia" w:hAnsiTheme="minorEastAsia" w:eastAsiaTheme="minorEastAsia" w:cstheme="minorEastAsia"/>
          <w:b/>
          <w:bCs/>
          <w:color w:val="auto"/>
          <w:sz w:val="24"/>
          <w:highlight w:val="none"/>
          <w:lang w:val="zh-CN"/>
        </w:rPr>
        <w:t>2.7 技术资料</w:t>
      </w:r>
      <w:bookmarkEnd w:id="122"/>
      <w:bookmarkEnd w:id="123"/>
      <w:bookmarkEnd w:id="124"/>
      <w:bookmarkEnd w:id="125"/>
      <w:bookmarkEnd w:id="126"/>
      <w:bookmarkEnd w:id="127"/>
      <w:r>
        <w:rPr>
          <w:rFonts w:hint="eastAsia" w:asciiTheme="minorEastAsia" w:hAnsiTheme="minorEastAsia" w:eastAsiaTheme="minorEastAsia" w:cstheme="minorEastAsia"/>
          <w:b/>
          <w:bCs/>
          <w:color w:val="auto"/>
          <w:sz w:val="24"/>
          <w:highlight w:val="none"/>
          <w:lang w:val="zh-CN"/>
        </w:rPr>
        <w:t>和保密义务</w:t>
      </w:r>
      <w:bookmarkEnd w:id="128"/>
      <w:bookmarkEnd w:id="129"/>
      <w:bookmarkEnd w:id="130"/>
    </w:p>
    <w:p w14:paraId="559E93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2.7.1乙方有权依据合同约定和项目需要，向甲方了解有关情况，调阅有关资料等，甲方应予积极配合；</w:t>
      </w:r>
    </w:p>
    <w:p w14:paraId="4D7EFA8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2.7.2乙方有义务妥善保管和保护由甲方提供的前款信息和资料等；</w:t>
      </w:r>
    </w:p>
    <w:p w14:paraId="6A82144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31" w:name="_Toc7860"/>
      <w:r>
        <w:rPr>
          <w:rFonts w:hint="eastAsia" w:asciiTheme="minorEastAsia" w:hAnsiTheme="minorEastAsia" w:eastAsiaTheme="minorEastAsia" w:cstheme="minorEastAsia"/>
          <w:b/>
          <w:bCs/>
          <w:color w:val="auto"/>
          <w:sz w:val="24"/>
          <w:highlight w:val="none"/>
          <w:lang w:val="zh-CN"/>
        </w:rPr>
        <w:t>2.8 质量保证</w:t>
      </w:r>
      <w:bookmarkEnd w:id="131"/>
    </w:p>
    <w:p w14:paraId="54C5E79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32" w:name="_Toc17244"/>
      <w:bookmarkStart w:id="133" w:name="_Toc279701252"/>
      <w:bookmarkStart w:id="134" w:name="_Toc487900362"/>
      <w:bookmarkStart w:id="135" w:name="_Toc259093681"/>
      <w:r>
        <w:rPr>
          <w:rFonts w:hint="eastAsia" w:asciiTheme="minorEastAsia" w:hAnsiTheme="minorEastAsia" w:eastAsiaTheme="minorEastAsia" w:cstheme="minorEastAsia"/>
          <w:b/>
          <w:bCs/>
          <w:color w:val="auto"/>
          <w:sz w:val="24"/>
          <w:highlight w:val="none"/>
          <w:lang w:val="zh-CN"/>
        </w:rPr>
        <w:t>2.9 货物的风险负担</w:t>
      </w:r>
      <w:bookmarkEnd w:id="132"/>
    </w:p>
    <w:p w14:paraId="2805C0DE">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货物或者在途货物或者交付给第一承运人后的货物毁损、灭失的风险负担</w:t>
      </w:r>
      <w:r>
        <w:rPr>
          <w:rFonts w:hint="eastAsia" w:asciiTheme="minorEastAsia" w:hAnsiTheme="minorEastAsia" w:eastAsiaTheme="minorEastAsia" w:cstheme="minorEastAsia"/>
          <w:color w:val="auto"/>
          <w:sz w:val="24"/>
          <w:highlight w:val="none"/>
          <w:lang w:eastAsia="zh-CN"/>
        </w:rPr>
        <w:t>由乙方承担</w:t>
      </w:r>
      <w:r>
        <w:rPr>
          <w:rFonts w:hint="eastAsia" w:asciiTheme="minorEastAsia" w:hAnsiTheme="minorEastAsia" w:eastAsiaTheme="minorEastAsia" w:cstheme="minorEastAsia"/>
          <w:color w:val="auto"/>
          <w:sz w:val="24"/>
          <w:highlight w:val="none"/>
        </w:rPr>
        <w:t>。</w:t>
      </w:r>
    </w:p>
    <w:p w14:paraId="1BAF1783">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36" w:name="_Toc14055"/>
      <w:r>
        <w:rPr>
          <w:rFonts w:hint="eastAsia" w:asciiTheme="minorEastAsia" w:hAnsiTheme="minorEastAsia" w:eastAsiaTheme="minorEastAsia" w:cstheme="minorEastAsia"/>
          <w:b/>
          <w:bCs/>
          <w:color w:val="auto"/>
          <w:sz w:val="24"/>
          <w:highlight w:val="none"/>
          <w:lang w:val="zh-CN"/>
        </w:rPr>
        <w:t>2.10 延迟交货</w:t>
      </w:r>
      <w:bookmarkEnd w:id="133"/>
      <w:bookmarkEnd w:id="134"/>
      <w:bookmarkEnd w:id="135"/>
      <w:bookmarkEnd w:id="136"/>
    </w:p>
    <w:p w14:paraId="4941B56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F37DE13">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37" w:name="_Toc7502"/>
      <w:bookmarkStart w:id="138" w:name="_Toc259093683"/>
      <w:bookmarkStart w:id="139" w:name="_Toc487900364"/>
      <w:bookmarkStart w:id="140" w:name="_Toc279701254"/>
      <w:bookmarkStart w:id="141" w:name="_Ref467378121"/>
      <w:r>
        <w:rPr>
          <w:rFonts w:hint="eastAsia" w:asciiTheme="minorEastAsia" w:hAnsiTheme="minorEastAsia" w:eastAsiaTheme="minorEastAsia" w:cstheme="minorEastAsia"/>
          <w:b/>
          <w:bCs/>
          <w:color w:val="auto"/>
          <w:sz w:val="24"/>
          <w:highlight w:val="none"/>
          <w:lang w:val="zh-CN"/>
        </w:rPr>
        <w:t>2.11 合同变更</w:t>
      </w:r>
      <w:bookmarkEnd w:id="137"/>
    </w:p>
    <w:p w14:paraId="08F35EF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42" w:name="_Toc259093688"/>
      <w:bookmarkStart w:id="143" w:name="_Toc487900369"/>
      <w:bookmarkStart w:id="144" w:name="_Toc279701259"/>
    </w:p>
    <w:p w14:paraId="232189B7">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45" w:name="_Toc10366"/>
      <w:bookmarkStart w:id="146" w:name="_Toc15237"/>
      <w:bookmarkStart w:id="147" w:name="_Toc22955"/>
      <w:r>
        <w:rPr>
          <w:rFonts w:hint="eastAsia" w:asciiTheme="minorEastAsia" w:hAnsiTheme="minorEastAsia" w:eastAsiaTheme="minorEastAsia" w:cstheme="minorEastAsia"/>
          <w:b/>
          <w:bCs/>
          <w:color w:val="auto"/>
          <w:sz w:val="24"/>
          <w:highlight w:val="none"/>
          <w:lang w:val="zh-CN"/>
        </w:rPr>
        <w:t>2.12 合同转让</w:t>
      </w:r>
      <w:bookmarkEnd w:id="142"/>
      <w:bookmarkEnd w:id="143"/>
      <w:bookmarkEnd w:id="144"/>
      <w:r>
        <w:rPr>
          <w:rFonts w:hint="eastAsia" w:asciiTheme="minorEastAsia" w:hAnsiTheme="minorEastAsia" w:eastAsiaTheme="minorEastAsia" w:cstheme="minorEastAsia"/>
          <w:b/>
          <w:bCs/>
          <w:color w:val="auto"/>
          <w:sz w:val="24"/>
          <w:highlight w:val="none"/>
          <w:lang w:val="zh-CN"/>
        </w:rPr>
        <w:t>和分包</w:t>
      </w:r>
      <w:bookmarkEnd w:id="145"/>
      <w:bookmarkEnd w:id="146"/>
      <w:bookmarkEnd w:id="147"/>
    </w:p>
    <w:p w14:paraId="5906F18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乙方不得以任何方式转包或分包本项目，一经发现将取消其中标资格，同时，因此产生的一切损失、延误由乙方自行承担。</w:t>
      </w:r>
    </w:p>
    <w:p w14:paraId="07BC5C63">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48" w:name="_Toc16508"/>
      <w:bookmarkStart w:id="149" w:name="_Toc14066"/>
      <w:bookmarkStart w:id="150" w:name="_Toc13566"/>
      <w:r>
        <w:rPr>
          <w:rFonts w:hint="eastAsia" w:asciiTheme="minorEastAsia" w:hAnsiTheme="minorEastAsia" w:eastAsiaTheme="minorEastAsia" w:cstheme="minorEastAsia"/>
          <w:b/>
          <w:bCs/>
          <w:color w:val="auto"/>
          <w:sz w:val="24"/>
          <w:highlight w:val="none"/>
          <w:lang w:val="zh-CN"/>
        </w:rPr>
        <w:t>2.13 不可抗力</w:t>
      </w:r>
      <w:bookmarkEnd w:id="148"/>
      <w:bookmarkEnd w:id="149"/>
      <w:bookmarkEnd w:id="150"/>
    </w:p>
    <w:p w14:paraId="196021A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2.13.1如果任何一方遭遇法律规定的不可抗力，致使合同履行受阻时，履行合同的期限应予延长，延长的期限应相当于不可抗力所影响的时间；</w:t>
      </w:r>
    </w:p>
    <w:p w14:paraId="1D9B08B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2.13.2因不可抗力致使不能实现合同目的的，当事人可以解除合同；</w:t>
      </w:r>
    </w:p>
    <w:p w14:paraId="0622D25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2.13.3因不可抗力致使合同有变更必要的，双方当事人应在</w:t>
      </w:r>
      <w:r>
        <w:rPr>
          <w:rFonts w:hint="eastAsia" w:asciiTheme="minorEastAsia" w:hAnsiTheme="minorEastAsia" w:eastAsiaTheme="minorEastAsia" w:cstheme="minorEastAsia"/>
          <w:color w:val="auto"/>
          <w:sz w:val="24"/>
          <w:highlight w:val="none"/>
          <w:lang w:eastAsia="zh-CN"/>
        </w:rPr>
        <w:t>十个工作日</w:t>
      </w:r>
      <w:r>
        <w:rPr>
          <w:rFonts w:hint="eastAsia" w:asciiTheme="minorEastAsia" w:hAnsiTheme="minorEastAsia" w:eastAsiaTheme="minorEastAsia" w:cstheme="minorEastAsia"/>
          <w:color w:val="auto"/>
          <w:sz w:val="24"/>
          <w:highlight w:val="none"/>
        </w:rPr>
        <w:t>内以书面形式变更合同；</w:t>
      </w:r>
    </w:p>
    <w:p w14:paraId="6FE97F0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2.13.4受不可抗力影响的一方在不可抗力发生后，应在</w:t>
      </w:r>
      <w:r>
        <w:rPr>
          <w:rFonts w:hint="eastAsia" w:asciiTheme="minorEastAsia" w:hAnsiTheme="minorEastAsia" w:eastAsiaTheme="minorEastAsia" w:cstheme="minorEastAsia"/>
          <w:color w:val="auto"/>
          <w:sz w:val="24"/>
          <w:highlight w:val="none"/>
          <w:lang w:eastAsia="zh-CN"/>
        </w:rPr>
        <w:t>五个工作日</w:t>
      </w:r>
      <w:r>
        <w:rPr>
          <w:rFonts w:hint="eastAsia" w:asciiTheme="minorEastAsia" w:hAnsiTheme="minorEastAsia" w:eastAsiaTheme="minorEastAsia" w:cstheme="minorEastAsia"/>
          <w:color w:val="auto"/>
          <w:sz w:val="24"/>
          <w:highlight w:val="none"/>
        </w:rPr>
        <w:t>内以书面形式通知对方当事人，并在</w:t>
      </w:r>
      <w:r>
        <w:rPr>
          <w:rFonts w:hint="eastAsia" w:asciiTheme="minorEastAsia" w:hAnsiTheme="minorEastAsia" w:eastAsiaTheme="minorEastAsia" w:cstheme="minorEastAsia"/>
          <w:color w:val="auto"/>
          <w:sz w:val="24"/>
          <w:highlight w:val="none"/>
          <w:lang w:eastAsia="zh-CN"/>
        </w:rPr>
        <w:t>十个工作日</w:t>
      </w:r>
      <w:r>
        <w:rPr>
          <w:rFonts w:hint="eastAsia" w:asciiTheme="minorEastAsia" w:hAnsiTheme="minorEastAsia" w:eastAsiaTheme="minorEastAsia" w:cstheme="minorEastAsia"/>
          <w:color w:val="auto"/>
          <w:sz w:val="24"/>
          <w:highlight w:val="none"/>
        </w:rPr>
        <w:t>内，将有关部门出具的证明文件送达对方当事人。</w:t>
      </w:r>
    </w:p>
    <w:p w14:paraId="714EEC34">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51" w:name="_Toc259093684"/>
      <w:bookmarkStart w:id="152" w:name="_Toc279701255"/>
      <w:bookmarkStart w:id="153" w:name="_Toc30676"/>
      <w:bookmarkStart w:id="154" w:name="_Toc689"/>
      <w:bookmarkStart w:id="155" w:name="_Toc487900365"/>
      <w:bookmarkStart w:id="156" w:name="_Toc6969"/>
      <w:r>
        <w:rPr>
          <w:rFonts w:hint="eastAsia" w:asciiTheme="minorEastAsia" w:hAnsiTheme="minorEastAsia" w:eastAsiaTheme="minorEastAsia" w:cstheme="minorEastAsia"/>
          <w:b/>
          <w:bCs/>
          <w:color w:val="auto"/>
          <w:sz w:val="24"/>
          <w:highlight w:val="none"/>
          <w:lang w:val="zh-CN"/>
        </w:rPr>
        <w:t>2.14 税费</w:t>
      </w:r>
      <w:bookmarkEnd w:id="151"/>
      <w:bookmarkEnd w:id="152"/>
      <w:bookmarkEnd w:id="153"/>
      <w:bookmarkEnd w:id="154"/>
      <w:bookmarkEnd w:id="155"/>
      <w:bookmarkEnd w:id="156"/>
    </w:p>
    <w:p w14:paraId="7A74E58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与合同有关的一切税费，均按照中华人民共和国法律的相关规定缴纳。</w:t>
      </w:r>
    </w:p>
    <w:p w14:paraId="60414510">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57" w:name="_Toc279701258"/>
      <w:bookmarkStart w:id="158" w:name="_Toc487900368"/>
      <w:bookmarkStart w:id="159" w:name="_Toc259093687"/>
      <w:bookmarkStart w:id="160" w:name="_Toc16959"/>
      <w:bookmarkStart w:id="161" w:name="_Toc7102"/>
      <w:bookmarkStart w:id="162" w:name="_Toc8298"/>
      <w:r>
        <w:rPr>
          <w:rFonts w:hint="eastAsia" w:asciiTheme="minorEastAsia" w:hAnsiTheme="minorEastAsia" w:eastAsiaTheme="minorEastAsia" w:cstheme="minorEastAsia"/>
          <w:b/>
          <w:bCs/>
          <w:color w:val="auto"/>
          <w:sz w:val="24"/>
          <w:highlight w:val="none"/>
          <w:lang w:val="zh-CN"/>
        </w:rPr>
        <w:t>2.15 乙方破产</w:t>
      </w:r>
      <w:bookmarkEnd w:id="157"/>
      <w:bookmarkEnd w:id="158"/>
      <w:bookmarkEnd w:id="159"/>
      <w:bookmarkEnd w:id="160"/>
      <w:bookmarkEnd w:id="161"/>
      <w:bookmarkEnd w:id="162"/>
    </w:p>
    <w:p w14:paraId="1928FE4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748C25F">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163" w:name="_Toc29333"/>
      <w:bookmarkStart w:id="164" w:name="_Toc6134"/>
      <w:bookmarkStart w:id="165" w:name="_Toc15387"/>
      <w:r>
        <w:rPr>
          <w:rFonts w:hint="eastAsia" w:asciiTheme="minorEastAsia" w:hAnsiTheme="minorEastAsia" w:eastAsiaTheme="minorEastAsia" w:cstheme="minorEastAsia"/>
          <w:b/>
          <w:bCs/>
          <w:color w:val="auto"/>
          <w:sz w:val="24"/>
          <w:highlight w:val="none"/>
          <w:lang w:val="zh-CN"/>
        </w:rPr>
        <w:t>2.16 合同中止、终止</w:t>
      </w:r>
      <w:bookmarkEnd w:id="163"/>
      <w:bookmarkEnd w:id="164"/>
      <w:bookmarkEnd w:id="165"/>
    </w:p>
    <w:p w14:paraId="17E7E34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2.16.1双方当事人不得擅自中止或者终止合同；</w:t>
      </w:r>
    </w:p>
    <w:p w14:paraId="2C3A8CA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Theme="minorEastAsia" w:hAnsiTheme="minorEastAsia" w:eastAsiaTheme="minorEastAsia" w:cstheme="minorEastAsia"/>
          <w:b/>
          <w:bCs/>
          <w:color w:val="auto"/>
          <w:sz w:val="24"/>
          <w:highlight w:val="none"/>
          <w:lang w:val="zh-CN"/>
        </w:rPr>
      </w:pPr>
      <w:bookmarkStart w:id="166" w:name="_Toc1125"/>
      <w:bookmarkStart w:id="167" w:name="_Toc6596"/>
      <w:bookmarkStart w:id="168" w:name="_Toc14563"/>
      <w:r>
        <w:rPr>
          <w:rFonts w:hint="eastAsia" w:asciiTheme="minorEastAsia" w:hAnsiTheme="minorEastAsia" w:eastAsiaTheme="minorEastAsia" w:cstheme="minorEastAsia"/>
          <w:b/>
          <w:bCs/>
          <w:color w:val="auto"/>
          <w:sz w:val="24"/>
          <w:highlight w:val="none"/>
          <w:lang w:val="zh-CN"/>
        </w:rPr>
        <w:t>2.17 检验和验收</w:t>
      </w:r>
      <w:bookmarkEnd w:id="166"/>
      <w:bookmarkEnd w:id="167"/>
      <w:bookmarkEnd w:id="168"/>
    </w:p>
    <w:p w14:paraId="061345F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2.17.1货物交付前，乙方应对货物的质量、数量等方面进行详细、全面的检验，并向甲方出具证明货物符合合同约定的文件；货物交付时，乙方在</w:t>
      </w:r>
      <w:r>
        <w:rPr>
          <w:rFonts w:hint="eastAsia" w:asciiTheme="minorEastAsia" w:hAnsiTheme="minorEastAsia" w:eastAsiaTheme="minorEastAsia" w:cstheme="minorEastAsia"/>
          <w:b/>
          <w:i/>
          <w:color w:val="auto"/>
          <w:sz w:val="24"/>
          <w:highlight w:val="none"/>
          <w:u w:val="single"/>
          <w:lang w:eastAsia="zh-CN"/>
        </w:rPr>
        <w:t>合同</w:t>
      </w:r>
      <w:r>
        <w:rPr>
          <w:rFonts w:hint="eastAsia" w:asciiTheme="minorEastAsia" w:hAnsiTheme="minorEastAsia" w:eastAsiaTheme="minorEastAsia" w:cstheme="minorEastAsia"/>
          <w:color w:val="auto"/>
          <w:sz w:val="24"/>
          <w:highlight w:val="none"/>
        </w:rPr>
        <w:t>约定时间内组织验收，并可依法邀请相关方参加，验收应出具验收书。</w:t>
      </w:r>
    </w:p>
    <w:p w14:paraId="4A55BDA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2.17.3检验和验收标准、程序等具体内容以及前述验收书的效力详见</w:t>
      </w:r>
      <w:r>
        <w:rPr>
          <w:rFonts w:hint="eastAsia" w:asciiTheme="minorEastAsia" w:hAnsiTheme="minorEastAsia" w:eastAsiaTheme="minorEastAsia" w:cstheme="minorEastAsia"/>
          <w:b/>
          <w:i/>
          <w:color w:val="auto"/>
          <w:sz w:val="24"/>
          <w:highlight w:val="none"/>
          <w:u w:val="single"/>
        </w:rPr>
        <w:t>合同</w:t>
      </w:r>
      <w:r>
        <w:rPr>
          <w:rFonts w:hint="eastAsia" w:asciiTheme="minorEastAsia" w:hAnsiTheme="minorEastAsia" w:eastAsiaTheme="minorEastAsia" w:cstheme="minorEastAsia"/>
          <w:b/>
          <w:i/>
          <w:color w:val="auto"/>
          <w:sz w:val="24"/>
          <w:highlight w:val="none"/>
          <w:u w:val="single"/>
          <w:lang w:eastAsia="zh-CN"/>
        </w:rPr>
        <w:t>约定</w:t>
      </w:r>
      <w:r>
        <w:rPr>
          <w:rFonts w:hint="eastAsia" w:asciiTheme="minorEastAsia" w:hAnsiTheme="minorEastAsia" w:eastAsiaTheme="minorEastAsia" w:cstheme="minorEastAsia"/>
          <w:i/>
          <w:color w:val="auto"/>
          <w:sz w:val="24"/>
          <w:highlight w:val="none"/>
        </w:rPr>
        <w:t>。</w:t>
      </w:r>
    </w:p>
    <w:bookmarkEnd w:id="138"/>
    <w:bookmarkEnd w:id="139"/>
    <w:bookmarkEnd w:id="140"/>
    <w:bookmarkEnd w:id="141"/>
    <w:p w14:paraId="6D6D99A9">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169" w:name="_Toc30599"/>
      <w:bookmarkStart w:id="170" w:name="_Toc487900372"/>
      <w:bookmarkStart w:id="171" w:name="_Toc279701262"/>
      <w:bookmarkStart w:id="172" w:name="_Toc4355"/>
      <w:bookmarkStart w:id="173" w:name="_Toc18540"/>
      <w:bookmarkStart w:id="174" w:name="_Toc259093691"/>
      <w:r>
        <w:rPr>
          <w:rFonts w:hint="eastAsia" w:asciiTheme="minorEastAsia" w:hAnsiTheme="minorEastAsia" w:eastAsiaTheme="minorEastAsia" w:cstheme="minorEastAsia"/>
          <w:b/>
          <w:bCs/>
          <w:color w:val="auto"/>
          <w:sz w:val="24"/>
          <w:highlight w:val="none"/>
          <w:lang w:val="zh-CN"/>
        </w:rPr>
        <w:t>2.18 计量单位</w:t>
      </w:r>
      <w:bookmarkEnd w:id="169"/>
      <w:bookmarkEnd w:id="170"/>
      <w:bookmarkEnd w:id="171"/>
      <w:bookmarkEnd w:id="172"/>
      <w:bookmarkEnd w:id="173"/>
      <w:bookmarkEnd w:id="174"/>
    </w:p>
    <w:p w14:paraId="07F33D2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除技术规范中另有规定外,合同的计量单位均使用国家法定计量单位。</w:t>
      </w:r>
    </w:p>
    <w:p w14:paraId="5B284AE7">
      <w:pPr>
        <w:spacing w:line="360" w:lineRule="auto"/>
        <w:ind w:firstLine="437"/>
        <w:outlineLvl w:val="3"/>
        <w:rPr>
          <w:rFonts w:hint="eastAsia" w:asciiTheme="minorEastAsia" w:hAnsiTheme="minorEastAsia" w:eastAsiaTheme="minorEastAsia" w:cstheme="minorEastAsia"/>
          <w:b/>
          <w:bCs/>
          <w:color w:val="auto"/>
          <w:sz w:val="24"/>
          <w:highlight w:val="none"/>
        </w:rPr>
      </w:pPr>
      <w:bookmarkStart w:id="175" w:name="_Toc487900373"/>
      <w:bookmarkStart w:id="176" w:name="_Toc279701263"/>
      <w:bookmarkStart w:id="177" w:name="_Toc12773"/>
      <w:bookmarkStart w:id="178" w:name="_Toc259093692"/>
      <w:bookmarkStart w:id="179" w:name="_Toc18567"/>
      <w:bookmarkStart w:id="180" w:name="_Toc10330"/>
      <w:r>
        <w:rPr>
          <w:rFonts w:hint="eastAsia" w:asciiTheme="minorEastAsia" w:hAnsiTheme="minorEastAsia" w:eastAsiaTheme="minorEastAsia" w:cstheme="minorEastAsia"/>
          <w:b/>
          <w:bCs/>
          <w:color w:val="auto"/>
          <w:sz w:val="24"/>
          <w:highlight w:val="none"/>
        </w:rPr>
        <w:t xml:space="preserve">2.19 </w:t>
      </w:r>
      <w:r>
        <w:rPr>
          <w:rFonts w:hint="eastAsia" w:asciiTheme="minorEastAsia" w:hAnsiTheme="minorEastAsia" w:eastAsiaTheme="minorEastAsia" w:cstheme="minorEastAsia"/>
          <w:b/>
          <w:bCs/>
          <w:color w:val="auto"/>
          <w:sz w:val="24"/>
          <w:highlight w:val="none"/>
          <w:lang w:val="zh-CN"/>
        </w:rPr>
        <w:t>合同使用的文字和适用的法律</w:t>
      </w:r>
      <w:bookmarkEnd w:id="175"/>
      <w:bookmarkEnd w:id="176"/>
      <w:bookmarkEnd w:id="177"/>
      <w:bookmarkEnd w:id="178"/>
      <w:bookmarkEnd w:id="179"/>
      <w:bookmarkEnd w:id="180"/>
    </w:p>
    <w:p w14:paraId="138032E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2.19.1合同使用汉语书就、变更和解释；</w:t>
      </w:r>
    </w:p>
    <w:p w14:paraId="7B76228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2.19.2合同适用中华人民共和国法律。</w:t>
      </w:r>
    </w:p>
    <w:p w14:paraId="117D401A">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181" w:name="_Toc3148"/>
      <w:bookmarkStart w:id="182" w:name="_Toc12004"/>
      <w:bookmarkStart w:id="183" w:name="_Toc259093693"/>
      <w:bookmarkStart w:id="184" w:name="_Toc16673"/>
      <w:bookmarkStart w:id="185" w:name="_Toc279701264"/>
      <w:bookmarkStart w:id="186" w:name="_Toc487900374"/>
      <w:r>
        <w:rPr>
          <w:rFonts w:hint="eastAsia" w:asciiTheme="minorEastAsia" w:hAnsiTheme="minorEastAsia" w:eastAsiaTheme="minorEastAsia" w:cstheme="minorEastAsia"/>
          <w:b/>
          <w:bCs/>
          <w:color w:val="auto"/>
          <w:sz w:val="24"/>
          <w:highlight w:val="none"/>
          <w:lang w:val="zh-CN"/>
        </w:rPr>
        <w:t>2.20 履约保证金</w:t>
      </w:r>
      <w:bookmarkEnd w:id="181"/>
      <w:bookmarkEnd w:id="182"/>
      <w:bookmarkEnd w:id="183"/>
      <w:bookmarkEnd w:id="184"/>
      <w:bookmarkEnd w:id="185"/>
    </w:p>
    <w:p w14:paraId="016C1BE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本</w:t>
      </w:r>
      <w:r>
        <w:rPr>
          <w:rFonts w:hint="eastAsia" w:asciiTheme="minorEastAsia" w:hAnsiTheme="minorEastAsia" w:eastAsiaTheme="minorEastAsia" w:cstheme="minorEastAsia"/>
          <w:color w:val="auto"/>
          <w:sz w:val="24"/>
          <w:highlight w:val="none"/>
        </w:rPr>
        <w:t>招标文件</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要求乙方提交履约保证金。</w:t>
      </w:r>
    </w:p>
    <w:bookmarkEnd w:id="186"/>
    <w:p w14:paraId="078DEFD3">
      <w:pPr>
        <w:spacing w:line="360" w:lineRule="auto"/>
        <w:ind w:firstLine="437"/>
        <w:outlineLvl w:val="3"/>
        <w:rPr>
          <w:rFonts w:hint="eastAsia" w:asciiTheme="minorEastAsia" w:hAnsiTheme="minorEastAsia" w:eastAsiaTheme="minorEastAsia" w:cstheme="minorEastAsia"/>
          <w:b/>
          <w:color w:val="auto"/>
          <w:sz w:val="24"/>
          <w:highlight w:val="none"/>
        </w:rPr>
      </w:pPr>
      <w:bookmarkStart w:id="187" w:name="_Toc19890"/>
      <w:bookmarkStart w:id="188" w:name="_Toc14001"/>
      <w:bookmarkStart w:id="189" w:name="_Toc6885"/>
      <w:r>
        <w:rPr>
          <w:rFonts w:hint="eastAsia" w:asciiTheme="minorEastAsia" w:hAnsiTheme="minorEastAsia" w:eastAsiaTheme="minorEastAsia" w:cstheme="minorEastAsia"/>
          <w:b/>
          <w:bCs/>
          <w:color w:val="auto"/>
          <w:sz w:val="24"/>
          <w:highlight w:val="none"/>
          <w:lang w:val="zh-CN"/>
        </w:rPr>
        <w:t>2.21 合同份数</w:t>
      </w:r>
      <w:bookmarkEnd w:id="187"/>
      <w:bookmarkEnd w:id="188"/>
      <w:bookmarkEnd w:id="189"/>
    </w:p>
    <w:p w14:paraId="6FD2E97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合同份数按</w:t>
      </w:r>
      <w:r>
        <w:rPr>
          <w:rFonts w:hint="eastAsia" w:asciiTheme="minorEastAsia" w:hAnsiTheme="minorEastAsia" w:eastAsiaTheme="minorEastAsia" w:cstheme="minorEastAsia"/>
          <w:b/>
          <w:i/>
          <w:color w:val="auto"/>
          <w:sz w:val="24"/>
          <w:highlight w:val="none"/>
          <w:u w:val="single"/>
        </w:rPr>
        <w:t>合同</w:t>
      </w:r>
      <w:r>
        <w:rPr>
          <w:rFonts w:hint="eastAsia" w:asciiTheme="minorEastAsia" w:hAnsiTheme="minorEastAsia" w:eastAsiaTheme="minorEastAsia" w:cstheme="minorEastAsia"/>
          <w:color w:val="auto"/>
          <w:sz w:val="24"/>
          <w:highlight w:val="none"/>
        </w:rPr>
        <w:t>规定，每份均具有同等法律效力。</w:t>
      </w:r>
    </w:p>
    <w:p w14:paraId="76518190">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br w:type="page"/>
      </w:r>
      <w:bookmarkStart w:id="190" w:name="_Toc331685784"/>
      <w:r>
        <w:rPr>
          <w:rFonts w:hint="eastAsia" w:asciiTheme="minorEastAsia" w:hAnsiTheme="minorEastAsia" w:eastAsiaTheme="minorEastAsia" w:cstheme="minorEastAsia"/>
          <w:b/>
          <w:color w:val="auto"/>
          <w:sz w:val="24"/>
          <w:highlight w:val="none"/>
        </w:rPr>
        <w:t>第三部分 合同专用条款</w:t>
      </w:r>
      <w:bookmarkEnd w:id="190"/>
    </w:p>
    <w:p w14:paraId="01859E6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15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B32563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7568" w:type="dxa"/>
            <w:vAlign w:val="center"/>
          </w:tcPr>
          <w:p w14:paraId="275CDFED">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约定内容</w:t>
            </w:r>
          </w:p>
        </w:tc>
      </w:tr>
      <w:tr w14:paraId="33E9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D2859D7">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4B5B471B">
            <w:pPr>
              <w:spacing w:line="560" w:lineRule="exact"/>
              <w:rPr>
                <w:rFonts w:hint="eastAsia" w:asciiTheme="minorEastAsia" w:hAnsiTheme="minorEastAsia" w:eastAsiaTheme="minorEastAsia" w:cstheme="minorEastAsia"/>
                <w:color w:val="auto"/>
                <w:sz w:val="24"/>
                <w:highlight w:val="none"/>
              </w:rPr>
            </w:pPr>
          </w:p>
        </w:tc>
      </w:tr>
      <w:tr w14:paraId="45823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025F9FE">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12762838">
            <w:pPr>
              <w:spacing w:line="560" w:lineRule="exact"/>
              <w:rPr>
                <w:rFonts w:hint="eastAsia" w:asciiTheme="minorEastAsia" w:hAnsiTheme="minorEastAsia" w:eastAsiaTheme="minorEastAsia" w:cstheme="minorEastAsia"/>
                <w:color w:val="auto"/>
                <w:sz w:val="24"/>
                <w:highlight w:val="none"/>
              </w:rPr>
            </w:pPr>
          </w:p>
        </w:tc>
      </w:tr>
      <w:tr w14:paraId="5286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3B78F2B">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0A61BD03">
            <w:pPr>
              <w:spacing w:line="560" w:lineRule="exact"/>
              <w:rPr>
                <w:rFonts w:hint="eastAsia" w:asciiTheme="minorEastAsia" w:hAnsiTheme="minorEastAsia" w:eastAsiaTheme="minorEastAsia" w:cstheme="minorEastAsia"/>
                <w:color w:val="auto"/>
                <w:sz w:val="24"/>
                <w:highlight w:val="none"/>
              </w:rPr>
            </w:pPr>
          </w:p>
        </w:tc>
      </w:tr>
      <w:tr w14:paraId="73CD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E909A8B">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672A863B">
            <w:pPr>
              <w:spacing w:line="560" w:lineRule="exact"/>
              <w:rPr>
                <w:rFonts w:hint="eastAsia" w:asciiTheme="minorEastAsia" w:hAnsiTheme="minorEastAsia" w:eastAsiaTheme="minorEastAsia" w:cstheme="minorEastAsia"/>
                <w:color w:val="auto"/>
                <w:sz w:val="24"/>
                <w:highlight w:val="none"/>
              </w:rPr>
            </w:pPr>
          </w:p>
        </w:tc>
      </w:tr>
      <w:tr w14:paraId="49DF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E3F369">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0AD3C276">
            <w:pPr>
              <w:spacing w:line="560" w:lineRule="exact"/>
              <w:rPr>
                <w:rFonts w:hint="eastAsia" w:asciiTheme="minorEastAsia" w:hAnsiTheme="minorEastAsia" w:eastAsiaTheme="minorEastAsia" w:cstheme="minorEastAsia"/>
                <w:color w:val="auto"/>
                <w:sz w:val="24"/>
                <w:highlight w:val="none"/>
                <w:u w:val="single"/>
              </w:rPr>
            </w:pPr>
          </w:p>
        </w:tc>
      </w:tr>
      <w:tr w14:paraId="4735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3EABDF">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2CA776C0">
            <w:pPr>
              <w:spacing w:line="560" w:lineRule="exact"/>
              <w:rPr>
                <w:rFonts w:hint="eastAsia" w:asciiTheme="minorEastAsia" w:hAnsiTheme="minorEastAsia" w:eastAsiaTheme="minorEastAsia" w:cstheme="minorEastAsia"/>
                <w:color w:val="auto"/>
                <w:sz w:val="24"/>
                <w:highlight w:val="none"/>
              </w:rPr>
            </w:pPr>
          </w:p>
        </w:tc>
      </w:tr>
      <w:tr w14:paraId="0FFF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3BF4BD6">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59A8865D">
            <w:pPr>
              <w:spacing w:line="560" w:lineRule="exact"/>
              <w:rPr>
                <w:rFonts w:hint="eastAsia" w:asciiTheme="minorEastAsia" w:hAnsiTheme="minorEastAsia" w:eastAsiaTheme="minorEastAsia" w:cstheme="minorEastAsia"/>
                <w:color w:val="auto"/>
                <w:sz w:val="24"/>
                <w:highlight w:val="none"/>
                <w:u w:val="single"/>
              </w:rPr>
            </w:pPr>
          </w:p>
        </w:tc>
      </w:tr>
      <w:tr w14:paraId="1310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29E8A15">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1126E52C">
            <w:pPr>
              <w:spacing w:line="560" w:lineRule="exact"/>
              <w:rPr>
                <w:rFonts w:hint="eastAsia" w:asciiTheme="minorEastAsia" w:hAnsiTheme="minorEastAsia" w:eastAsiaTheme="minorEastAsia" w:cstheme="minorEastAsia"/>
                <w:color w:val="auto"/>
                <w:sz w:val="24"/>
                <w:highlight w:val="none"/>
              </w:rPr>
            </w:pPr>
          </w:p>
        </w:tc>
      </w:tr>
      <w:tr w14:paraId="1FEF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3FF3B2">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55B389A1">
            <w:pPr>
              <w:spacing w:line="560" w:lineRule="exact"/>
              <w:rPr>
                <w:rFonts w:hint="eastAsia" w:asciiTheme="minorEastAsia" w:hAnsiTheme="minorEastAsia" w:eastAsiaTheme="minorEastAsia" w:cstheme="minorEastAsia"/>
                <w:color w:val="auto"/>
                <w:sz w:val="24"/>
                <w:highlight w:val="none"/>
              </w:rPr>
            </w:pPr>
          </w:p>
        </w:tc>
      </w:tr>
      <w:tr w14:paraId="0626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CB07F4">
            <w:pPr>
              <w:spacing w:line="560" w:lineRule="exact"/>
              <w:rPr>
                <w:rFonts w:hint="eastAsia" w:asciiTheme="minorEastAsia" w:hAnsiTheme="minorEastAsia" w:eastAsiaTheme="minorEastAsia" w:cstheme="minorEastAsia"/>
                <w:color w:val="auto"/>
                <w:sz w:val="24"/>
                <w:highlight w:val="none"/>
              </w:rPr>
            </w:pPr>
          </w:p>
        </w:tc>
        <w:tc>
          <w:tcPr>
            <w:tcW w:w="7568" w:type="dxa"/>
            <w:vAlign w:val="center"/>
          </w:tcPr>
          <w:p w14:paraId="5ACC5138">
            <w:pPr>
              <w:spacing w:line="560" w:lineRule="exact"/>
              <w:rPr>
                <w:rFonts w:hint="eastAsia" w:asciiTheme="minorEastAsia" w:hAnsiTheme="minorEastAsia" w:eastAsiaTheme="minorEastAsia" w:cstheme="minorEastAsia"/>
                <w:color w:val="auto"/>
                <w:sz w:val="24"/>
                <w:highlight w:val="none"/>
              </w:rPr>
            </w:pPr>
          </w:p>
        </w:tc>
      </w:tr>
      <w:tr w14:paraId="5AE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B85247">
            <w:pPr>
              <w:spacing w:line="560" w:lineRule="exact"/>
              <w:rPr>
                <w:rFonts w:hint="eastAsia" w:asciiTheme="minorEastAsia" w:hAnsiTheme="minorEastAsia" w:eastAsiaTheme="minorEastAsia" w:cstheme="minorEastAsia"/>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9BA4D62">
            <w:pPr>
              <w:spacing w:line="560" w:lineRule="exact"/>
              <w:rPr>
                <w:rFonts w:hint="eastAsia" w:asciiTheme="minorEastAsia" w:hAnsiTheme="minorEastAsia" w:eastAsiaTheme="minorEastAsia" w:cstheme="minorEastAsia"/>
                <w:color w:val="auto"/>
                <w:sz w:val="24"/>
                <w:highlight w:val="none"/>
              </w:rPr>
            </w:pPr>
          </w:p>
        </w:tc>
      </w:tr>
      <w:tr w14:paraId="71B0B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A696E18">
            <w:pPr>
              <w:spacing w:line="560" w:lineRule="exact"/>
              <w:rPr>
                <w:rFonts w:hint="eastAsia" w:asciiTheme="minorEastAsia" w:hAnsiTheme="minorEastAsia" w:eastAsiaTheme="minorEastAsia" w:cstheme="minorEastAsia"/>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64FF52">
            <w:pPr>
              <w:spacing w:line="560" w:lineRule="exact"/>
              <w:rPr>
                <w:rFonts w:hint="eastAsia" w:asciiTheme="minorEastAsia" w:hAnsiTheme="minorEastAsia" w:eastAsiaTheme="minorEastAsia" w:cstheme="minorEastAsia"/>
                <w:color w:val="auto"/>
                <w:sz w:val="24"/>
                <w:highlight w:val="none"/>
              </w:rPr>
            </w:pPr>
          </w:p>
        </w:tc>
      </w:tr>
    </w:tbl>
    <w:p w14:paraId="002F9AEF">
      <w:pPr>
        <w:widowControl/>
        <w:jc w:val="left"/>
        <w:rPr>
          <w:rFonts w:hint="eastAsia" w:asciiTheme="minorEastAsia" w:hAnsiTheme="minorEastAsia" w:eastAsiaTheme="minorEastAsia" w:cstheme="minorEastAsia"/>
          <w:color w:val="auto"/>
          <w:sz w:val="24"/>
          <w:highlight w:val="none"/>
        </w:rPr>
      </w:pPr>
    </w:p>
    <w:p w14:paraId="0EB22013">
      <w:pPr>
        <w:spacing w:line="360" w:lineRule="auto"/>
        <w:ind w:firstLine="435"/>
        <w:rPr>
          <w:rFonts w:hint="eastAsia" w:asciiTheme="minorEastAsia" w:hAnsiTheme="minorEastAsia" w:eastAsiaTheme="minorEastAsia" w:cstheme="minorEastAsia"/>
          <w:color w:val="auto"/>
          <w:sz w:val="24"/>
          <w:highlight w:val="none"/>
        </w:rPr>
      </w:pPr>
    </w:p>
    <w:p w14:paraId="5C79B53E">
      <w:pPr>
        <w:widowControl/>
        <w:tabs>
          <w:tab w:val="left" w:pos="993"/>
        </w:tabs>
        <w:adjustRightInd w:val="0"/>
        <w:snapToGrid w:val="0"/>
        <w:spacing w:line="360" w:lineRule="auto"/>
        <w:outlineLvl w:val="1"/>
        <w:rPr>
          <w:rFonts w:hint="eastAsia" w:asciiTheme="minorEastAsia" w:hAnsiTheme="minorEastAsia" w:eastAsiaTheme="minorEastAsia" w:cstheme="minorEastAsia"/>
          <w:color w:val="auto"/>
          <w:highlight w:val="none"/>
        </w:rPr>
      </w:pPr>
      <w:bookmarkStart w:id="191" w:name="_Toc26646056"/>
      <w:bookmarkStart w:id="192" w:name="_Toc247514198"/>
      <w:bookmarkStart w:id="193" w:name="_Toc300835200"/>
      <w:bookmarkStart w:id="194" w:name="_Toc184635123"/>
      <w:bookmarkStart w:id="195" w:name="_Toc247527799"/>
    </w:p>
    <w:p w14:paraId="6ED7285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bookmarkEnd w:id="42"/>
    <w:bookmarkEnd w:id="191"/>
    <w:bookmarkEnd w:id="192"/>
    <w:bookmarkEnd w:id="193"/>
    <w:bookmarkEnd w:id="194"/>
    <w:bookmarkEnd w:id="195"/>
    <w:p w14:paraId="26BA9E9B">
      <w:pPr>
        <w:jc w:val="center"/>
        <w:rPr>
          <w:rFonts w:hint="eastAsia" w:asciiTheme="minorEastAsia" w:hAnsiTheme="minorEastAsia" w:eastAsiaTheme="minorEastAsia" w:cstheme="minorEastAsia"/>
          <w:b/>
          <w:color w:val="auto"/>
          <w:sz w:val="28"/>
          <w:highlight w:val="none"/>
        </w:rPr>
      </w:pPr>
      <w:bookmarkStart w:id="196" w:name="_Toc29760"/>
      <w:bookmarkStart w:id="197" w:name="_Toc10441"/>
      <w:r>
        <w:rPr>
          <w:rFonts w:hint="eastAsia" w:asciiTheme="minorEastAsia" w:hAnsiTheme="minorEastAsia" w:eastAsiaTheme="minorEastAsia" w:cstheme="minorEastAsia"/>
          <w:b/>
          <w:color w:val="auto"/>
          <w:sz w:val="28"/>
          <w:highlight w:val="none"/>
        </w:rPr>
        <w:t>第六章  投标文件格式</w:t>
      </w:r>
      <w:bookmarkEnd w:id="196"/>
      <w:bookmarkEnd w:id="197"/>
    </w:p>
    <w:p w14:paraId="7ECA25F4">
      <w:pPr>
        <w:spacing w:line="500" w:lineRule="exact"/>
        <w:jc w:val="right"/>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【正/副本】</w:t>
      </w:r>
    </w:p>
    <w:p w14:paraId="45731E3A">
      <w:pPr>
        <w:spacing w:line="500" w:lineRule="exact"/>
        <w:jc w:val="center"/>
        <w:rPr>
          <w:rFonts w:hint="eastAsia" w:asciiTheme="minorEastAsia" w:hAnsiTheme="minorEastAsia" w:eastAsiaTheme="minorEastAsia" w:cstheme="minorEastAsia"/>
          <w:b/>
          <w:color w:val="auto"/>
          <w:sz w:val="32"/>
          <w:highlight w:val="none"/>
        </w:rPr>
      </w:pPr>
    </w:p>
    <w:p w14:paraId="5F3CAD1A">
      <w:pPr>
        <w:spacing w:line="500" w:lineRule="exact"/>
        <w:jc w:val="center"/>
        <w:rPr>
          <w:rFonts w:hint="eastAsia" w:asciiTheme="minorEastAsia" w:hAnsiTheme="minorEastAsia" w:eastAsiaTheme="minorEastAsia" w:cstheme="minorEastAsia"/>
          <w:b/>
          <w:color w:val="auto"/>
          <w:sz w:val="32"/>
          <w:highlight w:val="none"/>
        </w:rPr>
      </w:pPr>
    </w:p>
    <w:p w14:paraId="2EA2714C">
      <w:pPr>
        <w:pStyle w:val="2"/>
        <w:rPr>
          <w:rFonts w:hint="eastAsia" w:asciiTheme="minorEastAsia" w:hAnsiTheme="minorEastAsia" w:eastAsiaTheme="minorEastAsia" w:cstheme="minorEastAsia"/>
          <w:color w:val="auto"/>
          <w:highlight w:val="none"/>
        </w:rPr>
      </w:pPr>
    </w:p>
    <w:p w14:paraId="5987DC2A">
      <w:pPr>
        <w:spacing w:line="500" w:lineRule="exact"/>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（项目编号：</w:t>
      </w:r>
      <w:r>
        <w:rPr>
          <w:rFonts w:hint="eastAsia" w:asciiTheme="minorEastAsia" w:hAnsiTheme="minorEastAsia" w:eastAsiaTheme="minorEastAsia" w:cstheme="minorEastAsia"/>
          <w:b/>
          <w:color w:val="auto"/>
          <w:spacing w:val="20"/>
          <w:kern w:val="0"/>
          <w:sz w:val="32"/>
          <w:szCs w:val="32"/>
          <w:highlight w:val="none"/>
          <w:u w:val="single"/>
        </w:rPr>
        <w:t xml:space="preserve"> </w:t>
      </w:r>
      <w:r>
        <w:rPr>
          <w:rFonts w:hint="eastAsia" w:asciiTheme="minorEastAsia" w:hAnsiTheme="minorEastAsia" w:eastAsiaTheme="minorEastAsia" w:cstheme="minorEastAsia"/>
          <w:b/>
          <w:color w:val="auto"/>
          <w:spacing w:val="20"/>
          <w:kern w:val="0"/>
          <w:sz w:val="32"/>
          <w:szCs w:val="32"/>
          <w:highlight w:val="none"/>
          <w:u w:val="single"/>
          <w:lang w:eastAsia="zh-CN"/>
        </w:rPr>
        <w:t>BHSG-ZTB-202</w:t>
      </w:r>
      <w:r>
        <w:rPr>
          <w:rFonts w:hint="eastAsia" w:asciiTheme="minorEastAsia" w:hAnsiTheme="minorEastAsia" w:eastAsiaTheme="minorEastAsia" w:cstheme="minorEastAsia"/>
          <w:b/>
          <w:color w:val="auto"/>
          <w:spacing w:val="20"/>
          <w:kern w:val="0"/>
          <w:sz w:val="32"/>
          <w:szCs w:val="32"/>
          <w:highlight w:val="none"/>
          <w:u w:val="single"/>
          <w:lang w:val="en-US" w:eastAsia="zh-CN"/>
        </w:rPr>
        <w:t>6</w:t>
      </w:r>
      <w:r>
        <w:rPr>
          <w:rFonts w:hint="eastAsia" w:asciiTheme="minorEastAsia" w:hAnsiTheme="minorEastAsia" w:eastAsiaTheme="minorEastAsia" w:cstheme="minorEastAsia"/>
          <w:b/>
          <w:color w:val="auto"/>
          <w:spacing w:val="20"/>
          <w:kern w:val="0"/>
          <w:sz w:val="32"/>
          <w:szCs w:val="32"/>
          <w:highlight w:val="none"/>
          <w:u w:val="single"/>
          <w:lang w:eastAsia="zh-CN"/>
        </w:rPr>
        <w:t>-</w:t>
      </w:r>
      <w:r>
        <w:rPr>
          <w:rFonts w:hint="eastAsia" w:asciiTheme="minorEastAsia" w:hAnsiTheme="minorEastAsia" w:eastAsiaTheme="minorEastAsia" w:cstheme="minorEastAsia"/>
          <w:b/>
          <w:color w:val="auto"/>
          <w:spacing w:val="20"/>
          <w:kern w:val="0"/>
          <w:sz w:val="32"/>
          <w:szCs w:val="32"/>
          <w:highlight w:val="none"/>
          <w:u w:val="single"/>
          <w:lang w:val="en-US" w:eastAsia="zh-CN"/>
        </w:rPr>
        <w:t>16</w:t>
      </w:r>
      <w:r>
        <w:rPr>
          <w:rFonts w:hint="eastAsia" w:asciiTheme="minorEastAsia" w:hAnsiTheme="minorEastAsia" w:eastAsiaTheme="minorEastAsia" w:cstheme="minorEastAsia"/>
          <w:b/>
          <w:color w:val="auto"/>
          <w:spacing w:val="20"/>
          <w:kern w:val="0"/>
          <w:sz w:val="32"/>
          <w:szCs w:val="32"/>
          <w:highlight w:val="none"/>
          <w:u w:val="single"/>
        </w:rPr>
        <w:t xml:space="preserve"> </w:t>
      </w:r>
      <w:r>
        <w:rPr>
          <w:rFonts w:hint="eastAsia" w:asciiTheme="minorEastAsia" w:hAnsiTheme="minorEastAsia" w:eastAsiaTheme="minorEastAsia" w:cstheme="minorEastAsia"/>
          <w:b/>
          <w:color w:val="auto"/>
          <w:sz w:val="32"/>
          <w:highlight w:val="none"/>
        </w:rPr>
        <w:t xml:space="preserve"> ）</w:t>
      </w:r>
    </w:p>
    <w:p w14:paraId="644E2C9C">
      <w:pPr>
        <w:spacing w:line="900" w:lineRule="exact"/>
        <w:jc w:val="center"/>
        <w:rPr>
          <w:rFonts w:hint="eastAsia" w:asciiTheme="minorEastAsia" w:hAnsiTheme="minorEastAsia" w:eastAsiaTheme="minorEastAsia" w:cstheme="minorEastAsia"/>
          <w:b/>
          <w:color w:val="auto"/>
          <w:sz w:val="72"/>
          <w:highlight w:val="none"/>
        </w:rPr>
      </w:pPr>
    </w:p>
    <w:p w14:paraId="6227EE8F">
      <w:pPr>
        <w:spacing w:line="900" w:lineRule="exact"/>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投</w:t>
      </w:r>
    </w:p>
    <w:p w14:paraId="486EC7EA">
      <w:pPr>
        <w:spacing w:line="900" w:lineRule="exact"/>
        <w:jc w:val="center"/>
        <w:rPr>
          <w:rFonts w:hint="eastAsia" w:asciiTheme="minorEastAsia" w:hAnsiTheme="minorEastAsia" w:eastAsiaTheme="minorEastAsia" w:cstheme="minorEastAsia"/>
          <w:b/>
          <w:color w:val="auto"/>
          <w:sz w:val="72"/>
          <w:highlight w:val="none"/>
        </w:rPr>
      </w:pPr>
    </w:p>
    <w:p w14:paraId="109E430A">
      <w:pPr>
        <w:spacing w:line="900" w:lineRule="exact"/>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标</w:t>
      </w:r>
    </w:p>
    <w:p w14:paraId="48D2F0A9">
      <w:pPr>
        <w:spacing w:line="900" w:lineRule="exact"/>
        <w:jc w:val="center"/>
        <w:rPr>
          <w:rFonts w:hint="eastAsia" w:asciiTheme="minorEastAsia" w:hAnsiTheme="minorEastAsia" w:eastAsiaTheme="minorEastAsia" w:cstheme="minorEastAsia"/>
          <w:b/>
          <w:color w:val="auto"/>
          <w:sz w:val="72"/>
          <w:highlight w:val="none"/>
        </w:rPr>
      </w:pPr>
    </w:p>
    <w:p w14:paraId="3BAE5C63">
      <w:pPr>
        <w:spacing w:line="900" w:lineRule="exact"/>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文</w:t>
      </w:r>
    </w:p>
    <w:p w14:paraId="439A6B8D">
      <w:pPr>
        <w:spacing w:line="900" w:lineRule="exact"/>
        <w:jc w:val="center"/>
        <w:rPr>
          <w:rFonts w:hint="eastAsia" w:asciiTheme="minorEastAsia" w:hAnsiTheme="minorEastAsia" w:eastAsiaTheme="minorEastAsia" w:cstheme="minorEastAsia"/>
          <w:b/>
          <w:color w:val="auto"/>
          <w:sz w:val="72"/>
          <w:highlight w:val="none"/>
        </w:rPr>
      </w:pPr>
    </w:p>
    <w:p w14:paraId="075069E9">
      <w:pPr>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件</w:t>
      </w:r>
    </w:p>
    <w:p w14:paraId="79230C28">
      <w:pPr>
        <w:spacing w:after="156" w:afterLines="50" w:line="500" w:lineRule="exact"/>
        <w:jc w:val="center"/>
        <w:rPr>
          <w:rFonts w:hint="eastAsia" w:asciiTheme="minorEastAsia" w:hAnsiTheme="minorEastAsia" w:eastAsiaTheme="minorEastAsia" w:cstheme="minorEastAsia"/>
          <w:b/>
          <w:color w:val="auto"/>
          <w:sz w:val="72"/>
          <w:highlight w:val="none"/>
        </w:rPr>
      </w:pPr>
    </w:p>
    <w:p w14:paraId="04E73B80">
      <w:pPr>
        <w:spacing w:after="156" w:afterLines="50" w:line="500" w:lineRule="exact"/>
        <w:jc w:val="center"/>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投标人：</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（加盖投标人公章）</w:t>
      </w:r>
    </w:p>
    <w:p w14:paraId="3EB16BDF">
      <w:pPr>
        <w:spacing w:after="156" w:afterLines="50" w:line="500" w:lineRule="exact"/>
        <w:ind w:firstLine="2291" w:firstLineChars="713"/>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14:paraId="1EC0CB74">
      <w:pPr>
        <w:widowControl/>
        <w:jc w:val="left"/>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2C34EB8B">
      <w:pPr>
        <w:spacing w:line="360" w:lineRule="auto"/>
        <w:jc w:val="center"/>
        <w:outlineLvl w:val="2"/>
        <w:rPr>
          <w:rFonts w:hint="eastAsia" w:asciiTheme="minorEastAsia" w:hAnsiTheme="minorEastAsia" w:eastAsiaTheme="minorEastAsia" w:cstheme="minorEastAsia"/>
          <w:b/>
          <w:color w:val="auto"/>
          <w:sz w:val="24"/>
          <w:highlight w:val="none"/>
        </w:rPr>
      </w:pPr>
      <w:bookmarkStart w:id="198" w:name="_Toc461056631"/>
      <w:bookmarkStart w:id="199" w:name="_Toc461053086"/>
      <w:bookmarkStart w:id="200" w:name="_Toc520983587"/>
      <w:r>
        <w:rPr>
          <w:rFonts w:hint="eastAsia" w:asciiTheme="minorEastAsia" w:hAnsiTheme="minorEastAsia" w:eastAsiaTheme="minorEastAsia" w:cstheme="minorEastAsia"/>
          <w:b/>
          <w:color w:val="auto"/>
          <w:sz w:val="24"/>
          <w:highlight w:val="none"/>
        </w:rPr>
        <w:t>一</w:t>
      </w:r>
      <w:bookmarkEnd w:id="198"/>
      <w:bookmarkEnd w:id="199"/>
      <w:r>
        <w:rPr>
          <w:rFonts w:hint="eastAsia" w:asciiTheme="minorEastAsia" w:hAnsiTheme="minorEastAsia" w:eastAsiaTheme="minorEastAsia" w:cstheme="minorEastAsia"/>
          <w:b/>
          <w:color w:val="auto"/>
          <w:sz w:val="24"/>
          <w:highlight w:val="none"/>
        </w:rPr>
        <w:t>、报价表格式</w:t>
      </w:r>
      <w:bookmarkEnd w:id="200"/>
    </w:p>
    <w:p w14:paraId="1DFFAD56">
      <w:pPr>
        <w:spacing w:before="156" w:beforeLines="50" w:after="156" w:afterLines="50" w:line="360" w:lineRule="auto"/>
        <w:jc w:val="left"/>
        <w:rPr>
          <w:rFonts w:hint="eastAsia" w:asciiTheme="minorEastAsia" w:hAnsiTheme="minorEastAsia" w:eastAsiaTheme="minorEastAsia" w:cstheme="minorEastAsia"/>
          <w:b/>
          <w:color w:val="auto"/>
          <w:sz w:val="24"/>
          <w:szCs w:val="28"/>
          <w:highlight w:val="none"/>
        </w:rPr>
      </w:pPr>
      <w:r>
        <w:rPr>
          <w:rFonts w:hint="eastAsia" w:asciiTheme="minorEastAsia" w:hAnsiTheme="minorEastAsia" w:eastAsiaTheme="minorEastAsia" w:cstheme="minorEastAsia"/>
          <w:b/>
          <w:color w:val="auto"/>
          <w:sz w:val="24"/>
          <w:szCs w:val="28"/>
          <w:highlight w:val="none"/>
        </w:rPr>
        <w:t>1-1 报价表</w:t>
      </w:r>
    </w:p>
    <w:p w14:paraId="6B0ED0E6">
      <w:pPr>
        <w:snapToGrid w:val="0"/>
        <w:spacing w:line="360" w:lineRule="auto"/>
        <w:jc w:val="left"/>
        <w:rPr>
          <w:rFonts w:hint="eastAsia" w:asciiTheme="minorEastAsia" w:hAnsiTheme="minorEastAsia" w:eastAsiaTheme="minorEastAsia" w:cstheme="minorEastAsia"/>
          <w:b/>
          <w:color w:val="auto"/>
          <w:sz w:val="24"/>
          <w:szCs w:val="28"/>
          <w:highlight w:val="none"/>
        </w:rPr>
      </w:pPr>
      <w:r>
        <w:rPr>
          <w:rFonts w:hint="eastAsia" w:asciiTheme="minorEastAsia" w:hAnsiTheme="minorEastAsia" w:eastAsiaTheme="minorEastAsia" w:cstheme="minorEastAsia"/>
          <w:b/>
          <w:color w:val="auto"/>
          <w:sz w:val="24"/>
          <w:szCs w:val="28"/>
          <w:highlight w:val="none"/>
        </w:rPr>
        <w:t>项目名称：</w:t>
      </w:r>
      <w:r>
        <w:rPr>
          <w:rFonts w:hint="eastAsia" w:asciiTheme="minorEastAsia" w:hAnsiTheme="minorEastAsia" w:eastAsiaTheme="minorEastAsia" w:cstheme="minorEastAsia"/>
          <w:b/>
          <w:color w:val="auto"/>
          <w:sz w:val="24"/>
          <w:szCs w:val="28"/>
          <w:highlight w:val="none"/>
          <w:u w:val="single"/>
        </w:rPr>
        <w:t xml:space="preserve">                   </w:t>
      </w:r>
    </w:p>
    <w:p w14:paraId="79A38D82">
      <w:pPr>
        <w:snapToGrid w:val="0"/>
        <w:spacing w:after="156" w:afterLines="50" w:line="360" w:lineRule="auto"/>
        <w:jc w:val="left"/>
        <w:rPr>
          <w:rFonts w:hint="eastAsia" w:asciiTheme="minorEastAsia" w:hAnsiTheme="minorEastAsia" w:eastAsiaTheme="minorEastAsia" w:cstheme="minorEastAsia"/>
          <w:b/>
          <w:bCs/>
          <w:color w:val="auto"/>
          <w:sz w:val="24"/>
          <w:szCs w:val="28"/>
          <w:highlight w:val="none"/>
          <w:u w:val="single"/>
        </w:rPr>
      </w:pPr>
      <w:bookmarkStart w:id="206" w:name="_GoBack"/>
      <w:bookmarkEnd w:id="206"/>
      <w:r>
        <w:rPr>
          <w:rFonts w:hint="eastAsia" w:asciiTheme="minorEastAsia" w:hAnsiTheme="minorEastAsia" w:eastAsiaTheme="minorEastAsia" w:cstheme="minorEastAsia"/>
          <w:b/>
          <w:color w:val="auto"/>
          <w:sz w:val="24"/>
          <w:szCs w:val="28"/>
          <w:highlight w:val="none"/>
        </w:rPr>
        <w:t>项目编号：</w:t>
      </w:r>
      <w:r>
        <w:rPr>
          <w:rFonts w:hint="eastAsia" w:asciiTheme="minorEastAsia" w:hAnsiTheme="minorEastAsia" w:eastAsiaTheme="minorEastAsia" w:cstheme="minorEastAsia"/>
          <w:b/>
          <w:color w:val="auto"/>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投标人名称</w:t>
            </w:r>
          </w:p>
        </w:tc>
        <w:tc>
          <w:tcPr>
            <w:tcW w:w="6063" w:type="dxa"/>
            <w:tcBorders>
              <w:left w:val="single" w:color="auto" w:sz="4" w:space="0"/>
            </w:tcBorders>
          </w:tcPr>
          <w:p w14:paraId="1D5465D2">
            <w:pPr>
              <w:spacing w:line="360" w:lineRule="auto"/>
              <w:rPr>
                <w:rFonts w:hint="eastAsia" w:asciiTheme="minorEastAsia" w:hAnsiTheme="minorEastAsia" w:eastAsiaTheme="minorEastAsia" w:cstheme="minorEastAsia"/>
                <w:b/>
                <w:color w:val="auto"/>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报价</w:t>
            </w:r>
            <w:r>
              <w:rPr>
                <w:rFonts w:hint="eastAsia" w:asciiTheme="minorEastAsia" w:hAnsiTheme="minorEastAsia" w:eastAsiaTheme="minorEastAsia" w:cstheme="minorEastAsia"/>
                <w:b/>
                <w:color w:val="auto"/>
                <w:sz w:val="24"/>
                <w:highlight w:val="none"/>
                <w:lang w:eastAsia="zh-CN"/>
              </w:rPr>
              <w:t>费率</w:t>
            </w:r>
          </w:p>
          <w:p w14:paraId="1463585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（详见备注说明）</w:t>
            </w:r>
          </w:p>
        </w:tc>
        <w:tc>
          <w:tcPr>
            <w:tcW w:w="6063" w:type="dxa"/>
            <w:vAlign w:val="center"/>
          </w:tcPr>
          <w:p w14:paraId="40EF20E1">
            <w:pPr>
              <w:snapToGrid w:val="0"/>
              <w:spacing w:line="360" w:lineRule="auto"/>
              <w:rPr>
                <w:rFonts w:hint="eastAsia" w:asciiTheme="minorEastAsia" w:hAnsiTheme="minorEastAsia" w:eastAsiaTheme="minorEastAsia" w:cstheme="minorEastAsia"/>
                <w:color w:val="auto"/>
                <w:sz w:val="24"/>
                <w:szCs w:val="28"/>
                <w:highlight w:val="none"/>
              </w:rPr>
            </w:pPr>
          </w:p>
          <w:p w14:paraId="02783315">
            <w:pPr>
              <w:snapToGrid w:val="0"/>
              <w:spacing w:line="360" w:lineRule="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lang w:eastAsia="zh-CN"/>
              </w:rPr>
              <w:t>费率</w:t>
            </w: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none"/>
                <w:lang w:eastAsia="zh-CN"/>
              </w:rPr>
              <w:t>百分之</w:t>
            </w:r>
            <w:r>
              <w:rPr>
                <w:rFonts w:hint="eastAsia" w:asciiTheme="minorEastAsia" w:hAnsiTheme="minorEastAsia" w:eastAsiaTheme="minorEastAsia" w:cstheme="minorEastAsia"/>
                <w:bCs/>
                <w:color w:val="auto"/>
                <w:sz w:val="24"/>
                <w:highlight w:val="none"/>
                <w:u w:val="single"/>
              </w:rPr>
              <w:t xml:space="preserve">                    </w:t>
            </w:r>
          </w:p>
          <w:p w14:paraId="78B20667">
            <w:pPr>
              <w:snapToGrid w:val="0"/>
              <w:spacing w:line="360" w:lineRule="auto"/>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u w:val="none"/>
                <w:lang w:eastAsia="zh-CN"/>
              </w:rPr>
              <w:t>费率小</w:t>
            </w:r>
            <w:r>
              <w:rPr>
                <w:rFonts w:hint="eastAsia" w:asciiTheme="minorEastAsia" w:hAnsiTheme="minorEastAsia" w:eastAsiaTheme="minorEastAsia" w:cstheme="minorEastAsia"/>
                <w:bCs/>
                <w:color w:val="auto"/>
                <w:sz w:val="24"/>
                <w:highlight w:val="none"/>
                <w:u w:val="none"/>
              </w:rPr>
              <w:t>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val="en-US" w:eastAsia="zh-CN"/>
              </w:rPr>
              <w:t>%</w:t>
            </w:r>
          </w:p>
          <w:p w14:paraId="78466719">
            <w:pPr>
              <w:snapToGrid w:val="0"/>
              <w:spacing w:line="360" w:lineRule="auto"/>
              <w:rPr>
                <w:rFonts w:hint="eastAsia" w:asciiTheme="minorEastAsia" w:hAnsiTheme="minorEastAsia" w:eastAsiaTheme="minorEastAsia" w:cstheme="minorEastAsia"/>
                <w:b/>
                <w:color w:val="auto"/>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2459" w:type="dxa"/>
            <w:vAlign w:val="center"/>
          </w:tcPr>
          <w:p w14:paraId="576C4AC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备注说明</w:t>
            </w:r>
          </w:p>
        </w:tc>
        <w:tc>
          <w:tcPr>
            <w:tcW w:w="6063" w:type="dxa"/>
          </w:tcPr>
          <w:p w14:paraId="49B6B996">
            <w:pPr>
              <w:spacing w:line="360" w:lineRule="auto"/>
              <w:rPr>
                <w:rFonts w:hint="eastAsia" w:asciiTheme="minorEastAsia" w:hAnsiTheme="minorEastAsia" w:eastAsiaTheme="minorEastAsia" w:cstheme="minorEastAsia"/>
                <w:b/>
                <w:color w:val="auto"/>
                <w:sz w:val="24"/>
                <w:highlight w:val="none"/>
              </w:rPr>
            </w:pPr>
          </w:p>
        </w:tc>
      </w:tr>
    </w:tbl>
    <w:p w14:paraId="35B077B9">
      <w:pPr>
        <w:spacing w:line="360" w:lineRule="auto"/>
        <w:ind w:firstLine="4560" w:firstLineChars="1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投标人签章：</w:t>
      </w:r>
      <w:r>
        <w:rPr>
          <w:rFonts w:hint="eastAsia" w:asciiTheme="minorEastAsia" w:hAnsiTheme="minorEastAsia" w:eastAsiaTheme="minorEastAsia" w:cstheme="minorEastAsia"/>
          <w:color w:val="auto"/>
          <w:sz w:val="24"/>
          <w:highlight w:val="none"/>
          <w:u w:val="single"/>
        </w:rPr>
        <w:t xml:space="preserve">                </w:t>
      </w:r>
    </w:p>
    <w:p w14:paraId="72AAFD65">
      <w:pPr>
        <w:spacing w:line="360" w:lineRule="auto"/>
        <w:ind w:firstLine="4560" w:firstLineChars="19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124E67D5">
      <w:pPr>
        <w:adjustRightInd w:val="0"/>
        <w:snapToGrid w:val="0"/>
        <w:spacing w:line="360" w:lineRule="auto"/>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rPr>
        <w:t>注：</w:t>
      </w:r>
    </w:p>
    <w:p w14:paraId="6C194C39">
      <w:pPr>
        <w:numPr>
          <w:ilvl w:val="0"/>
          <w:numId w:val="3"/>
        </w:numPr>
        <w:adjustRightInd w:val="0"/>
        <w:snapToGrid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此表用于开标唱标之用。</w:t>
      </w:r>
    </w:p>
    <w:p w14:paraId="5E18DBA8">
      <w:pPr>
        <w:numPr>
          <w:ilvl w:val="0"/>
          <w:numId w:val="3"/>
        </w:numPr>
        <w:adjustRightInd w:val="0"/>
        <w:snapToGrid w:val="0"/>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szCs w:val="28"/>
          <w:highlight w:val="none"/>
        </w:rPr>
        <w:t>本表内容根据招标文件要求包含不限于所投货物、达到可使用状态的全部辅材、保险、税费、包装、调换、损耗、运输（含冷链运输）、现场落地、检测、验收、税金等完成工作所发生的一切应有费用，数量据实结算。以上所有费用均由成交投标人承担，投标人应自行考虑本项目报价风险。</w:t>
      </w:r>
    </w:p>
    <w:p w14:paraId="0C4D385B">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rPr>
        <w:t>3.特殊事项在备注中注明。</w:t>
      </w:r>
    </w:p>
    <w:p w14:paraId="119983E7">
      <w:pPr>
        <w:spacing w:line="360" w:lineRule="auto"/>
        <w:ind w:firstLine="0"/>
        <w:rPr>
          <w:rFonts w:hint="eastAsia" w:asciiTheme="minorEastAsia" w:hAnsiTheme="minorEastAsia" w:eastAsiaTheme="minorEastAsia" w:cstheme="minorEastAsia"/>
          <w:color w:val="auto"/>
          <w:sz w:val="24"/>
          <w:highlight w:val="none"/>
        </w:rPr>
      </w:pPr>
      <w:bookmarkStart w:id="201" w:name="_Toc520983588"/>
      <w:bookmarkStart w:id="202" w:name="_Toc461053087"/>
      <w:bookmarkStart w:id="203" w:name="_Toc461056632"/>
      <w:r>
        <w:rPr>
          <w:rFonts w:hint="eastAsia" w:asciiTheme="minorEastAsia" w:hAnsiTheme="minorEastAsia" w:eastAsiaTheme="minorEastAsia" w:cstheme="minorEastAsia"/>
          <w:color w:val="auto"/>
          <w:sz w:val="24"/>
          <w:highlight w:val="none"/>
        </w:rPr>
        <w:br w:type="page"/>
      </w:r>
    </w:p>
    <w:bookmarkEnd w:id="201"/>
    <w:bookmarkEnd w:id="202"/>
    <w:bookmarkEnd w:id="203"/>
    <w:p w14:paraId="14C55B30">
      <w:pPr>
        <w:spacing w:line="360" w:lineRule="auto"/>
        <w:jc w:val="center"/>
        <w:outlineLvl w:val="2"/>
        <w:rPr>
          <w:rFonts w:hint="eastAsia" w:asciiTheme="minorEastAsia" w:hAnsiTheme="minorEastAsia" w:eastAsiaTheme="minorEastAsia" w:cstheme="minorEastAsia"/>
          <w:b/>
          <w:color w:val="auto"/>
          <w:sz w:val="24"/>
          <w:szCs w:val="24"/>
          <w:highlight w:val="none"/>
        </w:rPr>
      </w:pPr>
      <w:bookmarkStart w:id="204" w:name="_Toc520983591"/>
      <w:r>
        <w:rPr>
          <w:rFonts w:hint="eastAsia" w:asciiTheme="minorEastAsia" w:hAnsiTheme="minorEastAsia" w:eastAsiaTheme="minorEastAsia" w:cstheme="minorEastAsia"/>
          <w:b/>
          <w:color w:val="auto"/>
          <w:sz w:val="24"/>
          <w:szCs w:val="24"/>
          <w:highlight w:val="none"/>
        </w:rPr>
        <w:t>二、投标函</w:t>
      </w:r>
    </w:p>
    <w:p w14:paraId="013BF7D0">
      <w:pPr>
        <w:pStyle w:val="23"/>
        <w:spacing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eastAsia="zh-CN"/>
        </w:rPr>
        <w:t>合肥</w:t>
      </w:r>
      <w:r>
        <w:rPr>
          <w:rFonts w:hint="eastAsia" w:asciiTheme="minorEastAsia" w:hAnsiTheme="minorEastAsia" w:eastAsiaTheme="minorEastAsia" w:cstheme="minorEastAsia"/>
          <w:color w:val="auto"/>
          <w:sz w:val="24"/>
          <w:szCs w:val="24"/>
          <w:highlight w:val="none"/>
          <w:u w:val="single"/>
          <w:lang w:val="en-US" w:eastAsia="zh-CN"/>
        </w:rPr>
        <w:t>悠享时光护理院</w:t>
      </w:r>
      <w:r>
        <w:rPr>
          <w:rFonts w:hint="eastAsia" w:asciiTheme="minorEastAsia" w:hAnsiTheme="minorEastAsia" w:eastAsiaTheme="minorEastAsia" w:cstheme="minorEastAsia"/>
          <w:color w:val="auto"/>
          <w:sz w:val="24"/>
          <w:szCs w:val="24"/>
          <w:highlight w:val="none"/>
          <w:u w:val="single"/>
          <w:lang w:eastAsia="zh-CN"/>
        </w:rPr>
        <w:t>有限公司</w:t>
      </w:r>
    </w:p>
    <w:p w14:paraId="1179E95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根据贵方的招标公告和投标邀请，我方兹宣布同意如下：</w:t>
      </w:r>
    </w:p>
    <w:p w14:paraId="7C796B5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.我方根据招标文件的规定，严格履行合同的责任和义务。</w:t>
      </w:r>
    </w:p>
    <w:p w14:paraId="6667D1C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.我方承诺报价按照招标文件要求。</w:t>
      </w:r>
    </w:p>
    <w:p w14:paraId="19A8F1F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.我方同意从招标文件规定的开标日期起遵循本招标文件，并在招标文件规定的投标有效期之前均具有约束力。</w:t>
      </w:r>
    </w:p>
    <w:p w14:paraId="57B414E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.我方完全理解贵方不一定接受最低报价的投标。</w:t>
      </w:r>
    </w:p>
    <w:p w14:paraId="553A046B">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.我方对投标文件中所提供资料、文件、证书及证件的真实性和有效性负责。</w:t>
      </w:r>
    </w:p>
    <w:p w14:paraId="2542BB1C">
      <w:pPr>
        <w:spacing w:line="360" w:lineRule="auto"/>
        <w:ind w:firstLine="435"/>
        <w:rPr>
          <w:rFonts w:hint="eastAsia" w:asciiTheme="minorEastAsia" w:hAnsiTheme="minorEastAsia" w:eastAsiaTheme="minorEastAsia" w:cstheme="minorEastAsia"/>
          <w:color w:val="auto"/>
          <w:sz w:val="24"/>
          <w:szCs w:val="24"/>
          <w:highlight w:val="none"/>
        </w:rPr>
      </w:pPr>
    </w:p>
    <w:p w14:paraId="4AFC952E">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rPr>
        <w:t xml:space="preserve">                     </w:t>
      </w:r>
    </w:p>
    <w:p w14:paraId="1ED797F1">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p>
    <w:p w14:paraId="7797179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889E101">
      <w:pPr>
        <w:widowControl/>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三、无重大违法记录声明函、无不良信用记录声明函</w:t>
      </w:r>
    </w:p>
    <w:p w14:paraId="0551E302">
      <w:pPr>
        <w:pStyle w:val="34"/>
        <w:rPr>
          <w:rFonts w:hint="eastAsia" w:asciiTheme="minorEastAsia" w:hAnsiTheme="minorEastAsia" w:eastAsiaTheme="minorEastAsia" w:cstheme="minorEastAsia"/>
          <w:color w:val="auto"/>
          <w:sz w:val="24"/>
          <w:szCs w:val="24"/>
          <w:highlight w:val="none"/>
        </w:rPr>
      </w:pPr>
    </w:p>
    <w:p w14:paraId="5824DE29">
      <w:pPr>
        <w:spacing w:line="360" w:lineRule="auto"/>
        <w:jc w:val="center"/>
        <w:rPr>
          <w:rFonts w:hint="eastAsia" w:asciiTheme="minorEastAsia" w:hAnsiTheme="minorEastAsia" w:eastAsiaTheme="minorEastAsia" w:cstheme="minorEastAsia"/>
          <w:i/>
          <w:color w:val="auto"/>
          <w:sz w:val="24"/>
          <w:szCs w:val="24"/>
          <w:highlight w:val="none"/>
        </w:rPr>
      </w:pPr>
      <w:r>
        <w:rPr>
          <w:rFonts w:hint="eastAsia" w:asciiTheme="minorEastAsia" w:hAnsiTheme="minorEastAsia" w:eastAsiaTheme="minorEastAsia" w:cstheme="minorEastAsia"/>
          <w:i/>
          <w:color w:val="auto"/>
          <w:sz w:val="24"/>
          <w:szCs w:val="24"/>
          <w:highlight w:val="none"/>
        </w:rPr>
        <w:t>（联合体参加投标的，联合体各方均须提供）</w:t>
      </w:r>
    </w:p>
    <w:p w14:paraId="5ED20FF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2.本单位郑重声明，我单位无以下不良信用记录情形：</w:t>
      </w:r>
    </w:p>
    <w:p w14:paraId="37FCD99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（1）被人民法院列入失信被执行人；</w:t>
      </w:r>
    </w:p>
    <w:p w14:paraId="3AD4A10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（2）被税务部门列入重大税收违法案件当事人名单。</w:t>
      </w:r>
    </w:p>
    <w:p w14:paraId="7DC7ADD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382CFD9">
      <w:pPr>
        <w:spacing w:line="360" w:lineRule="auto"/>
        <w:ind w:firstLine="435"/>
        <w:rPr>
          <w:rFonts w:hint="eastAsia" w:asciiTheme="minorEastAsia" w:hAnsiTheme="minorEastAsia" w:eastAsiaTheme="minorEastAsia" w:cstheme="minorEastAsia"/>
          <w:color w:val="auto"/>
          <w:sz w:val="24"/>
          <w:szCs w:val="24"/>
          <w:highlight w:val="none"/>
        </w:rPr>
      </w:pPr>
    </w:p>
    <w:p w14:paraId="6E7C717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2586CD70">
      <w:pPr>
        <w:spacing w:line="360" w:lineRule="auto"/>
        <w:ind w:firstLine="4800" w:firstLineChars="20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rPr>
        <w:t xml:space="preserve">             </w:t>
      </w:r>
    </w:p>
    <w:p w14:paraId="2B361518">
      <w:pPr>
        <w:spacing w:line="360" w:lineRule="auto"/>
        <w:ind w:firstLine="4800" w:firstLineChars="20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br w:type="page"/>
      </w:r>
    </w:p>
    <w:p w14:paraId="37DE964D">
      <w:pPr>
        <w:spacing w:line="360" w:lineRule="auto"/>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四、授权书</w:t>
      </w:r>
    </w:p>
    <w:p w14:paraId="488DC830">
      <w:pPr>
        <w:pStyle w:val="21"/>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26AC2C2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本授权书声明：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（投标人授权代表姓名、职务）代表我方参加本项目</w:t>
      </w:r>
      <w:r>
        <w:rPr>
          <w:rFonts w:hint="eastAsia" w:asciiTheme="minorEastAsia" w:hAnsiTheme="minorEastAsia" w:eastAsiaTheme="minorEastAsia" w:cstheme="minorEastAsia"/>
          <w:bCs/>
          <w:color w:val="auto"/>
          <w:sz w:val="24"/>
          <w:szCs w:val="24"/>
          <w:highlight w:val="none"/>
        </w:rPr>
        <w:t>投标</w:t>
      </w:r>
      <w:r>
        <w:rPr>
          <w:rFonts w:hint="eastAsia" w:asciiTheme="minorEastAsia" w:hAnsiTheme="minorEastAsia" w:eastAsiaTheme="minorEastAsia" w:cstheme="minorEastAsia"/>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本授权书自出具之日起生效。</w:t>
      </w:r>
    </w:p>
    <w:p w14:paraId="37D752B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授权代表身份证明复印件或影印件：</w:t>
      </w:r>
    </w:p>
    <w:p w14:paraId="54041981">
      <w:pPr>
        <w:spacing w:line="360" w:lineRule="auto"/>
        <w:ind w:firstLine="435"/>
        <w:rPr>
          <w:rFonts w:hint="eastAsia" w:asciiTheme="minorEastAsia" w:hAnsiTheme="minorEastAsia" w:eastAsiaTheme="minorEastAsia" w:cstheme="minorEastAsia"/>
          <w:color w:val="auto"/>
          <w:sz w:val="24"/>
          <w:szCs w:val="24"/>
          <w:highlight w:val="none"/>
        </w:rPr>
      </w:pPr>
    </w:p>
    <w:p w14:paraId="6921DB15">
      <w:pPr>
        <w:spacing w:line="360" w:lineRule="auto"/>
        <w:ind w:firstLine="435"/>
        <w:rPr>
          <w:rFonts w:hint="eastAsia" w:asciiTheme="minorEastAsia" w:hAnsiTheme="minorEastAsia" w:eastAsiaTheme="minorEastAsia" w:cstheme="minorEastAsia"/>
          <w:color w:val="auto"/>
          <w:sz w:val="24"/>
          <w:szCs w:val="24"/>
          <w:highlight w:val="none"/>
        </w:rPr>
      </w:pPr>
    </w:p>
    <w:p w14:paraId="711C5D6C">
      <w:pPr>
        <w:spacing w:line="360" w:lineRule="auto"/>
        <w:ind w:firstLine="435"/>
        <w:rPr>
          <w:rFonts w:hint="eastAsia" w:asciiTheme="minorEastAsia" w:hAnsiTheme="minorEastAsia" w:eastAsiaTheme="minorEastAsia" w:cstheme="minorEastAsia"/>
          <w:color w:val="auto"/>
          <w:sz w:val="24"/>
          <w:szCs w:val="24"/>
          <w:highlight w:val="none"/>
        </w:rPr>
      </w:pPr>
    </w:p>
    <w:p w14:paraId="15B7B251">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授权代表联系方式：</w:t>
      </w:r>
      <w:r>
        <w:rPr>
          <w:rFonts w:hint="eastAsia" w:asciiTheme="minorEastAsia" w:hAnsiTheme="minorEastAsia" w:eastAsiaTheme="minorEastAsia" w:cstheme="minorEastAsia"/>
          <w:color w:val="auto"/>
          <w:sz w:val="24"/>
          <w:szCs w:val="24"/>
          <w:highlight w:val="none"/>
          <w:u w:val="single"/>
        </w:rPr>
        <w:t xml:space="preserve">          （请填写手机号码）</w:t>
      </w:r>
    </w:p>
    <w:p w14:paraId="2EFCA74C">
      <w:pPr>
        <w:spacing w:line="360" w:lineRule="auto"/>
        <w:ind w:firstLine="435"/>
        <w:rPr>
          <w:rFonts w:hint="eastAsia" w:asciiTheme="minorEastAsia" w:hAnsiTheme="minorEastAsia" w:eastAsiaTheme="minorEastAsia" w:cstheme="minorEastAsia"/>
          <w:color w:val="auto"/>
          <w:sz w:val="24"/>
          <w:szCs w:val="24"/>
          <w:highlight w:val="none"/>
        </w:rPr>
      </w:pPr>
    </w:p>
    <w:p w14:paraId="0385F06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457CC5EA">
      <w:pPr>
        <w:spacing w:line="360" w:lineRule="auto"/>
        <w:ind w:firstLine="435"/>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投标人公章：</w:t>
      </w:r>
      <w:r>
        <w:rPr>
          <w:rFonts w:hint="eastAsia" w:asciiTheme="minorEastAsia" w:hAnsiTheme="minorEastAsia" w:eastAsiaTheme="minorEastAsia" w:cstheme="minorEastAsia"/>
          <w:bCs/>
          <w:color w:val="auto"/>
          <w:sz w:val="24"/>
          <w:szCs w:val="24"/>
          <w:highlight w:val="none"/>
          <w:u w:val="single"/>
        </w:rPr>
        <w:t xml:space="preserve">                    </w:t>
      </w:r>
    </w:p>
    <w:p w14:paraId="1EB0303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b/>
          <w:bCs/>
          <w:color w:val="auto"/>
          <w:sz w:val="24"/>
          <w:szCs w:val="24"/>
          <w:highlight w:val="none"/>
          <w:u w:val="single"/>
        </w:rPr>
        <w:t xml:space="preserve">                    </w:t>
      </w:r>
    </w:p>
    <w:p w14:paraId="2F71A15D">
      <w:pPr>
        <w:spacing w:line="360" w:lineRule="auto"/>
        <w:rPr>
          <w:rFonts w:hint="eastAsia" w:asciiTheme="minorEastAsia" w:hAnsiTheme="minorEastAsia" w:eastAsiaTheme="minorEastAsia" w:cstheme="minorEastAsia"/>
          <w:color w:val="auto"/>
          <w:sz w:val="24"/>
          <w:szCs w:val="24"/>
          <w:highlight w:val="none"/>
        </w:rPr>
      </w:pPr>
    </w:p>
    <w:p w14:paraId="0E2FA5E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0B29F8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1.本项目只允许有唯一的投标人授权代表，提供身份证明复印件；</w:t>
      </w:r>
    </w:p>
    <w:p w14:paraId="679D29E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2.法定代表人参加投标的无需提供授权书，提供身份证明复印件。</w:t>
      </w:r>
    </w:p>
    <w:bookmarkEnd w:id="204"/>
    <w:p w14:paraId="778D4E87">
      <w:pPr>
        <w:rPr>
          <w:rFonts w:hint="eastAsia" w:asciiTheme="minorEastAsia" w:hAnsiTheme="minorEastAsia" w:eastAsiaTheme="minorEastAsia" w:cstheme="minorEastAsia"/>
          <w:b/>
          <w:bCs/>
          <w:color w:val="auto"/>
          <w:sz w:val="24"/>
          <w:szCs w:val="24"/>
          <w:highlight w:val="none"/>
        </w:rPr>
      </w:pPr>
      <w:bookmarkStart w:id="205" w:name="_Toc507694553"/>
      <w:r>
        <w:rPr>
          <w:rFonts w:hint="eastAsia" w:asciiTheme="minorEastAsia" w:hAnsiTheme="minorEastAsia" w:eastAsiaTheme="minorEastAsia" w:cstheme="minorEastAsia"/>
          <w:b/>
          <w:bCs/>
          <w:color w:val="auto"/>
          <w:sz w:val="24"/>
          <w:szCs w:val="24"/>
          <w:highlight w:val="none"/>
        </w:rPr>
        <w:br w:type="page"/>
      </w:r>
    </w:p>
    <w:p w14:paraId="215B0550">
      <w:pPr>
        <w:widowControl/>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五、投标业绩承诺函</w:t>
      </w:r>
      <w:bookmarkEnd w:id="205"/>
    </w:p>
    <w:p w14:paraId="5B3672E6">
      <w:pPr>
        <w:widowControl/>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lang w:eastAsia="zh-CN"/>
        </w:rPr>
        <w:t>合肥</w:t>
      </w:r>
      <w:r>
        <w:rPr>
          <w:rFonts w:hint="eastAsia" w:asciiTheme="minorEastAsia" w:hAnsiTheme="minorEastAsia" w:eastAsiaTheme="minorEastAsia" w:cstheme="minorEastAsia"/>
          <w:color w:val="auto"/>
          <w:sz w:val="24"/>
          <w:szCs w:val="24"/>
          <w:highlight w:val="none"/>
          <w:lang w:val="en-US" w:eastAsia="zh-CN"/>
        </w:rPr>
        <w:t>悠享时光护理院有</w:t>
      </w:r>
      <w:r>
        <w:rPr>
          <w:rFonts w:hint="eastAsia" w:asciiTheme="minorEastAsia" w:hAnsiTheme="minorEastAsia" w:eastAsiaTheme="minorEastAsia" w:cstheme="minorEastAsia"/>
          <w:color w:val="auto"/>
          <w:sz w:val="24"/>
          <w:szCs w:val="24"/>
          <w:highlight w:val="none"/>
          <w:lang w:eastAsia="zh-CN"/>
        </w:rPr>
        <w:t>限公司</w:t>
      </w:r>
    </w:p>
    <w:p w14:paraId="1F9EA1DF">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投标人签章：                     </w:t>
      </w:r>
    </w:p>
    <w:p w14:paraId="69453FC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559" w:type="dxa"/>
            <w:vAlign w:val="center"/>
          </w:tcPr>
          <w:p w14:paraId="58032F3E">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410" w:type="dxa"/>
            <w:vAlign w:val="center"/>
          </w:tcPr>
          <w:p w14:paraId="354C57E1">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w:t>
            </w:r>
          </w:p>
        </w:tc>
        <w:tc>
          <w:tcPr>
            <w:tcW w:w="1559" w:type="dxa"/>
            <w:vAlign w:val="center"/>
          </w:tcPr>
          <w:p w14:paraId="00E77512">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合同总金额</w:t>
            </w:r>
          </w:p>
        </w:tc>
        <w:tc>
          <w:tcPr>
            <w:tcW w:w="1701" w:type="dxa"/>
            <w:vAlign w:val="center"/>
          </w:tcPr>
          <w:p w14:paraId="6E4F56B5">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业主单位</w:t>
            </w:r>
          </w:p>
          <w:p w14:paraId="1A6527C1">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及联系电话</w:t>
            </w:r>
          </w:p>
        </w:tc>
        <w:tc>
          <w:tcPr>
            <w:tcW w:w="1134" w:type="dxa"/>
            <w:vAlign w:val="center"/>
          </w:tcPr>
          <w:p w14:paraId="2B28208B">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559" w:type="dxa"/>
            <w:vAlign w:val="center"/>
          </w:tcPr>
          <w:p w14:paraId="376FA611">
            <w:pPr>
              <w:widowControl/>
              <w:jc w:val="left"/>
              <w:rPr>
                <w:rFonts w:hint="eastAsia" w:asciiTheme="minorEastAsia" w:hAnsiTheme="minorEastAsia" w:eastAsiaTheme="minorEastAsia" w:cstheme="minorEastAsia"/>
                <w:color w:val="auto"/>
                <w:sz w:val="24"/>
                <w:szCs w:val="24"/>
                <w:highlight w:val="none"/>
              </w:rPr>
            </w:pPr>
          </w:p>
        </w:tc>
        <w:tc>
          <w:tcPr>
            <w:tcW w:w="2410" w:type="dxa"/>
            <w:vAlign w:val="center"/>
          </w:tcPr>
          <w:p w14:paraId="357D109A">
            <w:pPr>
              <w:widowControl/>
              <w:jc w:val="left"/>
              <w:rPr>
                <w:rFonts w:hint="eastAsia" w:asciiTheme="minorEastAsia" w:hAnsiTheme="minorEastAsia" w:eastAsiaTheme="minorEastAsia" w:cstheme="minorEastAsia"/>
                <w:color w:val="auto"/>
                <w:sz w:val="24"/>
                <w:szCs w:val="24"/>
                <w:highlight w:val="none"/>
              </w:rPr>
            </w:pPr>
          </w:p>
        </w:tc>
        <w:tc>
          <w:tcPr>
            <w:tcW w:w="1559" w:type="dxa"/>
            <w:vAlign w:val="center"/>
          </w:tcPr>
          <w:p w14:paraId="2E78CE3F">
            <w:pPr>
              <w:widowControl/>
              <w:jc w:val="left"/>
              <w:rPr>
                <w:rFonts w:hint="eastAsia" w:asciiTheme="minorEastAsia" w:hAnsiTheme="minorEastAsia" w:eastAsiaTheme="minorEastAsia" w:cstheme="minorEastAsia"/>
                <w:color w:val="auto"/>
                <w:sz w:val="24"/>
                <w:szCs w:val="24"/>
                <w:highlight w:val="none"/>
              </w:rPr>
            </w:pPr>
          </w:p>
        </w:tc>
        <w:tc>
          <w:tcPr>
            <w:tcW w:w="1701" w:type="dxa"/>
            <w:vAlign w:val="center"/>
          </w:tcPr>
          <w:p w14:paraId="524B656A">
            <w:pPr>
              <w:widowControl/>
              <w:jc w:val="left"/>
              <w:rPr>
                <w:rFonts w:hint="eastAsia" w:asciiTheme="minorEastAsia" w:hAnsiTheme="minorEastAsia" w:eastAsiaTheme="minorEastAsia" w:cstheme="minorEastAsia"/>
                <w:color w:val="auto"/>
                <w:sz w:val="24"/>
                <w:szCs w:val="24"/>
                <w:highlight w:val="none"/>
              </w:rPr>
            </w:pPr>
          </w:p>
        </w:tc>
        <w:tc>
          <w:tcPr>
            <w:tcW w:w="1134" w:type="dxa"/>
            <w:vAlign w:val="center"/>
          </w:tcPr>
          <w:p w14:paraId="7F5BA9C7">
            <w:pPr>
              <w:widowControl/>
              <w:jc w:val="left"/>
              <w:rPr>
                <w:rFonts w:hint="eastAsia" w:asciiTheme="minorEastAsia" w:hAnsiTheme="minorEastAsia" w:eastAsiaTheme="minorEastAsia" w:cstheme="minorEastAsia"/>
                <w:color w:val="auto"/>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559" w:type="dxa"/>
            <w:vAlign w:val="center"/>
          </w:tcPr>
          <w:p w14:paraId="3B7B847E">
            <w:pPr>
              <w:widowControl/>
              <w:jc w:val="left"/>
              <w:rPr>
                <w:rFonts w:hint="eastAsia" w:asciiTheme="minorEastAsia" w:hAnsiTheme="minorEastAsia" w:eastAsiaTheme="minorEastAsia" w:cstheme="minorEastAsia"/>
                <w:color w:val="auto"/>
                <w:sz w:val="24"/>
                <w:szCs w:val="24"/>
                <w:highlight w:val="none"/>
              </w:rPr>
            </w:pPr>
          </w:p>
        </w:tc>
        <w:tc>
          <w:tcPr>
            <w:tcW w:w="2410" w:type="dxa"/>
            <w:vAlign w:val="center"/>
          </w:tcPr>
          <w:p w14:paraId="7EAE4D30">
            <w:pPr>
              <w:widowControl/>
              <w:jc w:val="left"/>
              <w:rPr>
                <w:rFonts w:hint="eastAsia" w:asciiTheme="minorEastAsia" w:hAnsiTheme="minorEastAsia" w:eastAsiaTheme="minorEastAsia" w:cstheme="minorEastAsia"/>
                <w:color w:val="auto"/>
                <w:sz w:val="24"/>
                <w:szCs w:val="24"/>
                <w:highlight w:val="none"/>
              </w:rPr>
            </w:pPr>
          </w:p>
        </w:tc>
        <w:tc>
          <w:tcPr>
            <w:tcW w:w="1559" w:type="dxa"/>
            <w:vAlign w:val="center"/>
          </w:tcPr>
          <w:p w14:paraId="3579461B">
            <w:pPr>
              <w:widowControl/>
              <w:jc w:val="left"/>
              <w:rPr>
                <w:rFonts w:hint="eastAsia" w:asciiTheme="minorEastAsia" w:hAnsiTheme="minorEastAsia" w:eastAsiaTheme="minorEastAsia" w:cstheme="minorEastAsia"/>
                <w:color w:val="auto"/>
                <w:sz w:val="24"/>
                <w:szCs w:val="24"/>
                <w:highlight w:val="none"/>
              </w:rPr>
            </w:pPr>
          </w:p>
        </w:tc>
        <w:tc>
          <w:tcPr>
            <w:tcW w:w="1701" w:type="dxa"/>
            <w:vAlign w:val="center"/>
          </w:tcPr>
          <w:p w14:paraId="3C703F9B">
            <w:pPr>
              <w:widowControl/>
              <w:jc w:val="left"/>
              <w:rPr>
                <w:rFonts w:hint="eastAsia" w:asciiTheme="minorEastAsia" w:hAnsiTheme="minorEastAsia" w:eastAsiaTheme="minorEastAsia" w:cstheme="minorEastAsia"/>
                <w:color w:val="auto"/>
                <w:sz w:val="24"/>
                <w:szCs w:val="24"/>
                <w:highlight w:val="none"/>
              </w:rPr>
            </w:pPr>
          </w:p>
        </w:tc>
        <w:tc>
          <w:tcPr>
            <w:tcW w:w="1134" w:type="dxa"/>
            <w:vAlign w:val="center"/>
          </w:tcPr>
          <w:p w14:paraId="499DD935">
            <w:pPr>
              <w:widowControl/>
              <w:jc w:val="left"/>
              <w:rPr>
                <w:rFonts w:hint="eastAsia" w:asciiTheme="minorEastAsia" w:hAnsiTheme="minorEastAsia" w:eastAsiaTheme="minorEastAsia" w:cstheme="minorEastAsia"/>
                <w:color w:val="auto"/>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559" w:type="dxa"/>
            <w:vAlign w:val="center"/>
          </w:tcPr>
          <w:p w14:paraId="1494386B">
            <w:pPr>
              <w:widowControl/>
              <w:jc w:val="left"/>
              <w:rPr>
                <w:rFonts w:hint="eastAsia" w:asciiTheme="minorEastAsia" w:hAnsiTheme="minorEastAsia" w:eastAsiaTheme="minorEastAsia" w:cstheme="minorEastAsia"/>
                <w:color w:val="auto"/>
                <w:sz w:val="24"/>
                <w:szCs w:val="24"/>
                <w:highlight w:val="none"/>
              </w:rPr>
            </w:pPr>
          </w:p>
        </w:tc>
        <w:tc>
          <w:tcPr>
            <w:tcW w:w="2410" w:type="dxa"/>
            <w:vAlign w:val="center"/>
          </w:tcPr>
          <w:p w14:paraId="52ADFF46">
            <w:pPr>
              <w:widowControl/>
              <w:jc w:val="left"/>
              <w:rPr>
                <w:rFonts w:hint="eastAsia" w:asciiTheme="minorEastAsia" w:hAnsiTheme="minorEastAsia" w:eastAsiaTheme="minorEastAsia" w:cstheme="minorEastAsia"/>
                <w:color w:val="auto"/>
                <w:sz w:val="24"/>
                <w:szCs w:val="24"/>
                <w:highlight w:val="none"/>
              </w:rPr>
            </w:pPr>
          </w:p>
        </w:tc>
        <w:tc>
          <w:tcPr>
            <w:tcW w:w="1559" w:type="dxa"/>
            <w:vAlign w:val="center"/>
          </w:tcPr>
          <w:p w14:paraId="5B32C522">
            <w:pPr>
              <w:widowControl/>
              <w:jc w:val="left"/>
              <w:rPr>
                <w:rFonts w:hint="eastAsia" w:asciiTheme="minorEastAsia" w:hAnsiTheme="minorEastAsia" w:eastAsiaTheme="minorEastAsia" w:cstheme="minorEastAsia"/>
                <w:color w:val="auto"/>
                <w:sz w:val="24"/>
                <w:szCs w:val="24"/>
                <w:highlight w:val="none"/>
              </w:rPr>
            </w:pPr>
          </w:p>
        </w:tc>
        <w:tc>
          <w:tcPr>
            <w:tcW w:w="1701" w:type="dxa"/>
            <w:vAlign w:val="center"/>
          </w:tcPr>
          <w:p w14:paraId="211C9C2C">
            <w:pPr>
              <w:widowControl/>
              <w:jc w:val="left"/>
              <w:rPr>
                <w:rFonts w:hint="eastAsia" w:asciiTheme="minorEastAsia" w:hAnsiTheme="minorEastAsia" w:eastAsiaTheme="minorEastAsia" w:cstheme="minorEastAsia"/>
                <w:color w:val="auto"/>
                <w:sz w:val="24"/>
                <w:szCs w:val="24"/>
                <w:highlight w:val="none"/>
              </w:rPr>
            </w:pPr>
          </w:p>
        </w:tc>
        <w:tc>
          <w:tcPr>
            <w:tcW w:w="1134" w:type="dxa"/>
            <w:vAlign w:val="center"/>
          </w:tcPr>
          <w:p w14:paraId="0EB2BE66">
            <w:pPr>
              <w:widowControl/>
              <w:jc w:val="left"/>
              <w:rPr>
                <w:rFonts w:hint="eastAsia" w:asciiTheme="minorEastAsia" w:hAnsiTheme="minorEastAsia" w:eastAsiaTheme="minorEastAsia" w:cstheme="minorEastAsia"/>
                <w:color w:val="auto"/>
                <w:sz w:val="24"/>
                <w:szCs w:val="24"/>
                <w:highlight w:val="none"/>
              </w:rPr>
            </w:pPr>
          </w:p>
        </w:tc>
      </w:tr>
    </w:tbl>
    <w:p w14:paraId="73800EE5">
      <w:pPr>
        <w:widowControl/>
        <w:jc w:val="left"/>
        <w:rPr>
          <w:rFonts w:hint="eastAsia" w:asciiTheme="minorEastAsia" w:hAnsiTheme="minorEastAsia" w:eastAsiaTheme="minorEastAsia" w:cstheme="minorEastAsia"/>
          <w:color w:val="auto"/>
          <w:sz w:val="24"/>
          <w:szCs w:val="24"/>
          <w:highlight w:val="none"/>
        </w:rPr>
      </w:pPr>
    </w:p>
    <w:p w14:paraId="55AE732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7473B88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0BE434F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.中标候选人提供的以上业绩情况（含项目名称、合同总金额），如招标文件《投标人须知前附表》有约定的，将按约定随评审结果公告。</w:t>
      </w:r>
    </w:p>
    <w:p w14:paraId="6C5BE1E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18CB455">
      <w:pPr>
        <w:rPr>
          <w:rFonts w:hint="eastAsia" w:asciiTheme="minorEastAsia" w:hAnsiTheme="minorEastAsia" w:eastAsiaTheme="minorEastAsia" w:cstheme="minorEastAsia"/>
          <w:b/>
          <w:bCs/>
          <w:color w:val="auto"/>
          <w:sz w:val="24"/>
          <w:highlight w:val="none"/>
        </w:rPr>
      </w:pPr>
    </w:p>
    <w:p w14:paraId="53DCBDF9">
      <w:pPr>
        <w:jc w:val="center"/>
        <w:outlineLvl w:val="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六、承诺函</w:t>
      </w:r>
    </w:p>
    <w:p w14:paraId="2E3A3814">
      <w:pPr>
        <w:pStyle w:val="2"/>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我公司承诺：</w:t>
      </w:r>
    </w:p>
    <w:p w14:paraId="5955E236">
      <w:pPr>
        <w:pStyle w:val="40"/>
        <w:spacing w:line="360" w:lineRule="auto"/>
        <w:ind w:right="-21"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我公司每次接到招标人的供货通知后，应在5个工作日内将招标人所需药品送至指定地址，急需情况下急需药品接招标人通知后在24小时内送到，稀缺情况下稀缺药品应在接到招标人通知后一周内送到。履约服务期内，如累计超过5次发生未按时供货或验收不合格的，招标人有权解除合同。</w:t>
      </w:r>
    </w:p>
    <w:p w14:paraId="71052786">
      <w:pPr>
        <w:spacing w:line="360" w:lineRule="auto"/>
        <w:ind w:firstLine="5060" w:firstLineChars="21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投标人签章：</w:t>
      </w:r>
    </w:p>
    <w:p w14:paraId="65F6DF8F">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                                           日  期：</w:t>
      </w:r>
    </w:p>
    <w:p w14:paraId="1AD89417">
      <w:pP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br w:type="page"/>
      </w:r>
    </w:p>
    <w:p w14:paraId="55F72CB3">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七、投标响应表</w:t>
      </w:r>
    </w:p>
    <w:p w14:paraId="7D873149">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7.1商务响应表</w:t>
      </w:r>
    </w:p>
    <w:tbl>
      <w:tblPr>
        <w:tblStyle w:val="41"/>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64"/>
        <w:gridCol w:w="4775"/>
        <w:gridCol w:w="1741"/>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61" w:type="dxa"/>
            <w:vAlign w:val="center"/>
          </w:tcPr>
          <w:p w14:paraId="4C7BE267">
            <w:pPr>
              <w:pStyle w:val="21"/>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264" w:type="dxa"/>
            <w:vAlign w:val="center"/>
          </w:tcPr>
          <w:p w14:paraId="4F8ED516">
            <w:pPr>
              <w:pStyle w:val="21"/>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商务条款</w:t>
            </w:r>
          </w:p>
        </w:tc>
        <w:tc>
          <w:tcPr>
            <w:tcW w:w="4775" w:type="dxa"/>
            <w:vAlign w:val="center"/>
          </w:tcPr>
          <w:p w14:paraId="7D86420D">
            <w:pPr>
              <w:pStyle w:val="21"/>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招标文件要求</w:t>
            </w:r>
          </w:p>
        </w:tc>
        <w:tc>
          <w:tcPr>
            <w:tcW w:w="1741" w:type="dxa"/>
            <w:vAlign w:val="center"/>
          </w:tcPr>
          <w:p w14:paraId="1ABAEEED">
            <w:pPr>
              <w:pStyle w:val="21"/>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投标人承诺</w:t>
            </w:r>
          </w:p>
        </w:tc>
        <w:tc>
          <w:tcPr>
            <w:tcW w:w="810" w:type="dxa"/>
            <w:vAlign w:val="center"/>
          </w:tcPr>
          <w:p w14:paraId="340EB85F">
            <w:pPr>
              <w:pStyle w:val="21"/>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1" w:type="dxa"/>
            <w:vAlign w:val="center"/>
          </w:tcPr>
          <w:p w14:paraId="07DC505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264" w:type="dxa"/>
            <w:vAlign w:val="center"/>
          </w:tcPr>
          <w:p w14:paraId="5F46E8E0">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4775" w:type="dxa"/>
            <w:vAlign w:val="center"/>
          </w:tcPr>
          <w:p w14:paraId="07FD8DA5">
            <w:pPr>
              <w:pStyle w:val="186"/>
              <w:spacing w:before="0"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kern w:val="2"/>
                <w:sz w:val="24"/>
                <w:szCs w:val="24"/>
                <w:highlight w:val="none"/>
                <w:lang w:val="en-US" w:eastAsia="zh-CN" w:bidi="ar-SA"/>
              </w:rPr>
              <w:t>招标人按照实际采购量据实结算，每月支付一次，招标人验收合格且收到中标人开具的等额、有效、合法的增值税发票后一个月内支付款项。中标人未按约定开具发票的，甲方有权顺延付款且不承担违约责任。</w:t>
            </w:r>
          </w:p>
        </w:tc>
        <w:tc>
          <w:tcPr>
            <w:tcW w:w="1741" w:type="dxa"/>
            <w:vAlign w:val="center"/>
          </w:tcPr>
          <w:p w14:paraId="54CA36DB">
            <w:pPr>
              <w:jc w:val="center"/>
              <w:rPr>
                <w:rFonts w:hint="eastAsia" w:asciiTheme="minorEastAsia" w:hAnsiTheme="minorEastAsia" w:eastAsiaTheme="minorEastAsia" w:cstheme="minorEastAsia"/>
                <w:color w:val="auto"/>
                <w:sz w:val="24"/>
                <w:highlight w:val="none"/>
              </w:rPr>
            </w:pPr>
          </w:p>
        </w:tc>
        <w:tc>
          <w:tcPr>
            <w:tcW w:w="810" w:type="dxa"/>
            <w:vAlign w:val="center"/>
          </w:tcPr>
          <w:p w14:paraId="16016C95">
            <w:pPr>
              <w:jc w:val="center"/>
              <w:rPr>
                <w:rFonts w:hint="eastAsia" w:asciiTheme="minorEastAsia" w:hAnsiTheme="minorEastAsia" w:eastAsiaTheme="minorEastAsia" w:cstheme="minorEastAsia"/>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1" w:type="dxa"/>
            <w:vAlign w:val="center"/>
          </w:tcPr>
          <w:p w14:paraId="4E6E0D46">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264" w:type="dxa"/>
            <w:vAlign w:val="center"/>
          </w:tcPr>
          <w:p w14:paraId="7498A9DD">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服务地点</w:t>
            </w:r>
          </w:p>
        </w:tc>
        <w:tc>
          <w:tcPr>
            <w:tcW w:w="4775" w:type="dxa"/>
            <w:vAlign w:val="center"/>
          </w:tcPr>
          <w:p w14:paraId="16AEFCD8">
            <w:pPr>
              <w:pStyle w:val="186"/>
              <w:spacing w:before="0" w:after="0" w:line="360" w:lineRule="auto"/>
              <w:jc w:val="left"/>
              <w:rPr>
                <w:rFonts w:hint="eastAsia" w:asciiTheme="minorEastAsia" w:hAnsiTheme="minorEastAsia" w:eastAsiaTheme="minorEastAsia" w:cstheme="minorEastAsia"/>
                <w:color w:val="auto"/>
                <w:sz w:val="24"/>
                <w:highlight w:val="none"/>
              </w:rPr>
            </w:pPr>
            <w:r>
              <w:rPr>
                <w:rStyle w:val="103"/>
                <w:rFonts w:hint="eastAsia" w:asciiTheme="minorEastAsia" w:hAnsiTheme="minorEastAsia" w:eastAsiaTheme="minorEastAsia" w:cstheme="minorEastAsia"/>
                <w:b w:val="0"/>
                <w:color w:val="auto"/>
                <w:kern w:val="0"/>
                <w:sz w:val="24"/>
                <w:highlight w:val="none"/>
              </w:rPr>
              <w:t>合肥市包河区，招标人指定地点。</w:t>
            </w:r>
          </w:p>
        </w:tc>
        <w:tc>
          <w:tcPr>
            <w:tcW w:w="1741" w:type="dxa"/>
            <w:vAlign w:val="center"/>
          </w:tcPr>
          <w:p w14:paraId="303FA1ED">
            <w:pPr>
              <w:jc w:val="center"/>
              <w:rPr>
                <w:rFonts w:hint="eastAsia" w:asciiTheme="minorEastAsia" w:hAnsiTheme="minorEastAsia" w:eastAsiaTheme="minorEastAsia" w:cstheme="minorEastAsia"/>
                <w:color w:val="auto"/>
                <w:sz w:val="24"/>
                <w:highlight w:val="none"/>
              </w:rPr>
            </w:pPr>
          </w:p>
        </w:tc>
        <w:tc>
          <w:tcPr>
            <w:tcW w:w="810" w:type="dxa"/>
            <w:vAlign w:val="center"/>
          </w:tcPr>
          <w:p w14:paraId="636109B9">
            <w:pPr>
              <w:jc w:val="center"/>
              <w:rPr>
                <w:rFonts w:hint="eastAsia" w:asciiTheme="minorEastAsia" w:hAnsiTheme="minorEastAsia" w:eastAsiaTheme="minorEastAsia" w:cstheme="minorEastAsia"/>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1" w:type="dxa"/>
            <w:vAlign w:val="center"/>
          </w:tcPr>
          <w:p w14:paraId="53FD369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264" w:type="dxa"/>
            <w:vAlign w:val="center"/>
          </w:tcPr>
          <w:p w14:paraId="4C18FD81">
            <w:pPr>
              <w:pStyle w:val="60"/>
              <w:widowControl w:val="0"/>
              <w:spacing w:before="0" w:beforeAutospacing="0" w:after="0" w:afterAutospacing="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sz w:val="24"/>
                <w:highlight w:val="none"/>
                <w:lang w:eastAsia="zh-CN"/>
              </w:rPr>
              <w:t>服务</w:t>
            </w:r>
            <w:r>
              <w:rPr>
                <w:rFonts w:hint="eastAsia" w:asciiTheme="minorEastAsia" w:hAnsiTheme="minorEastAsia" w:eastAsiaTheme="minorEastAsia" w:cstheme="minorEastAsia"/>
                <w:b w:val="0"/>
                <w:color w:val="auto"/>
                <w:sz w:val="24"/>
                <w:highlight w:val="none"/>
              </w:rPr>
              <w:t>期限</w:t>
            </w:r>
          </w:p>
        </w:tc>
        <w:tc>
          <w:tcPr>
            <w:tcW w:w="4775" w:type="dxa"/>
            <w:vAlign w:val="center"/>
          </w:tcPr>
          <w:p w14:paraId="5135C9C1">
            <w:pPr>
              <w:pStyle w:val="187"/>
              <w:widowControl/>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自合同签订之日起一年。</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highlight w:val="none"/>
                <w:lang w:val="en-US" w:eastAsia="zh-CN"/>
              </w:rPr>
              <w:t>中标人</w:t>
            </w:r>
            <w:r>
              <w:rPr>
                <w:rFonts w:hint="eastAsia" w:asciiTheme="minorEastAsia" w:hAnsiTheme="minorEastAsia" w:eastAsiaTheme="minorEastAsia" w:cstheme="minorEastAsia"/>
                <w:color w:val="auto"/>
                <w:sz w:val="24"/>
                <w:highlight w:val="none"/>
              </w:rPr>
              <w:t>履约良好</w:t>
            </w:r>
            <w:r>
              <w:rPr>
                <w:rFonts w:hint="eastAsia" w:asciiTheme="minorEastAsia" w:hAnsiTheme="minorEastAsia" w:eastAsiaTheme="minorEastAsia" w:cstheme="minorEastAsia"/>
                <w:color w:val="auto"/>
                <w:sz w:val="24"/>
                <w:highlight w:val="none"/>
                <w:lang w:eastAsia="zh-CN"/>
              </w:rPr>
              <w:t>、年度考核合格</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且</w:t>
            </w:r>
            <w:r>
              <w:rPr>
                <w:rFonts w:hint="eastAsia" w:asciiTheme="minorEastAsia" w:hAnsiTheme="minorEastAsia" w:eastAsiaTheme="minorEastAsia" w:cstheme="minorEastAsia"/>
                <w:color w:val="auto"/>
                <w:sz w:val="24"/>
                <w:highlight w:val="none"/>
              </w:rPr>
              <w:t>年度预算能够保障的，执行“招一续二”模式（即：可以续签下一年合同，合同一年一签，最多续签两次），续签合同费率不变。（年度服务期满前，</w:t>
            </w:r>
            <w:r>
              <w:rPr>
                <w:rFonts w:hint="eastAsia" w:asciiTheme="minorEastAsia" w:hAnsiTheme="minorEastAsia" w:eastAsiaTheme="minorEastAsia" w:cstheme="minorEastAsia"/>
                <w:color w:val="auto"/>
                <w:sz w:val="24"/>
                <w:highlight w:val="none"/>
                <w:lang w:val="en-US" w:eastAsia="zh-CN"/>
              </w:rPr>
              <w:t>招标人</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val="en-US" w:eastAsia="zh-CN"/>
              </w:rPr>
              <w:t>中标人</w:t>
            </w:r>
            <w:r>
              <w:rPr>
                <w:rFonts w:hint="eastAsia" w:asciiTheme="minorEastAsia" w:hAnsiTheme="minorEastAsia" w:eastAsiaTheme="minorEastAsia" w:cstheme="minorEastAsia"/>
                <w:color w:val="auto"/>
                <w:sz w:val="24"/>
                <w:highlight w:val="none"/>
              </w:rPr>
              <w:t>该年度的配送能力、服务表现等行为进行考核评价，该评价将作为合同续签的依据之一。）</w:t>
            </w:r>
          </w:p>
        </w:tc>
        <w:tc>
          <w:tcPr>
            <w:tcW w:w="1741" w:type="dxa"/>
            <w:vAlign w:val="center"/>
          </w:tcPr>
          <w:p w14:paraId="587D8952">
            <w:pPr>
              <w:pStyle w:val="63"/>
              <w:jc w:val="center"/>
              <w:rPr>
                <w:rFonts w:hint="eastAsia" w:asciiTheme="minorEastAsia" w:hAnsiTheme="minorEastAsia" w:eastAsiaTheme="minorEastAsia" w:cstheme="minorEastAsia"/>
                <w:color w:val="auto"/>
                <w:highlight w:val="none"/>
              </w:rPr>
            </w:pPr>
          </w:p>
        </w:tc>
        <w:tc>
          <w:tcPr>
            <w:tcW w:w="810" w:type="dxa"/>
            <w:vAlign w:val="center"/>
          </w:tcPr>
          <w:p w14:paraId="721E8E26">
            <w:pPr>
              <w:jc w:val="center"/>
              <w:rPr>
                <w:rFonts w:hint="eastAsia" w:asciiTheme="minorEastAsia" w:hAnsiTheme="minorEastAsia" w:eastAsiaTheme="minorEastAsia" w:cstheme="minorEastAsia"/>
                <w:color w:val="auto"/>
                <w:sz w:val="24"/>
                <w:highlight w:val="none"/>
              </w:rPr>
            </w:pPr>
          </w:p>
        </w:tc>
      </w:tr>
    </w:tbl>
    <w:p w14:paraId="4BF8AC7E">
      <w:pPr>
        <w:pStyle w:val="23"/>
        <w:spacing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投标人签章：</w:t>
      </w:r>
    </w:p>
    <w:p w14:paraId="7CC222FC">
      <w:pPr>
        <w:numPr>
          <w:ilvl w:val="0"/>
          <w:numId w:val="0"/>
        </w:numPr>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eastAsia="zh-CN"/>
        </w:rPr>
        <w:br w:type="page"/>
      </w:r>
      <w:r>
        <w:rPr>
          <w:rFonts w:hint="eastAsia" w:asciiTheme="minorEastAsia" w:hAnsiTheme="minorEastAsia" w:eastAsiaTheme="minorEastAsia" w:cstheme="minorEastAsia"/>
          <w:b/>
          <w:color w:val="auto"/>
          <w:sz w:val="24"/>
          <w:highlight w:val="none"/>
          <w:lang w:val="en-US" w:eastAsia="zh-CN"/>
        </w:rPr>
        <w:t>八、部分药品配送清单（详见附件）</w:t>
      </w:r>
    </w:p>
    <w:p w14:paraId="7FF95221">
      <w:pPr>
        <w:pStyle w:val="2"/>
        <w:numPr>
          <w:ilvl w:val="0"/>
          <w:numId w:val="0"/>
        </w:numPr>
        <w:ind w:leftChars="400"/>
        <w:rPr>
          <w:rFonts w:hint="eastAsia"/>
          <w:lang w:val="en-US"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62"/>
        <w:gridCol w:w="2275"/>
        <w:gridCol w:w="725"/>
        <w:gridCol w:w="913"/>
        <w:gridCol w:w="2437"/>
        <w:gridCol w:w="1018"/>
      </w:tblGrid>
      <w:tr w14:paraId="466C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95BFF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序号</w:t>
            </w:r>
          </w:p>
        </w:tc>
        <w:tc>
          <w:tcPr>
            <w:tcW w:w="962" w:type="dxa"/>
            <w:vAlign w:val="center"/>
          </w:tcPr>
          <w:p w14:paraId="21F5DC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种类</w:t>
            </w:r>
          </w:p>
        </w:tc>
        <w:tc>
          <w:tcPr>
            <w:tcW w:w="2275" w:type="dxa"/>
            <w:vAlign w:val="center"/>
          </w:tcPr>
          <w:p w14:paraId="1215745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药名名称</w:t>
            </w:r>
          </w:p>
        </w:tc>
        <w:tc>
          <w:tcPr>
            <w:tcW w:w="725" w:type="dxa"/>
            <w:vAlign w:val="center"/>
          </w:tcPr>
          <w:p w14:paraId="0166E53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规格</w:t>
            </w:r>
          </w:p>
        </w:tc>
        <w:tc>
          <w:tcPr>
            <w:tcW w:w="913" w:type="dxa"/>
            <w:vAlign w:val="center"/>
          </w:tcPr>
          <w:p w14:paraId="44FE1C0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单位</w:t>
            </w:r>
          </w:p>
        </w:tc>
        <w:tc>
          <w:tcPr>
            <w:tcW w:w="2437" w:type="dxa"/>
            <w:vAlign w:val="center"/>
          </w:tcPr>
          <w:p w14:paraId="7F1522F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生产厂家</w:t>
            </w:r>
          </w:p>
        </w:tc>
        <w:tc>
          <w:tcPr>
            <w:tcW w:w="1018" w:type="dxa"/>
            <w:vAlign w:val="center"/>
          </w:tcPr>
          <w:p w14:paraId="0E00136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vertAlign w:val="baseline"/>
                <w:lang w:val="en-US" w:eastAsia="zh-CN"/>
              </w:rPr>
            </w:pPr>
            <w:r>
              <w:rPr>
                <w:rFonts w:hint="eastAsia" w:ascii="仿宋_GB2312" w:hAnsi="宋体" w:cs="仿宋_GB2312"/>
                <w:b/>
                <w:bCs/>
                <w:i w:val="0"/>
                <w:iCs w:val="0"/>
                <w:color w:val="000000"/>
                <w:kern w:val="0"/>
                <w:sz w:val="22"/>
                <w:szCs w:val="22"/>
                <w:u w:val="none"/>
                <w:lang w:val="en-US" w:eastAsia="zh-CN" w:bidi="ar"/>
              </w:rPr>
              <w:t>备注</w:t>
            </w:r>
          </w:p>
        </w:tc>
      </w:tr>
      <w:tr w14:paraId="383A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9D68FE2">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1</w:t>
            </w:r>
          </w:p>
        </w:tc>
        <w:tc>
          <w:tcPr>
            <w:tcW w:w="962" w:type="dxa"/>
            <w:vAlign w:val="center"/>
          </w:tcPr>
          <w:p w14:paraId="78946196">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1C18F7A2">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188288C9">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1205FCE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08BCBFCE">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1AE61CFA">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r w14:paraId="3813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1BB35B5">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2</w:t>
            </w:r>
          </w:p>
        </w:tc>
        <w:tc>
          <w:tcPr>
            <w:tcW w:w="962" w:type="dxa"/>
            <w:vAlign w:val="center"/>
          </w:tcPr>
          <w:p w14:paraId="41718DE4">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0D2BDCE3">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1915AA0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113F6B65">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1F617839">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7C9C26C3">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r w14:paraId="1698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77E60AB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3</w:t>
            </w:r>
          </w:p>
        </w:tc>
        <w:tc>
          <w:tcPr>
            <w:tcW w:w="962" w:type="dxa"/>
            <w:vAlign w:val="center"/>
          </w:tcPr>
          <w:p w14:paraId="75376FF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34EF8287">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2EECEBF9">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14BBC796">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4E368347">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05855C4A">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r w14:paraId="034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75DB971">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r>
              <w:rPr>
                <w:rFonts w:hint="eastAsia"/>
                <w:vertAlign w:val="baseline"/>
                <w:lang w:val="en-US" w:eastAsia="zh-CN"/>
              </w:rPr>
              <w:t>...</w:t>
            </w:r>
          </w:p>
        </w:tc>
        <w:tc>
          <w:tcPr>
            <w:tcW w:w="962" w:type="dxa"/>
            <w:vAlign w:val="center"/>
          </w:tcPr>
          <w:p w14:paraId="00256E79">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275" w:type="dxa"/>
            <w:vAlign w:val="center"/>
          </w:tcPr>
          <w:p w14:paraId="295C486E">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725" w:type="dxa"/>
            <w:vAlign w:val="center"/>
          </w:tcPr>
          <w:p w14:paraId="2279BCB3">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913" w:type="dxa"/>
            <w:vAlign w:val="center"/>
          </w:tcPr>
          <w:p w14:paraId="1A1312E1">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2437" w:type="dxa"/>
            <w:vAlign w:val="center"/>
          </w:tcPr>
          <w:p w14:paraId="41944C1F">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c>
          <w:tcPr>
            <w:tcW w:w="1018" w:type="dxa"/>
            <w:vAlign w:val="center"/>
          </w:tcPr>
          <w:p w14:paraId="249C08B8">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vertAlign w:val="baseline"/>
                <w:lang w:val="en-US" w:eastAsia="zh-CN"/>
              </w:rPr>
            </w:pPr>
          </w:p>
        </w:tc>
      </w:tr>
    </w:tbl>
    <w:p w14:paraId="3360CFDF">
      <w:pPr>
        <w:numPr>
          <w:ilvl w:val="0"/>
          <w:numId w:val="0"/>
        </w:numPr>
        <w:rPr>
          <w:rFonts w:hint="eastAsia" w:asciiTheme="minorEastAsia" w:hAnsiTheme="minorEastAsia" w:eastAsiaTheme="minorEastAsia" w:cstheme="minorEastAsia"/>
          <w:b/>
          <w:color w:val="auto"/>
          <w:sz w:val="24"/>
          <w:highlight w:val="none"/>
          <w:lang w:eastAsia="zh-CN"/>
        </w:rPr>
      </w:pPr>
    </w:p>
    <w:p w14:paraId="3E1A290E">
      <w:pPr>
        <w:numPr>
          <w:ilvl w:val="0"/>
          <w:numId w:val="0"/>
        </w:numP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br w:type="page"/>
      </w:r>
    </w:p>
    <w:p w14:paraId="3835CBBA">
      <w:pPr>
        <w:spacing w:line="360" w:lineRule="auto"/>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九</w:t>
      </w:r>
      <w:r>
        <w:rPr>
          <w:rFonts w:hint="eastAsia" w:asciiTheme="minorEastAsia" w:hAnsiTheme="minorEastAsia" w:eastAsiaTheme="minorEastAsia" w:cstheme="minorEastAsia"/>
          <w:b/>
          <w:color w:val="auto"/>
          <w:sz w:val="24"/>
          <w:highlight w:val="none"/>
        </w:rPr>
        <w:t>、其他相关证明材料</w:t>
      </w:r>
    </w:p>
    <w:p w14:paraId="74FDE930">
      <w:pPr>
        <w:tabs>
          <w:tab w:val="left" w:pos="4620"/>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提供符合招标公告、招标需求及评审方法和标准规定的相关证明文件。</w:t>
      </w:r>
    </w:p>
    <w:p w14:paraId="3F3879FF">
      <w:pPr>
        <w:spacing w:line="360" w:lineRule="auto"/>
        <w:ind w:firstLine="435"/>
        <w:rPr>
          <w:rFonts w:hint="eastAsia" w:asciiTheme="minorEastAsia" w:hAnsiTheme="minorEastAsia" w:eastAsiaTheme="minorEastAsia" w:cstheme="minorEastAsia"/>
          <w:color w:val="auto"/>
          <w:sz w:val="24"/>
          <w:highlight w:val="none"/>
        </w:rPr>
      </w:pPr>
    </w:p>
    <w:sectPr>
      <w:headerReference r:id="rId6" w:type="default"/>
      <w:footerReference r:id="rId7"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EC5AFA-1558-4771-9572-809DA1E8AFB0}"/>
  </w:font>
  <w:font w:name="黑体">
    <w:panose1 w:val="02010609060101010101"/>
    <w:charset w:val="86"/>
    <w:family w:val="auto"/>
    <w:pitch w:val="default"/>
    <w:sig w:usb0="800002BF" w:usb1="38CF7CFA" w:usb2="00000016" w:usb3="00000000" w:csb0="00040001" w:csb1="00000000"/>
    <w:embedRegular r:id="rId2" w:fontKey="{0A81B396-55E8-4DED-951D-3B49D39033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D09BBB8-BB72-486C-89DA-50D1CE365290}"/>
  </w:font>
  <w:font w:name="仿宋_GB2312">
    <w:panose1 w:val="02010609030101010101"/>
    <w:charset w:val="86"/>
    <w:family w:val="auto"/>
    <w:pitch w:val="default"/>
    <w:sig w:usb0="00000001" w:usb1="080E0000" w:usb2="00000000" w:usb3="00000000" w:csb0="00040000" w:csb1="00000000"/>
    <w:embedRegular r:id="rId4" w:fontKey="{417FF07C-33D1-4605-9F1E-C2C132B80410}"/>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仿宋_GB2312"/>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E3F6B8FE-B8F1-4554-B627-A681FED2F077}"/>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embedRegular r:id="rId6" w:fontKey="{DB0AB555-EB0E-4B02-AC52-7135C7482577}"/>
  </w:font>
  <w:font w:name="Segoe UI">
    <w:panose1 w:val="020B0502040204020203"/>
    <w:charset w:val="00"/>
    <w:family w:val="auto"/>
    <w:pitch w:val="default"/>
    <w:sig w:usb0="E4002EFF" w:usb1="C000E47F" w:usb2="00000009" w:usb3="00000000" w:csb0="200001FF" w:csb1="00000000"/>
    <w:embedRegular r:id="rId7" w:fontKey="{5B6E3238-D310-4E97-8B82-08C9D75FB827}"/>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7"/>
      <w:jc w:val="center"/>
      <w:rPr>
        <w:rFonts w:ascii="Arial" w:hAnsi="Arial"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7"/>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rPr>
        <w:rFonts w:hint="default"/>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kOTFkNTEyOWFkZDFmOTAzMjU0ZTdlMDk5YjhiMjg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15E4"/>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633F85"/>
    <w:rsid w:val="017B2F92"/>
    <w:rsid w:val="017B7436"/>
    <w:rsid w:val="01AF35D1"/>
    <w:rsid w:val="01B15D5D"/>
    <w:rsid w:val="01C17FEF"/>
    <w:rsid w:val="01D93456"/>
    <w:rsid w:val="01ED7DBB"/>
    <w:rsid w:val="01EF13EE"/>
    <w:rsid w:val="01F72715"/>
    <w:rsid w:val="02103D94"/>
    <w:rsid w:val="02151EEE"/>
    <w:rsid w:val="021C2189"/>
    <w:rsid w:val="021F4265"/>
    <w:rsid w:val="02364FBB"/>
    <w:rsid w:val="02382C27"/>
    <w:rsid w:val="023F3511"/>
    <w:rsid w:val="024339CB"/>
    <w:rsid w:val="02682A2A"/>
    <w:rsid w:val="027337B3"/>
    <w:rsid w:val="027D06E5"/>
    <w:rsid w:val="02976536"/>
    <w:rsid w:val="02AD7AC3"/>
    <w:rsid w:val="02AE7397"/>
    <w:rsid w:val="02DB6B5E"/>
    <w:rsid w:val="02EC1FFF"/>
    <w:rsid w:val="02F63A2F"/>
    <w:rsid w:val="031054AA"/>
    <w:rsid w:val="03247659"/>
    <w:rsid w:val="03AC7D7B"/>
    <w:rsid w:val="03F762AA"/>
    <w:rsid w:val="03FA518C"/>
    <w:rsid w:val="0404043D"/>
    <w:rsid w:val="040C6A6B"/>
    <w:rsid w:val="040E529A"/>
    <w:rsid w:val="0430275A"/>
    <w:rsid w:val="044C38AB"/>
    <w:rsid w:val="045972F0"/>
    <w:rsid w:val="045B0C31"/>
    <w:rsid w:val="0462668B"/>
    <w:rsid w:val="04693B13"/>
    <w:rsid w:val="04714C7F"/>
    <w:rsid w:val="04905CE9"/>
    <w:rsid w:val="04B073F7"/>
    <w:rsid w:val="04C866EB"/>
    <w:rsid w:val="04DB2CAD"/>
    <w:rsid w:val="04EFFA1E"/>
    <w:rsid w:val="04F5119C"/>
    <w:rsid w:val="04FA68C4"/>
    <w:rsid w:val="05006369"/>
    <w:rsid w:val="0500742E"/>
    <w:rsid w:val="050F05C1"/>
    <w:rsid w:val="05194546"/>
    <w:rsid w:val="0524576E"/>
    <w:rsid w:val="054162A1"/>
    <w:rsid w:val="056A0FA1"/>
    <w:rsid w:val="057D0F55"/>
    <w:rsid w:val="057D520D"/>
    <w:rsid w:val="058A03B9"/>
    <w:rsid w:val="058E754E"/>
    <w:rsid w:val="05A05B06"/>
    <w:rsid w:val="05AC08F7"/>
    <w:rsid w:val="05CA5B9D"/>
    <w:rsid w:val="05CB3411"/>
    <w:rsid w:val="05CD3FD8"/>
    <w:rsid w:val="05D30528"/>
    <w:rsid w:val="05D4629F"/>
    <w:rsid w:val="05ED6429"/>
    <w:rsid w:val="066F6244"/>
    <w:rsid w:val="06704764"/>
    <w:rsid w:val="067A7CBC"/>
    <w:rsid w:val="068C0D46"/>
    <w:rsid w:val="069D2BE0"/>
    <w:rsid w:val="06AE5768"/>
    <w:rsid w:val="06B86512"/>
    <w:rsid w:val="06C5217B"/>
    <w:rsid w:val="06F3181D"/>
    <w:rsid w:val="0700034F"/>
    <w:rsid w:val="07024E5B"/>
    <w:rsid w:val="071F7685"/>
    <w:rsid w:val="0729785D"/>
    <w:rsid w:val="073A3E6D"/>
    <w:rsid w:val="07531BF8"/>
    <w:rsid w:val="07534192"/>
    <w:rsid w:val="075524D7"/>
    <w:rsid w:val="07924A9B"/>
    <w:rsid w:val="07971970"/>
    <w:rsid w:val="07B45450"/>
    <w:rsid w:val="07B832B0"/>
    <w:rsid w:val="07B87556"/>
    <w:rsid w:val="07C82CA9"/>
    <w:rsid w:val="07F33DC6"/>
    <w:rsid w:val="08204893"/>
    <w:rsid w:val="085F62D4"/>
    <w:rsid w:val="08935065"/>
    <w:rsid w:val="08B50556"/>
    <w:rsid w:val="08D12F8B"/>
    <w:rsid w:val="08E96A5C"/>
    <w:rsid w:val="08FB60D3"/>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C05ED5"/>
    <w:rsid w:val="0AD57BB7"/>
    <w:rsid w:val="0AE60A5A"/>
    <w:rsid w:val="0B224DC6"/>
    <w:rsid w:val="0B6121D2"/>
    <w:rsid w:val="0BDA16AA"/>
    <w:rsid w:val="0BE0477C"/>
    <w:rsid w:val="0BE1330C"/>
    <w:rsid w:val="0BEB5842"/>
    <w:rsid w:val="0BFA364D"/>
    <w:rsid w:val="0BFB1B63"/>
    <w:rsid w:val="0C073878"/>
    <w:rsid w:val="0C410E60"/>
    <w:rsid w:val="0C523489"/>
    <w:rsid w:val="0C5437E7"/>
    <w:rsid w:val="0C7840D0"/>
    <w:rsid w:val="0C8C02F7"/>
    <w:rsid w:val="0C937D2A"/>
    <w:rsid w:val="0CBA5828"/>
    <w:rsid w:val="0CE265BB"/>
    <w:rsid w:val="0CFD51A3"/>
    <w:rsid w:val="0D042714"/>
    <w:rsid w:val="0D0429D6"/>
    <w:rsid w:val="0D074274"/>
    <w:rsid w:val="0D225DB0"/>
    <w:rsid w:val="0D2D535E"/>
    <w:rsid w:val="0D40067A"/>
    <w:rsid w:val="0DA93E40"/>
    <w:rsid w:val="0DEE10BE"/>
    <w:rsid w:val="0DF43E62"/>
    <w:rsid w:val="0E100F06"/>
    <w:rsid w:val="0E1D481D"/>
    <w:rsid w:val="0E296B84"/>
    <w:rsid w:val="0E4378B3"/>
    <w:rsid w:val="0E763583"/>
    <w:rsid w:val="0EA35954"/>
    <w:rsid w:val="0EB65F51"/>
    <w:rsid w:val="0EB85295"/>
    <w:rsid w:val="0EC95C9F"/>
    <w:rsid w:val="0EDA2EEF"/>
    <w:rsid w:val="0EE24651"/>
    <w:rsid w:val="0F026827"/>
    <w:rsid w:val="0F3A26DF"/>
    <w:rsid w:val="0F4379B4"/>
    <w:rsid w:val="0F4C0664"/>
    <w:rsid w:val="0FA43FFC"/>
    <w:rsid w:val="0FAA4EAF"/>
    <w:rsid w:val="0FABE9D7"/>
    <w:rsid w:val="0FB21B7D"/>
    <w:rsid w:val="0FB86AA7"/>
    <w:rsid w:val="0FBD6F4C"/>
    <w:rsid w:val="0FD22F70"/>
    <w:rsid w:val="0FF24D67"/>
    <w:rsid w:val="0FFB6D66"/>
    <w:rsid w:val="101431DE"/>
    <w:rsid w:val="10227A07"/>
    <w:rsid w:val="102A1392"/>
    <w:rsid w:val="10301866"/>
    <w:rsid w:val="10315CA7"/>
    <w:rsid w:val="10585B65"/>
    <w:rsid w:val="106221A3"/>
    <w:rsid w:val="10AD6EE0"/>
    <w:rsid w:val="10CB64C5"/>
    <w:rsid w:val="10ED48D3"/>
    <w:rsid w:val="10F20D97"/>
    <w:rsid w:val="1111121D"/>
    <w:rsid w:val="111F3E95"/>
    <w:rsid w:val="1127517E"/>
    <w:rsid w:val="11323A31"/>
    <w:rsid w:val="11570667"/>
    <w:rsid w:val="11687E88"/>
    <w:rsid w:val="11763776"/>
    <w:rsid w:val="118045F5"/>
    <w:rsid w:val="118E6D12"/>
    <w:rsid w:val="119C66BF"/>
    <w:rsid w:val="11A46535"/>
    <w:rsid w:val="11A80D47"/>
    <w:rsid w:val="11CF379D"/>
    <w:rsid w:val="11DC78F9"/>
    <w:rsid w:val="120E4F7C"/>
    <w:rsid w:val="121F78C4"/>
    <w:rsid w:val="122431D2"/>
    <w:rsid w:val="1226519C"/>
    <w:rsid w:val="12586C88"/>
    <w:rsid w:val="12730B93"/>
    <w:rsid w:val="12902F6B"/>
    <w:rsid w:val="12AE187B"/>
    <w:rsid w:val="12B271C9"/>
    <w:rsid w:val="12C66037"/>
    <w:rsid w:val="12D0549C"/>
    <w:rsid w:val="12F20B40"/>
    <w:rsid w:val="13022906"/>
    <w:rsid w:val="13114A30"/>
    <w:rsid w:val="135342BD"/>
    <w:rsid w:val="13557AC5"/>
    <w:rsid w:val="136918E7"/>
    <w:rsid w:val="137B1159"/>
    <w:rsid w:val="138076CE"/>
    <w:rsid w:val="13EF1094"/>
    <w:rsid w:val="13EF58FB"/>
    <w:rsid w:val="13FC4E78"/>
    <w:rsid w:val="14270D58"/>
    <w:rsid w:val="14293E20"/>
    <w:rsid w:val="1442047D"/>
    <w:rsid w:val="146855F8"/>
    <w:rsid w:val="1471073F"/>
    <w:rsid w:val="147D5F29"/>
    <w:rsid w:val="148443FC"/>
    <w:rsid w:val="148A09C2"/>
    <w:rsid w:val="149E1A09"/>
    <w:rsid w:val="14B02E00"/>
    <w:rsid w:val="14DE7B68"/>
    <w:rsid w:val="14F803DE"/>
    <w:rsid w:val="14FC21E4"/>
    <w:rsid w:val="150F2E19"/>
    <w:rsid w:val="15282F5D"/>
    <w:rsid w:val="154C6CC8"/>
    <w:rsid w:val="155305B7"/>
    <w:rsid w:val="157042B8"/>
    <w:rsid w:val="1573515B"/>
    <w:rsid w:val="157C762B"/>
    <w:rsid w:val="15923843"/>
    <w:rsid w:val="1596722A"/>
    <w:rsid w:val="15A703A2"/>
    <w:rsid w:val="15BB6210"/>
    <w:rsid w:val="15DE21ED"/>
    <w:rsid w:val="15F72A6C"/>
    <w:rsid w:val="165A2044"/>
    <w:rsid w:val="16640041"/>
    <w:rsid w:val="16663DB9"/>
    <w:rsid w:val="166762DE"/>
    <w:rsid w:val="166B13D0"/>
    <w:rsid w:val="166C5148"/>
    <w:rsid w:val="16730284"/>
    <w:rsid w:val="16887986"/>
    <w:rsid w:val="16916657"/>
    <w:rsid w:val="16930926"/>
    <w:rsid w:val="16A14DF1"/>
    <w:rsid w:val="16FC651F"/>
    <w:rsid w:val="173537D5"/>
    <w:rsid w:val="17635248"/>
    <w:rsid w:val="17AF79E2"/>
    <w:rsid w:val="17C606A0"/>
    <w:rsid w:val="17C90A93"/>
    <w:rsid w:val="182E4A5F"/>
    <w:rsid w:val="183432DB"/>
    <w:rsid w:val="185E19C0"/>
    <w:rsid w:val="18602A8A"/>
    <w:rsid w:val="186D2DAD"/>
    <w:rsid w:val="18820C52"/>
    <w:rsid w:val="18A67BE9"/>
    <w:rsid w:val="18AD2A16"/>
    <w:rsid w:val="18BD7BD0"/>
    <w:rsid w:val="18E13BCB"/>
    <w:rsid w:val="18EE0096"/>
    <w:rsid w:val="190E24E6"/>
    <w:rsid w:val="191F04B0"/>
    <w:rsid w:val="19234009"/>
    <w:rsid w:val="19792055"/>
    <w:rsid w:val="199B4334"/>
    <w:rsid w:val="19AE222D"/>
    <w:rsid w:val="19BF0CE4"/>
    <w:rsid w:val="19CF4FDE"/>
    <w:rsid w:val="19E144CF"/>
    <w:rsid w:val="19FE2C0F"/>
    <w:rsid w:val="1A361BB4"/>
    <w:rsid w:val="1A3751AB"/>
    <w:rsid w:val="1A3C32CC"/>
    <w:rsid w:val="1A3F5676"/>
    <w:rsid w:val="1A4D1FC0"/>
    <w:rsid w:val="1A4F7424"/>
    <w:rsid w:val="1A722DDD"/>
    <w:rsid w:val="1A8817AA"/>
    <w:rsid w:val="1AA42C91"/>
    <w:rsid w:val="1AB11059"/>
    <w:rsid w:val="1AB66952"/>
    <w:rsid w:val="1AC2012B"/>
    <w:rsid w:val="1AC83E8D"/>
    <w:rsid w:val="1AD05CA5"/>
    <w:rsid w:val="1AD67E21"/>
    <w:rsid w:val="1AF8060F"/>
    <w:rsid w:val="1AFB36BE"/>
    <w:rsid w:val="1AFC1232"/>
    <w:rsid w:val="1B154000"/>
    <w:rsid w:val="1B17349C"/>
    <w:rsid w:val="1B613294"/>
    <w:rsid w:val="1BCF41AF"/>
    <w:rsid w:val="1BD86ABB"/>
    <w:rsid w:val="1BDB3E45"/>
    <w:rsid w:val="1C2A75A8"/>
    <w:rsid w:val="1C572903"/>
    <w:rsid w:val="1C8651B5"/>
    <w:rsid w:val="1C8B33CB"/>
    <w:rsid w:val="1C9D42AD"/>
    <w:rsid w:val="1CA53161"/>
    <w:rsid w:val="1CCF73E6"/>
    <w:rsid w:val="1CD33C78"/>
    <w:rsid w:val="1CEF0653"/>
    <w:rsid w:val="1D1633DB"/>
    <w:rsid w:val="1D3028A5"/>
    <w:rsid w:val="1D653FD5"/>
    <w:rsid w:val="1D862F93"/>
    <w:rsid w:val="1D9236E6"/>
    <w:rsid w:val="1D931E0A"/>
    <w:rsid w:val="1DB14C98"/>
    <w:rsid w:val="1DC22612"/>
    <w:rsid w:val="1DC94A52"/>
    <w:rsid w:val="1DE6D2DE"/>
    <w:rsid w:val="1E0B65F8"/>
    <w:rsid w:val="1E194358"/>
    <w:rsid w:val="1E79668E"/>
    <w:rsid w:val="1EAE49C7"/>
    <w:rsid w:val="1EC75611"/>
    <w:rsid w:val="1F4B3F19"/>
    <w:rsid w:val="1F58571C"/>
    <w:rsid w:val="1F614D81"/>
    <w:rsid w:val="1F7547FB"/>
    <w:rsid w:val="1FC81641"/>
    <w:rsid w:val="1FC972B5"/>
    <w:rsid w:val="1FCF54B9"/>
    <w:rsid w:val="1FEA15B7"/>
    <w:rsid w:val="1FED0B4E"/>
    <w:rsid w:val="1FF4147B"/>
    <w:rsid w:val="1FF561AE"/>
    <w:rsid w:val="1FF704A7"/>
    <w:rsid w:val="201B1917"/>
    <w:rsid w:val="20256A93"/>
    <w:rsid w:val="2033565F"/>
    <w:rsid w:val="204D7D98"/>
    <w:rsid w:val="2059498F"/>
    <w:rsid w:val="20710D0B"/>
    <w:rsid w:val="20786F8B"/>
    <w:rsid w:val="20946051"/>
    <w:rsid w:val="20B16579"/>
    <w:rsid w:val="20B34C6B"/>
    <w:rsid w:val="20C067BC"/>
    <w:rsid w:val="20C302C5"/>
    <w:rsid w:val="20D504B9"/>
    <w:rsid w:val="20D568F7"/>
    <w:rsid w:val="20E71C8B"/>
    <w:rsid w:val="20EC135F"/>
    <w:rsid w:val="20FF72E4"/>
    <w:rsid w:val="212F42EC"/>
    <w:rsid w:val="213B1AA3"/>
    <w:rsid w:val="215B0293"/>
    <w:rsid w:val="21763A79"/>
    <w:rsid w:val="2193532F"/>
    <w:rsid w:val="21C34E85"/>
    <w:rsid w:val="21C67DF7"/>
    <w:rsid w:val="21D73DBD"/>
    <w:rsid w:val="21D81213"/>
    <w:rsid w:val="21E253A6"/>
    <w:rsid w:val="22262F09"/>
    <w:rsid w:val="2228286B"/>
    <w:rsid w:val="22405E06"/>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B5501"/>
    <w:rsid w:val="23AC3027"/>
    <w:rsid w:val="23B55F2B"/>
    <w:rsid w:val="23D031BA"/>
    <w:rsid w:val="23FC534D"/>
    <w:rsid w:val="2460234C"/>
    <w:rsid w:val="247C2D8F"/>
    <w:rsid w:val="248539D2"/>
    <w:rsid w:val="24961D0D"/>
    <w:rsid w:val="2496467F"/>
    <w:rsid w:val="24B34650"/>
    <w:rsid w:val="24E8350B"/>
    <w:rsid w:val="25075369"/>
    <w:rsid w:val="251004E8"/>
    <w:rsid w:val="2513335E"/>
    <w:rsid w:val="25164BFC"/>
    <w:rsid w:val="251B0465"/>
    <w:rsid w:val="251E609F"/>
    <w:rsid w:val="25271C7B"/>
    <w:rsid w:val="256924E9"/>
    <w:rsid w:val="256E4A38"/>
    <w:rsid w:val="2584600A"/>
    <w:rsid w:val="258B0549"/>
    <w:rsid w:val="25A65A51"/>
    <w:rsid w:val="25B51460"/>
    <w:rsid w:val="25CF51D2"/>
    <w:rsid w:val="25D02118"/>
    <w:rsid w:val="25FF7D86"/>
    <w:rsid w:val="26105AEF"/>
    <w:rsid w:val="26375264"/>
    <w:rsid w:val="26451C3D"/>
    <w:rsid w:val="264D0715"/>
    <w:rsid w:val="269F02EF"/>
    <w:rsid w:val="26D952E4"/>
    <w:rsid w:val="26EB5173"/>
    <w:rsid w:val="26FA337A"/>
    <w:rsid w:val="271A10DF"/>
    <w:rsid w:val="271D6716"/>
    <w:rsid w:val="27287C98"/>
    <w:rsid w:val="27403895"/>
    <w:rsid w:val="27565784"/>
    <w:rsid w:val="27637353"/>
    <w:rsid w:val="27657645"/>
    <w:rsid w:val="27932534"/>
    <w:rsid w:val="279B7EF1"/>
    <w:rsid w:val="27AE7257"/>
    <w:rsid w:val="27C135C1"/>
    <w:rsid w:val="27D172E0"/>
    <w:rsid w:val="27DA2C46"/>
    <w:rsid w:val="283C77D9"/>
    <w:rsid w:val="285048C9"/>
    <w:rsid w:val="285F4B0C"/>
    <w:rsid w:val="286C07DA"/>
    <w:rsid w:val="289F3105"/>
    <w:rsid w:val="28F1377F"/>
    <w:rsid w:val="28F21994"/>
    <w:rsid w:val="29023E15"/>
    <w:rsid w:val="292B04CC"/>
    <w:rsid w:val="29493A78"/>
    <w:rsid w:val="29591CD4"/>
    <w:rsid w:val="295C2DFA"/>
    <w:rsid w:val="296F6E5A"/>
    <w:rsid w:val="29710F8A"/>
    <w:rsid w:val="298C7B83"/>
    <w:rsid w:val="29986528"/>
    <w:rsid w:val="29AC3D81"/>
    <w:rsid w:val="29B63917"/>
    <w:rsid w:val="29B643EE"/>
    <w:rsid w:val="29BA1071"/>
    <w:rsid w:val="29BB3F92"/>
    <w:rsid w:val="29C54E43"/>
    <w:rsid w:val="29E51916"/>
    <w:rsid w:val="2A0F3FB0"/>
    <w:rsid w:val="2A300EB8"/>
    <w:rsid w:val="2A35412F"/>
    <w:rsid w:val="2A573E05"/>
    <w:rsid w:val="2A835621"/>
    <w:rsid w:val="2A8A61F7"/>
    <w:rsid w:val="2ADE6B4A"/>
    <w:rsid w:val="2AE06F36"/>
    <w:rsid w:val="2AF14D9F"/>
    <w:rsid w:val="2B2D2CA0"/>
    <w:rsid w:val="2B472907"/>
    <w:rsid w:val="2B7F538B"/>
    <w:rsid w:val="2BB60EE7"/>
    <w:rsid w:val="2BBA59CC"/>
    <w:rsid w:val="2BBFAB6C"/>
    <w:rsid w:val="2BE12008"/>
    <w:rsid w:val="2BEC4909"/>
    <w:rsid w:val="2BF92F32"/>
    <w:rsid w:val="2BFB406D"/>
    <w:rsid w:val="2C3047F6"/>
    <w:rsid w:val="2C3C684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8A11BD"/>
    <w:rsid w:val="2D93660F"/>
    <w:rsid w:val="2DB77A10"/>
    <w:rsid w:val="2DBA114A"/>
    <w:rsid w:val="2DBA2F11"/>
    <w:rsid w:val="2DCD5993"/>
    <w:rsid w:val="2DD7283F"/>
    <w:rsid w:val="2DE3321F"/>
    <w:rsid w:val="2DED5FB6"/>
    <w:rsid w:val="2DF45CF7"/>
    <w:rsid w:val="2E6F797A"/>
    <w:rsid w:val="2E79764E"/>
    <w:rsid w:val="2EA33BEA"/>
    <w:rsid w:val="2EA64F2E"/>
    <w:rsid w:val="2EB2322D"/>
    <w:rsid w:val="2EB77450"/>
    <w:rsid w:val="2EF51D26"/>
    <w:rsid w:val="2EFB2629"/>
    <w:rsid w:val="2F0E519C"/>
    <w:rsid w:val="2F115822"/>
    <w:rsid w:val="2F290682"/>
    <w:rsid w:val="2F2B74F6"/>
    <w:rsid w:val="2F3C7955"/>
    <w:rsid w:val="2F48454C"/>
    <w:rsid w:val="2F4A02C4"/>
    <w:rsid w:val="2F5051AF"/>
    <w:rsid w:val="2F566C69"/>
    <w:rsid w:val="2F6509D0"/>
    <w:rsid w:val="2F995607"/>
    <w:rsid w:val="2F9B6BBA"/>
    <w:rsid w:val="2FB947ED"/>
    <w:rsid w:val="2FCE3EB5"/>
    <w:rsid w:val="2FED1391"/>
    <w:rsid w:val="2FFA2D68"/>
    <w:rsid w:val="2FFFA932"/>
    <w:rsid w:val="300541EB"/>
    <w:rsid w:val="301343BA"/>
    <w:rsid w:val="301937F3"/>
    <w:rsid w:val="3034062C"/>
    <w:rsid w:val="30414B62"/>
    <w:rsid w:val="30430CA1"/>
    <w:rsid w:val="30474804"/>
    <w:rsid w:val="304D4D93"/>
    <w:rsid w:val="30527936"/>
    <w:rsid w:val="305828BA"/>
    <w:rsid w:val="30594760"/>
    <w:rsid w:val="3076603D"/>
    <w:rsid w:val="30AE38E8"/>
    <w:rsid w:val="30BD6874"/>
    <w:rsid w:val="30C21AE7"/>
    <w:rsid w:val="30D53BBD"/>
    <w:rsid w:val="30DA11D4"/>
    <w:rsid w:val="30EC4E9A"/>
    <w:rsid w:val="30F43803"/>
    <w:rsid w:val="30F77150"/>
    <w:rsid w:val="31197F4E"/>
    <w:rsid w:val="31232434"/>
    <w:rsid w:val="312A197D"/>
    <w:rsid w:val="3132141C"/>
    <w:rsid w:val="31334AC6"/>
    <w:rsid w:val="31543F3A"/>
    <w:rsid w:val="31585844"/>
    <w:rsid w:val="317A4765"/>
    <w:rsid w:val="319770C5"/>
    <w:rsid w:val="31C20277"/>
    <w:rsid w:val="31C809E6"/>
    <w:rsid w:val="321720DE"/>
    <w:rsid w:val="3218123E"/>
    <w:rsid w:val="32190491"/>
    <w:rsid w:val="32643A85"/>
    <w:rsid w:val="32667020"/>
    <w:rsid w:val="32702C04"/>
    <w:rsid w:val="327515D8"/>
    <w:rsid w:val="329B497D"/>
    <w:rsid w:val="32A25A3B"/>
    <w:rsid w:val="32AB0692"/>
    <w:rsid w:val="32B545C0"/>
    <w:rsid w:val="32D700C1"/>
    <w:rsid w:val="32E53291"/>
    <w:rsid w:val="33122EA7"/>
    <w:rsid w:val="331533CF"/>
    <w:rsid w:val="332419C2"/>
    <w:rsid w:val="332848FF"/>
    <w:rsid w:val="333170A5"/>
    <w:rsid w:val="333755A9"/>
    <w:rsid w:val="334223E0"/>
    <w:rsid w:val="33587D99"/>
    <w:rsid w:val="335E60EC"/>
    <w:rsid w:val="336B3E69"/>
    <w:rsid w:val="33814F8D"/>
    <w:rsid w:val="33857B1D"/>
    <w:rsid w:val="339A650A"/>
    <w:rsid w:val="33CB02F8"/>
    <w:rsid w:val="34034EE6"/>
    <w:rsid w:val="34037804"/>
    <w:rsid w:val="34041F1A"/>
    <w:rsid w:val="341A3EBD"/>
    <w:rsid w:val="342F5CDB"/>
    <w:rsid w:val="343706EB"/>
    <w:rsid w:val="345C74F2"/>
    <w:rsid w:val="34703188"/>
    <w:rsid w:val="34B6208F"/>
    <w:rsid w:val="34BD4190"/>
    <w:rsid w:val="34BF01E0"/>
    <w:rsid w:val="34C5219B"/>
    <w:rsid w:val="34CB3182"/>
    <w:rsid w:val="34D707D6"/>
    <w:rsid w:val="35085D0E"/>
    <w:rsid w:val="3511441F"/>
    <w:rsid w:val="35164520"/>
    <w:rsid w:val="3538471B"/>
    <w:rsid w:val="356B4AF0"/>
    <w:rsid w:val="357725E6"/>
    <w:rsid w:val="357F9A1B"/>
    <w:rsid w:val="35C12962"/>
    <w:rsid w:val="35CA5890"/>
    <w:rsid w:val="35D96C73"/>
    <w:rsid w:val="35F5085E"/>
    <w:rsid w:val="36146F36"/>
    <w:rsid w:val="362D4E42"/>
    <w:rsid w:val="369858BF"/>
    <w:rsid w:val="369E291D"/>
    <w:rsid w:val="36B6389F"/>
    <w:rsid w:val="36C4095C"/>
    <w:rsid w:val="36DA2C22"/>
    <w:rsid w:val="36EC3A0F"/>
    <w:rsid w:val="36F76C40"/>
    <w:rsid w:val="371371EE"/>
    <w:rsid w:val="37264343"/>
    <w:rsid w:val="37445638"/>
    <w:rsid w:val="37450E5C"/>
    <w:rsid w:val="37500442"/>
    <w:rsid w:val="376C68FE"/>
    <w:rsid w:val="3777FF18"/>
    <w:rsid w:val="37A61E10"/>
    <w:rsid w:val="37B60EBC"/>
    <w:rsid w:val="37C2431F"/>
    <w:rsid w:val="37C56917"/>
    <w:rsid w:val="37C84E9C"/>
    <w:rsid w:val="37CF55FF"/>
    <w:rsid w:val="37F7EBB5"/>
    <w:rsid w:val="380357AD"/>
    <w:rsid w:val="38196A86"/>
    <w:rsid w:val="38304C62"/>
    <w:rsid w:val="3834542A"/>
    <w:rsid w:val="3834566E"/>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1825"/>
    <w:rsid w:val="39E12279"/>
    <w:rsid w:val="39F30BFB"/>
    <w:rsid w:val="3A0720D5"/>
    <w:rsid w:val="3A1005E3"/>
    <w:rsid w:val="3A145757"/>
    <w:rsid w:val="3A1F5EA9"/>
    <w:rsid w:val="3A2C2CB0"/>
    <w:rsid w:val="3A3047A5"/>
    <w:rsid w:val="3A3A65D2"/>
    <w:rsid w:val="3A447A1F"/>
    <w:rsid w:val="3A4B643A"/>
    <w:rsid w:val="3A7C7AC5"/>
    <w:rsid w:val="3A802DEC"/>
    <w:rsid w:val="3A8C23C1"/>
    <w:rsid w:val="3A95616C"/>
    <w:rsid w:val="3A9A444B"/>
    <w:rsid w:val="3AC61DE4"/>
    <w:rsid w:val="3AE838BC"/>
    <w:rsid w:val="3AF636FA"/>
    <w:rsid w:val="3AF954DC"/>
    <w:rsid w:val="3AFB06C4"/>
    <w:rsid w:val="3B2A71FC"/>
    <w:rsid w:val="3B2C4D22"/>
    <w:rsid w:val="3B467E8E"/>
    <w:rsid w:val="3B4B61A3"/>
    <w:rsid w:val="3B68689B"/>
    <w:rsid w:val="3B9DC9AF"/>
    <w:rsid w:val="3BBA40DC"/>
    <w:rsid w:val="3BD00198"/>
    <w:rsid w:val="3BD038FF"/>
    <w:rsid w:val="3BD60810"/>
    <w:rsid w:val="3BF35840"/>
    <w:rsid w:val="3BF6BE16"/>
    <w:rsid w:val="3BFC72F9"/>
    <w:rsid w:val="3C3A47FE"/>
    <w:rsid w:val="3C4D31A2"/>
    <w:rsid w:val="3C770C51"/>
    <w:rsid w:val="3C86556E"/>
    <w:rsid w:val="3C9C1EDC"/>
    <w:rsid w:val="3CA20495"/>
    <w:rsid w:val="3CA871F1"/>
    <w:rsid w:val="3CAF6B4F"/>
    <w:rsid w:val="3CC1358A"/>
    <w:rsid w:val="3CE157CC"/>
    <w:rsid w:val="3CF45AB1"/>
    <w:rsid w:val="3D0F5AAB"/>
    <w:rsid w:val="3D270A63"/>
    <w:rsid w:val="3D2757A1"/>
    <w:rsid w:val="3D3251B2"/>
    <w:rsid w:val="3D4F4CF8"/>
    <w:rsid w:val="3D63216E"/>
    <w:rsid w:val="3D864DFE"/>
    <w:rsid w:val="3D9A2531"/>
    <w:rsid w:val="3DA204A8"/>
    <w:rsid w:val="3DAE01CF"/>
    <w:rsid w:val="3DCC6A70"/>
    <w:rsid w:val="3DEFA476"/>
    <w:rsid w:val="3E0D0E3B"/>
    <w:rsid w:val="3E1201FF"/>
    <w:rsid w:val="3E3839DE"/>
    <w:rsid w:val="3E3FFB3A"/>
    <w:rsid w:val="3E4B70C0"/>
    <w:rsid w:val="3E5D7C39"/>
    <w:rsid w:val="3E5F0359"/>
    <w:rsid w:val="3E791810"/>
    <w:rsid w:val="3E7D478B"/>
    <w:rsid w:val="3E941710"/>
    <w:rsid w:val="3E9A6D2D"/>
    <w:rsid w:val="3EAC1033"/>
    <w:rsid w:val="3EB33728"/>
    <w:rsid w:val="3EFE69D5"/>
    <w:rsid w:val="3EFF799A"/>
    <w:rsid w:val="3F147BD8"/>
    <w:rsid w:val="3F204B9E"/>
    <w:rsid w:val="3F2E35FA"/>
    <w:rsid w:val="3F440A6D"/>
    <w:rsid w:val="3F6031EC"/>
    <w:rsid w:val="3F6128A3"/>
    <w:rsid w:val="3F7C1A35"/>
    <w:rsid w:val="3F876C14"/>
    <w:rsid w:val="3F8C2233"/>
    <w:rsid w:val="3FA0183A"/>
    <w:rsid w:val="3FB3A5CF"/>
    <w:rsid w:val="3FB9DFF0"/>
    <w:rsid w:val="3FBE1F95"/>
    <w:rsid w:val="3FE92E75"/>
    <w:rsid w:val="3FEF85C2"/>
    <w:rsid w:val="3FF80B59"/>
    <w:rsid w:val="3FFB87B3"/>
    <w:rsid w:val="4001306B"/>
    <w:rsid w:val="40273D0A"/>
    <w:rsid w:val="40320F75"/>
    <w:rsid w:val="406B1E48"/>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8471F1"/>
    <w:rsid w:val="42C6780A"/>
    <w:rsid w:val="42F83EEA"/>
    <w:rsid w:val="430B16C1"/>
    <w:rsid w:val="43100A85"/>
    <w:rsid w:val="432664FB"/>
    <w:rsid w:val="43334BED"/>
    <w:rsid w:val="434F5A51"/>
    <w:rsid w:val="43647127"/>
    <w:rsid w:val="43771229"/>
    <w:rsid w:val="43C26ECE"/>
    <w:rsid w:val="43C91C91"/>
    <w:rsid w:val="43E86F4C"/>
    <w:rsid w:val="441578FA"/>
    <w:rsid w:val="441F0B16"/>
    <w:rsid w:val="44681429"/>
    <w:rsid w:val="4496304A"/>
    <w:rsid w:val="44A517DD"/>
    <w:rsid w:val="44A818BD"/>
    <w:rsid w:val="44AA1EA1"/>
    <w:rsid w:val="44C96C82"/>
    <w:rsid w:val="45036AF3"/>
    <w:rsid w:val="45487A8E"/>
    <w:rsid w:val="454F300E"/>
    <w:rsid w:val="4568227F"/>
    <w:rsid w:val="45754296"/>
    <w:rsid w:val="457A3D23"/>
    <w:rsid w:val="45877724"/>
    <w:rsid w:val="45997458"/>
    <w:rsid w:val="45A8769B"/>
    <w:rsid w:val="45BA4E3B"/>
    <w:rsid w:val="45C14613"/>
    <w:rsid w:val="45E14209"/>
    <w:rsid w:val="45EC556F"/>
    <w:rsid w:val="45F656FE"/>
    <w:rsid w:val="4612476D"/>
    <w:rsid w:val="461B6D11"/>
    <w:rsid w:val="461D3BE5"/>
    <w:rsid w:val="462A180E"/>
    <w:rsid w:val="46353667"/>
    <w:rsid w:val="467FB0A5"/>
    <w:rsid w:val="4698326B"/>
    <w:rsid w:val="469FBF30"/>
    <w:rsid w:val="46AA2F71"/>
    <w:rsid w:val="46E44703"/>
    <w:rsid w:val="470B4500"/>
    <w:rsid w:val="473C166C"/>
    <w:rsid w:val="474C7367"/>
    <w:rsid w:val="4760218C"/>
    <w:rsid w:val="47770852"/>
    <w:rsid w:val="478D4D9A"/>
    <w:rsid w:val="47995B9E"/>
    <w:rsid w:val="47AA14E5"/>
    <w:rsid w:val="47AD4F03"/>
    <w:rsid w:val="47B55E81"/>
    <w:rsid w:val="47CA72BB"/>
    <w:rsid w:val="47E937D8"/>
    <w:rsid w:val="48084421"/>
    <w:rsid w:val="48126A4D"/>
    <w:rsid w:val="4820238E"/>
    <w:rsid w:val="484E5585"/>
    <w:rsid w:val="485338EE"/>
    <w:rsid w:val="486E0728"/>
    <w:rsid w:val="48971D34"/>
    <w:rsid w:val="491267DF"/>
    <w:rsid w:val="491C0184"/>
    <w:rsid w:val="49226F0A"/>
    <w:rsid w:val="49362D3A"/>
    <w:rsid w:val="49521DF7"/>
    <w:rsid w:val="49557B3A"/>
    <w:rsid w:val="495F603B"/>
    <w:rsid w:val="498B57D8"/>
    <w:rsid w:val="49B303BC"/>
    <w:rsid w:val="49BB05BF"/>
    <w:rsid w:val="49BE7DC6"/>
    <w:rsid w:val="49C75EDA"/>
    <w:rsid w:val="49DE0A5E"/>
    <w:rsid w:val="4A0278B7"/>
    <w:rsid w:val="4A0B01F8"/>
    <w:rsid w:val="4A2F5729"/>
    <w:rsid w:val="4A3D1B6F"/>
    <w:rsid w:val="4A47036A"/>
    <w:rsid w:val="4A8C7090"/>
    <w:rsid w:val="4ACD3F08"/>
    <w:rsid w:val="4B0215FB"/>
    <w:rsid w:val="4B233854"/>
    <w:rsid w:val="4B3A009C"/>
    <w:rsid w:val="4B4A2CEC"/>
    <w:rsid w:val="4B4D25EC"/>
    <w:rsid w:val="4B575558"/>
    <w:rsid w:val="4B5856BF"/>
    <w:rsid w:val="4B5A0EBE"/>
    <w:rsid w:val="4B613429"/>
    <w:rsid w:val="4B7859A5"/>
    <w:rsid w:val="4B7A0ABE"/>
    <w:rsid w:val="4B914224"/>
    <w:rsid w:val="4B960E56"/>
    <w:rsid w:val="4BA1350A"/>
    <w:rsid w:val="4BD258F2"/>
    <w:rsid w:val="4BE86A43"/>
    <w:rsid w:val="4BF3033F"/>
    <w:rsid w:val="4BF52F0E"/>
    <w:rsid w:val="4C1E2465"/>
    <w:rsid w:val="4C2F4E4F"/>
    <w:rsid w:val="4C5275FC"/>
    <w:rsid w:val="4C5C55AD"/>
    <w:rsid w:val="4C6E1FFB"/>
    <w:rsid w:val="4CB15087"/>
    <w:rsid w:val="4CC052CA"/>
    <w:rsid w:val="4D111FCA"/>
    <w:rsid w:val="4D5C3A5E"/>
    <w:rsid w:val="4D6F8630"/>
    <w:rsid w:val="4D72244E"/>
    <w:rsid w:val="4D7240AF"/>
    <w:rsid w:val="4D73771A"/>
    <w:rsid w:val="4D9F1383"/>
    <w:rsid w:val="4DB73221"/>
    <w:rsid w:val="4DCB2178"/>
    <w:rsid w:val="4DD3102D"/>
    <w:rsid w:val="4E17245D"/>
    <w:rsid w:val="4E266826"/>
    <w:rsid w:val="4E2A3343"/>
    <w:rsid w:val="4E5D1AB9"/>
    <w:rsid w:val="4E6B7E80"/>
    <w:rsid w:val="4E6D1139"/>
    <w:rsid w:val="4E86609F"/>
    <w:rsid w:val="4EBD4EA8"/>
    <w:rsid w:val="4EC2442C"/>
    <w:rsid w:val="4EC70B92"/>
    <w:rsid w:val="4EDD2F44"/>
    <w:rsid w:val="4EFE0E3F"/>
    <w:rsid w:val="4F295E53"/>
    <w:rsid w:val="4F3729BF"/>
    <w:rsid w:val="4F7721D5"/>
    <w:rsid w:val="4F8776A0"/>
    <w:rsid w:val="4F883DEB"/>
    <w:rsid w:val="4F8C0F11"/>
    <w:rsid w:val="4F97214F"/>
    <w:rsid w:val="4FB235F0"/>
    <w:rsid w:val="4FBE8714"/>
    <w:rsid w:val="4FD30759"/>
    <w:rsid w:val="4FDB1F74"/>
    <w:rsid w:val="4FEF2B17"/>
    <w:rsid w:val="4FF57F4D"/>
    <w:rsid w:val="50153B7F"/>
    <w:rsid w:val="501B52E3"/>
    <w:rsid w:val="50206A09"/>
    <w:rsid w:val="503404A9"/>
    <w:rsid w:val="503E4A83"/>
    <w:rsid w:val="50577CF3"/>
    <w:rsid w:val="506A2AFE"/>
    <w:rsid w:val="5095081C"/>
    <w:rsid w:val="50B1634E"/>
    <w:rsid w:val="50C555A5"/>
    <w:rsid w:val="50EA5EA6"/>
    <w:rsid w:val="50F44BFF"/>
    <w:rsid w:val="5114119C"/>
    <w:rsid w:val="51156C3B"/>
    <w:rsid w:val="5119769F"/>
    <w:rsid w:val="51281D55"/>
    <w:rsid w:val="51452242"/>
    <w:rsid w:val="5179477F"/>
    <w:rsid w:val="517B1EA6"/>
    <w:rsid w:val="518F07D2"/>
    <w:rsid w:val="51A20865"/>
    <w:rsid w:val="51B04CD5"/>
    <w:rsid w:val="51F83758"/>
    <w:rsid w:val="51FFF99A"/>
    <w:rsid w:val="521D477A"/>
    <w:rsid w:val="522220BC"/>
    <w:rsid w:val="52285DEB"/>
    <w:rsid w:val="522B1438"/>
    <w:rsid w:val="527C6137"/>
    <w:rsid w:val="52A64F11"/>
    <w:rsid w:val="52A65DDA"/>
    <w:rsid w:val="52BE5CCF"/>
    <w:rsid w:val="52D15A02"/>
    <w:rsid w:val="52DE64B1"/>
    <w:rsid w:val="52E0059C"/>
    <w:rsid w:val="52E23FE1"/>
    <w:rsid w:val="537D2167"/>
    <w:rsid w:val="53E57C5E"/>
    <w:rsid w:val="53ECE407"/>
    <w:rsid w:val="54025A06"/>
    <w:rsid w:val="54422A68"/>
    <w:rsid w:val="546450D5"/>
    <w:rsid w:val="54AF2286"/>
    <w:rsid w:val="54B55930"/>
    <w:rsid w:val="54B813E9"/>
    <w:rsid w:val="54CD4A28"/>
    <w:rsid w:val="54E47D1B"/>
    <w:rsid w:val="54EC5ACF"/>
    <w:rsid w:val="551F124E"/>
    <w:rsid w:val="5529361E"/>
    <w:rsid w:val="554747DA"/>
    <w:rsid w:val="5560764A"/>
    <w:rsid w:val="557773FB"/>
    <w:rsid w:val="55903F90"/>
    <w:rsid w:val="55B94FAC"/>
    <w:rsid w:val="561F12B3"/>
    <w:rsid w:val="56366476"/>
    <w:rsid w:val="56885723"/>
    <w:rsid w:val="56BD3C46"/>
    <w:rsid w:val="56DA5E47"/>
    <w:rsid w:val="56E06209"/>
    <w:rsid w:val="56F6276E"/>
    <w:rsid w:val="57030BD5"/>
    <w:rsid w:val="571A55FE"/>
    <w:rsid w:val="572B2E52"/>
    <w:rsid w:val="572C6D7D"/>
    <w:rsid w:val="575A7E5A"/>
    <w:rsid w:val="5762BC0C"/>
    <w:rsid w:val="5766B936"/>
    <w:rsid w:val="57733075"/>
    <w:rsid w:val="57792C45"/>
    <w:rsid w:val="577D0987"/>
    <w:rsid w:val="577F4CFA"/>
    <w:rsid w:val="57A22D8A"/>
    <w:rsid w:val="57AA49DE"/>
    <w:rsid w:val="57C609EB"/>
    <w:rsid w:val="57D568F2"/>
    <w:rsid w:val="57E67CBF"/>
    <w:rsid w:val="58051797"/>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0A624B"/>
    <w:rsid w:val="59105F23"/>
    <w:rsid w:val="59352B9C"/>
    <w:rsid w:val="593A7A80"/>
    <w:rsid w:val="594503B9"/>
    <w:rsid w:val="59457283"/>
    <w:rsid w:val="59510B0C"/>
    <w:rsid w:val="5955110A"/>
    <w:rsid w:val="5979231B"/>
    <w:rsid w:val="59820DB0"/>
    <w:rsid w:val="5985328C"/>
    <w:rsid w:val="599B5542"/>
    <w:rsid w:val="59D2488F"/>
    <w:rsid w:val="59D75463"/>
    <w:rsid w:val="59DC570A"/>
    <w:rsid w:val="59E35308"/>
    <w:rsid w:val="59E5393F"/>
    <w:rsid w:val="5A037476"/>
    <w:rsid w:val="5A054C64"/>
    <w:rsid w:val="5A200688"/>
    <w:rsid w:val="5A3302B0"/>
    <w:rsid w:val="5A6831D8"/>
    <w:rsid w:val="5A767910"/>
    <w:rsid w:val="5A7B19D3"/>
    <w:rsid w:val="5A81642B"/>
    <w:rsid w:val="5A9A0889"/>
    <w:rsid w:val="5AB3021C"/>
    <w:rsid w:val="5AB6785F"/>
    <w:rsid w:val="5ABF67CA"/>
    <w:rsid w:val="5AEA5520"/>
    <w:rsid w:val="5AFA1676"/>
    <w:rsid w:val="5B155DE7"/>
    <w:rsid w:val="5B4D6AD9"/>
    <w:rsid w:val="5B5E05F5"/>
    <w:rsid w:val="5B9A46F8"/>
    <w:rsid w:val="5BC11016"/>
    <w:rsid w:val="5BDB0397"/>
    <w:rsid w:val="5BEC60DC"/>
    <w:rsid w:val="5BF57AC9"/>
    <w:rsid w:val="5BF6356E"/>
    <w:rsid w:val="5C190553"/>
    <w:rsid w:val="5C3D00E9"/>
    <w:rsid w:val="5C6F38B9"/>
    <w:rsid w:val="5C9F6CAA"/>
    <w:rsid w:val="5CA93F38"/>
    <w:rsid w:val="5CD62855"/>
    <w:rsid w:val="5CE15514"/>
    <w:rsid w:val="5CE371E2"/>
    <w:rsid w:val="5CF79B62"/>
    <w:rsid w:val="5CF923F8"/>
    <w:rsid w:val="5CFD3405"/>
    <w:rsid w:val="5D13024E"/>
    <w:rsid w:val="5D1D5D61"/>
    <w:rsid w:val="5D213B63"/>
    <w:rsid w:val="5D6E129C"/>
    <w:rsid w:val="5D951E96"/>
    <w:rsid w:val="5DA603AA"/>
    <w:rsid w:val="5DB72F61"/>
    <w:rsid w:val="5DE27226"/>
    <w:rsid w:val="5DE51034"/>
    <w:rsid w:val="5DEA21A7"/>
    <w:rsid w:val="5DF53918"/>
    <w:rsid w:val="5DF866B7"/>
    <w:rsid w:val="5DFF5981"/>
    <w:rsid w:val="5E230800"/>
    <w:rsid w:val="5E3E1E95"/>
    <w:rsid w:val="5E483371"/>
    <w:rsid w:val="5E5E2B95"/>
    <w:rsid w:val="5E7B3747"/>
    <w:rsid w:val="5E9B7345"/>
    <w:rsid w:val="5EA14139"/>
    <w:rsid w:val="5EDF31E4"/>
    <w:rsid w:val="5EF9A9A1"/>
    <w:rsid w:val="5EFD7E9A"/>
    <w:rsid w:val="5F3A5CEE"/>
    <w:rsid w:val="5F40721D"/>
    <w:rsid w:val="5F5A480F"/>
    <w:rsid w:val="5F7A12DC"/>
    <w:rsid w:val="5F7E4861"/>
    <w:rsid w:val="5F937EBF"/>
    <w:rsid w:val="5F960248"/>
    <w:rsid w:val="5F9F538A"/>
    <w:rsid w:val="5FA665A1"/>
    <w:rsid w:val="5FB35030"/>
    <w:rsid w:val="5FB46F10"/>
    <w:rsid w:val="5FD22632"/>
    <w:rsid w:val="5FDF459B"/>
    <w:rsid w:val="5FE77A37"/>
    <w:rsid w:val="5FEB7BC5"/>
    <w:rsid w:val="5FF01979"/>
    <w:rsid w:val="5FF116BF"/>
    <w:rsid w:val="5FF91BB5"/>
    <w:rsid w:val="5FFB349B"/>
    <w:rsid w:val="603A11F0"/>
    <w:rsid w:val="604C110A"/>
    <w:rsid w:val="6051475F"/>
    <w:rsid w:val="605E4E8F"/>
    <w:rsid w:val="60605918"/>
    <w:rsid w:val="60900C1D"/>
    <w:rsid w:val="60A01243"/>
    <w:rsid w:val="60D80D31"/>
    <w:rsid w:val="60FF41BB"/>
    <w:rsid w:val="61167AD4"/>
    <w:rsid w:val="61244538"/>
    <w:rsid w:val="615F2EAC"/>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303F2"/>
    <w:rsid w:val="63164D24"/>
    <w:rsid w:val="634467FD"/>
    <w:rsid w:val="637019A0"/>
    <w:rsid w:val="63767688"/>
    <w:rsid w:val="63A65FFE"/>
    <w:rsid w:val="63B8285C"/>
    <w:rsid w:val="63C27722"/>
    <w:rsid w:val="63EC1C65"/>
    <w:rsid w:val="63ED3058"/>
    <w:rsid w:val="64104931"/>
    <w:rsid w:val="64115CB4"/>
    <w:rsid w:val="643F437E"/>
    <w:rsid w:val="649C62B2"/>
    <w:rsid w:val="64B04CD0"/>
    <w:rsid w:val="64BB18DC"/>
    <w:rsid w:val="64C175E6"/>
    <w:rsid w:val="64FA583D"/>
    <w:rsid w:val="65063DE0"/>
    <w:rsid w:val="6527595D"/>
    <w:rsid w:val="65297A59"/>
    <w:rsid w:val="653E6BDA"/>
    <w:rsid w:val="65472E61"/>
    <w:rsid w:val="654F3237"/>
    <w:rsid w:val="655020AD"/>
    <w:rsid w:val="65555212"/>
    <w:rsid w:val="65913990"/>
    <w:rsid w:val="65A02E86"/>
    <w:rsid w:val="65A13A93"/>
    <w:rsid w:val="65AC5A3D"/>
    <w:rsid w:val="65CB0B10"/>
    <w:rsid w:val="65D57BE0"/>
    <w:rsid w:val="65E02447"/>
    <w:rsid w:val="65F1697A"/>
    <w:rsid w:val="66187ACD"/>
    <w:rsid w:val="66284BE0"/>
    <w:rsid w:val="664571D6"/>
    <w:rsid w:val="66562550"/>
    <w:rsid w:val="665E63DB"/>
    <w:rsid w:val="6664360E"/>
    <w:rsid w:val="667F2E1D"/>
    <w:rsid w:val="66832C00"/>
    <w:rsid w:val="668B1EA9"/>
    <w:rsid w:val="66950DE9"/>
    <w:rsid w:val="670C7632"/>
    <w:rsid w:val="67281F92"/>
    <w:rsid w:val="67302CFA"/>
    <w:rsid w:val="676C08A8"/>
    <w:rsid w:val="67C938CC"/>
    <w:rsid w:val="67CF10B8"/>
    <w:rsid w:val="67D77C40"/>
    <w:rsid w:val="67EC408F"/>
    <w:rsid w:val="67EE0AE5"/>
    <w:rsid w:val="67F77426"/>
    <w:rsid w:val="67FE046D"/>
    <w:rsid w:val="680829E6"/>
    <w:rsid w:val="68095FB7"/>
    <w:rsid w:val="68174F57"/>
    <w:rsid w:val="683406DE"/>
    <w:rsid w:val="683722F0"/>
    <w:rsid w:val="683F7593"/>
    <w:rsid w:val="684C43B6"/>
    <w:rsid w:val="68535110"/>
    <w:rsid w:val="6885769C"/>
    <w:rsid w:val="68B55F36"/>
    <w:rsid w:val="68BE36F5"/>
    <w:rsid w:val="68C462F1"/>
    <w:rsid w:val="68CA3EEF"/>
    <w:rsid w:val="68DF6DAC"/>
    <w:rsid w:val="68F04DBC"/>
    <w:rsid w:val="68F52FE1"/>
    <w:rsid w:val="68F91E38"/>
    <w:rsid w:val="6905061C"/>
    <w:rsid w:val="69162D72"/>
    <w:rsid w:val="694F512A"/>
    <w:rsid w:val="69801FE2"/>
    <w:rsid w:val="69985F69"/>
    <w:rsid w:val="699F7F40"/>
    <w:rsid w:val="69AF73BD"/>
    <w:rsid w:val="69B376EC"/>
    <w:rsid w:val="69DD52B6"/>
    <w:rsid w:val="69DE4B97"/>
    <w:rsid w:val="69E14DA6"/>
    <w:rsid w:val="69E20B1E"/>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5B2118"/>
    <w:rsid w:val="6B6063C9"/>
    <w:rsid w:val="6B611663"/>
    <w:rsid w:val="6B650E43"/>
    <w:rsid w:val="6B981494"/>
    <w:rsid w:val="6BAA3735"/>
    <w:rsid w:val="6BAD01CD"/>
    <w:rsid w:val="6BDA5F51"/>
    <w:rsid w:val="6BF045A1"/>
    <w:rsid w:val="6BFB4FAA"/>
    <w:rsid w:val="6BFD77E5"/>
    <w:rsid w:val="6C1C078A"/>
    <w:rsid w:val="6C233169"/>
    <w:rsid w:val="6C951E77"/>
    <w:rsid w:val="6CBF6BEA"/>
    <w:rsid w:val="6CCF2381"/>
    <w:rsid w:val="6CF2114F"/>
    <w:rsid w:val="6CF7283B"/>
    <w:rsid w:val="6CF86B53"/>
    <w:rsid w:val="6D0715D4"/>
    <w:rsid w:val="6D142245"/>
    <w:rsid w:val="6D1D3DC2"/>
    <w:rsid w:val="6D1D6078"/>
    <w:rsid w:val="6D411B6C"/>
    <w:rsid w:val="6D463C2E"/>
    <w:rsid w:val="6D5E4882"/>
    <w:rsid w:val="6D8B3656"/>
    <w:rsid w:val="6D8C7F14"/>
    <w:rsid w:val="6D8E1F39"/>
    <w:rsid w:val="6D9A1754"/>
    <w:rsid w:val="6D9C44AE"/>
    <w:rsid w:val="6DA12003"/>
    <w:rsid w:val="6DAF51BB"/>
    <w:rsid w:val="6DBC07B9"/>
    <w:rsid w:val="6DC9002B"/>
    <w:rsid w:val="6DE011AA"/>
    <w:rsid w:val="6DE1668B"/>
    <w:rsid w:val="6DE22E9A"/>
    <w:rsid w:val="6DF03EFE"/>
    <w:rsid w:val="6DF15B63"/>
    <w:rsid w:val="6DFC474B"/>
    <w:rsid w:val="6DFFC606"/>
    <w:rsid w:val="6E023C8A"/>
    <w:rsid w:val="6E0B0E7C"/>
    <w:rsid w:val="6E131612"/>
    <w:rsid w:val="6E1B3196"/>
    <w:rsid w:val="6E5F273D"/>
    <w:rsid w:val="6E727444"/>
    <w:rsid w:val="6E7361E8"/>
    <w:rsid w:val="6E7837FF"/>
    <w:rsid w:val="6E9D595D"/>
    <w:rsid w:val="6EB04C24"/>
    <w:rsid w:val="6EBF816F"/>
    <w:rsid w:val="6EC726C0"/>
    <w:rsid w:val="6ED177DA"/>
    <w:rsid w:val="6ED547AD"/>
    <w:rsid w:val="6ED924EF"/>
    <w:rsid w:val="6F0A3320"/>
    <w:rsid w:val="6F392B17"/>
    <w:rsid w:val="6F3C270D"/>
    <w:rsid w:val="6F531AAA"/>
    <w:rsid w:val="6F6238F1"/>
    <w:rsid w:val="6F8E49DA"/>
    <w:rsid w:val="6F9D176F"/>
    <w:rsid w:val="6FA3F025"/>
    <w:rsid w:val="6FCA3FDF"/>
    <w:rsid w:val="6FCB891C"/>
    <w:rsid w:val="6FF463F0"/>
    <w:rsid w:val="6FF9245D"/>
    <w:rsid w:val="6FFC6CBD"/>
    <w:rsid w:val="70417478"/>
    <w:rsid w:val="705F139B"/>
    <w:rsid w:val="706611D1"/>
    <w:rsid w:val="70756B0C"/>
    <w:rsid w:val="7086589D"/>
    <w:rsid w:val="70910BA8"/>
    <w:rsid w:val="70D746AC"/>
    <w:rsid w:val="70E1438C"/>
    <w:rsid w:val="70E1568B"/>
    <w:rsid w:val="710C2988"/>
    <w:rsid w:val="71107D1F"/>
    <w:rsid w:val="711315BD"/>
    <w:rsid w:val="71241A1C"/>
    <w:rsid w:val="71394B73"/>
    <w:rsid w:val="716067B0"/>
    <w:rsid w:val="71744751"/>
    <w:rsid w:val="71777D9E"/>
    <w:rsid w:val="71833BD0"/>
    <w:rsid w:val="7197B38F"/>
    <w:rsid w:val="71991F1F"/>
    <w:rsid w:val="719B20E2"/>
    <w:rsid w:val="71A46E80"/>
    <w:rsid w:val="71A5490B"/>
    <w:rsid w:val="71AC3EEB"/>
    <w:rsid w:val="71BA7C8A"/>
    <w:rsid w:val="71BF58EE"/>
    <w:rsid w:val="71CD5C10"/>
    <w:rsid w:val="71E5732C"/>
    <w:rsid w:val="71E65E98"/>
    <w:rsid w:val="71F078D3"/>
    <w:rsid w:val="720A6576"/>
    <w:rsid w:val="7231619E"/>
    <w:rsid w:val="72395EF2"/>
    <w:rsid w:val="72404633"/>
    <w:rsid w:val="72536FFA"/>
    <w:rsid w:val="725D1030"/>
    <w:rsid w:val="726806F8"/>
    <w:rsid w:val="727E2C7C"/>
    <w:rsid w:val="72A9151F"/>
    <w:rsid w:val="72B55021"/>
    <w:rsid w:val="72BE6EA8"/>
    <w:rsid w:val="72C12DC9"/>
    <w:rsid w:val="72FD6249"/>
    <w:rsid w:val="73013DC3"/>
    <w:rsid w:val="73016E15"/>
    <w:rsid w:val="73217033"/>
    <w:rsid w:val="732706F9"/>
    <w:rsid w:val="733A22BE"/>
    <w:rsid w:val="735715C9"/>
    <w:rsid w:val="736949E6"/>
    <w:rsid w:val="7376140D"/>
    <w:rsid w:val="737B68E0"/>
    <w:rsid w:val="73880603"/>
    <w:rsid w:val="73D0707A"/>
    <w:rsid w:val="73E04D98"/>
    <w:rsid w:val="740B1FF0"/>
    <w:rsid w:val="744711F6"/>
    <w:rsid w:val="745942EE"/>
    <w:rsid w:val="745F4590"/>
    <w:rsid w:val="746A0574"/>
    <w:rsid w:val="746C1A93"/>
    <w:rsid w:val="747417CE"/>
    <w:rsid w:val="747D102B"/>
    <w:rsid w:val="748A7DE8"/>
    <w:rsid w:val="749C391A"/>
    <w:rsid w:val="74BF7515"/>
    <w:rsid w:val="74CE2F72"/>
    <w:rsid w:val="74D53759"/>
    <w:rsid w:val="74D84FF7"/>
    <w:rsid w:val="74E512DE"/>
    <w:rsid w:val="74E84B54"/>
    <w:rsid w:val="74EF0D8A"/>
    <w:rsid w:val="75184561"/>
    <w:rsid w:val="751D3629"/>
    <w:rsid w:val="751D54F0"/>
    <w:rsid w:val="757B11EC"/>
    <w:rsid w:val="758B206A"/>
    <w:rsid w:val="758D4498"/>
    <w:rsid w:val="75B441DC"/>
    <w:rsid w:val="75BE06D4"/>
    <w:rsid w:val="75C32123"/>
    <w:rsid w:val="75C81609"/>
    <w:rsid w:val="75CA0DE4"/>
    <w:rsid w:val="75CD1C51"/>
    <w:rsid w:val="75DA5578"/>
    <w:rsid w:val="75E57C6F"/>
    <w:rsid w:val="7601232C"/>
    <w:rsid w:val="76137D65"/>
    <w:rsid w:val="761D3A1E"/>
    <w:rsid w:val="762E3BD5"/>
    <w:rsid w:val="7650507B"/>
    <w:rsid w:val="766F725C"/>
    <w:rsid w:val="7684252C"/>
    <w:rsid w:val="76AB6601"/>
    <w:rsid w:val="76BB31AD"/>
    <w:rsid w:val="76EEF778"/>
    <w:rsid w:val="772D6E8E"/>
    <w:rsid w:val="7730111A"/>
    <w:rsid w:val="7734199B"/>
    <w:rsid w:val="77484CAB"/>
    <w:rsid w:val="77785CE2"/>
    <w:rsid w:val="777E0729"/>
    <w:rsid w:val="77902D6F"/>
    <w:rsid w:val="779C3CC8"/>
    <w:rsid w:val="77BBA9C1"/>
    <w:rsid w:val="77BC3493"/>
    <w:rsid w:val="77C86594"/>
    <w:rsid w:val="77EF6B37"/>
    <w:rsid w:val="77F788A8"/>
    <w:rsid w:val="77FE6B43"/>
    <w:rsid w:val="781814EC"/>
    <w:rsid w:val="7831362E"/>
    <w:rsid w:val="783469E8"/>
    <w:rsid w:val="783F5297"/>
    <w:rsid w:val="783F7D85"/>
    <w:rsid w:val="7844495E"/>
    <w:rsid w:val="785C7CED"/>
    <w:rsid w:val="785E73D0"/>
    <w:rsid w:val="787B63C5"/>
    <w:rsid w:val="787C3EEC"/>
    <w:rsid w:val="78827754"/>
    <w:rsid w:val="78A8103F"/>
    <w:rsid w:val="78BF6000"/>
    <w:rsid w:val="78EB408C"/>
    <w:rsid w:val="78FB3062"/>
    <w:rsid w:val="78FB3FD9"/>
    <w:rsid w:val="78FF6FF6"/>
    <w:rsid w:val="794038C8"/>
    <w:rsid w:val="79435A80"/>
    <w:rsid w:val="79495540"/>
    <w:rsid w:val="795E053C"/>
    <w:rsid w:val="795F7A95"/>
    <w:rsid w:val="796432FD"/>
    <w:rsid w:val="79643327"/>
    <w:rsid w:val="798C63B0"/>
    <w:rsid w:val="79984D55"/>
    <w:rsid w:val="799D3060"/>
    <w:rsid w:val="79A11E5C"/>
    <w:rsid w:val="79A70520"/>
    <w:rsid w:val="79DF2733"/>
    <w:rsid w:val="79F50BB9"/>
    <w:rsid w:val="7A014FF7"/>
    <w:rsid w:val="7A2902FC"/>
    <w:rsid w:val="7A4837E7"/>
    <w:rsid w:val="7A556C0C"/>
    <w:rsid w:val="7A635363"/>
    <w:rsid w:val="7A88301C"/>
    <w:rsid w:val="7AB91F61"/>
    <w:rsid w:val="7AD17C9C"/>
    <w:rsid w:val="7AED594B"/>
    <w:rsid w:val="7B072192"/>
    <w:rsid w:val="7B0A3A31"/>
    <w:rsid w:val="7B103033"/>
    <w:rsid w:val="7B163388"/>
    <w:rsid w:val="7B4F58E7"/>
    <w:rsid w:val="7B5015FF"/>
    <w:rsid w:val="7B6E2E0E"/>
    <w:rsid w:val="7B7D06A6"/>
    <w:rsid w:val="7B917B48"/>
    <w:rsid w:val="7B933A26"/>
    <w:rsid w:val="7BAB5214"/>
    <w:rsid w:val="7BB35E76"/>
    <w:rsid w:val="7BBF13B3"/>
    <w:rsid w:val="7BD6551A"/>
    <w:rsid w:val="7BE129E3"/>
    <w:rsid w:val="7BED19A1"/>
    <w:rsid w:val="7BEE4481"/>
    <w:rsid w:val="7BF201AF"/>
    <w:rsid w:val="7BFA2A8D"/>
    <w:rsid w:val="7BFFE866"/>
    <w:rsid w:val="7BFFFC44"/>
    <w:rsid w:val="7C030BAC"/>
    <w:rsid w:val="7C074EE7"/>
    <w:rsid w:val="7C0F4366"/>
    <w:rsid w:val="7C131926"/>
    <w:rsid w:val="7C3E1BE4"/>
    <w:rsid w:val="7C5B7556"/>
    <w:rsid w:val="7C7A0AC6"/>
    <w:rsid w:val="7C7E9D3E"/>
    <w:rsid w:val="7CA73C2D"/>
    <w:rsid w:val="7CAB3AC4"/>
    <w:rsid w:val="7CD61458"/>
    <w:rsid w:val="7CDF524F"/>
    <w:rsid w:val="7CFD7A90"/>
    <w:rsid w:val="7D147F9C"/>
    <w:rsid w:val="7D172435"/>
    <w:rsid w:val="7D3DAA08"/>
    <w:rsid w:val="7D587166"/>
    <w:rsid w:val="7D6134D2"/>
    <w:rsid w:val="7D717D97"/>
    <w:rsid w:val="7D74088A"/>
    <w:rsid w:val="7DA63EE4"/>
    <w:rsid w:val="7DA9081B"/>
    <w:rsid w:val="7DB63E62"/>
    <w:rsid w:val="7DC2296C"/>
    <w:rsid w:val="7DE042DE"/>
    <w:rsid w:val="7DE40E3C"/>
    <w:rsid w:val="7DEF3674"/>
    <w:rsid w:val="7DF2702E"/>
    <w:rsid w:val="7DF6CC07"/>
    <w:rsid w:val="7DF9A604"/>
    <w:rsid w:val="7E0800A0"/>
    <w:rsid w:val="7E2703F2"/>
    <w:rsid w:val="7E295E51"/>
    <w:rsid w:val="7E5B5D81"/>
    <w:rsid w:val="7E6241D9"/>
    <w:rsid w:val="7E643271"/>
    <w:rsid w:val="7E7F50AA"/>
    <w:rsid w:val="7E8314F8"/>
    <w:rsid w:val="7EBF4B32"/>
    <w:rsid w:val="7EC3062C"/>
    <w:rsid w:val="7EC52758"/>
    <w:rsid w:val="7ED566CA"/>
    <w:rsid w:val="7EE332FD"/>
    <w:rsid w:val="7EEB258C"/>
    <w:rsid w:val="7EEE696B"/>
    <w:rsid w:val="7EFB9091"/>
    <w:rsid w:val="7EFDFA73"/>
    <w:rsid w:val="7F3608A6"/>
    <w:rsid w:val="7F4F7362"/>
    <w:rsid w:val="7F571ED1"/>
    <w:rsid w:val="7F5EAF4C"/>
    <w:rsid w:val="7F65EDC3"/>
    <w:rsid w:val="7F740BE1"/>
    <w:rsid w:val="7F7FFE99"/>
    <w:rsid w:val="7F873A64"/>
    <w:rsid w:val="7F8F3FAC"/>
    <w:rsid w:val="7F970ECA"/>
    <w:rsid w:val="7F9E036E"/>
    <w:rsid w:val="7FA53646"/>
    <w:rsid w:val="7FAD558D"/>
    <w:rsid w:val="7FB7A597"/>
    <w:rsid w:val="7FDC1E3F"/>
    <w:rsid w:val="7FDD6D0F"/>
    <w:rsid w:val="7FE81290"/>
    <w:rsid w:val="7FEB33E1"/>
    <w:rsid w:val="7FEE43AA"/>
    <w:rsid w:val="7FEF2F89"/>
    <w:rsid w:val="7FEF68C8"/>
    <w:rsid w:val="7FF32039"/>
    <w:rsid w:val="7FF599A0"/>
    <w:rsid w:val="7FF60DA7"/>
    <w:rsid w:val="7FF9BDDA"/>
    <w:rsid w:val="7FFAC174"/>
    <w:rsid w:val="7FFD6A72"/>
    <w:rsid w:val="7FFEF7CC"/>
    <w:rsid w:val="8773F53B"/>
    <w:rsid w:val="8DDF4BFE"/>
    <w:rsid w:val="9D6F1A08"/>
    <w:rsid w:val="9F6D2472"/>
    <w:rsid w:val="9FA79F81"/>
    <w:rsid w:val="9FBF14AA"/>
    <w:rsid w:val="9FFFE20E"/>
    <w:rsid w:val="AD0F8F74"/>
    <w:rsid w:val="AFFA637F"/>
    <w:rsid w:val="B09FC3D4"/>
    <w:rsid w:val="B1BD5F98"/>
    <w:rsid w:val="B69E6768"/>
    <w:rsid w:val="BA7F373F"/>
    <w:rsid w:val="BCE7EC6F"/>
    <w:rsid w:val="BDBBCDE4"/>
    <w:rsid w:val="BDEBB196"/>
    <w:rsid w:val="BDFDDE8C"/>
    <w:rsid w:val="BDFFFBC5"/>
    <w:rsid w:val="BE7F80B0"/>
    <w:rsid w:val="BEFBF792"/>
    <w:rsid w:val="BF7A88CC"/>
    <w:rsid w:val="BF9B6C6D"/>
    <w:rsid w:val="BFAF04B6"/>
    <w:rsid w:val="BFB5491B"/>
    <w:rsid w:val="BFD7B8AC"/>
    <w:rsid w:val="BFFCCEB4"/>
    <w:rsid w:val="BFFE7926"/>
    <w:rsid w:val="BFFF9ED2"/>
    <w:rsid w:val="CEBF6628"/>
    <w:rsid w:val="D5F98748"/>
    <w:rsid w:val="D6BDD887"/>
    <w:rsid w:val="D6FB3041"/>
    <w:rsid w:val="DB597EFD"/>
    <w:rsid w:val="DBB0E4D9"/>
    <w:rsid w:val="DCCCBCA3"/>
    <w:rsid w:val="DDCFB7B3"/>
    <w:rsid w:val="DDDB8E48"/>
    <w:rsid w:val="DDFFD6A7"/>
    <w:rsid w:val="DE3D4B5B"/>
    <w:rsid w:val="DEF9939B"/>
    <w:rsid w:val="DF3F71CD"/>
    <w:rsid w:val="DFCC2732"/>
    <w:rsid w:val="DFF7CE32"/>
    <w:rsid w:val="E2BF908E"/>
    <w:rsid w:val="E67FADFE"/>
    <w:rsid w:val="E6FFDD5B"/>
    <w:rsid w:val="E8CD10E5"/>
    <w:rsid w:val="EB670CA2"/>
    <w:rsid w:val="EB6E0753"/>
    <w:rsid w:val="EB77D9C3"/>
    <w:rsid w:val="ECFF2D5A"/>
    <w:rsid w:val="EDB7BA66"/>
    <w:rsid w:val="EDE7B8D2"/>
    <w:rsid w:val="EEDFCB28"/>
    <w:rsid w:val="EEEDB09E"/>
    <w:rsid w:val="EFB7D689"/>
    <w:rsid w:val="EFFAA73C"/>
    <w:rsid w:val="EFFF1FD6"/>
    <w:rsid w:val="F2CF7B03"/>
    <w:rsid w:val="F5FFBAB5"/>
    <w:rsid w:val="F6FF77AF"/>
    <w:rsid w:val="F77BC116"/>
    <w:rsid w:val="F7972318"/>
    <w:rsid w:val="F8FE94C3"/>
    <w:rsid w:val="FB5F35C9"/>
    <w:rsid w:val="FB6FBD6B"/>
    <w:rsid w:val="FB7B33E1"/>
    <w:rsid w:val="FB8FA3F9"/>
    <w:rsid w:val="FBBDA182"/>
    <w:rsid w:val="FBDDC6A6"/>
    <w:rsid w:val="FCEFCCB9"/>
    <w:rsid w:val="FCF7A9C5"/>
    <w:rsid w:val="FD3F404B"/>
    <w:rsid w:val="FDFEAE9B"/>
    <w:rsid w:val="FE6F9F57"/>
    <w:rsid w:val="FEDF6F11"/>
    <w:rsid w:val="FF3934C5"/>
    <w:rsid w:val="FF7FDAD9"/>
    <w:rsid w:val="FF9EC099"/>
    <w:rsid w:val="FFA3A9B9"/>
    <w:rsid w:val="FFD75818"/>
    <w:rsid w:val="FFEB85DB"/>
    <w:rsid w:val="FFF7291F"/>
    <w:rsid w:val="FFFB0E98"/>
    <w:rsid w:val="FFFB1743"/>
    <w:rsid w:val="FFFD4FA0"/>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10">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11">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12">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3">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92"/>
    <w:autoRedefine/>
    <w:qFormat/>
    <w:uiPriority w:val="0"/>
    <w:pPr>
      <w:ind w:firstLine="420" w:firstLineChars="200"/>
    </w:pPr>
  </w:style>
  <w:style w:type="paragraph" w:styleId="3">
    <w:name w:val="Body Text Indent"/>
    <w:basedOn w:val="1"/>
    <w:next w:val="4"/>
    <w:link w:val="140"/>
    <w:autoRedefine/>
    <w:qFormat/>
    <w:uiPriority w:val="0"/>
    <w:pPr>
      <w:spacing w:after="120"/>
      <w:ind w:left="420" w:leftChars="200"/>
    </w:pPr>
  </w:style>
  <w:style w:type="paragraph" w:styleId="4">
    <w:name w:val="envelope return"/>
    <w:basedOn w:val="1"/>
    <w:next w:val="1"/>
    <w:autoRedefine/>
    <w:qFormat/>
    <w:uiPriority w:val="0"/>
    <w:pPr>
      <w:snapToGrid w:val="0"/>
    </w:pPr>
    <w:rPr>
      <w:rFonts w:ascii="Arial" w:hAnsi="Arial"/>
    </w:rPr>
  </w:style>
  <w:style w:type="paragraph" w:styleId="14">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5">
    <w:name w:val="Document Map"/>
    <w:basedOn w:val="1"/>
    <w:link w:val="114"/>
    <w:autoRedefine/>
    <w:semiHidden/>
    <w:unhideWhenUsed/>
    <w:qFormat/>
    <w:uiPriority w:val="0"/>
    <w:pPr>
      <w:shd w:val="clear" w:color="auto" w:fill="000080"/>
    </w:pPr>
  </w:style>
  <w:style w:type="paragraph" w:styleId="16">
    <w:name w:val="annotation text"/>
    <w:basedOn w:val="1"/>
    <w:link w:val="77"/>
    <w:autoRedefine/>
    <w:qFormat/>
    <w:uiPriority w:val="99"/>
    <w:pPr>
      <w:jc w:val="left"/>
    </w:pPr>
    <w:rPr>
      <w:rFonts w:ascii="Arial" w:hAnsi="Arial" w:eastAsia="黑体" w:cs="Arial"/>
    </w:rPr>
  </w:style>
  <w:style w:type="paragraph" w:styleId="17">
    <w:name w:val="Salutation"/>
    <w:basedOn w:val="1"/>
    <w:next w:val="1"/>
    <w:link w:val="139"/>
    <w:autoRedefine/>
    <w:semiHidden/>
    <w:unhideWhenUsed/>
    <w:qFormat/>
    <w:uiPriority w:val="0"/>
  </w:style>
  <w:style w:type="paragraph" w:styleId="18">
    <w:name w:val="Body Text 3"/>
    <w:basedOn w:val="1"/>
    <w:link w:val="130"/>
    <w:autoRedefine/>
    <w:semiHidden/>
    <w:unhideWhenUsed/>
    <w:qFormat/>
    <w:uiPriority w:val="0"/>
    <w:pPr>
      <w:spacing w:after="120"/>
    </w:pPr>
    <w:rPr>
      <w:sz w:val="16"/>
    </w:rPr>
  </w:style>
  <w:style w:type="paragraph" w:styleId="19">
    <w:name w:val="Body Text"/>
    <w:basedOn w:val="1"/>
    <w:next w:val="1"/>
    <w:link w:val="92"/>
    <w:autoRedefine/>
    <w:qFormat/>
    <w:uiPriority w:val="99"/>
    <w:rPr>
      <w:rFonts w:ascii="宋体" w:hAnsi="Arial" w:cs="Times New Roman"/>
      <w:sz w:val="28"/>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6"/>
    <w:next w:val="16"/>
    <w:link w:val="87"/>
    <w:autoRedefine/>
    <w:unhideWhenUsed/>
    <w:qFormat/>
    <w:uiPriority w:val="99"/>
    <w:rPr>
      <w:rFonts w:ascii="@仿宋_GB2312" w:hAnsi="@仿宋_GB2312" w:eastAsia="@仿宋_GB2312" w:cs="@仿宋_GB2312"/>
      <w:b/>
      <w:bCs/>
    </w:rPr>
  </w:style>
  <w:style w:type="paragraph" w:styleId="40">
    <w:name w:val="Body Text First Indent"/>
    <w:basedOn w:val="19"/>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5"/>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6"/>
    <w:autoRedefine/>
    <w:qFormat/>
    <w:uiPriority w:val="99"/>
    <w:rPr>
      <w:rFonts w:ascii="Arial" w:hAnsi="Arial" w:eastAsia="黑体" w:cs="Arial"/>
      <w:szCs w:val="20"/>
    </w:rPr>
  </w:style>
  <w:style w:type="character" w:customStyle="1" w:styleId="78">
    <w:name w:val="标题 1 字符"/>
    <w:basedOn w:val="43"/>
    <w:link w:val="5"/>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8"/>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9"/>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6"/>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5"/>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11"/>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8"/>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9"/>
    <w:qFormat/>
    <w:uiPriority w:val="0"/>
    <w:rPr>
      <w:rFonts w:hint="default" w:ascii="Calibri" w:hAnsi="Calibri" w:cs="Calibri"/>
      <w:b/>
      <w:bCs/>
      <w:kern w:val="2"/>
      <w:sz w:val="28"/>
      <w:szCs w:val="28"/>
    </w:rPr>
  </w:style>
  <w:style w:type="character" w:customStyle="1" w:styleId="133">
    <w:name w:val="标题 6 字符"/>
    <w:basedOn w:val="43"/>
    <w:link w:val="10"/>
    <w:qFormat/>
    <w:uiPriority w:val="0"/>
    <w:rPr>
      <w:b/>
      <w:bCs/>
      <w:kern w:val="2"/>
      <w:sz w:val="30"/>
      <w:szCs w:val="18"/>
    </w:rPr>
  </w:style>
  <w:style w:type="character" w:customStyle="1" w:styleId="134">
    <w:name w:val="标题 8 字符"/>
    <w:basedOn w:val="43"/>
    <w:link w:val="12"/>
    <w:autoRedefine/>
    <w:qFormat/>
    <w:uiPriority w:val="0"/>
    <w:rPr>
      <w:rFonts w:hint="eastAsia" w:ascii="宋体" w:hAnsi="宋体" w:eastAsia="黑体" w:cs="宋体"/>
      <w:kern w:val="2"/>
      <w:sz w:val="32"/>
      <w:szCs w:val="32"/>
    </w:rPr>
  </w:style>
  <w:style w:type="character" w:customStyle="1" w:styleId="135">
    <w:name w:val="标题 9 字符"/>
    <w:basedOn w:val="43"/>
    <w:link w:val="13"/>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7"/>
    <w:qFormat/>
    <w:uiPriority w:val="0"/>
    <w:rPr>
      <w:rFonts w:hint="eastAsia" w:ascii="黑体" w:hAnsi="宋体" w:eastAsia="黑体" w:cs="黑体"/>
      <w:bCs/>
      <w:kern w:val="2"/>
      <w:sz w:val="24"/>
      <w:szCs w:val="24"/>
    </w:rPr>
  </w:style>
  <w:style w:type="character" w:customStyle="1" w:styleId="139">
    <w:name w:val="称呼 字符"/>
    <w:basedOn w:val="43"/>
    <w:link w:val="17"/>
    <w:autoRedefine/>
    <w:qFormat/>
    <w:uiPriority w:val="0"/>
    <w:rPr>
      <w:rFonts w:hint="eastAsia" w:ascii="仿宋_GB2312" w:eastAsia="仿宋_GB2312" w:cs="仿宋_GB2312"/>
      <w:kern w:val="2"/>
      <w:sz w:val="28"/>
    </w:rPr>
  </w:style>
  <w:style w:type="character" w:customStyle="1" w:styleId="140">
    <w:name w:val="正文文本缩进 字符"/>
    <w:basedOn w:val="43"/>
    <w:link w:val="3"/>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6"/>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2"/>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40"/>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 w:type="character" w:customStyle="1" w:styleId="195">
    <w:name w:val="font41"/>
    <w:basedOn w:val="43"/>
    <w:qFormat/>
    <w:uiPriority w:val="0"/>
    <w:rPr>
      <w:rFonts w:hint="default" w:ascii="Times New Roman" w:hAnsi="Times New Roman" w:cs="Times New Roman"/>
      <w:color w:val="000000"/>
      <w:sz w:val="21"/>
      <w:szCs w:val="21"/>
      <w:u w:val="none"/>
    </w:rPr>
  </w:style>
  <w:style w:type="character" w:customStyle="1" w:styleId="196">
    <w:name w:val="font31"/>
    <w:basedOn w:val="43"/>
    <w:qFormat/>
    <w:uiPriority w:val="0"/>
    <w:rPr>
      <w:rFonts w:hint="eastAsia" w:ascii="方正书宋_GBK" w:hAnsi="方正书宋_GBK" w:eastAsia="方正书宋_GBK" w:cs="方正书宋_GBK"/>
      <w:color w:val="000000"/>
      <w:sz w:val="21"/>
      <w:szCs w:val="21"/>
      <w:u w:val="none"/>
    </w:rPr>
  </w:style>
  <w:style w:type="character" w:customStyle="1" w:styleId="197">
    <w:name w:val="font71"/>
    <w:basedOn w:val="43"/>
    <w:qFormat/>
    <w:uiPriority w:val="0"/>
    <w:rPr>
      <w:rFonts w:ascii="DejaVu Sans" w:hAnsi="DejaVu Sans" w:eastAsia="DejaVu Sans" w:cs="DejaVu Sans"/>
      <w:color w:val="000000"/>
      <w:sz w:val="20"/>
      <w:szCs w:val="20"/>
      <w:u w:val="none"/>
    </w:rPr>
  </w:style>
  <w:style w:type="character" w:customStyle="1" w:styleId="198">
    <w:name w:val="font11"/>
    <w:basedOn w:val="43"/>
    <w:qFormat/>
    <w:uiPriority w:val="0"/>
    <w:rPr>
      <w:rFonts w:hint="eastAsia" w:ascii="宋体" w:hAnsi="宋体" w:eastAsia="宋体" w:cs="宋体"/>
      <w:color w:val="000000"/>
      <w:sz w:val="20"/>
      <w:szCs w:val="20"/>
      <w:u w:val="none"/>
    </w:rPr>
  </w:style>
  <w:style w:type="character" w:customStyle="1" w:styleId="199">
    <w:name w:val="font81"/>
    <w:basedOn w:val="43"/>
    <w:qFormat/>
    <w:uiPriority w:val="0"/>
    <w:rPr>
      <w:rFonts w:ascii="宋体" w:hAnsi="宋体" w:eastAsia="宋体" w:cs="宋体"/>
      <w:color w:val="000000"/>
      <w:sz w:val="20"/>
      <w:szCs w:val="20"/>
      <w:u w:val="none"/>
    </w:rPr>
  </w:style>
  <w:style w:type="character" w:customStyle="1" w:styleId="200">
    <w:name w:val="font61"/>
    <w:basedOn w:val="43"/>
    <w:qFormat/>
    <w:uiPriority w:val="0"/>
    <w:rPr>
      <w:rFonts w:ascii="DejaVu Sans" w:hAnsi="DejaVu Sans" w:eastAsia="DejaVu Sans" w:cs="DejaVu Sans"/>
      <w:color w:val="000000"/>
      <w:sz w:val="22"/>
      <w:szCs w:val="22"/>
      <w:u w:val="none"/>
    </w:rPr>
  </w:style>
  <w:style w:type="character" w:customStyle="1" w:styleId="201">
    <w:name w:val="font01"/>
    <w:basedOn w:val="43"/>
    <w:qFormat/>
    <w:uiPriority w:val="0"/>
    <w:rPr>
      <w:rFonts w:hint="eastAsia" w:ascii="宋体" w:hAnsi="宋体" w:eastAsia="宋体" w:cs="宋体"/>
      <w:color w:val="000000"/>
      <w:sz w:val="22"/>
      <w:szCs w:val="22"/>
      <w:u w:val="none"/>
    </w:rPr>
  </w:style>
  <w:style w:type="character" w:customStyle="1" w:styleId="202">
    <w:name w:val="font21"/>
    <w:basedOn w:val="43"/>
    <w:qFormat/>
    <w:uiPriority w:val="0"/>
    <w:rPr>
      <w:rFonts w:hint="default" w:ascii="微软雅黑" w:hAnsi="微软雅黑" w:eastAsia="微软雅黑" w:cs="微软雅黑"/>
      <w:color w:val="000000"/>
      <w:sz w:val="20"/>
      <w:szCs w:val="20"/>
      <w:u w:val="none"/>
    </w:rPr>
  </w:style>
  <w:style w:type="character" w:customStyle="1" w:styleId="203">
    <w:name w:val="font51"/>
    <w:basedOn w:val="4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9fec6faa-9cd8-4f89-ac4c-ac64197b0c29</errorID>
      <errorWord>：/</errorWord>
      <group>L1_Punc</group>
      <groupName>标点问题</groupName>
      <ability>L2_Punc_CN</ability>
      <abilityName>标点符号检查</abilityName>
      <candidateList>
        <item>：</item>
      </candidateList>
      <explain/>
      <paraID>78608DAE</paraID>
      <start>6</start>
      <end>8</end>
      <status>unmodified</status>
      <modifiedWord/>
      <trackRevisions>false</trackRevisions>
    </reviewItem>
    <reviewItem>
      <errorID>397a2421-e11c-4471-916f-992e01014d72</errorID>
      <errorWord>：/</errorWord>
      <group>L1_Punc</group>
      <groupName>标点问题</groupName>
      <ability>L2_Punc_CN</ability>
      <abilityName>标点符号检查</abilityName>
      <candidateList>
        <item>：</item>
      </candidateList>
      <explain/>
      <paraID>772132B4</paraID>
      <start>5</start>
      <end>7</end>
      <status>unmodified</status>
      <modifiedWord/>
      <trackRevisions>false</trackRevisions>
    </reviewItem>
    <reviewItem>
      <errorID>f39c2fdc-7ba2-4b4f-9c9e-87b989c14b36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78D5A353</paraID>
      <start>0</start>
      <end>3</end>
      <status>unmodified</status>
      <modifiedWord/>
      <trackRevisions>false</trackRevisions>
    </reviewItem>
    <reviewItem>
      <errorID>8a824c56-5664-456d-b8d0-c0a53f6f005e</errorID>
      <errorWord>：/。</errorWord>
      <group>L1_Punc</group>
      <groupName>标点问题</groupName>
      <ability>L2_Punc_CN</ability>
      <abilityName>标点符号检查</abilityName>
      <candidateList>
        <item>：</item>
      </candidateList>
      <explain/>
      <paraID>660E10D8</paraID>
      <start>15</start>
      <end>18</end>
      <status>unmodified</status>
      <modifiedWord/>
      <trackRevisions>false</trackRevisions>
    </reviewItem>
    <reviewItem>
      <errorID>e00c5421-6831-4909-9fb8-2bbc5e2a88df</errorID>
      <errorWord>：/。</errorWord>
      <group>L1_Punc</group>
      <groupName>标点问题</groupName>
      <ability>L2_Punc_CN</ability>
      <abilityName>标点符号检查</abilityName>
      <candidateList>
        <item>：</item>
      </candidateList>
      <explain/>
      <paraID>13B93201</paraID>
      <start>10</start>
      <end>13</end>
      <status>unmodified</status>
      <modifiedWord/>
      <trackRevisions>false</trackRevisions>
    </reviewItem>
    <reviewItem>
      <errorID>79d02a23-6fa3-4ef6-a6bf-1f883466784b</errorID>
      <errorWord>(</errorWord>
      <group>L1_Format</group>
      <groupName>格式问题</groupName>
      <ability>L2_HalfPunc_CN</ability>
      <abilityName>全半角检查</abilityName>
      <candidateList>
        <item>（</item>
      </candidateList>
      <explain>文本全半角错误。</explain>
      <paraID>6A1DDFC7</paraID>
      <start>11</start>
      <end>12</end>
      <status>unmodified</status>
      <modifiedWord/>
      <trackRevisions>false</trackRevisions>
    </reviewItem>
    <reviewItem>
      <errorID>ec9e586d-ccb9-4e9a-9ce6-de7cbdc4e104</errorID>
      <errorWord>)</errorWord>
      <group>L1_Format</group>
      <groupName>格式问题</groupName>
      <ability>L2_HalfPunc_CN</ability>
      <abilityName>全半角检查</abilityName>
      <candidateList>
        <item>）</item>
      </candidateList>
      <explain>文本全半角错误。</explain>
      <paraID>6A1DDFC7</paraID>
      <start>18</start>
      <end>19</end>
      <status>unmodified</status>
      <modifiedWord/>
      <trackRevisions>false</trackRevisions>
    </reviewItem>
    <reviewItem>
      <errorID>e6617a0d-d066-4009-bbb3-4a0e35c65958</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5CC90A02</paraID>
      <start>4</start>
      <end>7</end>
      <status>unmodified</status>
      <modifiedWord/>
      <trackRevisions>false</trackRevisions>
    </reviewItem>
    <reviewItem>
      <errorID>9178963f-8c43-4f82-a562-0d30c0b968aa</errorID>
      <errorWord>权利</errorWord>
      <group>L1_Word</group>
      <groupName>字词问题</groupName>
      <ability>L2_Typo</ability>
      <abilityName>字词错误</abilityName>
      <candidateList>
        <item>权力</item>
      </candidateList>
      <explain>〈名〉❶政治上的强制力量：国家～｜全国人民代表大会是最高国家～机关。❷职责范围内的支配力量：行使大会主席的～。</explain>
      <paraID>7A0CE690</paraID>
      <start>26</start>
      <end>28</end>
      <status>unmodified</status>
      <modifiedWord/>
      <trackRevisions>false</trackRevisions>
    </reviewItem>
    <reviewItem>
      <errorID>70efe1c6-aa26-468e-b3e1-f75ea539d285</errorID>
      <errorWord>，</errorWord>
      <group>L1_Word</group>
      <groupName>字词问题</groupName>
      <ability>L2_Typo</ability>
      <abilityName>字词错误</abilityName>
      <candidateList>
        <item>，具</item>
      </candidateList>
      <explain/>
      <paraID>7BD701F2</paraID>
      <start>26</start>
      <end>27</end>
      <status>unmodified</status>
      <modifiedWord/>
      <trackRevisions>false</trackRevisions>
    </reviewItem>
    <reviewItem>
      <errorID>1f2b1ab8-5997-44d5-8bf1-2b3f5b97c637</errorID>
      <errorWord>，</errorWord>
      <group>L1_Word</group>
      <groupName>字词问题</groupName>
      <ability>L2_Typo</ability>
      <abilityName>字词错误</abilityName>
      <candidateList>
        <item>，具</item>
      </candidateList>
      <explain/>
      <paraID>28F9A2BA</paraID>
      <start>36</start>
      <end>37</end>
      <status>unmodified</status>
      <modifiedWord/>
      <trackRevisions>false</trackRevisions>
    </reviewItem>
    <reviewItem>
      <errorID>e50311f5-9da3-443b-93ba-10818d12cdaf</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3CA69844</paraID>
      <start>60</start>
      <end>64</end>
      <status>unmodified</status>
      <modifiedWord/>
      <trackRevisions>false</trackRevisions>
    </reviewItem>
    <reviewItem>
      <errorID>c7e106e4-a803-4bbf-b28e-8c209f5d9bcd</errorID>
      <errorWord>间</errorWord>
      <group>L1_Word</group>
      <groupName>字词问题</groupName>
      <ability>L2_Typo</ability>
      <abilityName>字词错误</abilityName>
      <candidateList>
        <item>间之</item>
      </candidateList>
      <explain/>
      <paraID>6C06F13F</paraID>
      <start>13</start>
      <end>14</end>
      <status>unmodified</status>
      <modifiedWord/>
      <trackRevisions>false</trackRevisions>
    </reviewItem>
    <reviewItem>
      <errorID>7d099553-d754-471b-8b60-54424e9f90c2</errorID>
      <errorWord>作必要</errorWord>
      <group>L1_Word</group>
      <groupName>字词问题</groupName>
      <ability>L2_Typo</ability>
      <abilityName>字词错误</abilityName>
      <candidateList>
        <item>做必要</item>
      </candidateList>
      <explain/>
      <paraID>1DE93A01</paraID>
      <start>131</start>
      <end>134</end>
      <status>unmodified</status>
      <modifiedWord/>
      <trackRevisions>false</trackRevisions>
    </reviewItem>
    <reviewItem>
      <errorID>93c207b2-0ee4-489d-b079-05e69f771e3f</errorID>
      <errorWord>法律、法规</errorWord>
      <group>L1_Word</group>
      <groupName>字词问题</groupName>
      <ability>L2_Typo</ability>
      <abilityName>字词错误</abilityName>
      <candidateList>
        <item>法律法规</item>
      </candidateList>
      <explain/>
      <paraID>55865FFB</paraID>
      <start>3</start>
      <end>8</end>
      <status>unmodified</status>
      <modifiedWord/>
      <trackRevisions>false</trackRevisions>
    </reviewItem>
    <reviewItem>
      <errorID>b264eb42-66ab-4dbd-a9a9-c6e9666ecb6c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7DC2D6D2</paraID>
      <start>0</start>
      <end>2</end>
      <status>unmodified</status>
      <modifiedWord/>
      <trackRevisions>false</trackRevisions>
    </reviewItem>
    <reviewItem>
      <errorID>efecad15-ab11-45ad-bd6a-5fa7769ea048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77A06B53</paraID>
      <start>0</start>
      <end>2</end>
      <status>unmodified</status>
      <modifiedWord/>
      <trackRevisions>false</trackRevisions>
    </reviewItem>
    <reviewItem>
      <errorID>400d7ded-2a9e-459b-a323-c2931df69ef9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77A06B53</paraID>
      <start>10</start>
      <end>14</end>
      <status>unmodified</status>
      <modifiedWord/>
      <trackRevisions>false</trackRevisions>
    </reviewItem>
    <reviewItem>
      <errorID>f1abd988-336b-4392-9a6d-888e65cb39d1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77A06B53</paraID>
      <start>26</start>
      <end>28</end>
      <status>unmodified</status>
      <modifiedWord/>
      <trackRevisions>false</trackRevisions>
    </reviewItem>
    <reviewItem>
      <errorID>d3095c51-b0d7-4146-8db0-d7d0892af6fb</errorID>
      <errorWord>能</errorWord>
      <group>L1_Word</group>
      <groupName>字词问题</groupName>
      <ability>L2_Typo</ability>
      <abilityName>字词错误</abilityName>
      <candidateList>
        <item>能够</item>
      </candidateList>
      <explain/>
      <paraID>59293880</paraID>
      <start>24</start>
      <end>25</end>
      <status>unmodified</status>
      <modifiedWord/>
      <trackRevisions>false</trackRevisions>
    </reviewItem>
    <reviewItem>
      <errorID>0288153b-d7b3-433b-b9e8-32d4c042bae7</errorID>
      <errorWord>接</errorWord>
      <group>L1_Word</group>
      <groupName>字词问题</groupName>
      <ability>L2_Typo</ability>
      <abilityName>字词错误</abilityName>
      <candidateList>
        <item>接到</item>
      </candidateList>
      <explain/>
      <paraID>6DC81F00</paraID>
      <start>52</start>
      <end>53</end>
      <status>unmodified</status>
      <modifiedWord/>
      <trackRevisions>false</trackRevisions>
    </reviewItem>
    <reviewItem>
      <errorID>48991541-5205-45a4-9790-51eed46de558</errorID>
      <errorWord>(</errorWord>
      <group>L1_Format</group>
      <groupName>格式问题</groupName>
      <ability>L2_HalfPunc_CN</ability>
      <abilityName>全半角检查</abilityName>
      <candidateList>
        <item>（</item>
      </candidateList>
      <explain>文本全半角错误。</explain>
      <paraID>6DC81F00</paraID>
      <start>132</start>
      <end>133</end>
      <status>unmodified</status>
      <modifiedWord/>
      <trackRevisions>false</trackRevisions>
    </reviewItem>
    <reviewItem>
      <errorID>f2340bd1-5b06-4568-84d9-83aad1f93bd3</errorID>
      <errorWord>)</errorWord>
      <group>L1_Format</group>
      <groupName>格式问题</groupName>
      <ability>L2_HalfPunc_CN</ability>
      <abilityName>全半角检查</abilityName>
      <candidateList>
        <item>）</item>
      </candidateList>
      <explain>文本全半角错误。</explain>
      <paraID>6DC81F00</paraID>
      <start>147</start>
      <end>148</end>
      <status>unmodified</status>
      <modifiedWord/>
      <trackRevisions>false</trackRevisions>
    </reviewItem>
    <reviewItem>
      <errorID>36f1a967-b0ea-4b68-89a7-812c917e12fb</errorID>
      <errorWord>个</errorWord>
      <group>L1_Word</group>
      <groupName>字词问题</groupName>
      <ability>L2_Typo</ability>
      <abilityName>字词错误</abilityName>
      <candidateList>
        <item>个有</item>
      </candidateList>
      <explain/>
      <paraID>7608479D</paraID>
      <start>32</start>
      <end>33</end>
      <status>unmodified</status>
      <modifiedWord/>
      <trackRevisions>false</trackRevisions>
    </reviewItem>
    <reviewItem>
      <errorID>57199d23-ce49-417c-8869-ec2953dd9332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BAD4FB7</paraID>
      <start>18</start>
      <end>20</end>
      <status>unmodified</status>
      <modifiedWord/>
      <trackRevisions>false</trackRevisions>
    </reviewItem>
    <reviewItem>
      <errorID>d17c034c-60a6-4dc7-ad90-1e5a07bc24ae</errorID>
      <errorWord>退换</errorWord>
      <group>L1_Word</group>
      <groupName>字词问题</groupName>
      <ability>L2_Typo</ability>
      <abilityName>字词错误</abilityName>
      <candidateList>
        <item>换</item>
      </candidateList>
      <explain/>
      <paraID> BAD4FB7</paraID>
      <start>85</start>
      <end>87</end>
      <status>unmodified</status>
      <modifiedWord/>
      <trackRevisions>false</trackRevisions>
    </reviewItem>
    <reviewItem>
      <errorID>fecaf131-ee06-4ae1-9700-bc0eedaf7dca</errorID>
      <errorWord>,</errorWord>
      <group>L1_Format</group>
      <groupName>格式问题</groupName>
      <ability>L2_HalfPunc_CN</ability>
      <abilityName>全半角检查</abilityName>
      <candidateList>
        <item>，</item>
      </candidateList>
      <explain>文本全半角错误。</explain>
      <paraID> 6CF9FC8</paraID>
      <start>59</start>
      <end>60</end>
      <status>unmodified</status>
      <modifiedWord/>
      <trackRevisions>false</trackRevisions>
    </reviewItem>
    <reviewItem>
      <errorID>a099d912-3b81-48be-8fc4-87ab7e795f12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75C40CB9</paraID>
      <start>31</start>
      <end>34</end>
      <status>unmodified</status>
      <modifiedWord/>
      <trackRevisions>false</trackRevisions>
    </reviewItem>
    <reviewItem>
      <errorID>4f63e9ac-ef94-499b-b4a2-fffb25fe795e</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6A457EEB</paraID>
      <start>2</start>
      <end>3</end>
      <status>unmodified</status>
      <modifiedWord/>
      <trackRevisions>false</trackRevisions>
    </reviewItem>
    <reviewItem>
      <errorID>9096f877-fc44-47c9-ac92-029e3e05e2ed</errorID>
      <errorWord>接</errorWord>
      <group>L1_Word</group>
      <groupName>字词问题</groupName>
      <ability>L2_Typo</ability>
      <abilityName>字词错误</abilityName>
      <candidateList>
        <item>接到</item>
      </candidateList>
      <explain/>
      <paraID>54D5345F</paraID>
      <start>6</start>
      <end>7</end>
      <status>unmodified</status>
      <modifiedWord/>
      <trackRevisions>false</trackRevisions>
    </reviewItem>
    <reviewItem>
      <errorID>b55c12cd-1e31-4466-9553-e794a6ecaa9d</errorID>
      <errorWord>《药品管理法》</errorWord>
      <group>L1_Word</group>
      <groupName>字词问题</groupName>
      <ability>L2_Typo</ability>
      <abilityName>字词错误</abilityName>
      <candidateList>
        <item>《中华人民共和国药品管理法》</item>
      </candidateList>
      <explain/>
      <paraID>5BE7D356</paraID>
      <start>6</start>
      <end>13</end>
      <status>unmodified</status>
      <modifiedWord/>
      <trackRevisions>false</trackRevisions>
    </reviewItem>
    <reviewItem>
      <errorID>81ccf8b7-0c00-4abc-963c-b7fe4a171342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2B06B075</paraID>
      <start>35</start>
      <end>36</end>
      <status>unmodified</status>
      <modifiedWord/>
      <trackRevisions>false</trackRevisions>
    </reviewItem>
    <reviewItem>
      <errorID>ad47ff7f-86c9-4895-a001-70d8859e8a05</errorID>
      <errorWord>详实</errorWord>
      <group>L1_Word</group>
      <groupName>字词问题</groupName>
      <ability>L2_Typo</ability>
      <abilityName>字词错误</abilityName>
      <candidateList>
        <item>翔实</item>
      </candidateList>
      <explain/>
      <paraID>74C19D73</paraID>
      <start>6</start>
      <end>8</end>
      <status>unmodified</status>
      <modifiedWord/>
      <trackRevisions>false</trackRevisions>
    </reviewItem>
    <reviewItem>
      <errorID>19943e7a-3322-43b7-94b5-9a15cc2a2438</errorID>
      <errorWord>待</errorWord>
      <group>L1_Word</group>
      <groupName>字词问题</groupName>
      <ability>L2_Typo</ability>
      <abilityName>字词错误</abilityName>
      <candidateList>
        <item>有待</item>
      </candidateList>
      <explain/>
      <paraID>5469D5E3</paraID>
      <start>6</start>
      <end>7</end>
      <status>unmodified</status>
      <modifiedWord/>
      <trackRevisions>false</trackRevisions>
    </reviewItem>
    <reviewItem>
      <errorID>c549c656-11df-4ea3-bd0d-cf3f184bc157</errorID>
      <errorWord>,</errorWord>
      <group>L1_Format</group>
      <groupName>格式问题</groupName>
      <ability>L2_HalfPunc_CN</ability>
      <abilityName>全半角检查</abilityName>
      <candidateList>
        <item>，</item>
      </candidateList>
      <explain>文本全半角错误。</explain>
      <paraID>6AE72477</paraID>
      <start>45</start>
      <end>46</end>
      <status>unmodified</status>
      <modifiedWord/>
      <trackRevisions>false</trackRevisions>
    </reviewItem>
    <reviewItem>
      <errorID>c57971c8-37e2-47c5-92e2-f829d56beef0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7CDA6EF5</paraID>
      <start>13</start>
      <end>16</end>
      <status>unmodified</status>
      <modifiedWord/>
      <trackRevisions>false</trackRevisions>
    </reviewItem>
    <reviewItem>
      <errorID>f1298e69-e1fe-4781-9e09-dc4a66c6301b</errorID>
      <errorWord>能</errorWord>
      <group>L1_Word</group>
      <groupName>字词问题</groupName>
      <ability>L2_Typo</ability>
      <abilityName>字词错误</abilityName>
      <candidateList>
        <item>能够</item>
      </candidateList>
      <explain/>
      <paraID>49654365</paraID>
      <start>23</start>
      <end>24</end>
      <status>unmodified</status>
      <modifiedWord/>
      <trackRevisions>false</trackRevisions>
    </reviewItem>
    <reviewItem>
      <errorID>a8f7e0ea-53bf-4df5-a9d4-e8b7365574dc</errorID>
      <errorWord>接</errorWord>
      <group>L1_Word</group>
      <groupName>字词问题</groupName>
      <ability>L2_Typo</ability>
      <abilityName>字词错误</abilityName>
      <candidateList>
        <item>接到</item>
      </candidateList>
      <explain/>
      <paraID>16552CFA</paraID>
      <start>63</start>
      <end>64</end>
      <status>unmodified</status>
      <modifiedWord/>
      <trackRevisions>false</trackRevisions>
    </reviewItem>
    <reviewItem>
      <errorID>72eaf974-2e74-48f9-ada8-60ab1f36a0d9</errorID>
      <errorWord>个</errorWord>
      <group>L1_Word</group>
      <groupName>字词问题</groupName>
      <ability>L2_Typo</ability>
      <abilityName>字词错误</abilityName>
      <candidateList>
        <item>个有</item>
      </candidateList>
      <explain/>
      <paraID>6414CFF1</paraID>
      <start>31</start>
      <end>32</end>
      <status>unmodified</status>
      <modifiedWord/>
      <trackRevisions>false</trackRevisions>
    </reviewItem>
    <reviewItem>
      <errorID>51b129ea-41c9-4817-b643-e682a6e5ee1b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1C6100CB</paraID>
      <start>17</start>
      <end>19</end>
      <status>unmodified</status>
      <modifiedWord/>
      <trackRevisions>false</trackRevisions>
    </reviewItem>
    <reviewItem>
      <errorID>9bb8bb61-40f2-47fd-9d70-a766632586c3</errorID>
      <errorWord>退换</errorWord>
      <group>L1_Word</group>
      <groupName>字词问题</groupName>
      <ability>L2_Typo</ability>
      <abilityName>字词错误</abilityName>
      <candidateList>
        <item>换</item>
      </candidateList>
      <explain/>
      <paraID>1C6100CB</paraID>
      <start>80</start>
      <end>82</end>
      <status>unmodified</status>
      <modifiedWord/>
      <trackRevisions>false</trackRevisions>
    </reviewItem>
    <reviewItem>
      <errorID>8d497cea-56d9-4831-a65d-3540c98c1344</errorID>
      <errorWord>,</errorWord>
      <group>L1_Format</group>
      <groupName>格式问题</groupName>
      <ability>L2_HalfPunc_CN</ability>
      <abilityName>全半角检查</abilityName>
      <candidateList>
        <item>，</item>
      </candidateList>
      <explain>文本全半角错误。</explain>
      <paraID>7E84EE95</paraID>
      <start>59</start>
      <end>60</end>
      <status>unmodified</status>
      <modifiedWord/>
      <trackRevisions>false</trackRevisions>
    </reviewItem>
    <reviewItem>
      <errorID>ca3edff9-150e-4a56-8df7-b3634b8c32e7</errorID>
      <errorWord>药品的</errorWord>
      <group>L1_Word</group>
      <groupName>字词问题</groupName>
      <ability>L2_Typo</ability>
      <abilityName>字词错误</abilityName>
      <candidateList>
        <item>药品</item>
      </candidateList>
      <explain/>
      <paraID>6207EA4A</paraID>
      <start>9</start>
      <end>12</end>
      <status>unmodified</status>
      <modifiedWord/>
      <trackRevisions>false</trackRevisions>
    </reviewItem>
    <reviewItem>
      <errorID>52f319b8-8670-4dd0-9dc7-c5bace802f9c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4FB161C9</paraID>
      <start>34</start>
      <end>37</end>
      <status>unmodified</status>
      <modifiedWord/>
      <trackRevisions>false</trackRevisions>
    </reviewItem>
    <reviewItem>
      <errorID>021eb2c5-8092-4a94-a388-3f01bb484480</errorID>
      <errorWord>肆</errorWord>
      <group>L1_Word</group>
      <groupName>字词问题</groupName>
      <ability>L2_Typo</ability>
      <abilityName>字词错误</abilityName>
      <candidateList>
        <item>四</item>
      </candidateList>
      <explain>存在发音相同字词的误用。</explain>
      <paraID>1500EEE1</paraID>
      <start>21</start>
      <end>22</end>
      <status>unmodified</status>
      <modifiedWord/>
      <trackRevisions>false</trackRevisions>
    </reviewItem>
    <reviewItem>
      <errorID>5d916664-dd40-4b2f-8f89-4e08a6903803</errorID>
      <errorWord>(</errorWord>
      <group>L1_Format</group>
      <groupName>格式问题</groupName>
      <ability>L2_HalfPunc_CN</ability>
      <abilityName>全半角检查</abilityName>
      <candidateList>
        <item>（</item>
      </candidateList>
      <explain>文本全半角错误。</explain>
      <paraID> 707D0B0</paraID>
      <start>31</start>
      <end>32</end>
      <status>unmodified</status>
      <modifiedWord/>
      <trackRevisions>false</trackRevisions>
    </reviewItem>
    <reviewItem>
      <errorID>46f50cc0-665a-47d4-a65d-dfe8389771c4</errorID>
      <errorWord>)</errorWord>
      <group>L1_Format</group>
      <groupName>格式问题</groupName>
      <ability>L2_HalfPunc_CN</ability>
      <abilityName>全半角检查</abilityName>
      <candidateList>
        <item>）</item>
      </candidateList>
      <explain>文本全半角错误。</explain>
      <paraID> 707D0B0</paraID>
      <start>37</start>
      <end>38</end>
      <status>unmodified</status>
      <modifiedWord/>
      <trackRevisions>false</trackRevisions>
    </reviewItem>
    <reviewItem>
      <errorID>52586ec8-67b1-4a49-96b7-0f7455d9e6fb</errorID>
      <errorWord>(</errorWord>
      <group>L1_Format</group>
      <groupName>格式问题</groupName>
      <ability>L2_HalfPunc_CN</ability>
      <abilityName>全半角检查</abilityName>
      <candidateList>
        <item>（</item>
      </candidateList>
      <explain>文本全半角错误。</explain>
      <paraID> 707D0B0</paraID>
      <start>47</start>
      <end>48</end>
      <status>unmodified</status>
      <modifiedWord/>
      <trackRevisions>false</trackRevisions>
    </reviewItem>
    <reviewItem>
      <errorID>ec3c3d60-d567-433b-9c0f-15bab1554dda</errorID>
      <errorWord>)</errorWord>
      <group>L1_Format</group>
      <groupName>格式问题</groupName>
      <ability>L2_HalfPunc_CN</ability>
      <abilityName>全半角检查</abilityName>
      <candidateList>
        <item>）</item>
      </candidateList>
      <explain>文本全半角错误。</explain>
      <paraID> 707D0B0</paraID>
      <start>57</start>
      <end>58</end>
      <status>unmodified</status>
      <modifiedWord/>
      <trackRevisions>false</trackRevisions>
    </reviewItem>
    <reviewItem>
      <errorID>b3b54a6b-3973-458e-a78c-eab43955f5d7</errorID>
      <errorWord>,</errorWord>
      <group>L1_Format</group>
      <groupName>格式问题</groupName>
      <ability>L2_HalfPunc_CN</ability>
      <abilityName>全半角检查</abilityName>
      <candidateList>
        <item>，</item>
      </candidateList>
      <explain>文本全半角错误。</explain>
      <paraID>28ED989A</paraID>
      <start>8</start>
      <end>9</end>
      <status>unmodified</status>
      <modifiedWord/>
      <trackRevisions>false</trackRevisions>
    </reviewItem>
    <reviewItem>
      <errorID>83d3fcd3-5ed6-41f6-aec7-1ad82f2396a9</errorID>
      <errorWord>,</errorWord>
      <group>L1_Format</group>
      <groupName>格式问题</groupName>
      <ability>L2_HalfPunc_CN</ability>
      <abilityName>全半角检查</abilityName>
      <candidateList>
        <item>，</item>
      </candidateList>
      <explain>文本全半角错误。</explain>
      <paraID>28ED989A</paraID>
      <start>18</start>
      <end>19</end>
      <status>unmodified</status>
      <modifiedWord/>
      <trackRevisions>false</trackRevisions>
    </reviewItem>
    <reviewItem>
      <errorID>cfa51f19-5e30-4ceb-bb64-5b35a782f69a</errorID>
      <errorWord>法律、法规</errorWord>
      <group>L1_Word</group>
      <groupName>字词问题</groupName>
      <ability>L2_Typo</ability>
      <abilityName>字词错误</abilityName>
      <candidateList>
        <item>法律法规</item>
      </candidateList>
      <explain/>
      <paraID>28ED989A</paraID>
      <start>74</start>
      <end>79</end>
      <status>unmodified</status>
      <modifiedWord/>
      <trackRevisions>false</trackRevisions>
    </reviewItem>
    <reviewItem>
      <errorID>d7dba02e-9ff0-4c76-8d8d-70eb5d4371c0</errorID>
      <errorWord>,</errorWord>
      <group>L1_Format</group>
      <groupName>格式问题</groupName>
      <ability>L2_HalfPunc_CN</ability>
      <abilityName>全半角检查</abilityName>
      <candidateList>
        <item>，</item>
      </candidateList>
      <explain>文本全半角错误。</explain>
      <paraID> 7F33D21</paraID>
      <start>11</start>
      <end>12</end>
      <status>unmodified</status>
      <modifiedWord/>
      <trackRevisions>false</trackRevisions>
    </reviewItem>
    <reviewItem>
      <errorID>6c61f477-b52b-41e9-bef0-19bff0dc519f</errorID>
      <errorWord>汉语书就、变更和</errorWord>
      <group>L1_Word</group>
      <groupName>字词问题</groupName>
      <ability>L2_Typo</ability>
      <abilityName>字词错误</abilityName>
      <candidateList>
        <item>汉语书写、变更和</item>
      </candidateList>
      <explain/>
      <paraID>138032E8</paraID>
      <start>10</start>
      <end>18</end>
      <status>unmodified</status>
      <modifiedWord/>
      <trackRevisions>false</trackRevisions>
    </reviewItem>
    <reviewItem>
      <errorID>ba1afde0-321b-4210-94f5-943826885da6</errorID>
      <errorWord>。</errorWord>
      <group>L1_Format</group>
      <groupName>格式问题</groupName>
      <ability>L2_HalfPunc_CN</ability>
      <abilityName>全半角检查</abilityName>
      <candidateList>
        <item>.</item>
      </candidateList>
      <explain>文本全半角错误。</explain>
      <paraID>7DC7ADD8</paraID>
      <start>48</start>
      <end>49</end>
      <status>unmodified</status>
      <modifiedWord/>
      <trackRevisions>false</trackRevisions>
    </reviewItem>
    <reviewItem>
      <errorID>79ea320f-853e-4a0f-8687-d664953ab34c</errorID>
      <errorWord>程</errorWord>
      <group>L1_Word</group>
      <groupName>字词问题</groupName>
      <ability>L2_Typo</ability>
      <abilityName>字词错误</abilityName>
      <candidateList>
        <item>程中</item>
      </candidateList>
      <explain/>
      <paraID>26AC2C2D</paraID>
      <start>71</start>
      <end>72</end>
      <status>unmodified</status>
      <modifiedWord/>
      <trackRevisions>false</trackRevisions>
    </reviewItem>
    <reviewItem>
      <errorID>87eb3736-448f-4cf4-a45c-e729cb36eb0f</errorID>
      <errorWord>院</errorWord>
      <group>L1_Word</group>
      <groupName>字词问题</groupName>
      <ability>L2_Typo</ability>
      <abilityName>字词错误</abilityName>
      <candidateList>
        <item>院有</item>
      </candidateList>
      <explain/>
      <paraID>5B3672E6</paraID>
      <start>10</start>
      <end>11</end>
      <status>unmodified</status>
      <modifiedWord/>
      <trackRevisions>false</trackRevisions>
    </reviewItem>
    <reviewItem>
      <errorID>b0bdf414-66e4-4ac6-bad9-a3d0abd188cc</errorID>
      <errorWord>工作日内可</errorWord>
      <group>L1_Word</group>
      <groupName>字词问题</groupName>
      <ability>L2_Typo</ability>
      <abilityName>字词错误</abilityName>
      <candidateList>
        <item>工作日内</item>
      </candidateList>
      <explain/>
      <paraID>1F9EA1DF</paraID>
      <start>37</start>
      <end>42</end>
      <status>unmodified</status>
      <modifiedWord/>
      <trackRevisions>false</trackRevisions>
    </reviewItem>
    <reviewItem>
      <errorID>0efd0ab0-a332-4435-b38f-2fd3c107584a</errorID>
      <errorWord>接</errorWord>
      <group>L1_Word</group>
      <groupName>字词问题</groupName>
      <ability>L2_Typo</ability>
      <abilityName>字词错误</abilityName>
      <candidateList>
        <item>接到</item>
      </candidateList>
      <explain/>
      <paraID>5955E236</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ec78f-a259-4985-925b-a99c3e2423c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3437</Words>
  <Characters>3751</Characters>
  <Lines>436</Lines>
  <Paragraphs>122</Paragraphs>
  <TotalTime>87</TotalTime>
  <ScaleCrop>false</ScaleCrop>
  <LinksUpToDate>false</LinksUpToDate>
  <CharactersWithSpaces>3837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2024-09-01T23:38:00Z</dcterms:created>
  <dc:creator>Anakin</dc:creator>
  <cp:lastModifiedBy>1</cp:lastModifiedBy>
  <cp:lastPrinted>2022-01-27T16:43:00Z</cp:lastPrinted>
  <dcterms:modified xsi:type="dcterms:W3CDTF">2026-06-05T09:12:11Z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F752633E5B5D47BC90C6574D5C37FF8D_13</vt:lpwstr>
  </property>
  <property fmtid="{D5CDD505-2E9C-101B-9397-08002B2CF9AE}" pid="4" name="KSOTemplateDocerSaveRecord">
    <vt:lpwstr>eyJoZGlkIjoiZjRjZWI2OTA2ZDdhOTgxMzMxNzIyMTg0OWVkNTM0M2YiLCJ1c2VySWQiOiI0ODUyODkyNzAifQ==</vt:lpwstr>
  </property>
</Properties>
</file>